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82592F" w:rsidRDefault="003A18CF" w:rsidP="003A18CF">
      <w:pPr>
        <w:tabs>
          <w:tab w:val="right" w:pos="9029"/>
        </w:tabs>
        <w:spacing w:line="240" w:lineRule="auto"/>
      </w:pPr>
      <w:r w:rsidRPr="00961263">
        <w:tab/>
        <w:t xml:space="preserve">Case </w:t>
      </w:r>
      <w:r w:rsidRPr="0082592F">
        <w:t xml:space="preserve">CCT </w:t>
      </w:r>
      <w:r w:rsidR="0082592F" w:rsidRPr="0082592F">
        <w:t>283/16, 293/16 and 294/16</w:t>
      </w:r>
    </w:p>
    <w:p w:rsidR="003A18CF" w:rsidRDefault="003A18CF" w:rsidP="003A18CF">
      <w:pPr>
        <w:tabs>
          <w:tab w:val="left" w:pos="8998"/>
        </w:tabs>
        <w:spacing w:line="240" w:lineRule="auto"/>
      </w:pPr>
    </w:p>
    <w:p w:rsidR="0082592F" w:rsidRPr="0082592F" w:rsidRDefault="0082592F" w:rsidP="0082592F">
      <w:pPr>
        <w:tabs>
          <w:tab w:val="left" w:pos="8998"/>
        </w:tabs>
        <w:spacing w:line="240" w:lineRule="auto"/>
        <w:jc w:val="right"/>
        <w:rPr>
          <w:szCs w:val="26"/>
        </w:rPr>
      </w:pPr>
      <w:r w:rsidRPr="0082592F">
        <w:rPr>
          <w:szCs w:val="26"/>
        </w:rPr>
        <w:t>CCT 283/16</w:t>
      </w:r>
    </w:p>
    <w:p w:rsidR="0082592F" w:rsidRPr="0082592F" w:rsidRDefault="0082592F" w:rsidP="0082592F">
      <w:pPr>
        <w:tabs>
          <w:tab w:val="left" w:pos="8998"/>
        </w:tabs>
        <w:spacing w:line="240" w:lineRule="auto"/>
        <w:rPr>
          <w:szCs w:val="26"/>
        </w:rPr>
      </w:pPr>
    </w:p>
    <w:p w:rsidR="0082592F" w:rsidRPr="0087799A" w:rsidRDefault="0082592F" w:rsidP="0082592F">
      <w:pPr>
        <w:tabs>
          <w:tab w:val="left" w:pos="8998"/>
        </w:tabs>
        <w:spacing w:line="240" w:lineRule="auto"/>
        <w:rPr>
          <w:szCs w:val="26"/>
        </w:rPr>
      </w:pPr>
      <w:r w:rsidRPr="0087799A">
        <w:rPr>
          <w:szCs w:val="26"/>
        </w:rPr>
        <w:t>In the matter between:</w:t>
      </w:r>
    </w:p>
    <w:p w:rsidR="0082592F" w:rsidRPr="00D66A90" w:rsidRDefault="0082592F" w:rsidP="0082592F">
      <w:pPr>
        <w:tabs>
          <w:tab w:val="left" w:pos="8998"/>
        </w:tabs>
        <w:spacing w:line="240" w:lineRule="auto"/>
        <w:rPr>
          <w:szCs w:val="26"/>
        </w:rPr>
      </w:pPr>
    </w:p>
    <w:p w:rsidR="0082592F" w:rsidRPr="00C42C39" w:rsidRDefault="0082592F" w:rsidP="0082592F">
      <w:pPr>
        <w:tabs>
          <w:tab w:val="right" w:pos="9029"/>
        </w:tabs>
        <w:spacing w:line="240" w:lineRule="auto"/>
      </w:pPr>
      <w:r w:rsidRPr="00C42C39">
        <w:rPr>
          <w:b/>
        </w:rPr>
        <w:t>CHANTELLE JORDAAN</w:t>
      </w:r>
      <w:r w:rsidRPr="00C42C39">
        <w:tab/>
        <w:t>First Applicant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rPr>
          <w:b/>
        </w:rPr>
      </w:pPr>
      <w:r w:rsidRPr="00C42C39">
        <w:rPr>
          <w:b/>
        </w:rPr>
        <w:t>NEW VENTURES CONSULTING</w:t>
      </w:r>
    </w:p>
    <w:p w:rsidR="0082592F" w:rsidRPr="00C42C39" w:rsidRDefault="0082592F" w:rsidP="0082592F">
      <w:pPr>
        <w:tabs>
          <w:tab w:val="right" w:pos="9029"/>
        </w:tabs>
        <w:spacing w:line="240" w:lineRule="auto"/>
        <w:rPr>
          <w:b/>
        </w:rPr>
      </w:pPr>
      <w:r w:rsidRPr="00C42C39">
        <w:rPr>
          <w:b/>
        </w:rPr>
        <w:t>&amp; SERVICES (PTY) LIMITED</w:t>
      </w:r>
      <w:r w:rsidRPr="00C42C39">
        <w:tab/>
        <w:t>Second Applicant</w:t>
      </w:r>
    </w:p>
    <w:p w:rsidR="0082592F" w:rsidRPr="00C42C39" w:rsidRDefault="0082592F" w:rsidP="0082592F">
      <w:pPr>
        <w:spacing w:line="240" w:lineRule="auto"/>
      </w:pPr>
    </w:p>
    <w:p w:rsidR="0082592F" w:rsidRPr="00C42C39" w:rsidRDefault="0082592F" w:rsidP="0082592F">
      <w:pPr>
        <w:tabs>
          <w:tab w:val="right" w:pos="9029"/>
        </w:tabs>
        <w:spacing w:line="240" w:lineRule="auto"/>
        <w:rPr>
          <w:b/>
        </w:rPr>
      </w:pPr>
      <w:r w:rsidRPr="00C42C39">
        <w:rPr>
          <w:b/>
        </w:rPr>
        <w:t>CLASS OF AFFECTED MUNICIPAL SERVICE</w:t>
      </w:r>
      <w:r w:rsidR="008D3A1F" w:rsidRPr="008D3A1F">
        <w:t xml:space="preserve"> </w:t>
      </w:r>
    </w:p>
    <w:p w:rsidR="0082592F" w:rsidRPr="00C42C39" w:rsidRDefault="0082592F" w:rsidP="0082592F">
      <w:pPr>
        <w:tabs>
          <w:tab w:val="right" w:pos="9029"/>
        </w:tabs>
        <w:spacing w:line="240" w:lineRule="auto"/>
        <w:rPr>
          <w:b/>
        </w:rPr>
      </w:pPr>
      <w:r w:rsidRPr="00C42C39">
        <w:rPr>
          <w:b/>
        </w:rPr>
        <w:t>CONSUMERS</w:t>
      </w:r>
      <w:r w:rsidRPr="00C42C39">
        <w:tab/>
        <w:t>Third Applicant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r w:rsidRPr="00C42C39">
        <w:rPr>
          <w:b/>
        </w:rPr>
        <w:t>F M KEKANA</w:t>
      </w:r>
      <w:r w:rsidRPr="00C42C39">
        <w:tab/>
        <w:t>Fourth Applicant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r w:rsidRPr="00C42C39">
        <w:rPr>
          <w:b/>
        </w:rPr>
        <w:t>M R MALEBOLOA</w:t>
      </w:r>
      <w:r w:rsidRPr="00C42C39">
        <w:rPr>
          <w:b/>
        </w:rPr>
        <w:tab/>
      </w:r>
      <w:r w:rsidRPr="00C42C39">
        <w:t>Fifth Applicant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r w:rsidRPr="00C42C39">
        <w:rPr>
          <w:b/>
        </w:rPr>
        <w:t>S R MALEBOLOA</w:t>
      </w:r>
      <w:r w:rsidRPr="00C42C39">
        <w:rPr>
          <w:b/>
        </w:rPr>
        <w:tab/>
      </w:r>
      <w:r w:rsidRPr="00C42C39">
        <w:t>Sixth Applicant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r w:rsidRPr="00C42C39">
        <w:rPr>
          <w:b/>
        </w:rPr>
        <w:t>M MAMOTSAU</w:t>
      </w:r>
      <w:r w:rsidRPr="00C42C39">
        <w:rPr>
          <w:b/>
        </w:rPr>
        <w:tab/>
      </w:r>
      <w:r w:rsidRPr="00C42C39">
        <w:t>Seventh Applicant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t>BILLIE ANN LIVANOS</w:t>
      </w:r>
      <w:r w:rsidRPr="00C42C39">
        <w:rPr>
          <w:b/>
        </w:rPr>
        <w:tab/>
      </w:r>
      <w:r w:rsidRPr="00C42C39">
        <w:t>Eighth Applicant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t>LEAH HENDERSON</w:t>
      </w:r>
      <w:r w:rsidRPr="00C42C39">
        <w:rPr>
          <w:b/>
        </w:rPr>
        <w:tab/>
      </w:r>
      <w:r w:rsidRPr="00C42C39">
        <w:t>Ninth Applicant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rPr>
          <w:b/>
        </w:rPr>
      </w:pPr>
      <w:r w:rsidRPr="00C42C39">
        <w:rPr>
          <w:b/>
        </w:rPr>
        <w:t xml:space="preserve">CLIFTON DUNESINVESTMENTS 317 (PTY) </w:t>
      </w:r>
    </w:p>
    <w:p w:rsidR="0082592F" w:rsidRPr="00C42C39" w:rsidRDefault="0082592F" w:rsidP="0082592F">
      <w:pPr>
        <w:tabs>
          <w:tab w:val="right" w:pos="9029"/>
        </w:tabs>
        <w:spacing w:line="240" w:lineRule="auto"/>
      </w:pPr>
      <w:r w:rsidRPr="00C42C39">
        <w:rPr>
          <w:b/>
        </w:rPr>
        <w:t>LIMITED</w:t>
      </w:r>
      <w:r w:rsidRPr="00C42C39">
        <w:rPr>
          <w:b/>
        </w:rPr>
        <w:tab/>
      </w:r>
      <w:r w:rsidRPr="00C42C39">
        <w:t>Tenth Applicant</w:t>
      </w:r>
    </w:p>
    <w:p w:rsidR="0082592F" w:rsidRPr="00C42C39" w:rsidRDefault="0082592F" w:rsidP="0082592F">
      <w:pPr>
        <w:spacing w:line="240" w:lineRule="auto"/>
      </w:pPr>
    </w:p>
    <w:p w:rsidR="0082592F" w:rsidRPr="00C42C39" w:rsidRDefault="0082592F" w:rsidP="0082592F">
      <w:pPr>
        <w:tabs>
          <w:tab w:val="right" w:pos="9029"/>
        </w:tabs>
        <w:spacing w:line="240" w:lineRule="auto"/>
      </w:pPr>
      <w:r w:rsidRPr="00C42C39">
        <w:rPr>
          <w:b/>
        </w:rPr>
        <w:t>GEMMA DIAMONDS (PTY) LIMITED</w:t>
      </w:r>
      <w:r w:rsidRPr="00C42C39">
        <w:rPr>
          <w:b/>
        </w:rPr>
        <w:tab/>
      </w:r>
      <w:r w:rsidRPr="00C42C39">
        <w:t>Eleventh Applicant</w:t>
      </w:r>
    </w:p>
    <w:p w:rsidR="0082592F" w:rsidRPr="00C42C39" w:rsidRDefault="0082592F" w:rsidP="0082592F">
      <w:pPr>
        <w:spacing w:line="240" w:lineRule="auto"/>
      </w:pPr>
    </w:p>
    <w:p w:rsidR="0082592F" w:rsidRPr="00C42C39" w:rsidRDefault="0082592F" w:rsidP="0082592F">
      <w:pPr>
        <w:tabs>
          <w:tab w:val="right" w:pos="9029"/>
        </w:tabs>
        <w:spacing w:line="240" w:lineRule="auto"/>
      </w:pPr>
      <w:r w:rsidRPr="00C42C39">
        <w:rPr>
          <w:b/>
        </w:rPr>
        <w:t>OAK PLANT RENTALS (PTY) LIMITED</w:t>
      </w:r>
      <w:r w:rsidRPr="00C42C39">
        <w:rPr>
          <w:b/>
        </w:rPr>
        <w:tab/>
      </w:r>
      <w:r w:rsidRPr="00C42C39">
        <w:t>Twelfth Applicant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t>STEPPING THE WORLD (PTY) LIMITED</w:t>
      </w:r>
      <w:r w:rsidRPr="00C42C39">
        <w:rPr>
          <w:b/>
        </w:rPr>
        <w:tab/>
      </w:r>
      <w:r w:rsidRPr="00C42C39">
        <w:t>Thirteenth Applicant</w:t>
      </w:r>
    </w:p>
    <w:p w:rsidR="0082592F" w:rsidRPr="00C42C39" w:rsidRDefault="0082592F" w:rsidP="0082592F">
      <w:pPr>
        <w:spacing w:line="240" w:lineRule="auto"/>
      </w:pPr>
    </w:p>
    <w:p w:rsidR="0082592F" w:rsidRPr="00C42C39" w:rsidRDefault="0082592F" w:rsidP="0082592F">
      <w:pPr>
        <w:spacing w:line="240" w:lineRule="auto"/>
      </w:pPr>
      <w:r w:rsidRPr="00C42C39">
        <w:t>and</w:t>
      </w:r>
    </w:p>
    <w:p w:rsidR="0082592F" w:rsidRPr="00C42C39" w:rsidRDefault="0082592F" w:rsidP="0082592F">
      <w:pPr>
        <w:spacing w:line="240" w:lineRule="auto"/>
      </w:pPr>
    </w:p>
    <w:p w:rsidR="0082592F" w:rsidRPr="00C42C39" w:rsidRDefault="0082592F" w:rsidP="0082592F">
      <w:pPr>
        <w:tabs>
          <w:tab w:val="right" w:pos="9029"/>
        </w:tabs>
        <w:spacing w:line="240" w:lineRule="auto"/>
        <w:rPr>
          <w:b/>
        </w:rPr>
      </w:pPr>
      <w:r w:rsidRPr="00C42C39">
        <w:rPr>
          <w:b/>
        </w:rPr>
        <w:t>CITY OF TSHWANEMETROPOLITAN</w:t>
      </w:r>
      <w:r w:rsidR="008D3A1F" w:rsidRPr="008D3A1F">
        <w:t xml:space="preserve"> </w:t>
      </w:r>
      <w:r w:rsidRPr="00C42C39">
        <w:rPr>
          <w:b/>
        </w:rPr>
        <w:t>MUNICIPALITY</w:t>
      </w:r>
      <w:r w:rsidRPr="00C42C39">
        <w:tab/>
        <w:t>First Respondent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r w:rsidRPr="00C42C39">
        <w:rPr>
          <w:b/>
        </w:rPr>
        <w:t>EKURHULENI METROPOLITAN MUNICIPALITY</w:t>
      </w:r>
      <w:r w:rsidRPr="00C42C39">
        <w:rPr>
          <w:b/>
        </w:rPr>
        <w:tab/>
      </w:r>
      <w:r w:rsidRPr="00C42C39">
        <w:t>Second Respondent</w:t>
      </w:r>
    </w:p>
    <w:p w:rsidR="0082592F" w:rsidRPr="00C42C39" w:rsidRDefault="0082592F" w:rsidP="0082592F">
      <w:pPr>
        <w:tabs>
          <w:tab w:val="right" w:pos="9029"/>
        </w:tabs>
        <w:spacing w:line="240" w:lineRule="auto"/>
        <w:rPr>
          <w:b/>
        </w:rPr>
      </w:pPr>
    </w:p>
    <w:p w:rsidR="0082592F" w:rsidRPr="00C42C39" w:rsidRDefault="0082592F" w:rsidP="0082592F">
      <w:pPr>
        <w:tabs>
          <w:tab w:val="right" w:pos="9029"/>
        </w:tabs>
        <w:spacing w:line="240" w:lineRule="auto"/>
        <w:rPr>
          <w:b/>
        </w:rPr>
      </w:pPr>
      <w:r w:rsidRPr="00C42C39">
        <w:rPr>
          <w:b/>
        </w:rPr>
        <w:t>MINISTER OF COOPERATIVE</w:t>
      </w:r>
    </w:p>
    <w:p w:rsidR="0082592F" w:rsidRPr="00C42C39" w:rsidRDefault="0082592F" w:rsidP="0082592F">
      <w:pPr>
        <w:tabs>
          <w:tab w:val="right" w:pos="9029"/>
        </w:tabs>
        <w:spacing w:line="240" w:lineRule="auto"/>
      </w:pPr>
      <w:r w:rsidRPr="00C42C39">
        <w:rPr>
          <w:b/>
        </w:rPr>
        <w:t>GOVERNANCE AND TRADITIONAL AFFAIRS</w:t>
      </w:r>
      <w:r w:rsidRPr="00C42C39">
        <w:tab/>
        <w:t>Third Respondent</w:t>
      </w:r>
    </w:p>
    <w:p w:rsidR="0082592F" w:rsidRPr="00C42C39" w:rsidRDefault="0082592F" w:rsidP="0082592F">
      <w:pPr>
        <w:tabs>
          <w:tab w:val="right" w:pos="9029"/>
        </w:tabs>
        <w:spacing w:line="240" w:lineRule="auto"/>
      </w:pPr>
    </w:p>
    <w:p w:rsidR="0082592F" w:rsidRPr="00D66A90" w:rsidRDefault="0082592F" w:rsidP="0082592F">
      <w:pPr>
        <w:tabs>
          <w:tab w:val="right" w:pos="9029"/>
        </w:tabs>
        <w:spacing w:line="240" w:lineRule="auto"/>
        <w:rPr>
          <w:szCs w:val="26"/>
        </w:rPr>
      </w:pPr>
    </w:p>
    <w:p w:rsidR="0082592F" w:rsidRPr="0082592F" w:rsidRDefault="0082592F" w:rsidP="0082592F">
      <w:pPr>
        <w:tabs>
          <w:tab w:val="left" w:pos="8998"/>
        </w:tabs>
        <w:spacing w:line="240" w:lineRule="auto"/>
        <w:jc w:val="right"/>
        <w:rPr>
          <w:szCs w:val="26"/>
        </w:rPr>
      </w:pPr>
      <w:r w:rsidRPr="0082592F">
        <w:rPr>
          <w:szCs w:val="26"/>
        </w:rPr>
        <w:t xml:space="preserve">CCT </w:t>
      </w:r>
      <w:r w:rsidRPr="0082592F">
        <w:t>293/16</w:t>
      </w:r>
    </w:p>
    <w:p w:rsidR="0082592F" w:rsidRPr="00D66A90" w:rsidRDefault="0082592F" w:rsidP="0082592F">
      <w:pPr>
        <w:tabs>
          <w:tab w:val="left" w:pos="8998"/>
        </w:tabs>
        <w:spacing w:line="240" w:lineRule="auto"/>
        <w:rPr>
          <w:szCs w:val="26"/>
        </w:rPr>
      </w:pPr>
    </w:p>
    <w:p w:rsidR="0082592F" w:rsidRPr="00D66A90" w:rsidRDefault="0082592F" w:rsidP="0082592F">
      <w:pPr>
        <w:tabs>
          <w:tab w:val="left" w:pos="8998"/>
        </w:tabs>
        <w:spacing w:line="240" w:lineRule="auto"/>
        <w:rPr>
          <w:szCs w:val="26"/>
        </w:rPr>
      </w:pPr>
      <w:r w:rsidRPr="00D66A90">
        <w:rPr>
          <w:szCs w:val="26"/>
        </w:rPr>
        <w:t>In the matter between:</w:t>
      </w:r>
    </w:p>
    <w:p w:rsidR="0082592F" w:rsidRPr="00D66A90" w:rsidRDefault="0082592F" w:rsidP="0082592F">
      <w:pPr>
        <w:tabs>
          <w:tab w:val="left" w:pos="8998"/>
        </w:tabs>
        <w:spacing w:line="240" w:lineRule="auto"/>
        <w:rPr>
          <w:szCs w:val="26"/>
        </w:rPr>
      </w:pPr>
    </w:p>
    <w:p w:rsidR="0082592F" w:rsidRPr="00C42C39" w:rsidRDefault="0082592F" w:rsidP="0082592F">
      <w:pPr>
        <w:tabs>
          <w:tab w:val="right" w:pos="9029"/>
        </w:tabs>
        <w:spacing w:line="240" w:lineRule="auto"/>
        <w:rPr>
          <w:b/>
        </w:rPr>
      </w:pPr>
      <w:r w:rsidRPr="00C42C39">
        <w:rPr>
          <w:b/>
        </w:rPr>
        <w:t>CITY OF TSHWANE METROPOLITAN</w:t>
      </w:r>
    </w:p>
    <w:p w:rsidR="0082592F" w:rsidRPr="00C42C39" w:rsidRDefault="0082592F" w:rsidP="0082592F">
      <w:pPr>
        <w:tabs>
          <w:tab w:val="right" w:pos="9029"/>
        </w:tabs>
        <w:spacing w:line="240" w:lineRule="auto"/>
      </w:pPr>
      <w:r w:rsidRPr="00C42C39">
        <w:rPr>
          <w:b/>
        </w:rPr>
        <w:t>MUNICIPALITY</w:t>
      </w:r>
      <w:r w:rsidRPr="00C42C39">
        <w:tab/>
        <w:t>Applicant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r w:rsidRPr="00C42C39">
        <w:t>and</w:t>
      </w:r>
    </w:p>
    <w:p w:rsidR="0082592F" w:rsidRPr="00C42C39" w:rsidRDefault="0082592F" w:rsidP="0082592F">
      <w:pPr>
        <w:tabs>
          <w:tab w:val="right" w:pos="9029"/>
        </w:tabs>
        <w:spacing w:line="240" w:lineRule="auto"/>
      </w:pPr>
    </w:p>
    <w:p w:rsidR="0082592F" w:rsidRPr="00C42C39" w:rsidRDefault="008D3494" w:rsidP="0082592F">
      <w:pPr>
        <w:tabs>
          <w:tab w:val="right" w:pos="9029"/>
        </w:tabs>
        <w:spacing w:line="240" w:lineRule="auto"/>
        <w:rPr>
          <w:b/>
        </w:rPr>
      </w:pPr>
      <w:r>
        <w:rPr>
          <w:b/>
        </w:rPr>
        <w:t xml:space="preserve">NEW </w:t>
      </w:r>
      <w:r w:rsidR="0082592F" w:rsidRPr="00C42C39">
        <w:rPr>
          <w:b/>
        </w:rPr>
        <w:t>VENTURES CONSULTING</w:t>
      </w:r>
    </w:p>
    <w:p w:rsidR="0082592F" w:rsidRPr="00C42C39" w:rsidRDefault="0082592F" w:rsidP="0082592F">
      <w:pPr>
        <w:tabs>
          <w:tab w:val="right" w:pos="9029"/>
        </w:tabs>
        <w:spacing w:line="240" w:lineRule="auto"/>
        <w:rPr>
          <w:b/>
        </w:rPr>
      </w:pPr>
      <w:r w:rsidRPr="00C42C39">
        <w:rPr>
          <w:b/>
        </w:rPr>
        <w:t>&amp; SERVICES (PTY) LIMITED</w:t>
      </w:r>
      <w:r w:rsidRPr="00C42C39">
        <w:tab/>
      </w:r>
      <w:r w:rsidR="008D3494">
        <w:t>First</w:t>
      </w:r>
      <w:r w:rsidRPr="00C42C39">
        <w:t xml:space="preserve"> Respondent</w:t>
      </w:r>
    </w:p>
    <w:p w:rsidR="0082592F" w:rsidRPr="00C42C39" w:rsidRDefault="0082592F" w:rsidP="0082592F">
      <w:pPr>
        <w:spacing w:line="240" w:lineRule="auto"/>
      </w:pPr>
    </w:p>
    <w:p w:rsidR="0082592F" w:rsidRPr="00C42C39" w:rsidRDefault="0082592F" w:rsidP="0082592F">
      <w:pPr>
        <w:tabs>
          <w:tab w:val="right" w:pos="9029"/>
        </w:tabs>
        <w:spacing w:line="240" w:lineRule="auto"/>
        <w:rPr>
          <w:b/>
        </w:rPr>
      </w:pPr>
      <w:r w:rsidRPr="00C42C39">
        <w:rPr>
          <w:b/>
        </w:rPr>
        <w:t>CLASS OF AFFECTED MUNICIPAL SERVICE</w:t>
      </w:r>
      <w:r w:rsidR="008D3A1F">
        <w:rPr>
          <w:b/>
        </w:rPr>
        <w:t xml:space="preserve"> </w:t>
      </w:r>
    </w:p>
    <w:p w:rsidR="0082592F" w:rsidRPr="00C42C39" w:rsidRDefault="0082592F" w:rsidP="0082592F">
      <w:pPr>
        <w:tabs>
          <w:tab w:val="right" w:pos="9029"/>
        </w:tabs>
        <w:spacing w:line="240" w:lineRule="auto"/>
        <w:rPr>
          <w:b/>
        </w:rPr>
      </w:pPr>
      <w:r w:rsidRPr="00C42C39">
        <w:rPr>
          <w:b/>
        </w:rPr>
        <w:t>CONSUMERS</w:t>
      </w:r>
      <w:r w:rsidRPr="00C42C39">
        <w:tab/>
      </w:r>
      <w:r w:rsidR="003E093A">
        <w:t>Second</w:t>
      </w:r>
      <w:r w:rsidRPr="00C42C39">
        <w:t xml:space="preserve"> Respondent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rPr>
          <w:b/>
        </w:rPr>
      </w:pPr>
      <w:r w:rsidRPr="00C42C39">
        <w:rPr>
          <w:b/>
        </w:rPr>
        <w:t>F M KEKANA</w:t>
      </w:r>
      <w:r w:rsidRPr="00C42C39">
        <w:tab/>
      </w:r>
      <w:r w:rsidR="003E093A">
        <w:t>Third</w:t>
      </w:r>
      <w:r w:rsidRPr="00C42C39">
        <w:t xml:space="preserve"> Respondent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rPr>
          <w:b/>
        </w:rPr>
      </w:pPr>
      <w:r w:rsidRPr="00C42C39">
        <w:rPr>
          <w:b/>
        </w:rPr>
        <w:t>M R MALEBOLOA</w:t>
      </w:r>
      <w:r w:rsidRPr="00C42C39">
        <w:rPr>
          <w:b/>
        </w:rPr>
        <w:tab/>
      </w:r>
      <w:r w:rsidR="003E093A" w:rsidRPr="003E093A">
        <w:t>Fourth</w:t>
      </w:r>
      <w:r w:rsidRPr="00C42C39">
        <w:t xml:space="preserve"> Respondent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rPr>
          <w:b/>
        </w:rPr>
      </w:pPr>
      <w:r w:rsidRPr="00C42C39">
        <w:rPr>
          <w:b/>
        </w:rPr>
        <w:t>S R MALEBOLOA</w:t>
      </w:r>
      <w:r w:rsidRPr="00C42C39">
        <w:rPr>
          <w:b/>
        </w:rPr>
        <w:tab/>
      </w:r>
      <w:r w:rsidR="003E093A" w:rsidRPr="003E093A">
        <w:t>Fifth</w:t>
      </w:r>
      <w:r w:rsidRPr="00C42C39">
        <w:t xml:space="preserve"> Respondent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rPr>
          <w:b/>
        </w:rPr>
      </w:pPr>
      <w:r w:rsidRPr="00C42C39">
        <w:rPr>
          <w:b/>
        </w:rPr>
        <w:t>M MAMOTSAU</w:t>
      </w:r>
      <w:r w:rsidRPr="00C42C39">
        <w:rPr>
          <w:b/>
        </w:rPr>
        <w:tab/>
      </w:r>
      <w:r w:rsidRPr="00C42C39">
        <w:t>S</w:t>
      </w:r>
      <w:r w:rsidR="003E093A">
        <w:t>ixth</w:t>
      </w:r>
      <w:r w:rsidRPr="00C42C39">
        <w:t xml:space="preserve"> Respondent</w:t>
      </w:r>
    </w:p>
    <w:p w:rsidR="0082592F" w:rsidRPr="00C42C39" w:rsidRDefault="0082592F" w:rsidP="0082592F">
      <w:pPr>
        <w:tabs>
          <w:tab w:val="right" w:pos="9029"/>
        </w:tabs>
        <w:spacing w:line="240" w:lineRule="auto"/>
      </w:pPr>
    </w:p>
    <w:p w:rsidR="0082592F" w:rsidRPr="00C42C39" w:rsidRDefault="0082592F" w:rsidP="0082592F">
      <w:pPr>
        <w:tabs>
          <w:tab w:val="right" w:pos="9029"/>
        </w:tabs>
        <w:spacing w:line="240" w:lineRule="auto"/>
      </w:pPr>
    </w:p>
    <w:p w:rsidR="0082592F" w:rsidRPr="0082592F" w:rsidRDefault="0082592F" w:rsidP="0082592F">
      <w:pPr>
        <w:spacing w:line="240" w:lineRule="auto"/>
        <w:jc w:val="right"/>
        <w:rPr>
          <w:szCs w:val="26"/>
        </w:rPr>
      </w:pPr>
      <w:r w:rsidRPr="0082592F">
        <w:rPr>
          <w:szCs w:val="26"/>
        </w:rPr>
        <w:t xml:space="preserve">CCT </w:t>
      </w:r>
      <w:r w:rsidRPr="0082592F">
        <w:t>294/16</w:t>
      </w:r>
    </w:p>
    <w:p w:rsidR="0082592F" w:rsidRPr="00D66A90" w:rsidRDefault="0082592F" w:rsidP="0082592F">
      <w:pPr>
        <w:spacing w:line="240" w:lineRule="auto"/>
        <w:rPr>
          <w:szCs w:val="26"/>
        </w:rPr>
      </w:pPr>
    </w:p>
    <w:p w:rsidR="0082592F" w:rsidRPr="00D66A90" w:rsidRDefault="0082592F" w:rsidP="0082592F">
      <w:pPr>
        <w:spacing w:line="240" w:lineRule="auto"/>
        <w:rPr>
          <w:szCs w:val="26"/>
        </w:rPr>
      </w:pPr>
      <w:r w:rsidRPr="00D66A90">
        <w:rPr>
          <w:szCs w:val="26"/>
        </w:rPr>
        <w:t>In the matter between:</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t>EKURHULENI METROPOLITAN MUNICIPALITY</w:t>
      </w:r>
      <w:r w:rsidRPr="00C42C39">
        <w:rPr>
          <w:b/>
        </w:rPr>
        <w:tab/>
      </w:r>
      <w:r w:rsidRPr="00C42C39">
        <w:t>Applicant</w:t>
      </w:r>
    </w:p>
    <w:p w:rsidR="0082592F" w:rsidRPr="00C42C39" w:rsidRDefault="0082592F" w:rsidP="0082592F">
      <w:pPr>
        <w:tabs>
          <w:tab w:val="right" w:pos="9029"/>
        </w:tabs>
        <w:spacing w:line="240" w:lineRule="auto"/>
        <w:rPr>
          <w:b/>
        </w:rPr>
      </w:pPr>
    </w:p>
    <w:p w:rsidR="0082592F" w:rsidRPr="00C42C39" w:rsidRDefault="0082592F" w:rsidP="0082592F">
      <w:pPr>
        <w:tabs>
          <w:tab w:val="right" w:pos="9029"/>
        </w:tabs>
        <w:spacing w:line="240" w:lineRule="auto"/>
      </w:pPr>
      <w:r w:rsidRPr="00C42C39">
        <w:t>and</w:t>
      </w:r>
    </w:p>
    <w:p w:rsidR="0082592F" w:rsidRPr="00C42C39" w:rsidRDefault="0082592F" w:rsidP="0082592F">
      <w:pPr>
        <w:tabs>
          <w:tab w:val="right" w:pos="9029"/>
        </w:tabs>
        <w:spacing w:line="240" w:lineRule="auto"/>
        <w:rPr>
          <w:b/>
        </w:rPr>
      </w:pPr>
    </w:p>
    <w:p w:rsidR="0082592F" w:rsidRPr="00C42C39" w:rsidRDefault="0082592F" w:rsidP="0082592F">
      <w:pPr>
        <w:tabs>
          <w:tab w:val="right" w:pos="9029"/>
        </w:tabs>
        <w:spacing w:line="240" w:lineRule="auto"/>
      </w:pPr>
      <w:r w:rsidRPr="00C42C39">
        <w:rPr>
          <w:b/>
        </w:rPr>
        <w:t>BILLIE ANN LIVANOS</w:t>
      </w:r>
      <w:r w:rsidRPr="00C42C39">
        <w:rPr>
          <w:b/>
        </w:rPr>
        <w:tab/>
      </w:r>
      <w:r w:rsidRPr="00C42C39">
        <w:t>First Respondent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t>LEAH HENDERSON</w:t>
      </w:r>
      <w:r w:rsidRPr="00C42C39">
        <w:rPr>
          <w:b/>
        </w:rPr>
        <w:tab/>
      </w:r>
      <w:r w:rsidRPr="00C42C39">
        <w:t>Second Respondent</w:t>
      </w:r>
    </w:p>
    <w:p w:rsidR="0082592F" w:rsidRPr="00C42C39" w:rsidRDefault="0082592F" w:rsidP="0082592F">
      <w:pPr>
        <w:spacing w:line="240" w:lineRule="auto"/>
        <w:rPr>
          <w:b/>
        </w:rPr>
      </w:pPr>
    </w:p>
    <w:p w:rsidR="00EB15BE" w:rsidRDefault="0082592F" w:rsidP="0082592F">
      <w:pPr>
        <w:tabs>
          <w:tab w:val="right" w:pos="9029"/>
        </w:tabs>
        <w:spacing w:line="240" w:lineRule="auto"/>
        <w:rPr>
          <w:b/>
        </w:rPr>
      </w:pPr>
      <w:r w:rsidRPr="00C42C39">
        <w:rPr>
          <w:b/>
        </w:rPr>
        <w:t>NEW VENTURES CONSULTING &amp; SERVICES</w:t>
      </w:r>
      <w:r w:rsidR="008D3A1F" w:rsidRPr="008D3A1F">
        <w:rPr>
          <w:b/>
        </w:rPr>
        <w:t xml:space="preserve"> </w:t>
      </w:r>
      <w:r w:rsidRPr="00C42C39">
        <w:rPr>
          <w:b/>
        </w:rPr>
        <w:t xml:space="preserve">(PTY) </w:t>
      </w:r>
    </w:p>
    <w:p w:rsidR="0082592F" w:rsidRPr="00C42C39" w:rsidRDefault="0082592F" w:rsidP="0082592F">
      <w:pPr>
        <w:tabs>
          <w:tab w:val="right" w:pos="9029"/>
        </w:tabs>
        <w:spacing w:line="240" w:lineRule="auto"/>
        <w:rPr>
          <w:b/>
        </w:rPr>
      </w:pPr>
      <w:r w:rsidRPr="00C42C39">
        <w:rPr>
          <w:b/>
        </w:rPr>
        <w:t>LIMITED</w:t>
      </w:r>
      <w:r w:rsidRPr="00C42C39">
        <w:rPr>
          <w:b/>
        </w:rPr>
        <w:tab/>
      </w:r>
      <w:r w:rsidRPr="00C42C39">
        <w:t>Third Respondent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lastRenderedPageBreak/>
        <w:t>CLIFTON DUNES INVESTMENTS 317 (PTY) LIMITED</w:t>
      </w:r>
      <w:r w:rsidRPr="00C42C39">
        <w:rPr>
          <w:b/>
        </w:rPr>
        <w:tab/>
      </w:r>
      <w:r w:rsidRPr="00C42C39">
        <w:t>Fourth Respondent</w:t>
      </w:r>
    </w:p>
    <w:p w:rsidR="0082592F" w:rsidRPr="00C42C39" w:rsidRDefault="0082592F" w:rsidP="0082592F">
      <w:pPr>
        <w:spacing w:line="240" w:lineRule="auto"/>
        <w:rPr>
          <w:b/>
        </w:rPr>
      </w:pPr>
    </w:p>
    <w:p w:rsidR="0082592F" w:rsidRPr="00C42C39" w:rsidRDefault="0082592F" w:rsidP="0082592F">
      <w:pPr>
        <w:spacing w:line="240" w:lineRule="auto"/>
      </w:pPr>
      <w:r w:rsidRPr="00C42C39">
        <w:rPr>
          <w:b/>
        </w:rPr>
        <w:t>GEMMA DIAMONDS (PTY) LIMITED</w:t>
      </w:r>
      <w:r w:rsidRPr="00C42C39">
        <w:rPr>
          <w:b/>
        </w:rPr>
        <w:tab/>
      </w:r>
      <w:r w:rsidRPr="00C42C39">
        <w:rPr>
          <w:b/>
        </w:rPr>
        <w:tab/>
      </w:r>
      <w:r w:rsidRPr="00C42C39">
        <w:rPr>
          <w:b/>
        </w:rPr>
        <w:tab/>
      </w:r>
      <w:r w:rsidRPr="00C42C39">
        <w:rPr>
          <w:b/>
        </w:rPr>
        <w:tab/>
      </w:r>
      <w:r w:rsidRPr="00C42C39">
        <w:t>Fi</w:t>
      </w:r>
      <w:r w:rsidR="001C0E40">
        <w:t>fth</w:t>
      </w:r>
      <w:r w:rsidRPr="00C42C39">
        <w:t xml:space="preserve"> Respondent</w:t>
      </w:r>
    </w:p>
    <w:p w:rsidR="0082592F" w:rsidRPr="00C42C39" w:rsidRDefault="0082592F" w:rsidP="0082592F">
      <w:pPr>
        <w:spacing w:line="240" w:lineRule="auto"/>
      </w:pPr>
    </w:p>
    <w:p w:rsidR="0082592F" w:rsidRPr="00C42C39" w:rsidRDefault="0082592F" w:rsidP="0082592F">
      <w:pPr>
        <w:tabs>
          <w:tab w:val="right" w:pos="9029"/>
        </w:tabs>
        <w:spacing w:line="240" w:lineRule="auto"/>
      </w:pPr>
      <w:r w:rsidRPr="00C42C39">
        <w:rPr>
          <w:b/>
        </w:rPr>
        <w:t>OAK PLANT RENTALS (PTY) LIMITED</w:t>
      </w:r>
      <w:r w:rsidRPr="00C42C39">
        <w:rPr>
          <w:b/>
        </w:rPr>
        <w:tab/>
      </w:r>
      <w:r w:rsidR="001C0E40" w:rsidRPr="001C0E40">
        <w:t>Sixt</w:t>
      </w:r>
      <w:r w:rsidR="001C0E40">
        <w:t>h</w:t>
      </w:r>
      <w:r w:rsidRPr="00C42C39">
        <w:t xml:space="preserve"> </w:t>
      </w:r>
      <w:r w:rsidR="001C0E40">
        <w:t>Respondent</w:t>
      </w:r>
    </w:p>
    <w:p w:rsidR="0082592F" w:rsidRPr="00C42C39" w:rsidRDefault="0082592F" w:rsidP="0082592F">
      <w:pPr>
        <w:spacing w:line="240" w:lineRule="auto"/>
        <w:rPr>
          <w:b/>
        </w:rPr>
      </w:pPr>
    </w:p>
    <w:p w:rsidR="0082592F" w:rsidRPr="00C42C39" w:rsidRDefault="0082592F" w:rsidP="0082592F">
      <w:pPr>
        <w:tabs>
          <w:tab w:val="right" w:pos="9029"/>
        </w:tabs>
        <w:spacing w:line="240" w:lineRule="auto"/>
      </w:pPr>
      <w:r w:rsidRPr="00C42C39">
        <w:rPr>
          <w:b/>
        </w:rPr>
        <w:t>STEPPING THE WORLD (PTY) LIMITED</w:t>
      </w:r>
      <w:r w:rsidRPr="00C42C39">
        <w:rPr>
          <w:b/>
        </w:rPr>
        <w:tab/>
      </w:r>
      <w:r w:rsidR="001C0E40">
        <w:t>Seventh</w:t>
      </w:r>
      <w:r w:rsidRPr="00C42C39">
        <w:t xml:space="preserve"> </w:t>
      </w:r>
      <w:r w:rsidR="00BD5CC3">
        <w:t>Respondent</w:t>
      </w:r>
    </w:p>
    <w:p w:rsidR="0082592F" w:rsidRDefault="0082592F" w:rsidP="0082592F">
      <w:pPr>
        <w:spacing w:line="240" w:lineRule="auto"/>
      </w:pPr>
    </w:p>
    <w:p w:rsidR="0082592F" w:rsidRDefault="0082592F" w:rsidP="0082592F">
      <w:pPr>
        <w:spacing w:line="240" w:lineRule="auto"/>
      </w:pPr>
      <w:r>
        <w:t>and</w:t>
      </w:r>
    </w:p>
    <w:p w:rsidR="0082592F" w:rsidRDefault="0082592F" w:rsidP="0082592F">
      <w:pPr>
        <w:spacing w:line="240" w:lineRule="auto"/>
      </w:pPr>
    </w:p>
    <w:p w:rsidR="0082592F" w:rsidRPr="0082592F" w:rsidRDefault="0082592F" w:rsidP="0082592F">
      <w:pPr>
        <w:tabs>
          <w:tab w:val="right" w:pos="9029"/>
        </w:tabs>
        <w:spacing w:line="240" w:lineRule="auto"/>
      </w:pPr>
      <w:r w:rsidRPr="0087799A">
        <w:rPr>
          <w:b/>
        </w:rPr>
        <w:t>TUHF LIMITED</w:t>
      </w:r>
      <w:r>
        <w:rPr>
          <w:b/>
        </w:rPr>
        <w:tab/>
      </w:r>
      <w:r>
        <w:t>First Amicus Curiae</w:t>
      </w:r>
    </w:p>
    <w:p w:rsidR="004678D5" w:rsidRDefault="004678D5" w:rsidP="00C13548">
      <w:pPr>
        <w:spacing w:line="240" w:lineRule="auto"/>
        <w:rPr>
          <w:b/>
        </w:rPr>
      </w:pPr>
    </w:p>
    <w:p w:rsidR="0082592F" w:rsidRPr="008A409A" w:rsidRDefault="0082592F" w:rsidP="0082592F">
      <w:pPr>
        <w:tabs>
          <w:tab w:val="right" w:pos="9029"/>
        </w:tabs>
        <w:spacing w:line="240" w:lineRule="auto"/>
      </w:pPr>
      <w:r w:rsidRPr="0046291E">
        <w:rPr>
          <w:b/>
        </w:rPr>
        <w:t>BANKING ASSOCIATION SOUTH AFRICA</w:t>
      </w:r>
      <w:r>
        <w:rPr>
          <w:b/>
        </w:rPr>
        <w:tab/>
      </w:r>
      <w:r w:rsidRPr="0082592F">
        <w:t>Second Amicus Curiae</w:t>
      </w:r>
    </w:p>
    <w:p w:rsidR="004678D5" w:rsidRDefault="004678D5" w:rsidP="00C13548">
      <w:pPr>
        <w:tabs>
          <w:tab w:val="right" w:pos="9029"/>
        </w:tabs>
        <w:spacing w:line="240" w:lineRule="auto"/>
      </w:pPr>
    </w:p>
    <w:p w:rsidR="0082592F" w:rsidRDefault="00052BDE" w:rsidP="0082592F">
      <w:pPr>
        <w:tabs>
          <w:tab w:val="right" w:pos="9029"/>
        </w:tabs>
        <w:spacing w:line="240" w:lineRule="auto"/>
      </w:pPr>
      <w:r>
        <w:rPr>
          <w:b/>
        </w:rPr>
        <w:t>e</w:t>
      </w:r>
      <w:r w:rsidR="0082592F">
        <w:rPr>
          <w:b/>
        </w:rPr>
        <w:t>THEKWINI METROPOLITAN MUNICIPALITY</w:t>
      </w:r>
      <w:r w:rsidR="0082592F">
        <w:rPr>
          <w:b/>
        </w:rPr>
        <w:tab/>
      </w:r>
      <w:r w:rsidR="0082592F">
        <w:t>Third Amicus Curiae</w:t>
      </w:r>
    </w:p>
    <w:p w:rsidR="001C0E40" w:rsidRDefault="001C0E40" w:rsidP="0082592F">
      <w:pPr>
        <w:tabs>
          <w:tab w:val="right" w:pos="9029"/>
        </w:tabs>
        <w:spacing w:line="240" w:lineRule="auto"/>
      </w:pPr>
    </w:p>
    <w:p w:rsidR="001C0E40" w:rsidRPr="00FF7526" w:rsidRDefault="001C0E40" w:rsidP="0082592F">
      <w:pPr>
        <w:tabs>
          <w:tab w:val="right" w:pos="9029"/>
        </w:tabs>
        <w:spacing w:line="240" w:lineRule="auto"/>
        <w:rPr>
          <w:i/>
        </w:rPr>
      </w:pPr>
      <w:r w:rsidRPr="001C0E40">
        <w:rPr>
          <w:b/>
        </w:rPr>
        <w:t>JOHANNESBURG ATTORNEYS ASSOCIATION</w:t>
      </w:r>
      <w:r>
        <w:tab/>
        <w:t>Fourth Amicus Curiae</w:t>
      </w:r>
    </w:p>
    <w:p w:rsidR="003A18CF" w:rsidRDefault="003A18CF" w:rsidP="003A18CF">
      <w:pPr>
        <w:spacing w:line="240" w:lineRule="auto"/>
      </w:pPr>
    </w:p>
    <w:p w:rsidR="00ED19EE" w:rsidRPr="00EE02D5" w:rsidRDefault="00ED19EE" w:rsidP="00ED19EE">
      <w:pPr>
        <w:tabs>
          <w:tab w:val="right" w:pos="9029"/>
        </w:tabs>
        <w:spacing w:line="240" w:lineRule="auto"/>
        <w:rPr>
          <w:szCs w:val="26"/>
        </w:rPr>
      </w:pPr>
      <w:r w:rsidRPr="005B5461">
        <w:rPr>
          <w:szCs w:val="26"/>
        </w:rPr>
        <w:tab/>
      </w:r>
    </w:p>
    <w:p w:rsidR="000D2719" w:rsidRPr="009C3888" w:rsidRDefault="000D2719"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3017FE" w:rsidRPr="003017FE">
        <w:rPr>
          <w:i/>
        </w:rPr>
        <w:t>Jordaan and Others v City of Tshwane Metropolitan Municipality and Others</w:t>
      </w:r>
      <w:r w:rsidR="003017FE">
        <w:t xml:space="preserve"> </w:t>
      </w:r>
      <w:r w:rsidR="003017FE" w:rsidRPr="00052BDE">
        <w:t xml:space="preserve">[2017] ZACC </w:t>
      </w:r>
      <w:r w:rsidR="00BD5CC3" w:rsidRPr="00052BDE">
        <w:t>31</w:t>
      </w:r>
    </w:p>
    <w:p w:rsidR="003A18CF" w:rsidRDefault="003A18CF" w:rsidP="003A18CF">
      <w:pPr>
        <w:spacing w:line="240" w:lineRule="auto"/>
      </w:pPr>
    </w:p>
    <w:p w:rsidR="007410F3" w:rsidRPr="00A8146A" w:rsidRDefault="003A18CF" w:rsidP="007410F3">
      <w:pPr>
        <w:pStyle w:val="BODYNON-NUMBERED"/>
        <w:spacing w:after="0"/>
        <w:ind w:left="2160" w:hanging="2160"/>
        <w:rPr>
          <w:szCs w:val="26"/>
        </w:rPr>
      </w:pPr>
      <w:r w:rsidRPr="008B40EE">
        <w:rPr>
          <w:b/>
        </w:rPr>
        <w:t>Coram:</w:t>
      </w:r>
      <w:r>
        <w:tab/>
      </w:r>
      <w:r w:rsidR="007410F3">
        <w:rPr>
          <w:szCs w:val="26"/>
        </w:rPr>
        <w:t xml:space="preserve">Mogoeng CJ, </w:t>
      </w:r>
      <w:r w:rsidR="007410F3" w:rsidRPr="001C25C3">
        <w:rPr>
          <w:szCs w:val="26"/>
        </w:rPr>
        <w:t>Nkabinde A</w:t>
      </w:r>
      <w:r w:rsidR="007410F3">
        <w:rPr>
          <w:szCs w:val="26"/>
        </w:rPr>
        <w:t>D</w:t>
      </w:r>
      <w:r w:rsidR="007410F3" w:rsidRPr="001C25C3">
        <w:rPr>
          <w:szCs w:val="26"/>
        </w:rPr>
        <w:t>CJ</w:t>
      </w:r>
      <w:r w:rsidR="007410F3">
        <w:rPr>
          <w:szCs w:val="26"/>
        </w:rPr>
        <w:t xml:space="preserve">, </w:t>
      </w:r>
      <w:r w:rsidR="007410F3" w:rsidRPr="002162D7">
        <w:rPr>
          <w:szCs w:val="26"/>
        </w:rPr>
        <w:t>Cameron J</w:t>
      </w:r>
      <w:r w:rsidR="007410F3">
        <w:rPr>
          <w:szCs w:val="26"/>
        </w:rPr>
        <w:t>, Froneman J, Jafta J, Khampepe </w:t>
      </w:r>
      <w:r w:rsidR="007410F3" w:rsidRPr="002162D7">
        <w:rPr>
          <w:szCs w:val="26"/>
        </w:rPr>
        <w:t xml:space="preserve">J, Madlanga J, Mhlantla J, </w:t>
      </w:r>
      <w:r w:rsidR="007410F3">
        <w:rPr>
          <w:szCs w:val="26"/>
        </w:rPr>
        <w:t>Mojapelo AJ, Pretorius AJ and Zondo J</w:t>
      </w:r>
    </w:p>
    <w:p w:rsidR="003A18CF" w:rsidRDefault="003A18CF" w:rsidP="003A18CF">
      <w:pPr>
        <w:spacing w:line="240" w:lineRule="auto"/>
      </w:pPr>
    </w:p>
    <w:p w:rsidR="00AE7143" w:rsidRDefault="00AE7143" w:rsidP="00052BDE">
      <w:pPr>
        <w:spacing w:line="240" w:lineRule="auto"/>
        <w:ind w:left="2160" w:hanging="2160"/>
      </w:pPr>
      <w:r>
        <w:rPr>
          <w:b/>
        </w:rPr>
        <w:t>Judgments</w:t>
      </w:r>
      <w:r w:rsidRPr="008B40EE">
        <w:rPr>
          <w:b/>
        </w:rPr>
        <w:t>:</w:t>
      </w:r>
      <w:r>
        <w:tab/>
      </w:r>
      <w:r w:rsidR="00094E20">
        <w:t>Cameron J</w:t>
      </w:r>
      <w:r>
        <w:t xml:space="preserve"> (</w:t>
      </w:r>
      <w:r w:rsidRPr="00052BDE">
        <w:t>unanimous</w:t>
      </w:r>
      <w:r>
        <w:t>)</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094E20">
        <w:t>23 May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052BDE">
        <w:t>29 August 2017</w:t>
      </w:r>
    </w:p>
    <w:p w:rsidR="004110F6" w:rsidRDefault="004110F6" w:rsidP="003A18CF">
      <w:pPr>
        <w:spacing w:line="240" w:lineRule="auto"/>
      </w:pPr>
    </w:p>
    <w:p w:rsidR="004D02BA" w:rsidRPr="00CC0CE7" w:rsidRDefault="004D02BA" w:rsidP="004D02BA">
      <w:pPr>
        <w:spacing w:line="240" w:lineRule="auto"/>
        <w:ind w:left="2160" w:hanging="2160"/>
        <w:rPr>
          <w:szCs w:val="26"/>
        </w:rPr>
      </w:pPr>
      <w:r>
        <w:rPr>
          <w:b/>
        </w:rPr>
        <w:t>Summary:</w:t>
      </w:r>
      <w:r>
        <w:rPr>
          <w:b/>
        </w:rPr>
        <w:tab/>
      </w:r>
      <w:r w:rsidR="004139D5" w:rsidRPr="00505BF7">
        <w:rPr>
          <w:color w:val="000000" w:themeColor="text1"/>
          <w:szCs w:val="26"/>
        </w:rPr>
        <w:t>Local Government: Municipal S</w:t>
      </w:r>
      <w:r w:rsidR="00693E0A" w:rsidRPr="00505BF7">
        <w:rPr>
          <w:color w:val="000000" w:themeColor="text1"/>
          <w:szCs w:val="26"/>
        </w:rPr>
        <w:t>ystems Act</w:t>
      </w:r>
      <w:r w:rsidRPr="00505BF7">
        <w:rPr>
          <w:color w:val="000000" w:themeColor="text1"/>
          <w:szCs w:val="26"/>
        </w:rPr>
        <w:t xml:space="preserve"> </w:t>
      </w:r>
      <w:r w:rsidR="006724E0" w:rsidRPr="00505BF7">
        <w:rPr>
          <w:color w:val="000000" w:themeColor="text1"/>
          <w:szCs w:val="26"/>
        </w:rPr>
        <w:t>—</w:t>
      </w:r>
      <w:r w:rsidRPr="00505BF7">
        <w:rPr>
          <w:color w:val="000000" w:themeColor="text1"/>
          <w:szCs w:val="26"/>
        </w:rPr>
        <w:t xml:space="preserve"> </w:t>
      </w:r>
      <w:r w:rsidR="00693E0A" w:rsidRPr="00505BF7">
        <w:rPr>
          <w:color w:val="000000" w:themeColor="text1"/>
          <w:szCs w:val="26"/>
        </w:rPr>
        <w:t>meaning of section 118(3)</w:t>
      </w:r>
      <w:r w:rsidRPr="00505BF7">
        <w:rPr>
          <w:color w:val="000000" w:themeColor="text1"/>
          <w:szCs w:val="26"/>
        </w:rPr>
        <w:t xml:space="preserve"> </w:t>
      </w:r>
      <w:r w:rsidR="006724E0" w:rsidRPr="00505BF7">
        <w:rPr>
          <w:color w:val="000000" w:themeColor="text1"/>
          <w:szCs w:val="26"/>
        </w:rPr>
        <w:t>—</w:t>
      </w:r>
      <w:r w:rsidRPr="00505BF7">
        <w:rPr>
          <w:color w:val="000000" w:themeColor="text1"/>
          <w:szCs w:val="26"/>
        </w:rPr>
        <w:t xml:space="preserve"> </w:t>
      </w:r>
      <w:r w:rsidR="00693E0A" w:rsidRPr="00505BF7">
        <w:rPr>
          <w:color w:val="000000" w:themeColor="text1"/>
          <w:szCs w:val="26"/>
        </w:rPr>
        <w:t>charge upon the property</w:t>
      </w:r>
      <w:r w:rsidRPr="00505BF7">
        <w:rPr>
          <w:color w:val="000000" w:themeColor="text1"/>
          <w:szCs w:val="26"/>
        </w:rPr>
        <w:t xml:space="preserve"> </w:t>
      </w:r>
      <w:r w:rsidR="006724E0" w:rsidRPr="00505BF7">
        <w:rPr>
          <w:color w:val="000000" w:themeColor="text1"/>
          <w:szCs w:val="26"/>
        </w:rPr>
        <w:t>—</w:t>
      </w:r>
      <w:r w:rsidRPr="00505BF7">
        <w:rPr>
          <w:color w:val="000000" w:themeColor="text1"/>
          <w:szCs w:val="26"/>
        </w:rPr>
        <w:t xml:space="preserve"> </w:t>
      </w:r>
      <w:r w:rsidR="00693E0A" w:rsidRPr="00505BF7">
        <w:rPr>
          <w:color w:val="000000" w:themeColor="text1"/>
          <w:szCs w:val="26"/>
        </w:rPr>
        <w:t xml:space="preserve">common law meaning — </w:t>
      </w:r>
      <w:r w:rsidR="00CC0CE7" w:rsidRPr="00505BF7">
        <w:rPr>
          <w:color w:val="000000" w:themeColor="text1"/>
          <w:szCs w:val="26"/>
          <w:lang w:val="en-GB"/>
        </w:rPr>
        <w:t>s</w:t>
      </w:r>
      <w:r w:rsidR="00693E0A" w:rsidRPr="00505BF7">
        <w:rPr>
          <w:color w:val="000000" w:themeColor="text1"/>
          <w:szCs w:val="26"/>
          <w:lang w:val="en-GB"/>
        </w:rPr>
        <w:t>ection 25 of the Constitution — right not to be deprived of property arbitrarily</w:t>
      </w:r>
    </w:p>
    <w:p w:rsidR="004D02BA" w:rsidRPr="00CC0CE7" w:rsidRDefault="004D02BA" w:rsidP="004D02BA">
      <w:pPr>
        <w:spacing w:line="240" w:lineRule="auto"/>
        <w:ind w:left="2160" w:hanging="2160"/>
        <w:rPr>
          <w:szCs w:val="26"/>
        </w:rPr>
      </w:pPr>
    </w:p>
    <w:p w:rsidR="004D02BA" w:rsidRPr="00CC0CE7" w:rsidRDefault="00CC0CE7" w:rsidP="004D02BA">
      <w:pPr>
        <w:spacing w:line="240" w:lineRule="auto"/>
        <w:ind w:left="2160"/>
        <w:rPr>
          <w:szCs w:val="26"/>
        </w:rPr>
      </w:pPr>
      <w:r>
        <w:rPr>
          <w:szCs w:val="26"/>
        </w:rPr>
        <w:t xml:space="preserve">Limited real rights — publicity requirement — </w:t>
      </w:r>
      <w:r w:rsidR="004139D5">
        <w:rPr>
          <w:szCs w:val="26"/>
        </w:rPr>
        <w:t>c</w:t>
      </w:r>
      <w:r w:rsidRPr="00CC0CE7">
        <w:rPr>
          <w:szCs w:val="26"/>
        </w:rPr>
        <w:t xml:space="preserve">harge does not survive transfer — </w:t>
      </w:r>
      <w:r w:rsidR="000C7328" w:rsidRPr="000C7328">
        <w:rPr>
          <w:szCs w:val="26"/>
        </w:rPr>
        <w:t>s</w:t>
      </w:r>
      <w:r w:rsidR="004139D5" w:rsidRPr="007762FB">
        <w:rPr>
          <w:szCs w:val="26"/>
        </w:rPr>
        <w:t xml:space="preserve">ection 118(3) </w:t>
      </w:r>
      <w:r w:rsidR="000C7328" w:rsidRPr="000C7328">
        <w:rPr>
          <w:szCs w:val="26"/>
        </w:rPr>
        <w:t xml:space="preserve">is </w:t>
      </w:r>
      <w:r w:rsidR="004139D5" w:rsidRPr="00D27D1B">
        <w:rPr>
          <w:szCs w:val="26"/>
        </w:rPr>
        <w:t>constitutional</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094E20" w:rsidP="000C38CF">
      <w:pPr>
        <w:pStyle w:val="JUDGMENTCONTINUED"/>
      </w:pPr>
      <w:r w:rsidRPr="00094E20">
        <w:t>A</w:t>
      </w:r>
      <w:r w:rsidR="00F45DC4" w:rsidRPr="00094E20">
        <w:t xml:space="preserve">pplication for confirmation of </w:t>
      </w:r>
      <w:r w:rsidR="001E3580">
        <w:t xml:space="preserve">an </w:t>
      </w:r>
      <w:r w:rsidR="00F45DC4" w:rsidRPr="00094E20">
        <w:t>order of</w:t>
      </w:r>
      <w:r w:rsidR="003A18CF" w:rsidRPr="00094E20">
        <w:t xml:space="preserve"> the </w:t>
      </w:r>
      <w:r w:rsidRPr="00094E20">
        <w:t>High Court of South Africa, Gauteng Division</w:t>
      </w:r>
      <w:r>
        <w:t>, Pretoria</w:t>
      </w:r>
      <w:r w:rsidR="001E3580">
        <w:t xml:space="preserve"> and appeal</w:t>
      </w:r>
      <w:r w:rsidR="00BD5CC3">
        <w:t>s</w:t>
      </w:r>
      <w:r w:rsidR="001E3580">
        <w:t xml:space="preserve"> against that order</w:t>
      </w:r>
      <w:r w:rsidR="00086B5B">
        <w:t>.</w:t>
      </w:r>
    </w:p>
    <w:p w:rsidR="00AB4923" w:rsidRPr="00871FB4" w:rsidRDefault="00AB4923" w:rsidP="00C13548">
      <w:pPr>
        <w:pStyle w:val="JUDGMENTNUMBERED"/>
        <w:numPr>
          <w:ilvl w:val="0"/>
          <w:numId w:val="0"/>
        </w:numPr>
      </w:pPr>
      <w:r>
        <w:t>The following order is made:</w:t>
      </w:r>
    </w:p>
    <w:p w:rsidR="000B701A" w:rsidRDefault="000B701A" w:rsidP="000B701A">
      <w:pPr>
        <w:pStyle w:val="ORDER"/>
        <w:numPr>
          <w:ilvl w:val="0"/>
          <w:numId w:val="22"/>
        </w:numPr>
      </w:pPr>
      <w:r>
        <w:t>The appeals</w:t>
      </w:r>
      <w:r w:rsidR="00616125">
        <w:t xml:space="preserve"> succeed</w:t>
      </w:r>
      <w:r>
        <w:t>.</w:t>
      </w:r>
    </w:p>
    <w:p w:rsidR="000B701A" w:rsidRDefault="000B701A" w:rsidP="000B701A">
      <w:pPr>
        <w:pStyle w:val="ORDER"/>
        <w:numPr>
          <w:ilvl w:val="0"/>
          <w:numId w:val="22"/>
        </w:numPr>
      </w:pPr>
      <w:r>
        <w:t>The order of invalidity is not confirmed.</w:t>
      </w:r>
    </w:p>
    <w:p w:rsidR="000B701A" w:rsidRDefault="000B701A" w:rsidP="000B701A">
      <w:pPr>
        <w:pStyle w:val="ORDER"/>
        <w:numPr>
          <w:ilvl w:val="0"/>
          <w:numId w:val="22"/>
        </w:numPr>
      </w:pPr>
      <w:r>
        <w:t xml:space="preserve">It is declared that, upon transfer of a property, a new owner is not liable for debts arising </w:t>
      </w:r>
      <w:r w:rsidR="004026B9">
        <w:t xml:space="preserve">before transfer </w:t>
      </w:r>
      <w:r>
        <w:t>from the charge upon the property under section</w:t>
      </w:r>
      <w:r w:rsidR="00BD5CC3">
        <w:t> </w:t>
      </w:r>
      <w:r>
        <w:t>118(3) of the Local Government: Municipal Systems Act 32 of 2000.</w:t>
      </w:r>
    </w:p>
    <w:p w:rsidR="000B701A" w:rsidRPr="000C38CF" w:rsidRDefault="000B701A" w:rsidP="000B701A">
      <w:pPr>
        <w:pStyle w:val="ORDER"/>
        <w:numPr>
          <w:ilvl w:val="0"/>
          <w:numId w:val="22"/>
        </w:numPr>
      </w:pPr>
      <w:r>
        <w:t>The appellants in the appeals and the Minister are to pay the applicants’ costs, including the costs of two counsel.</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D76DF8"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6E3711" w:rsidRPr="009C3888" w:rsidRDefault="006E3711" w:rsidP="000704F2">
      <w:pPr>
        <w:spacing w:line="240" w:lineRule="auto"/>
      </w:pPr>
    </w:p>
    <w:p w:rsidR="000704F2" w:rsidRPr="007B5814" w:rsidRDefault="00094E20" w:rsidP="007B5814">
      <w:pPr>
        <w:pStyle w:val="BODYNON-NUMBERED"/>
        <w:spacing w:after="0"/>
        <w:rPr>
          <w:szCs w:val="26"/>
        </w:rPr>
      </w:pPr>
      <w:r>
        <w:t>CAMERON J</w:t>
      </w:r>
      <w:r w:rsidR="003644DF">
        <w:t xml:space="preserve"> (</w:t>
      </w:r>
      <w:r w:rsidR="00365660">
        <w:rPr>
          <w:szCs w:val="26"/>
        </w:rPr>
        <w:t>Mogoeng</w:t>
      </w:r>
      <w:r w:rsidR="00EE385C">
        <w:rPr>
          <w:szCs w:val="26"/>
        </w:rPr>
        <w:t> </w:t>
      </w:r>
      <w:r w:rsidR="00365660">
        <w:rPr>
          <w:szCs w:val="26"/>
        </w:rPr>
        <w:t xml:space="preserve">CJ, </w:t>
      </w:r>
      <w:r w:rsidR="00365660" w:rsidRPr="001C25C3">
        <w:rPr>
          <w:szCs w:val="26"/>
        </w:rPr>
        <w:t>Nkabinde</w:t>
      </w:r>
      <w:r w:rsidR="00EE385C">
        <w:rPr>
          <w:szCs w:val="26"/>
        </w:rPr>
        <w:t> </w:t>
      </w:r>
      <w:r w:rsidR="00365660" w:rsidRPr="001C25C3">
        <w:rPr>
          <w:szCs w:val="26"/>
        </w:rPr>
        <w:t>A</w:t>
      </w:r>
      <w:r w:rsidR="00365660">
        <w:rPr>
          <w:szCs w:val="26"/>
        </w:rPr>
        <w:t>D</w:t>
      </w:r>
      <w:r w:rsidR="00365660" w:rsidRPr="001C25C3">
        <w:rPr>
          <w:szCs w:val="26"/>
        </w:rPr>
        <w:t>CJ</w:t>
      </w:r>
      <w:r w:rsidR="00365660">
        <w:rPr>
          <w:szCs w:val="26"/>
        </w:rPr>
        <w:t>, Froneman</w:t>
      </w:r>
      <w:r w:rsidR="00EE385C">
        <w:rPr>
          <w:szCs w:val="26"/>
        </w:rPr>
        <w:t> </w:t>
      </w:r>
      <w:r w:rsidR="00365660">
        <w:rPr>
          <w:szCs w:val="26"/>
        </w:rPr>
        <w:t>J, Jafta</w:t>
      </w:r>
      <w:r w:rsidR="00EE385C">
        <w:rPr>
          <w:szCs w:val="26"/>
        </w:rPr>
        <w:t> </w:t>
      </w:r>
      <w:r w:rsidR="00365660">
        <w:rPr>
          <w:szCs w:val="26"/>
        </w:rPr>
        <w:t>J, Khampepe J, Madlanga</w:t>
      </w:r>
      <w:r w:rsidR="00EE385C">
        <w:rPr>
          <w:szCs w:val="26"/>
        </w:rPr>
        <w:t> </w:t>
      </w:r>
      <w:r w:rsidR="00365660">
        <w:rPr>
          <w:szCs w:val="26"/>
        </w:rPr>
        <w:t>J, Mhlantla J</w:t>
      </w:r>
      <w:r w:rsidR="00EE385C">
        <w:rPr>
          <w:szCs w:val="26"/>
        </w:rPr>
        <w:t>,</w:t>
      </w:r>
      <w:r w:rsidR="00365660">
        <w:rPr>
          <w:szCs w:val="26"/>
        </w:rPr>
        <w:t xml:space="preserve"> </w:t>
      </w:r>
      <w:r w:rsidR="00BD5CC3">
        <w:rPr>
          <w:szCs w:val="26"/>
        </w:rPr>
        <w:t>Mojapelo</w:t>
      </w:r>
      <w:r w:rsidR="00EE385C">
        <w:rPr>
          <w:szCs w:val="26"/>
        </w:rPr>
        <w:t> </w:t>
      </w:r>
      <w:r w:rsidR="00BD5CC3">
        <w:rPr>
          <w:szCs w:val="26"/>
        </w:rPr>
        <w:t>AJ, Pretorius</w:t>
      </w:r>
      <w:r w:rsidR="00EE385C">
        <w:rPr>
          <w:szCs w:val="26"/>
        </w:rPr>
        <w:t> </w:t>
      </w:r>
      <w:r w:rsidR="00BD5CC3">
        <w:rPr>
          <w:szCs w:val="26"/>
        </w:rPr>
        <w:t xml:space="preserve">AJ </w:t>
      </w:r>
      <w:r w:rsidR="00365660">
        <w:rPr>
          <w:szCs w:val="26"/>
        </w:rPr>
        <w:t>and Zondo</w:t>
      </w:r>
      <w:r w:rsidR="00EE385C">
        <w:rPr>
          <w:szCs w:val="26"/>
        </w:rPr>
        <w:t> </w:t>
      </w:r>
      <w:r w:rsidR="00365660">
        <w:rPr>
          <w:szCs w:val="26"/>
        </w:rPr>
        <w:t>J</w:t>
      </w:r>
      <w:r w:rsidR="00365660" w:rsidDel="00365660">
        <w:t xml:space="preserve"> </w:t>
      </w:r>
      <w:r w:rsidR="00C739DB" w:rsidRPr="00C739DB">
        <w:t>concurring</w:t>
      </w:r>
      <w:r w:rsidR="003644DF">
        <w:t>)</w:t>
      </w:r>
    </w:p>
    <w:p w:rsidR="00AE7602" w:rsidRDefault="00AE7602" w:rsidP="000704F2">
      <w:pPr>
        <w:spacing w:line="240" w:lineRule="auto"/>
      </w:pPr>
    </w:p>
    <w:p w:rsidR="00326A5B" w:rsidRPr="009C3888" w:rsidRDefault="00326A5B" w:rsidP="000704F2">
      <w:pPr>
        <w:spacing w:line="240" w:lineRule="auto"/>
      </w:pPr>
    </w:p>
    <w:p w:rsidR="004678D5" w:rsidRDefault="00A030A4" w:rsidP="00C13548">
      <w:pPr>
        <w:pStyle w:val="HEADING"/>
      </w:pPr>
      <w:r>
        <w:t>Introduction</w:t>
      </w:r>
    </w:p>
    <w:p w:rsidR="009877E9" w:rsidRDefault="00CB28ED" w:rsidP="009660E6">
      <w:pPr>
        <w:pStyle w:val="JUDGMENTNUMBERED"/>
      </w:pPr>
      <w:r w:rsidRPr="00056FD9">
        <w:t xml:space="preserve">At issue </w:t>
      </w:r>
      <w:r w:rsidR="009B70BE">
        <w:t>is</w:t>
      </w:r>
      <w:r w:rsidR="00A36FFC">
        <w:t xml:space="preserve"> </w:t>
      </w:r>
      <w:r w:rsidRPr="00056FD9">
        <w:t>the meaning</w:t>
      </w:r>
      <w:r w:rsidRPr="00AB54FF">
        <w:t xml:space="preserve"> </w:t>
      </w:r>
      <w:r w:rsidR="00A36FFC">
        <w:t xml:space="preserve">and constitutional validity </w:t>
      </w:r>
      <w:r w:rsidRPr="00AB54FF">
        <w:t xml:space="preserve">of section 118(3) of the Local Government: </w:t>
      </w:r>
      <w:r>
        <w:t>Municipal Systems Act</w:t>
      </w:r>
      <w:r w:rsidR="003C3340">
        <w:t xml:space="preserve"> (Act)</w:t>
      </w:r>
      <w:r w:rsidR="00981999">
        <w:t>.</w:t>
      </w:r>
      <w:r>
        <w:rPr>
          <w:rStyle w:val="FootnoteReference"/>
        </w:rPr>
        <w:footnoteReference w:id="1"/>
      </w:r>
      <w:r>
        <w:t xml:space="preserve">  This</w:t>
      </w:r>
      <w:r w:rsidRPr="00AB54FF">
        <w:t xml:space="preserve"> provides that “an amount due for municipal service fees, surcharges on fees, property rates and other </w:t>
      </w:r>
      <w:r>
        <w:t>municipal</w:t>
      </w:r>
      <w:r w:rsidRPr="00AB54FF">
        <w:t xml:space="preserve"> taxes, levi</w:t>
      </w:r>
      <w:r w:rsidR="004D45FB">
        <w:t>e</w:t>
      </w:r>
      <w:r w:rsidRPr="00AB54FF">
        <w:t xml:space="preserve">s and duties is a charge upon the property </w:t>
      </w:r>
      <w:r>
        <w:t xml:space="preserve">in connection </w:t>
      </w:r>
      <w:r w:rsidRPr="00AB54FF">
        <w:t>with which the amount is owing and enjoys preference over any mortgage bond</w:t>
      </w:r>
      <w:r>
        <w:t xml:space="preserve"> registered against the property</w:t>
      </w:r>
      <w:r w:rsidRPr="00AB54FF">
        <w:t>”</w:t>
      </w:r>
      <w:r w:rsidR="00866CD3">
        <w:t>.</w:t>
      </w:r>
      <w:r w:rsidR="00FB3C08">
        <w:rPr>
          <w:rStyle w:val="FootnoteReference"/>
        </w:rPr>
        <w:footnoteReference w:id="2"/>
      </w:r>
      <w:r>
        <w:t xml:space="preserve">  </w:t>
      </w:r>
      <w:r w:rsidR="00F62FDC">
        <w:t>T</w:t>
      </w:r>
      <w:r>
        <w:t>he High Court of South Africa, Gauteng Division, Pretoria</w:t>
      </w:r>
      <w:r w:rsidR="007A72A5">
        <w:t xml:space="preserve"> (High Court)</w:t>
      </w:r>
      <w:r>
        <w:t xml:space="preserve"> </w:t>
      </w:r>
      <w:r>
        <w:lastRenderedPageBreak/>
        <w:t xml:space="preserve">(Fourie J) </w:t>
      </w:r>
      <w:r w:rsidRPr="00AB54FF">
        <w:t>declared section 118(3) constitutionally invalid</w:t>
      </w:r>
      <w:r w:rsidR="009877E9">
        <w:t>.</w:t>
      </w:r>
      <w:r w:rsidR="0034702B">
        <w:rPr>
          <w:rStyle w:val="FootnoteReference"/>
        </w:rPr>
        <w:footnoteReference w:id="3"/>
      </w:r>
      <w:r w:rsidR="009877E9">
        <w:t xml:space="preserve">  It did so</w:t>
      </w:r>
      <w:r w:rsidRPr="00AB54FF">
        <w:t xml:space="preserve"> “to the extent only that the security provision ‘a charge upon the property’ survives transfer</w:t>
      </w:r>
      <w:r>
        <w:t xml:space="preserve"> of</w:t>
      </w:r>
      <w:r w:rsidRPr="00AB54FF">
        <w:t xml:space="preserve"> ownership into the name of a new or subsequent owner who is not a debtor of the municipality with regard to municipal debts incurred prior to such transfer”</w:t>
      </w:r>
      <w:r w:rsidR="001E3580">
        <w:t>.</w:t>
      </w:r>
      <w:r w:rsidR="001E3580">
        <w:rPr>
          <w:rStyle w:val="FootnoteReference"/>
        </w:rPr>
        <w:footnoteReference w:id="4"/>
      </w:r>
      <w:r w:rsidR="001E3580">
        <w:t xml:space="preserve"> </w:t>
      </w:r>
      <w:r w:rsidR="004A794D">
        <w:t xml:space="preserve"> </w:t>
      </w:r>
      <w:r w:rsidR="00442473">
        <w:t>Pursuant to this, the High</w:t>
      </w:r>
      <w:r w:rsidR="00A030A4">
        <w:t> </w:t>
      </w:r>
      <w:r w:rsidR="00442473">
        <w:t xml:space="preserve">Court also granted </w:t>
      </w:r>
      <w:r w:rsidR="00442473" w:rsidRPr="00AB54FF">
        <w:t>declaratory relief against the City of Tshwane Metropolitan Municipality</w:t>
      </w:r>
      <w:r w:rsidR="00442473">
        <w:t xml:space="preserve"> (Tshwane) </w:t>
      </w:r>
      <w:r w:rsidR="00442473" w:rsidRPr="00AB54FF">
        <w:t>and Ekurhuleni Metropolitan Municipality</w:t>
      </w:r>
      <w:r w:rsidR="00442473">
        <w:t xml:space="preserve"> (Ekurhuleni) at the instance of individual and corporate ratepayers</w:t>
      </w:r>
      <w:r w:rsidR="004D45FB">
        <w:t xml:space="preserve">.  All </w:t>
      </w:r>
      <w:r w:rsidR="004D45FB">
        <w:lastRenderedPageBreak/>
        <w:t>were</w:t>
      </w:r>
      <w:r w:rsidR="006C31BF">
        <w:t xml:space="preserve"> new property owners</w:t>
      </w:r>
      <w:r w:rsidR="00442473">
        <w:t xml:space="preserve"> who complained that they were being denied services </w:t>
      </w:r>
      <w:r w:rsidR="004941B2">
        <w:t xml:space="preserve">because </w:t>
      </w:r>
      <w:r w:rsidR="00442473">
        <w:t>the municipalities</w:t>
      </w:r>
      <w:r w:rsidR="004941B2">
        <w:t xml:space="preserve"> invok</w:t>
      </w:r>
      <w:r w:rsidR="004D45FB">
        <w:t>ed</w:t>
      </w:r>
      <w:r w:rsidR="00442473">
        <w:t xml:space="preserve"> section 118(3).</w:t>
      </w:r>
    </w:p>
    <w:p w:rsidR="004678D5" w:rsidRDefault="004678D5" w:rsidP="00C13548">
      <w:pPr>
        <w:pStyle w:val="JUDGMENTCONTINUED"/>
      </w:pPr>
    </w:p>
    <w:p w:rsidR="007E164E" w:rsidRDefault="008576D0" w:rsidP="00E9601A">
      <w:pPr>
        <w:pStyle w:val="JUDGMENTNUMBERED"/>
      </w:pPr>
      <w:r>
        <w:t xml:space="preserve">The </w:t>
      </w:r>
      <w:r w:rsidR="009660E6">
        <w:t xml:space="preserve">central </w:t>
      </w:r>
      <w:r>
        <w:t xml:space="preserve">issue is whether </w:t>
      </w:r>
      <w:r w:rsidR="001573B6">
        <w:t xml:space="preserve">the provision permits </w:t>
      </w:r>
      <w:r>
        <w:t xml:space="preserve">a municipality </w:t>
      </w:r>
      <w:r w:rsidR="001573B6">
        <w:t xml:space="preserve">to </w:t>
      </w:r>
      <w:r>
        <w:t>reclaim</w:t>
      </w:r>
      <w:r w:rsidR="00AB03E7">
        <w:t>,</w:t>
      </w:r>
      <w:r>
        <w:t xml:space="preserve"> from a new owner </w:t>
      </w:r>
      <w:r w:rsidR="008A5398">
        <w:t>of property</w:t>
      </w:r>
      <w:r w:rsidR="00981999">
        <w:t>,</w:t>
      </w:r>
      <w:r w:rsidR="008A5398">
        <w:t xml:space="preserve"> </w:t>
      </w:r>
      <w:r>
        <w:t xml:space="preserve">debts </w:t>
      </w:r>
      <w:r w:rsidR="007E164E">
        <w:t>a predecessor</w:t>
      </w:r>
      <w:r w:rsidR="009877E9">
        <w:t xml:space="preserve"> in title</w:t>
      </w:r>
      <w:r w:rsidR="009877E9" w:rsidRPr="009877E9">
        <w:t xml:space="preserve"> </w:t>
      </w:r>
      <w:r w:rsidR="009877E9">
        <w:t>incurred</w:t>
      </w:r>
      <w:r w:rsidR="007E164E">
        <w:t>.</w:t>
      </w:r>
      <w:r w:rsidR="00E9601A">
        <w:t xml:space="preserve">  </w:t>
      </w:r>
      <w:r w:rsidR="00E9601A" w:rsidRPr="00E9601A">
        <w:t xml:space="preserve">If it does, its constitutional validity must be determined.  If it does not, then the declaration of invalidity was unnecessary. </w:t>
      </w:r>
      <w:r w:rsidR="00E9601A">
        <w:t xml:space="preserve"> But to determine the provision’</w:t>
      </w:r>
      <w:r w:rsidR="00E9601A" w:rsidRPr="00E9601A">
        <w:t>s true meaning, its language and history, as well as its setting in the common law and under the Constitution, must be scrutini</w:t>
      </w:r>
      <w:r w:rsidR="00553826">
        <w:t>s</w:t>
      </w:r>
      <w:r w:rsidR="00E9601A" w:rsidRPr="00E9601A">
        <w:t>ed.</w:t>
      </w:r>
    </w:p>
    <w:p w:rsidR="004678D5" w:rsidRDefault="004678D5" w:rsidP="00C13548">
      <w:pPr>
        <w:pStyle w:val="JUDGMENTCONTINUED"/>
      </w:pPr>
    </w:p>
    <w:p w:rsidR="004678D5" w:rsidRDefault="00BE1F00" w:rsidP="00C13548">
      <w:pPr>
        <w:pStyle w:val="HEADING"/>
      </w:pPr>
      <w:r>
        <w:t>Background</w:t>
      </w:r>
      <w:r w:rsidR="00E61D01">
        <w:t xml:space="preserve"> and ripeness</w:t>
      </w:r>
    </w:p>
    <w:p w:rsidR="00F62FDC" w:rsidRDefault="00BE1F00" w:rsidP="009877E9">
      <w:pPr>
        <w:pStyle w:val="JUDGMENTNUMBERED"/>
      </w:pPr>
      <w:r>
        <w:t xml:space="preserve">The matter comes to this Court as a confirmation application </w:t>
      </w:r>
      <w:r w:rsidR="00442473">
        <w:t>under section</w:t>
      </w:r>
      <w:r w:rsidR="00AA51C0">
        <w:t> </w:t>
      </w:r>
      <w:r w:rsidR="00442473">
        <w:t>167(5) of the Constitut</w:t>
      </w:r>
      <w:r w:rsidR="00A62E1F">
        <w:t>i</w:t>
      </w:r>
      <w:r w:rsidR="00442473">
        <w:t>on</w:t>
      </w:r>
      <w:r w:rsidR="00442473">
        <w:rPr>
          <w:rStyle w:val="FootnoteReference"/>
        </w:rPr>
        <w:footnoteReference w:id="5"/>
      </w:r>
      <w:r w:rsidR="00442473">
        <w:t xml:space="preserve"> </w:t>
      </w:r>
      <w:r w:rsidR="004E07BC">
        <w:t xml:space="preserve">plus </w:t>
      </w:r>
      <w:r>
        <w:t>two appeals in which Tshwane and Ekurhuleni</w:t>
      </w:r>
      <w:r w:rsidR="004E07BC">
        <w:t xml:space="preserve"> appeal against the </w:t>
      </w:r>
      <w:r w:rsidR="00A62E1F">
        <w:t xml:space="preserve">High Court’s </w:t>
      </w:r>
      <w:r w:rsidR="004E07BC">
        <w:t>order of constitutional invalidity.</w:t>
      </w:r>
      <w:r w:rsidR="00A62E1F">
        <w:rPr>
          <w:rStyle w:val="FootnoteReference"/>
        </w:rPr>
        <w:footnoteReference w:id="6"/>
      </w:r>
      <w:r w:rsidR="009877E9">
        <w:t xml:space="preserve">  </w:t>
      </w:r>
      <w:r w:rsidR="003F2DFA">
        <w:t xml:space="preserve">This Court consolidated the matters.  </w:t>
      </w:r>
      <w:r w:rsidR="00052BDE">
        <w:t>e</w:t>
      </w:r>
      <w:r w:rsidR="00F62FDC">
        <w:t>T</w:t>
      </w:r>
      <w:r w:rsidR="00F62FDC" w:rsidRPr="00AB54FF">
        <w:t>hekwini Metropolitan Municipality</w:t>
      </w:r>
      <w:r w:rsidR="004A794D">
        <w:t xml:space="preserve"> (eThekwini)</w:t>
      </w:r>
      <w:r w:rsidR="00F62FDC" w:rsidRPr="00AB54FF">
        <w:t xml:space="preserve">, which </w:t>
      </w:r>
      <w:r w:rsidR="00F6099D">
        <w:t xml:space="preserve">was </w:t>
      </w:r>
      <w:r w:rsidR="00F62FDC" w:rsidRPr="00AB54FF">
        <w:t xml:space="preserve">admitted as an </w:t>
      </w:r>
      <w:r w:rsidR="00F62FDC" w:rsidRPr="0015774C">
        <w:rPr>
          <w:i/>
        </w:rPr>
        <w:t>amicus</w:t>
      </w:r>
      <w:r w:rsidR="0015774C" w:rsidRPr="0015774C">
        <w:rPr>
          <w:i/>
        </w:rPr>
        <w:t xml:space="preserve"> curiae</w:t>
      </w:r>
      <w:r w:rsidR="0015774C">
        <w:t xml:space="preserve"> (friend of the court)</w:t>
      </w:r>
      <w:r w:rsidR="00F6099D">
        <w:t>,</w:t>
      </w:r>
      <w:r w:rsidR="00105765">
        <w:rPr>
          <w:rStyle w:val="FootnoteReference"/>
        </w:rPr>
        <w:footnoteReference w:id="7"/>
      </w:r>
      <w:r w:rsidR="00F62FDC" w:rsidRPr="00AB54FF">
        <w:t xml:space="preserve"> made common cause with the other two municipalities</w:t>
      </w:r>
      <w:r w:rsidR="00E001D4">
        <w:t>.  All</w:t>
      </w:r>
      <w:r w:rsidR="00EF207F">
        <w:t xml:space="preserve"> </w:t>
      </w:r>
      <w:r w:rsidR="001A6DC1">
        <w:t xml:space="preserve">contended </w:t>
      </w:r>
      <w:r w:rsidR="004D45FB">
        <w:t xml:space="preserve">that the provision </w:t>
      </w:r>
      <w:r w:rsidR="005C49B7">
        <w:t xml:space="preserve">is constitutionally sound and </w:t>
      </w:r>
      <w:r w:rsidR="004D45FB">
        <w:t>makes a new owner responsible for historical debts</w:t>
      </w:r>
      <w:r w:rsidR="00F62FDC" w:rsidRPr="00AB54FF">
        <w:t>.</w:t>
      </w:r>
      <w:r w:rsidR="009877E9">
        <w:rPr>
          <w:rStyle w:val="FootnoteReference"/>
        </w:rPr>
        <w:footnoteReference w:id="8"/>
      </w:r>
      <w:r w:rsidR="004B3FA9">
        <w:t xml:space="preserve">  So did </w:t>
      </w:r>
      <w:r w:rsidR="00AA51C0">
        <w:t xml:space="preserve">the </w:t>
      </w:r>
      <w:r w:rsidR="004B3FA9" w:rsidRPr="00C000CE">
        <w:t>Minister of Cooperative Governance and Traditional Affairs</w:t>
      </w:r>
      <w:r w:rsidR="004A794D">
        <w:t xml:space="preserve"> (Minister)</w:t>
      </w:r>
      <w:r w:rsidR="00981999">
        <w:t>.  The Minister</w:t>
      </w:r>
      <w:r w:rsidR="00612F1E">
        <w:t>, though</w:t>
      </w:r>
      <w:r w:rsidR="00976523">
        <w:t xml:space="preserve"> not formally an appellant</w:t>
      </w:r>
      <w:r w:rsidR="00786933">
        <w:t>,</w:t>
      </w:r>
      <w:r w:rsidR="00976523">
        <w:t xml:space="preserve"> </w:t>
      </w:r>
      <w:r w:rsidR="004B3FA9">
        <w:t xml:space="preserve">was perforce joined </w:t>
      </w:r>
      <w:r w:rsidR="008C067C">
        <w:t xml:space="preserve">as a party </w:t>
      </w:r>
      <w:r w:rsidR="004B3FA9">
        <w:t>in one o</w:t>
      </w:r>
      <w:r w:rsidR="00976523">
        <w:t>f the matters</w:t>
      </w:r>
      <w:r w:rsidR="00D27D1B">
        <w:t>,</w:t>
      </w:r>
      <w:r w:rsidR="001D2D48">
        <w:t xml:space="preserve"> </w:t>
      </w:r>
      <w:r w:rsidR="00D27D1B">
        <w:t xml:space="preserve">because of the statutory invalidity claimed, </w:t>
      </w:r>
      <w:r w:rsidR="001D2D48">
        <w:t xml:space="preserve">and </w:t>
      </w:r>
      <w:r w:rsidR="004B3FA9">
        <w:t>participated in the proceedings in both Court</w:t>
      </w:r>
      <w:r w:rsidR="001D2D48">
        <w:t>s</w:t>
      </w:r>
      <w:r w:rsidR="004B3FA9">
        <w:t>.</w:t>
      </w:r>
    </w:p>
    <w:p w:rsidR="0064652F" w:rsidRDefault="0064652F" w:rsidP="0064652F">
      <w:pPr>
        <w:pStyle w:val="JUDGMENTCONTINUED"/>
      </w:pPr>
    </w:p>
    <w:p w:rsidR="0064652F" w:rsidRPr="0064652F" w:rsidRDefault="0064652F" w:rsidP="0064652F">
      <w:pPr>
        <w:pStyle w:val="JUDGMENTNUMBERED"/>
      </w:pPr>
      <w:r>
        <w:t>The applicants are individual</w:t>
      </w:r>
      <w:r w:rsidR="006C31BF">
        <w:t>s and</w:t>
      </w:r>
      <w:r>
        <w:t xml:space="preserve"> corporat</w:t>
      </w:r>
      <w:r w:rsidR="006C31BF">
        <w:t xml:space="preserve">ions </w:t>
      </w:r>
      <w:r>
        <w:t>own</w:t>
      </w:r>
      <w:r w:rsidR="00AC479F">
        <w:t>ing</w:t>
      </w:r>
      <w:r w:rsidR="004678D5">
        <w:t>, or acting on behalf of owners of,</w:t>
      </w:r>
      <w:r w:rsidR="006C31BF">
        <w:t xml:space="preserve"> property</w:t>
      </w:r>
      <w:r>
        <w:t xml:space="preserve"> in Tshwane or Ekurhuleni.  </w:t>
      </w:r>
      <w:r w:rsidR="00AA7784">
        <w:t xml:space="preserve">Each </w:t>
      </w:r>
      <w:r w:rsidR="004678D5">
        <w:t xml:space="preserve">of the owners </w:t>
      </w:r>
      <w:r w:rsidR="00AA7784">
        <w:t xml:space="preserve">is a </w:t>
      </w:r>
      <w:r w:rsidR="006C31BF">
        <w:t xml:space="preserve">relatively </w:t>
      </w:r>
      <w:r w:rsidR="00AA7784">
        <w:t>recent</w:t>
      </w:r>
      <w:r w:rsidR="006C31BF">
        <w:t xml:space="preserve"> transferee.  </w:t>
      </w:r>
      <w:r w:rsidR="00AA7784">
        <w:t xml:space="preserve">Each complained that the </w:t>
      </w:r>
      <w:r w:rsidR="006C31BF">
        <w:t xml:space="preserve">municipality in question </w:t>
      </w:r>
      <w:r w:rsidR="004678D5">
        <w:t xml:space="preserve">suspended municipal services or </w:t>
      </w:r>
      <w:r w:rsidR="00AA7784">
        <w:t xml:space="preserve">refused to </w:t>
      </w:r>
      <w:r w:rsidR="006C31BF">
        <w:t xml:space="preserve">conclude a </w:t>
      </w:r>
      <w:r w:rsidR="00B116CA">
        <w:t xml:space="preserve">consumer </w:t>
      </w:r>
      <w:r w:rsidR="006C31BF">
        <w:t>service</w:t>
      </w:r>
      <w:r w:rsidR="00B116CA">
        <w:t>s</w:t>
      </w:r>
      <w:r w:rsidR="006C31BF">
        <w:t xml:space="preserve"> agreement </w:t>
      </w:r>
      <w:r w:rsidR="00AA7784">
        <w:t>for municipal services until the historical debts relating to the property had been cleared</w:t>
      </w:r>
      <w:r w:rsidR="00761B54">
        <w:t>.</w:t>
      </w:r>
      <w:r w:rsidR="003F2DFA">
        <w:rPr>
          <w:rStyle w:val="FootnoteReference"/>
        </w:rPr>
        <w:footnoteReference w:id="9"/>
      </w:r>
    </w:p>
    <w:p w:rsidR="0070352B" w:rsidRDefault="0070352B">
      <w:pPr>
        <w:pStyle w:val="JUDGMENTCONTINUED"/>
      </w:pPr>
    </w:p>
    <w:p w:rsidR="00AA7784" w:rsidRDefault="00FD0F75" w:rsidP="00F62FDC">
      <w:pPr>
        <w:pStyle w:val="JUDGMENTNUMBERED"/>
      </w:pPr>
      <w:r>
        <w:t xml:space="preserve">The </w:t>
      </w:r>
      <w:r w:rsidR="00E61D01">
        <w:t xml:space="preserve">applicants’ complaints gave rise to </w:t>
      </w:r>
      <w:r w:rsidR="00F62FDC" w:rsidRPr="00AB54FF">
        <w:t>factual disputes</w:t>
      </w:r>
      <w:r w:rsidR="00EF207F">
        <w:t>.</w:t>
      </w:r>
      <w:r w:rsidR="00EF207F">
        <w:rPr>
          <w:rStyle w:val="FootnoteReference"/>
        </w:rPr>
        <w:footnoteReference w:id="10"/>
      </w:r>
      <w:r w:rsidR="00EF207F">
        <w:t xml:space="preserve">  </w:t>
      </w:r>
      <w:r w:rsidR="00E80A14">
        <w:t>The p</w:t>
      </w:r>
      <w:r>
        <w:t xml:space="preserve">rincipal </w:t>
      </w:r>
      <w:r w:rsidR="00E80A14">
        <w:t xml:space="preserve">dispute </w:t>
      </w:r>
      <w:r>
        <w:t>was the municipalities’ claim that they had not invoked</w:t>
      </w:r>
      <w:r w:rsidR="00AA7784">
        <w:t xml:space="preserve"> section 118(3)</w:t>
      </w:r>
      <w:r w:rsidR="00B116CA">
        <w:t xml:space="preserve"> when they declined to conclude service agreements</w:t>
      </w:r>
      <w:r>
        <w:t xml:space="preserve">, but </w:t>
      </w:r>
      <w:r w:rsidR="0015549D">
        <w:t xml:space="preserve">had relied on </w:t>
      </w:r>
      <w:r>
        <w:t>their by-laws or debt collection policies</w:t>
      </w:r>
      <w:r w:rsidR="00C40099">
        <w:t>.</w:t>
      </w:r>
      <w:r w:rsidR="00AA7784">
        <w:rPr>
          <w:rStyle w:val="FootnoteReference"/>
        </w:rPr>
        <w:footnoteReference w:id="11"/>
      </w:r>
      <w:r w:rsidR="00F62FDC" w:rsidRPr="00AB54FF">
        <w:t xml:space="preserve"> </w:t>
      </w:r>
      <w:r w:rsidR="00E61D01">
        <w:t xml:space="preserve"> </w:t>
      </w:r>
      <w:r w:rsidR="00761B54">
        <w:t>It was also contended that the applicants could take</w:t>
      </w:r>
      <w:r w:rsidR="001E2777">
        <w:t xml:space="preserve"> the service refusals on review</w:t>
      </w:r>
      <w:r w:rsidR="006C31BF">
        <w:t xml:space="preserve"> under the Promotion of Administrative Justice Act</w:t>
      </w:r>
      <w:r w:rsidR="001E2777">
        <w:t>.</w:t>
      </w:r>
      <w:r w:rsidR="006C31BF">
        <w:rPr>
          <w:rStyle w:val="FootnoteReference"/>
        </w:rPr>
        <w:footnoteReference w:id="12"/>
      </w:r>
      <w:r w:rsidR="001E2777">
        <w:t xml:space="preserve">  For both these reasons, it was argued </w:t>
      </w:r>
      <w:r w:rsidR="00761B54">
        <w:t xml:space="preserve">that the constitutional challenge was premature.  </w:t>
      </w:r>
      <w:r w:rsidR="00E61D01">
        <w:t>The</w:t>
      </w:r>
      <w:r w:rsidR="00371ED3">
        <w:t> </w:t>
      </w:r>
      <w:r w:rsidR="00E253AE">
        <w:t xml:space="preserve">High Court decided that </w:t>
      </w:r>
      <w:r w:rsidR="00761B54">
        <w:t>the disputes precluded neither the determination of the constitutional challenge nor the grant of declaratory relief.</w:t>
      </w:r>
      <w:r w:rsidR="002E6A6B">
        <w:rPr>
          <w:rStyle w:val="FootnoteReference"/>
        </w:rPr>
        <w:footnoteReference w:id="13"/>
      </w:r>
    </w:p>
    <w:p w:rsidR="00761B54" w:rsidRDefault="00761B54" w:rsidP="00761B54">
      <w:pPr>
        <w:pStyle w:val="JUDGMENTCONTINUED"/>
      </w:pPr>
    </w:p>
    <w:p w:rsidR="002E6BEC" w:rsidRDefault="00761B54" w:rsidP="00635F24">
      <w:pPr>
        <w:pStyle w:val="JUDGMENTNUMBERED"/>
      </w:pPr>
      <w:r>
        <w:t xml:space="preserve">Before us, Ekurhuleni persisted </w:t>
      </w:r>
      <w:r w:rsidR="002E6A6B">
        <w:t>that this</w:t>
      </w:r>
      <w:r w:rsidR="001E2777">
        <w:t xml:space="preserve"> Court should refuse to countenance the constitutional </w:t>
      </w:r>
      <w:r w:rsidR="002E6A6B">
        <w:t xml:space="preserve">question </w:t>
      </w:r>
      <w:r w:rsidR="001E2777">
        <w:t xml:space="preserve">because the </w:t>
      </w:r>
      <w:r w:rsidR="002E6A6B">
        <w:t xml:space="preserve">parties’ </w:t>
      </w:r>
      <w:r w:rsidR="001E2777">
        <w:t xml:space="preserve">issues could be determined without </w:t>
      </w:r>
      <w:r w:rsidR="001E2777">
        <w:lastRenderedPageBreak/>
        <w:t xml:space="preserve">reaching it.  </w:t>
      </w:r>
      <w:r w:rsidR="002E6A6B">
        <w:t xml:space="preserve">It </w:t>
      </w:r>
      <w:r w:rsidR="001E2777">
        <w:t xml:space="preserve">invoked </w:t>
      </w:r>
      <w:r w:rsidR="001E2777" w:rsidRPr="001E2777">
        <w:rPr>
          <w:i/>
          <w:iCs/>
        </w:rPr>
        <w:t>Mhlungu</w:t>
      </w:r>
      <w:r w:rsidR="001E2777" w:rsidRPr="001E2777">
        <w:rPr>
          <w:rStyle w:val="FootnoteReference"/>
          <w:iCs/>
        </w:rPr>
        <w:footnoteReference w:id="14"/>
      </w:r>
      <w:r w:rsidR="001E2777" w:rsidRPr="001E2777">
        <w:rPr>
          <w:i/>
          <w:iCs/>
        </w:rPr>
        <w:t xml:space="preserve"> </w:t>
      </w:r>
      <w:r w:rsidR="00EE57F3">
        <w:rPr>
          <w:iCs/>
        </w:rPr>
        <w:t>where</w:t>
      </w:r>
      <w:r w:rsidR="002E6BEC">
        <w:rPr>
          <w:iCs/>
        </w:rPr>
        <w:t xml:space="preserve"> </w:t>
      </w:r>
      <w:r w:rsidR="001E2777" w:rsidRPr="001E2777">
        <w:t>Kentridge AJ laid down, as a general principle, that where it is possible to decide any case without reaching a constitutional issue, that course should be followed</w:t>
      </w:r>
      <w:r w:rsidR="001E2777">
        <w:t>.</w:t>
      </w:r>
      <w:r w:rsidR="002E6BEC">
        <w:rPr>
          <w:rStyle w:val="FootnoteReference"/>
        </w:rPr>
        <w:footnoteReference w:id="15"/>
      </w:r>
      <w:r w:rsidR="00635F24">
        <w:t xml:space="preserve">  </w:t>
      </w:r>
      <w:r w:rsidR="00635F24">
        <w:rPr>
          <w:i/>
        </w:rPr>
        <w:t>Mhlungu</w:t>
      </w:r>
      <w:r w:rsidR="00635F24">
        <w:t xml:space="preserve"> </w:t>
      </w:r>
      <w:r w:rsidR="002E6A6B">
        <w:t xml:space="preserve">should be set </w:t>
      </w:r>
      <w:r w:rsidR="00635F24">
        <w:t>in its proper perspective.  It was decided under the interim Constitution, where this Court had solely constitutional jurisdiction,</w:t>
      </w:r>
      <w:r w:rsidR="002E6A6B">
        <w:rPr>
          <w:rStyle w:val="FootnoteReference"/>
        </w:rPr>
        <w:footnoteReference w:id="16"/>
      </w:r>
      <w:r w:rsidR="00635F24">
        <w:t xml:space="preserve"> and the Appellate Division of the Supreme Court, which became the Supreme Court of Appeal, had solely non-constitutional jurisdiction.</w:t>
      </w:r>
      <w:r w:rsidR="002E6A6B">
        <w:rPr>
          <w:rStyle w:val="FootnoteReference"/>
        </w:rPr>
        <w:footnoteReference w:id="17"/>
      </w:r>
      <w:r w:rsidR="00635F24">
        <w:t xml:space="preserve">  That bifurcation of appellate</w:t>
      </w:r>
      <w:r w:rsidR="008E59A3">
        <w:t xml:space="preserve"> power</w:t>
      </w:r>
      <w:r w:rsidR="00635F24">
        <w:t>, and the cautions and courtesies it necessitated, has long</w:t>
      </w:r>
      <w:r w:rsidR="002E6A6B">
        <w:t xml:space="preserve"> been </w:t>
      </w:r>
      <w:r w:rsidR="00EA5ABC">
        <w:t xml:space="preserve">expunged </w:t>
      </w:r>
      <w:r w:rsidR="002E6A6B">
        <w:t>from our constitutional landscape</w:t>
      </w:r>
      <w:r w:rsidR="00635F24">
        <w:t xml:space="preserve">.  </w:t>
      </w:r>
      <w:r w:rsidR="002E6A6B">
        <w:t xml:space="preserve">From </w:t>
      </w:r>
      <w:r w:rsidR="00635F24">
        <w:t>4</w:t>
      </w:r>
      <w:r w:rsidR="000012E2">
        <w:t> </w:t>
      </w:r>
      <w:r w:rsidR="0033694A">
        <w:t>February </w:t>
      </w:r>
      <w:r w:rsidR="00635F24">
        <w:t>1997</w:t>
      </w:r>
      <w:r w:rsidR="002E6A6B">
        <w:t>, the Constitution</w:t>
      </w:r>
      <w:r w:rsidR="00635F24">
        <w:t xml:space="preserve"> </w:t>
      </w:r>
      <w:r w:rsidR="007E08EA">
        <w:t>conferred constitutional jurisdiction on the Supreme</w:t>
      </w:r>
      <w:r w:rsidR="000012E2">
        <w:t> </w:t>
      </w:r>
      <w:r w:rsidR="007E08EA">
        <w:t>Court of Appeal,</w:t>
      </w:r>
      <w:r w:rsidR="00E76861">
        <w:rPr>
          <w:rStyle w:val="FootnoteReference"/>
        </w:rPr>
        <w:footnoteReference w:id="18"/>
      </w:r>
      <w:r w:rsidR="007E08EA">
        <w:t xml:space="preserve"> </w:t>
      </w:r>
      <w:r w:rsidR="002E6BEC">
        <w:t xml:space="preserve">subject to appeal to this Court, </w:t>
      </w:r>
      <w:r w:rsidR="007E08EA">
        <w:t>and at the same time empowered this Court to develop the common law.</w:t>
      </w:r>
      <w:r w:rsidR="002E6BEC">
        <w:rPr>
          <w:rStyle w:val="FootnoteReference"/>
        </w:rPr>
        <w:footnoteReference w:id="19"/>
      </w:r>
    </w:p>
    <w:p w:rsidR="002E6A6B" w:rsidRPr="002E6A6B" w:rsidRDefault="002E6A6B" w:rsidP="002E6A6B">
      <w:pPr>
        <w:pStyle w:val="JUDGMENTCONTINUED"/>
      </w:pPr>
    </w:p>
    <w:p w:rsidR="00635F24" w:rsidRDefault="007E08EA" w:rsidP="00635F24">
      <w:pPr>
        <w:pStyle w:val="JUDGMENTNUMBERED"/>
      </w:pPr>
      <w:r>
        <w:t xml:space="preserve">The consequence of </w:t>
      </w:r>
      <w:r w:rsidR="002E6BEC">
        <w:t xml:space="preserve">this </w:t>
      </w:r>
      <w:r>
        <w:t xml:space="preserve">was </w:t>
      </w:r>
      <w:r w:rsidR="002C3559">
        <w:t xml:space="preserve">both logical and inevitable.  This </w:t>
      </w:r>
      <w:r w:rsidR="002B3D78">
        <w:t>Court wa</w:t>
      </w:r>
      <w:r w:rsidR="002C3559">
        <w:t xml:space="preserve">s </w:t>
      </w:r>
      <w:r w:rsidR="00EA5ABC">
        <w:t xml:space="preserve">in due time </w:t>
      </w:r>
      <w:r w:rsidR="002C3559">
        <w:t xml:space="preserve">given jurisdiction to decide </w:t>
      </w:r>
      <w:r w:rsidR="002B3D78">
        <w:t>non-constitutional matters that raise arguable points of law of general public importance whi</w:t>
      </w:r>
      <w:r w:rsidR="002C3559">
        <w:t xml:space="preserve">ch </w:t>
      </w:r>
      <w:r w:rsidR="00A6550F">
        <w:t xml:space="preserve">it </w:t>
      </w:r>
      <w:r w:rsidR="002C3559">
        <w:t>ought to consider</w:t>
      </w:r>
      <w:r w:rsidR="00EC360E">
        <w:t>.</w:t>
      </w:r>
      <w:r w:rsidR="002B3D78">
        <w:rPr>
          <w:rStyle w:val="FootnoteReference"/>
        </w:rPr>
        <w:footnoteReference w:id="20"/>
      </w:r>
      <w:r w:rsidR="002C3559">
        <w:t xml:space="preserve"> </w:t>
      </w:r>
      <w:r w:rsidR="00EC360E">
        <w:t xml:space="preserve"> It </w:t>
      </w:r>
      <w:r w:rsidR="002C3559">
        <w:t xml:space="preserve">thus became the apex </w:t>
      </w:r>
      <w:r w:rsidR="009724DB">
        <w:t>C</w:t>
      </w:r>
      <w:r w:rsidR="002C3559">
        <w:t>ourt on all matters.</w:t>
      </w:r>
    </w:p>
    <w:p w:rsidR="007E08EA" w:rsidRPr="007E08EA" w:rsidRDefault="007E08EA" w:rsidP="007E08EA">
      <w:pPr>
        <w:pStyle w:val="JUDGMENTCONTINUED"/>
      </w:pPr>
    </w:p>
    <w:p w:rsidR="001E2777" w:rsidRDefault="002B3D78" w:rsidP="00062A1F">
      <w:pPr>
        <w:pStyle w:val="JUDGMENTNUMBERED"/>
      </w:pPr>
      <w:r>
        <w:t xml:space="preserve">The result is that </w:t>
      </w:r>
      <w:r w:rsidR="00635F24" w:rsidRPr="00635F24">
        <w:t xml:space="preserve">under the final Constitution </w:t>
      </w:r>
      <w:r>
        <w:t xml:space="preserve">the </w:t>
      </w:r>
      <w:r w:rsidR="00D33064" w:rsidRPr="00635F24">
        <w:t xml:space="preserve">approach </w:t>
      </w:r>
      <w:r w:rsidRPr="00D819F7">
        <w:rPr>
          <w:i/>
        </w:rPr>
        <w:t>Mhlungu</w:t>
      </w:r>
      <w:r>
        <w:t xml:space="preserve"> </w:t>
      </w:r>
      <w:r w:rsidR="00D33064">
        <w:t xml:space="preserve">espoused </w:t>
      </w:r>
      <w:r w:rsidRPr="00635F24">
        <w:t xml:space="preserve">has long since been abandoned </w:t>
      </w:r>
      <w:r w:rsidR="00635F24" w:rsidRPr="00635F24">
        <w:t xml:space="preserve">in favour of its opposite, namely </w:t>
      </w:r>
      <w:r w:rsidR="00D33064">
        <w:t xml:space="preserve">that </w:t>
      </w:r>
      <w:r w:rsidR="00635F24" w:rsidRPr="00635F24">
        <w:t xml:space="preserve">constitutional </w:t>
      </w:r>
      <w:r w:rsidR="00635F24" w:rsidRPr="00635F24">
        <w:lastRenderedPageBreak/>
        <w:t>approaches to rights determination</w:t>
      </w:r>
      <w:r w:rsidR="00D33064">
        <w:t xml:space="preserve"> must generally enjoy primacy</w:t>
      </w:r>
      <w:r w:rsidR="00635F24" w:rsidRPr="00635F24">
        <w:t>.</w:t>
      </w:r>
      <w:r>
        <w:rPr>
          <w:rStyle w:val="FootnoteReference"/>
        </w:rPr>
        <w:footnoteReference w:id="21"/>
      </w:r>
      <w:r w:rsidR="00635F24" w:rsidRPr="00635F24">
        <w:t xml:space="preserve">  Far from avoiding constitutional issues whenever possibl</w:t>
      </w:r>
      <w:r w:rsidR="00D819F7">
        <w:t xml:space="preserve">e, this </w:t>
      </w:r>
      <w:r w:rsidR="00635F24" w:rsidRPr="00635F24">
        <w:t>Court has emphasised that virtually all issues</w:t>
      </w:r>
      <w:r w:rsidR="001A2F3C">
        <w:t xml:space="preserve"> </w:t>
      </w:r>
      <w:r w:rsidR="00635F24" w:rsidRPr="00635F24">
        <w:t>– including the interpretation and application of legislation and the development and a</w:t>
      </w:r>
      <w:r w:rsidR="00D819F7">
        <w:t>pplication of the common law</w:t>
      </w:r>
      <w:r w:rsidR="00635F24" w:rsidRPr="00635F24">
        <w:t xml:space="preserve"> – are, ultimately, constitutional.</w:t>
      </w:r>
      <w:r w:rsidR="001A7F87">
        <w:t xml:space="preserve">  This affects how to approach them from the outset.</w:t>
      </w:r>
    </w:p>
    <w:p w:rsidR="00D819F7" w:rsidRDefault="00D819F7" w:rsidP="00D819F7">
      <w:pPr>
        <w:pStyle w:val="JUDGMENTCONTINUED"/>
      </w:pPr>
    </w:p>
    <w:p w:rsidR="000F3006" w:rsidRDefault="00216F98" w:rsidP="00062A1F">
      <w:pPr>
        <w:pStyle w:val="JUDGMENTNUMBERED"/>
      </w:pPr>
      <w:r>
        <w:t xml:space="preserve">The constitutional dispute was large and pressing.  The </w:t>
      </w:r>
      <w:r w:rsidR="00D819F7">
        <w:t xml:space="preserve">High Court’s decision to </w:t>
      </w:r>
      <w:r w:rsidR="000F3006">
        <w:t xml:space="preserve">decide </w:t>
      </w:r>
      <w:r>
        <w:t xml:space="preserve">it </w:t>
      </w:r>
      <w:r w:rsidR="00D819F7">
        <w:t xml:space="preserve">despite the factual and other considerations </w:t>
      </w:r>
      <w:r w:rsidR="00D33064">
        <w:t xml:space="preserve">the municipalities </w:t>
      </w:r>
      <w:r w:rsidR="005E4DBD">
        <w:t xml:space="preserve">sought to </w:t>
      </w:r>
      <w:r w:rsidR="00D33064">
        <w:t xml:space="preserve">strew in its </w:t>
      </w:r>
      <w:r w:rsidR="004C2199">
        <w:t>path</w:t>
      </w:r>
      <w:r w:rsidR="00D819F7">
        <w:t xml:space="preserve"> was clearly right.  </w:t>
      </w:r>
      <w:r w:rsidR="00D819F7" w:rsidRPr="00AB54FF">
        <w:t>The</w:t>
      </w:r>
      <w:r w:rsidR="00D819F7">
        <w:t xml:space="preserve"> </w:t>
      </w:r>
      <w:r w:rsidR="00D819F7" w:rsidRPr="00AB54FF">
        <w:t>matter was ripe for decision the</w:t>
      </w:r>
      <w:r w:rsidR="00F367E0">
        <w:t>re</w:t>
      </w:r>
      <w:r w:rsidR="00D819F7">
        <w:t xml:space="preserve">, and </w:t>
      </w:r>
      <w:r w:rsidR="000F3006">
        <w:t xml:space="preserve">it </w:t>
      </w:r>
      <w:r w:rsidR="00D819F7">
        <w:t>is ripe for decision</w:t>
      </w:r>
      <w:r w:rsidR="00F367E0">
        <w:t xml:space="preserve"> here</w:t>
      </w:r>
      <w:r w:rsidR="006404E9">
        <w:t>.</w:t>
      </w:r>
    </w:p>
    <w:p w:rsidR="000F3006" w:rsidRPr="000F3006" w:rsidRDefault="000F3006" w:rsidP="000F3006">
      <w:pPr>
        <w:pStyle w:val="JUDGMENTCONTINUED"/>
      </w:pPr>
    </w:p>
    <w:p w:rsidR="008605DB" w:rsidRDefault="00D33064" w:rsidP="00F52C91">
      <w:pPr>
        <w:pStyle w:val="JUDGMENTNUMBERED"/>
        <w:rPr>
          <w:szCs w:val="26"/>
        </w:rPr>
      </w:pPr>
      <w:r>
        <w:t xml:space="preserve">There are further factors </w:t>
      </w:r>
      <w:r w:rsidR="00161580">
        <w:t xml:space="preserve">that </w:t>
      </w:r>
      <w:r>
        <w:t>show th</w:t>
      </w:r>
      <w:r w:rsidR="004F7CD5">
        <w:t>is</w:t>
      </w:r>
      <w:r>
        <w:t xml:space="preserve">.  </w:t>
      </w:r>
      <w:r w:rsidR="00BD4960">
        <w:t>T</w:t>
      </w:r>
      <w:r w:rsidR="000F3006">
        <w:t xml:space="preserve">he </w:t>
      </w:r>
      <w:r w:rsidR="00F62FDC" w:rsidRPr="00AB54FF">
        <w:t>S</w:t>
      </w:r>
      <w:r w:rsidR="000F3006">
        <w:t xml:space="preserve">upreme </w:t>
      </w:r>
      <w:r w:rsidR="00F62FDC" w:rsidRPr="00AB54FF">
        <w:t>C</w:t>
      </w:r>
      <w:r w:rsidR="000F3006">
        <w:t xml:space="preserve">ourt of </w:t>
      </w:r>
      <w:r w:rsidR="00F62FDC" w:rsidRPr="00AB54FF">
        <w:t>A</w:t>
      </w:r>
      <w:r w:rsidR="000F3006">
        <w:t xml:space="preserve">ppeal has twice </w:t>
      </w:r>
      <w:r w:rsidR="00F62FDC">
        <w:t>pronounce</w:t>
      </w:r>
      <w:r w:rsidR="00463C03">
        <w:t>d</w:t>
      </w:r>
      <w:r w:rsidR="00F62FDC">
        <w:t xml:space="preserve"> </w:t>
      </w:r>
      <w:r w:rsidR="00F62FDC" w:rsidRPr="00AB54FF">
        <w:t xml:space="preserve">on </w:t>
      </w:r>
      <w:r w:rsidR="00F62FDC">
        <w:t xml:space="preserve">the </w:t>
      </w:r>
      <w:r w:rsidR="00F62FDC" w:rsidRPr="00AB54FF">
        <w:t xml:space="preserve">meaning </w:t>
      </w:r>
      <w:r w:rsidR="000F3006">
        <w:t>of section 118(3)</w:t>
      </w:r>
      <w:r w:rsidR="00F62FDC" w:rsidRPr="00AB54FF">
        <w:t>.</w:t>
      </w:r>
      <w:r w:rsidR="000F3006">
        <w:rPr>
          <w:rStyle w:val="FootnoteReference"/>
        </w:rPr>
        <w:footnoteReference w:id="22"/>
      </w:r>
      <w:r w:rsidR="00463C03">
        <w:t xml:space="preserve"> </w:t>
      </w:r>
      <w:r w:rsidR="004C2199">
        <w:t xml:space="preserve"> In </w:t>
      </w:r>
      <w:r w:rsidR="00463C03">
        <w:t>both cases</w:t>
      </w:r>
      <w:r w:rsidR="004C2199">
        <w:t>, t</w:t>
      </w:r>
      <w:r w:rsidR="004C2199">
        <w:rPr>
          <w:szCs w:val="26"/>
        </w:rPr>
        <w:t xml:space="preserve">he constitutional validity of the provision was not in issue, and the Court </w:t>
      </w:r>
      <w:r w:rsidR="004C2199">
        <w:t xml:space="preserve">expressed its view </w:t>
      </w:r>
      <w:r w:rsidR="00F62FDC" w:rsidRPr="004C2199">
        <w:rPr>
          <w:szCs w:val="26"/>
        </w:rPr>
        <w:t xml:space="preserve">without considering </w:t>
      </w:r>
      <w:r w:rsidR="004C2199">
        <w:rPr>
          <w:szCs w:val="26"/>
        </w:rPr>
        <w:t>the constitutional context.</w:t>
      </w:r>
      <w:r w:rsidR="0068667D">
        <w:rPr>
          <w:rStyle w:val="FootnoteReference"/>
          <w:szCs w:val="26"/>
        </w:rPr>
        <w:footnoteReference w:id="23"/>
      </w:r>
    </w:p>
    <w:p w:rsidR="0070352B" w:rsidRDefault="0070352B">
      <w:pPr>
        <w:pStyle w:val="JUDGMENTCONTINUED"/>
      </w:pPr>
    </w:p>
    <w:p w:rsidR="00251BAF" w:rsidRDefault="008605DB" w:rsidP="00F52C91">
      <w:pPr>
        <w:pStyle w:val="JUDGMENTNUMBERED"/>
        <w:rPr>
          <w:szCs w:val="26"/>
        </w:rPr>
      </w:pPr>
      <w:r>
        <w:rPr>
          <w:szCs w:val="26"/>
        </w:rPr>
        <w:t xml:space="preserve">The municipalities argued that they relied on their by-laws and debt collection policies to justify their refusal to open consumer agreements until historical debt was settled.  Despite these disclaimers of Tshwane and Ekurhuleni, it is evident that </w:t>
      </w:r>
      <w:r w:rsidRPr="004C2199">
        <w:rPr>
          <w:szCs w:val="26"/>
        </w:rPr>
        <w:lastRenderedPageBreak/>
        <w:t>municipalities</w:t>
      </w:r>
      <w:r>
        <w:rPr>
          <w:szCs w:val="26"/>
        </w:rPr>
        <w:t xml:space="preserve"> do</w:t>
      </w:r>
      <w:r w:rsidRPr="004C2199">
        <w:rPr>
          <w:szCs w:val="26"/>
        </w:rPr>
        <w:t xml:space="preserve"> invoke section 118(3) </w:t>
      </w:r>
      <w:r>
        <w:rPr>
          <w:szCs w:val="26"/>
        </w:rPr>
        <w:t>to refuse new owners</w:t>
      </w:r>
      <w:r w:rsidRPr="004C2199">
        <w:rPr>
          <w:szCs w:val="26"/>
        </w:rPr>
        <w:t xml:space="preserve"> municipal services</w:t>
      </w:r>
      <w:r>
        <w:rPr>
          <w:szCs w:val="26"/>
        </w:rPr>
        <w:t xml:space="preserve"> if historical debts are unpaid.  Furthermore, t</w:t>
      </w:r>
      <w:r w:rsidR="00F52C91">
        <w:rPr>
          <w:szCs w:val="26"/>
        </w:rPr>
        <w:t>he H</w:t>
      </w:r>
      <w:r w:rsidR="00F52C91" w:rsidRPr="00436549">
        <w:rPr>
          <w:szCs w:val="26"/>
        </w:rPr>
        <w:t xml:space="preserve">igh Court </w:t>
      </w:r>
      <w:r w:rsidR="00F52C91">
        <w:rPr>
          <w:szCs w:val="26"/>
        </w:rPr>
        <w:t xml:space="preserve">rejected </w:t>
      </w:r>
      <w:r w:rsidR="00436549" w:rsidRPr="00436549">
        <w:rPr>
          <w:szCs w:val="26"/>
        </w:rPr>
        <w:t>the municipalities</w:t>
      </w:r>
      <w:r w:rsidR="00F52C91">
        <w:rPr>
          <w:szCs w:val="26"/>
        </w:rPr>
        <w:t>’ contention</w:t>
      </w:r>
      <w:r w:rsidR="00436549" w:rsidRPr="00436549">
        <w:rPr>
          <w:szCs w:val="26"/>
        </w:rPr>
        <w:t xml:space="preserve"> that the</w:t>
      </w:r>
      <w:r w:rsidR="00F52C91">
        <w:rPr>
          <w:szCs w:val="26"/>
        </w:rPr>
        <w:t>ir</w:t>
      </w:r>
      <w:r w:rsidR="00436549" w:rsidRPr="00436549">
        <w:rPr>
          <w:szCs w:val="26"/>
        </w:rPr>
        <w:t xml:space="preserve"> by-laws </w:t>
      </w:r>
      <w:r w:rsidR="00F52C91">
        <w:rPr>
          <w:szCs w:val="26"/>
        </w:rPr>
        <w:t xml:space="preserve">and </w:t>
      </w:r>
      <w:r w:rsidR="001426C1" w:rsidRPr="00436549">
        <w:rPr>
          <w:szCs w:val="26"/>
        </w:rPr>
        <w:t xml:space="preserve">rates collection </w:t>
      </w:r>
      <w:r w:rsidR="00F52C91">
        <w:rPr>
          <w:szCs w:val="26"/>
        </w:rPr>
        <w:t xml:space="preserve">policies </w:t>
      </w:r>
      <w:r w:rsidR="00436549" w:rsidRPr="00436549">
        <w:rPr>
          <w:szCs w:val="26"/>
        </w:rPr>
        <w:t>permitted</w:t>
      </w:r>
      <w:r w:rsidR="0005416C">
        <w:rPr>
          <w:szCs w:val="26"/>
        </w:rPr>
        <w:t xml:space="preserve"> </w:t>
      </w:r>
      <w:r>
        <w:rPr>
          <w:szCs w:val="26"/>
        </w:rPr>
        <w:t>this</w:t>
      </w:r>
      <w:r w:rsidR="00871FB4">
        <w:rPr>
          <w:szCs w:val="26"/>
        </w:rPr>
        <w:t xml:space="preserve"> conduct</w:t>
      </w:r>
      <w:r w:rsidR="00436549" w:rsidRPr="00436549">
        <w:rPr>
          <w:szCs w:val="26"/>
        </w:rPr>
        <w:t xml:space="preserve">. </w:t>
      </w:r>
      <w:r w:rsidR="0005416C">
        <w:rPr>
          <w:szCs w:val="26"/>
        </w:rPr>
        <w:t xml:space="preserve"> </w:t>
      </w:r>
      <w:r w:rsidR="00436549" w:rsidRPr="00436549">
        <w:rPr>
          <w:szCs w:val="26"/>
        </w:rPr>
        <w:t>The Court’s conclusion that, properly interpreted, the</w:t>
      </w:r>
      <w:r w:rsidR="001426C1">
        <w:rPr>
          <w:szCs w:val="26"/>
        </w:rPr>
        <w:t>se</w:t>
      </w:r>
      <w:r w:rsidR="00436549" w:rsidRPr="00436549">
        <w:rPr>
          <w:szCs w:val="26"/>
        </w:rPr>
        <w:t xml:space="preserve"> by-laws and policies d</w:t>
      </w:r>
      <w:r w:rsidR="00F52C91">
        <w:rPr>
          <w:szCs w:val="26"/>
        </w:rPr>
        <w:t>o</w:t>
      </w:r>
      <w:r w:rsidR="00436549" w:rsidRPr="00436549">
        <w:rPr>
          <w:szCs w:val="26"/>
        </w:rPr>
        <w:t xml:space="preserve"> not</w:t>
      </w:r>
      <w:r w:rsidR="0015774C">
        <w:rPr>
          <w:szCs w:val="26"/>
        </w:rPr>
        <w:t>,</w:t>
      </w:r>
      <w:r w:rsidR="00436549" w:rsidRPr="00436549">
        <w:rPr>
          <w:szCs w:val="26"/>
        </w:rPr>
        <w:t xml:space="preserve"> </w:t>
      </w:r>
      <w:r w:rsidR="001426C1">
        <w:rPr>
          <w:szCs w:val="26"/>
        </w:rPr>
        <w:t>on their own</w:t>
      </w:r>
      <w:r w:rsidR="0015774C">
        <w:rPr>
          <w:szCs w:val="26"/>
        </w:rPr>
        <w:t>,</w:t>
      </w:r>
      <w:r w:rsidR="001426C1">
        <w:rPr>
          <w:szCs w:val="26"/>
        </w:rPr>
        <w:t xml:space="preserve"> </w:t>
      </w:r>
      <w:r w:rsidR="0005416C">
        <w:rPr>
          <w:szCs w:val="26"/>
        </w:rPr>
        <w:t xml:space="preserve">allow </w:t>
      </w:r>
      <w:r w:rsidR="00F52C91">
        <w:rPr>
          <w:szCs w:val="26"/>
        </w:rPr>
        <w:t>that</w:t>
      </w:r>
      <w:r w:rsidR="00482475">
        <w:rPr>
          <w:szCs w:val="26"/>
        </w:rPr>
        <w:t>,</w:t>
      </w:r>
      <w:r w:rsidR="00F52C91">
        <w:rPr>
          <w:szCs w:val="26"/>
        </w:rPr>
        <w:t xml:space="preserve"> </w:t>
      </w:r>
      <w:r w:rsidR="00436549" w:rsidRPr="00436549">
        <w:rPr>
          <w:szCs w:val="26"/>
        </w:rPr>
        <w:t xml:space="preserve">is unassailable. </w:t>
      </w:r>
      <w:r w:rsidR="00F52C91">
        <w:rPr>
          <w:szCs w:val="26"/>
        </w:rPr>
        <w:t xml:space="preserve"> Besides, t</w:t>
      </w:r>
      <w:r w:rsidR="00F52C91" w:rsidRPr="00436549">
        <w:rPr>
          <w:szCs w:val="26"/>
        </w:rPr>
        <w:t xml:space="preserve">he municipalities’ protestation that </w:t>
      </w:r>
      <w:r w:rsidR="00415C26">
        <w:rPr>
          <w:szCs w:val="26"/>
        </w:rPr>
        <w:t xml:space="preserve">their </w:t>
      </w:r>
      <w:r w:rsidR="00F52C91" w:rsidRPr="00436549">
        <w:rPr>
          <w:szCs w:val="26"/>
        </w:rPr>
        <w:t xml:space="preserve">by-laws and policies, rather than section 118(3), </w:t>
      </w:r>
      <w:r w:rsidR="001426C1">
        <w:rPr>
          <w:szCs w:val="26"/>
        </w:rPr>
        <w:t xml:space="preserve">justify their stance </w:t>
      </w:r>
      <w:r w:rsidR="00F52C91" w:rsidRPr="00436549">
        <w:rPr>
          <w:szCs w:val="26"/>
        </w:rPr>
        <w:t>is tumble</w:t>
      </w:r>
      <w:r w:rsidR="0033694A">
        <w:rPr>
          <w:szCs w:val="26"/>
        </w:rPr>
        <w:noBreakHyphen/>
      </w:r>
      <w:r w:rsidR="00F52C91" w:rsidRPr="00436549">
        <w:rPr>
          <w:szCs w:val="26"/>
        </w:rPr>
        <w:t>down logic, since</w:t>
      </w:r>
      <w:r w:rsidR="003433CF">
        <w:rPr>
          <w:szCs w:val="26"/>
        </w:rPr>
        <w:t xml:space="preserve"> </w:t>
      </w:r>
      <w:r w:rsidR="00F52C91" w:rsidRPr="00436549">
        <w:rPr>
          <w:szCs w:val="26"/>
        </w:rPr>
        <w:t xml:space="preserve">a municipality’s credit control and debt collection policy must </w:t>
      </w:r>
      <w:r w:rsidR="00F52C91">
        <w:rPr>
          <w:szCs w:val="26"/>
        </w:rPr>
        <w:t xml:space="preserve">in any event </w:t>
      </w:r>
      <w:r w:rsidR="00F52C91" w:rsidRPr="00436549">
        <w:rPr>
          <w:szCs w:val="26"/>
        </w:rPr>
        <w:t xml:space="preserve">comply </w:t>
      </w:r>
      <w:r w:rsidR="00F52C91">
        <w:rPr>
          <w:szCs w:val="26"/>
        </w:rPr>
        <w:t>with the provisions of the Act.</w:t>
      </w:r>
      <w:r w:rsidR="003433CF">
        <w:rPr>
          <w:rStyle w:val="FootnoteReference"/>
          <w:szCs w:val="26"/>
        </w:rPr>
        <w:footnoteReference w:id="24"/>
      </w:r>
      <w:r w:rsidR="003433CF" w:rsidRPr="00436549">
        <w:rPr>
          <w:szCs w:val="26"/>
        </w:rPr>
        <w:t xml:space="preserve"> </w:t>
      </w:r>
      <w:r w:rsidR="00F52C91">
        <w:rPr>
          <w:szCs w:val="26"/>
        </w:rPr>
        <w:t xml:space="preserve"> </w:t>
      </w:r>
      <w:r w:rsidR="0005416C">
        <w:rPr>
          <w:szCs w:val="26"/>
        </w:rPr>
        <w:t xml:space="preserve">Disjunction </w:t>
      </w:r>
      <w:r w:rsidR="00F52C91" w:rsidRPr="00F52C91">
        <w:rPr>
          <w:szCs w:val="26"/>
        </w:rPr>
        <w:t>would be artificial.</w:t>
      </w:r>
    </w:p>
    <w:p w:rsidR="00F52C91" w:rsidRPr="00F52C91" w:rsidRDefault="00F52C91" w:rsidP="00F52C91">
      <w:pPr>
        <w:pStyle w:val="JUDGMENTCONTINUED"/>
      </w:pPr>
    </w:p>
    <w:p w:rsidR="00251BAF" w:rsidRPr="00251BAF" w:rsidRDefault="00251BAF" w:rsidP="00251BAF">
      <w:pPr>
        <w:pStyle w:val="JUDGMENTNUMBERED"/>
      </w:pPr>
      <w:r>
        <w:t xml:space="preserve">For all these reasons, the interests of justice require </w:t>
      </w:r>
      <w:r w:rsidR="00FD510D">
        <w:t xml:space="preserve">this Court </w:t>
      </w:r>
      <w:r w:rsidR="00A47250">
        <w:t xml:space="preserve">to </w:t>
      </w:r>
      <w:r w:rsidR="00FD510D">
        <w:t xml:space="preserve">consider </w:t>
      </w:r>
      <w:r>
        <w:t xml:space="preserve">the substance of the challenge to section 118(3), and not </w:t>
      </w:r>
      <w:r w:rsidR="00A47250">
        <w:t xml:space="preserve">to </w:t>
      </w:r>
      <w:r>
        <w:t xml:space="preserve">be </w:t>
      </w:r>
      <w:r w:rsidR="00C47744">
        <w:t xml:space="preserve">diverted </w:t>
      </w:r>
      <w:r w:rsidR="00A069DD">
        <w:t xml:space="preserve">from it </w:t>
      </w:r>
      <w:r>
        <w:t>on procedural or other grounds.</w:t>
      </w:r>
    </w:p>
    <w:p w:rsidR="00466EDA" w:rsidRPr="00D74C28" w:rsidRDefault="00466EDA" w:rsidP="00466EDA">
      <w:pPr>
        <w:pStyle w:val="JUDGMENTCONTINUED"/>
      </w:pPr>
    </w:p>
    <w:p w:rsidR="00204D79" w:rsidRDefault="00466EDA" w:rsidP="00466EDA">
      <w:pPr>
        <w:pStyle w:val="JUDGMENTNUMBERED"/>
      </w:pPr>
      <w:r>
        <w:t xml:space="preserve">Apart from eThekwini, two non-governmental organisations were admitted as </w:t>
      </w:r>
      <w:r w:rsidR="005459C2" w:rsidRPr="005459C2">
        <w:rPr>
          <w:i/>
        </w:rPr>
        <w:t>amici curiae</w:t>
      </w:r>
      <w:r>
        <w:t xml:space="preserve">.  </w:t>
      </w:r>
      <w:r w:rsidRPr="00AB54FF">
        <w:t xml:space="preserve">TUHF </w:t>
      </w:r>
      <w:r w:rsidR="003C7884">
        <w:t>L</w:t>
      </w:r>
      <w:r w:rsidR="00482475">
        <w:t>imited</w:t>
      </w:r>
      <w:r w:rsidR="003C7884">
        <w:t xml:space="preserve"> </w:t>
      </w:r>
      <w:r>
        <w:t xml:space="preserve">is </w:t>
      </w:r>
      <w:r w:rsidRPr="00C40099">
        <w:t>a social housing organisation</w:t>
      </w:r>
      <w:r>
        <w:t>.</w:t>
      </w:r>
      <w:r w:rsidR="004566AB">
        <w:rPr>
          <w:rStyle w:val="FootnoteReference"/>
        </w:rPr>
        <w:footnoteReference w:id="25"/>
      </w:r>
      <w:r>
        <w:t xml:space="preserve">  The </w:t>
      </w:r>
      <w:r w:rsidRPr="00AB54FF">
        <w:t>Banking Association South Africa</w:t>
      </w:r>
      <w:r>
        <w:t xml:space="preserve"> (BASA)</w:t>
      </w:r>
      <w:r w:rsidR="004566AB">
        <w:rPr>
          <w:rStyle w:val="FootnoteReference"/>
        </w:rPr>
        <w:footnoteReference w:id="26"/>
      </w:r>
      <w:r>
        <w:t xml:space="preserve"> is </w:t>
      </w:r>
      <w:r w:rsidRPr="00C40099">
        <w:t xml:space="preserve">an association incorporated </w:t>
      </w:r>
      <w:r w:rsidR="001F53E6">
        <w:t xml:space="preserve">under </w:t>
      </w:r>
      <w:r w:rsidR="001F53E6" w:rsidRPr="00C40099">
        <w:t>the Companies Act</w:t>
      </w:r>
      <w:r w:rsidR="00C11F03">
        <w:t>.</w:t>
      </w:r>
      <w:r>
        <w:rPr>
          <w:rStyle w:val="FootnoteReference"/>
        </w:rPr>
        <w:footnoteReference w:id="27"/>
      </w:r>
      <w:r w:rsidR="00C11F03">
        <w:t xml:space="preserve">  It has</w:t>
      </w:r>
      <w:r w:rsidRPr="00C40099">
        <w:t xml:space="preserve"> </w:t>
      </w:r>
      <w:r w:rsidR="00DA3EF5">
        <w:t>32</w:t>
      </w:r>
      <w:r w:rsidRPr="00C40099">
        <w:t xml:space="preserve"> member banks</w:t>
      </w:r>
      <w:r w:rsidR="00251C84">
        <w:t xml:space="preserve">, </w:t>
      </w:r>
      <w:r w:rsidRPr="00C40099">
        <w:t>includ</w:t>
      </w:r>
      <w:r w:rsidR="00251C84">
        <w:t>ing the largest</w:t>
      </w:r>
      <w:r w:rsidR="00B377F3">
        <w:t xml:space="preserve"> in South Africa</w:t>
      </w:r>
      <w:r w:rsidRPr="00C40099">
        <w:t xml:space="preserve">.  </w:t>
      </w:r>
      <w:r>
        <w:t xml:space="preserve">Both </w:t>
      </w:r>
      <w:r w:rsidR="00DD0734">
        <w:t xml:space="preserve">TUHF and BASA </w:t>
      </w:r>
      <w:r w:rsidR="004566AB">
        <w:t xml:space="preserve">associated themselves with </w:t>
      </w:r>
      <w:r w:rsidRPr="00AB54FF">
        <w:t>the</w:t>
      </w:r>
      <w:r w:rsidR="004566AB">
        <w:t xml:space="preserve"> applicants</w:t>
      </w:r>
      <w:r w:rsidR="000F46CA">
        <w:t xml:space="preserve"> in </w:t>
      </w:r>
      <w:r>
        <w:t>challeng</w:t>
      </w:r>
      <w:r w:rsidR="000F46CA">
        <w:t xml:space="preserve">ing </w:t>
      </w:r>
      <w:r>
        <w:t xml:space="preserve">the </w:t>
      </w:r>
      <w:r w:rsidR="00DD0734">
        <w:t>meaning the municipalities</w:t>
      </w:r>
      <w:r w:rsidR="000F46CA">
        <w:t xml:space="preserve"> ascribe</w:t>
      </w:r>
      <w:r w:rsidR="00A0080C">
        <w:t>d</w:t>
      </w:r>
      <w:r w:rsidR="000F46CA">
        <w:t xml:space="preserve"> </w:t>
      </w:r>
      <w:r w:rsidR="00DD0734">
        <w:t xml:space="preserve">to </w:t>
      </w:r>
      <w:r w:rsidR="00256716">
        <w:t>section </w:t>
      </w:r>
      <w:r w:rsidR="00DD0734">
        <w:t>118(3)</w:t>
      </w:r>
      <w:r>
        <w:t xml:space="preserve">.  They </w:t>
      </w:r>
      <w:r w:rsidR="008F2267">
        <w:t xml:space="preserve">contended for </w:t>
      </w:r>
      <w:r>
        <w:t xml:space="preserve">either </w:t>
      </w:r>
      <w:r w:rsidRPr="00AB54FF">
        <w:t>confirmation</w:t>
      </w:r>
      <w:r>
        <w:t xml:space="preserve"> of the order of invalidity or an interpretation that assuaged their constitutional objections to it.  TUHF </w:t>
      </w:r>
      <w:r w:rsidRPr="00C40099">
        <w:t>advance</w:t>
      </w:r>
      <w:r w:rsidR="008F2267">
        <w:t>d</w:t>
      </w:r>
      <w:r w:rsidRPr="00C40099">
        <w:t xml:space="preserve"> arguments about the distinctive nature of the hypothec </w:t>
      </w:r>
      <w:r w:rsidR="00B81141">
        <w:t xml:space="preserve">(or right of security over property) </w:t>
      </w:r>
      <w:r w:rsidRPr="00C40099">
        <w:t>that section 118(3) confers on a local authority</w:t>
      </w:r>
      <w:r>
        <w:t xml:space="preserve">.  </w:t>
      </w:r>
      <w:r w:rsidRPr="00C40099">
        <w:t>BASA advance</w:t>
      </w:r>
      <w:r w:rsidR="008F2267">
        <w:t>d</w:t>
      </w:r>
      <w:r w:rsidRPr="00C40099">
        <w:t xml:space="preserve"> an additional </w:t>
      </w:r>
      <w:r>
        <w:t xml:space="preserve">ground of </w:t>
      </w:r>
      <w:r w:rsidR="008F2267">
        <w:t xml:space="preserve">unconstitutionality.  This was </w:t>
      </w:r>
      <w:r w:rsidRPr="00C40099">
        <w:t xml:space="preserve">that section 118(3) permitted arbitrary deprivation of </w:t>
      </w:r>
      <w:r>
        <w:t>not just the new owner’s</w:t>
      </w:r>
      <w:r w:rsidR="008F2267">
        <w:t xml:space="preserve"> </w:t>
      </w:r>
      <w:r w:rsidR="008F2267">
        <w:lastRenderedPageBreak/>
        <w:t>property rights</w:t>
      </w:r>
      <w:r>
        <w:t xml:space="preserve">, but </w:t>
      </w:r>
      <w:r w:rsidR="00BE185F">
        <w:t xml:space="preserve">of </w:t>
      </w:r>
      <w:r w:rsidRPr="00C40099">
        <w:t>real security rights</w:t>
      </w:r>
      <w:r w:rsidR="00BE185F">
        <w:t xml:space="preserve"> the new owner confers on any mortgagee who extends a fresh loan on the security of the property post-transfer</w:t>
      </w:r>
      <w:r>
        <w:t>.</w:t>
      </w:r>
      <w:r w:rsidR="00331955">
        <w:rPr>
          <w:rStyle w:val="FootnoteReference"/>
        </w:rPr>
        <w:footnoteReference w:id="28"/>
      </w:r>
    </w:p>
    <w:p w:rsidR="0070352B" w:rsidRDefault="0070352B">
      <w:pPr>
        <w:pStyle w:val="JUDGMENTCONTINUED"/>
      </w:pPr>
    </w:p>
    <w:p w:rsidR="00204D79" w:rsidRDefault="00204D79" w:rsidP="002C5001">
      <w:pPr>
        <w:pStyle w:val="JUDGMENTNUMBERED"/>
      </w:pPr>
      <w:r>
        <w:t xml:space="preserve">On 25 May 2017, after the oral hearing, the Johannesburg Attorneys Association (JAA) </w:t>
      </w:r>
      <w:r w:rsidR="000A1996">
        <w:t>successfully applied to</w:t>
      </w:r>
      <w:r>
        <w:t xml:space="preserve"> the Court</w:t>
      </w:r>
      <w:r w:rsidR="00155EF9">
        <w:t xml:space="preserve"> </w:t>
      </w:r>
      <w:r w:rsidR="000A1996">
        <w:t>for admission</w:t>
      </w:r>
      <w:r w:rsidR="00155EF9">
        <w:t xml:space="preserve"> as </w:t>
      </w:r>
      <w:r w:rsidR="006923EE">
        <w:t xml:space="preserve">an </w:t>
      </w:r>
      <w:r w:rsidR="005459C2" w:rsidRPr="005459C2">
        <w:rPr>
          <w:i/>
        </w:rPr>
        <w:t>amicus curiae</w:t>
      </w:r>
      <w:r w:rsidR="00015F87">
        <w:t>.</w:t>
      </w:r>
      <w:r>
        <w:rPr>
          <w:rStyle w:val="FootnoteReference"/>
        </w:rPr>
        <w:footnoteReference w:id="29"/>
      </w:r>
      <w:r>
        <w:t xml:space="preserve">  The JAA sought to respond only to the submission by eThekwini that there is, or ought to be, a legal duty on conveyancers to disclose historical debts to prop</w:t>
      </w:r>
      <w:r w:rsidR="00D80739">
        <w:t xml:space="preserve">erty purchasers or transferees. </w:t>
      </w:r>
      <w:r>
        <w:t xml:space="preserve"> The JAA </w:t>
      </w:r>
      <w:r w:rsidR="00230EE2">
        <w:t xml:space="preserve">focused on </w:t>
      </w:r>
      <w:r>
        <w:t>a conveyancer</w:t>
      </w:r>
      <w:r w:rsidR="00230EE2">
        <w:t>’s duties and ethical position should this Court hold that the section 118(3) right survives transfer.  In view of the conclusion this judgment reaches, it is not necessary to consider the</w:t>
      </w:r>
      <w:r w:rsidR="007217B1">
        <w:t>se</w:t>
      </w:r>
      <w:r w:rsidR="00230EE2">
        <w:t xml:space="preserve"> submissions.</w:t>
      </w:r>
      <w:r w:rsidR="00230EE2">
        <w:rPr>
          <w:rStyle w:val="FootnoteReference"/>
        </w:rPr>
        <w:footnoteReference w:id="30"/>
      </w:r>
    </w:p>
    <w:p w:rsidR="0070352B" w:rsidRDefault="0070352B">
      <w:pPr>
        <w:pStyle w:val="JUDGMENTCONTINUED"/>
      </w:pPr>
    </w:p>
    <w:p w:rsidR="0070352B" w:rsidRDefault="00F62FDC">
      <w:pPr>
        <w:pStyle w:val="HEADING"/>
      </w:pPr>
      <w:r>
        <w:t>What does section 118(3) mean?</w:t>
      </w:r>
    </w:p>
    <w:p w:rsidR="008130B5" w:rsidRDefault="005E710E" w:rsidP="00255E4C">
      <w:pPr>
        <w:pStyle w:val="JUDGMENTNUMBERED"/>
      </w:pPr>
      <w:r>
        <w:t xml:space="preserve">Before deciding whether section 118(3) unjustifiably limits constitutional rights, </w:t>
      </w:r>
      <w:r w:rsidR="00604EF5">
        <w:t>we must determ</w:t>
      </w:r>
      <w:r w:rsidR="00F62FDC" w:rsidRPr="00AB54FF">
        <w:t>i</w:t>
      </w:r>
      <w:r w:rsidR="00604EF5">
        <w:t xml:space="preserve">ne </w:t>
      </w:r>
      <w:r>
        <w:t xml:space="preserve">what </w:t>
      </w:r>
      <w:r w:rsidR="002A28FB">
        <w:t xml:space="preserve">it </w:t>
      </w:r>
      <w:r w:rsidR="00F62FDC" w:rsidRPr="00AB54FF">
        <w:t>mean</w:t>
      </w:r>
      <w:r>
        <w:t>s</w:t>
      </w:r>
      <w:r w:rsidR="00F62FDC" w:rsidRPr="00AB54FF">
        <w:t>.</w:t>
      </w:r>
      <w:r w:rsidR="000F2873">
        <w:t xml:space="preserve">  And to find out we have to journey into the origins of the phrase </w:t>
      </w:r>
      <w:r w:rsidR="00AB059B">
        <w:t xml:space="preserve">“charge upon the property” </w:t>
      </w:r>
      <w:r w:rsidR="000F2873">
        <w:t>in South African</w:t>
      </w:r>
      <w:r w:rsidR="00382901">
        <w:t xml:space="preserve"> statute law</w:t>
      </w:r>
      <w:r w:rsidR="000F2873">
        <w:t xml:space="preserve">, for </w:t>
      </w:r>
      <w:r w:rsidR="008130B5">
        <w:t>that history casts light on the provision</w:t>
      </w:r>
      <w:r w:rsidR="00116D99">
        <w:t>’s meaning</w:t>
      </w:r>
      <w:r w:rsidR="008130B5">
        <w:t>.</w:t>
      </w:r>
    </w:p>
    <w:p w:rsidR="009E1F47" w:rsidRDefault="009E1F47" w:rsidP="009E1F47">
      <w:pPr>
        <w:pStyle w:val="JUDGMENTCONTINUED"/>
      </w:pPr>
    </w:p>
    <w:p w:rsidR="0083322D" w:rsidRDefault="009E1F47" w:rsidP="009E1F47">
      <w:pPr>
        <w:pStyle w:val="JUDGMENTNUMBERED"/>
      </w:pPr>
      <w:r>
        <w:lastRenderedPageBreak/>
        <w:t>The historical antecedents of section 118(3) show that two distinct mechanisms were</w:t>
      </w:r>
      <w:r w:rsidR="007C632F">
        <w:t xml:space="preserve"> imported into statute law to assist and protect municipalities in collecting debts due to them</w:t>
      </w:r>
      <w:r>
        <w:t xml:space="preserve">.  The first was an embargo.  This put the intending transferor of property </w:t>
      </w:r>
      <w:r w:rsidR="007C632F">
        <w:t xml:space="preserve">with unpaid </w:t>
      </w:r>
      <w:r>
        <w:t>municipal debts in a squeeze.  If she wanted to transfer, she had to pay up first.  This was a municipality-friendly debt-collection device.  It secured payment of municipal debts on pain of sterilising saleable property in the defaulting debtor’s hands.</w:t>
      </w:r>
    </w:p>
    <w:p w:rsidR="0070352B" w:rsidRDefault="0070352B">
      <w:pPr>
        <w:pStyle w:val="JUDGMENTCONTINUED"/>
      </w:pPr>
    </w:p>
    <w:p w:rsidR="009E1F47" w:rsidRDefault="00C0721A" w:rsidP="009E1F47">
      <w:pPr>
        <w:pStyle w:val="JUDGMENTNUMBERED"/>
      </w:pPr>
      <w:r>
        <w:t>L</w:t>
      </w:r>
      <w:r w:rsidR="0000792E">
        <w:t xml:space="preserve">ater </w:t>
      </w:r>
      <w:r w:rsidR="009E1F47">
        <w:t xml:space="preserve">enactments </w:t>
      </w:r>
      <w:r w:rsidR="00B30E56">
        <w:t>added</w:t>
      </w:r>
      <w:r>
        <w:t xml:space="preserve"> a second municipality-friendly mechanism.  This was </w:t>
      </w:r>
      <w:r w:rsidR="009E1F47">
        <w:t>a preferent claim</w:t>
      </w:r>
      <w:r>
        <w:t xml:space="preserve">, which </w:t>
      </w:r>
      <w:r w:rsidR="003D5D91">
        <w:t xml:space="preserve">conferred a priority in the debt-collecting process.  </w:t>
      </w:r>
      <w:r w:rsidR="009E1F47">
        <w:t xml:space="preserve">It put </w:t>
      </w:r>
      <w:r w:rsidR="003D5D91">
        <w:t xml:space="preserve">municipalities </w:t>
      </w:r>
      <w:r w:rsidR="009E1F47">
        <w:t xml:space="preserve">ahead of other rights-holders in the queue when execution was levied on </w:t>
      </w:r>
      <w:r w:rsidR="003D5D91">
        <w:t xml:space="preserve">ratepayers’ </w:t>
      </w:r>
      <w:r w:rsidR="00F51A68">
        <w:t xml:space="preserve">immovable </w:t>
      </w:r>
      <w:r w:rsidR="009E1F47">
        <w:t>property.</w:t>
      </w:r>
      <w:r w:rsidR="00EB3362">
        <w:t xml:space="preserve">  </w:t>
      </w:r>
      <w:r w:rsidR="004A6B5A">
        <w:t>Importantly, l</w:t>
      </w:r>
      <w:r w:rsidR="00EB3362">
        <w:t xml:space="preserve">inked to this preference was </w:t>
      </w:r>
      <w:r w:rsidR="00E84E6B">
        <w:t>the</w:t>
      </w:r>
      <w:r w:rsidR="00EB3362">
        <w:t xml:space="preserve"> </w:t>
      </w:r>
      <w:r w:rsidR="004A6B5A">
        <w:t>municipality’s</w:t>
      </w:r>
      <w:r w:rsidR="00974810">
        <w:t xml:space="preserve"> right</w:t>
      </w:r>
      <w:r w:rsidR="00EB3362">
        <w:t xml:space="preserve"> to </w:t>
      </w:r>
      <w:r w:rsidR="00974810">
        <w:t xml:space="preserve">expeditiously </w:t>
      </w:r>
      <w:r w:rsidR="00EB3362">
        <w:t xml:space="preserve">execute against the </w:t>
      </w:r>
      <w:r w:rsidR="00A24B7F">
        <w:t xml:space="preserve">immovable </w:t>
      </w:r>
      <w:r w:rsidR="00EB3362">
        <w:t xml:space="preserve">property </w:t>
      </w:r>
      <w:r w:rsidR="006B295B">
        <w:t>in</w:t>
      </w:r>
      <w:r w:rsidR="00EB3362">
        <w:t xml:space="preserve"> settlement of historical debts.</w:t>
      </w:r>
    </w:p>
    <w:p w:rsidR="0070352B" w:rsidRDefault="0070352B">
      <w:pPr>
        <w:pStyle w:val="JUDGMENTCONTINUED"/>
      </w:pPr>
    </w:p>
    <w:p w:rsidR="009E1F47" w:rsidRPr="009E1F47" w:rsidRDefault="009E1F47" w:rsidP="009E1F47">
      <w:pPr>
        <w:pStyle w:val="JUDGMENTNUMBERED"/>
      </w:pPr>
      <w:r>
        <w:t xml:space="preserve">The third mechanism is that for which the municipalities now contend.  It is </w:t>
      </w:r>
      <w:r w:rsidR="002E0EB4">
        <w:t>transmissibility.  Does</w:t>
      </w:r>
      <w:r>
        <w:t xml:space="preserve"> the municipality’s claim </w:t>
      </w:r>
      <w:r w:rsidR="00A17330">
        <w:t xml:space="preserve">to execute upon the ratepayer’s property </w:t>
      </w:r>
      <w:r>
        <w:t xml:space="preserve">survive beyond transfer to a new owner?  </w:t>
      </w:r>
      <w:r w:rsidR="002E0EB4">
        <w:t>The</w:t>
      </w:r>
      <w:r w:rsidR="00C0721A">
        <w:t xml:space="preserve"> preceding statutory hi</w:t>
      </w:r>
      <w:r>
        <w:t>s</w:t>
      </w:r>
      <w:r w:rsidR="00C0721A">
        <w:t>tory</w:t>
      </w:r>
      <w:r w:rsidR="002E0EB4">
        <w:t xml:space="preserve"> </w:t>
      </w:r>
      <w:r w:rsidR="007418A7">
        <w:t>show</w:t>
      </w:r>
      <w:r w:rsidR="00C0721A">
        <w:t>s</w:t>
      </w:r>
      <w:r w:rsidR="007418A7">
        <w:t xml:space="preserve"> that this n</w:t>
      </w:r>
      <w:r w:rsidR="00F20326">
        <w:t xml:space="preserve">ever arose: </w:t>
      </w:r>
      <w:r w:rsidR="007418A7">
        <w:t xml:space="preserve">no </w:t>
      </w:r>
      <w:r w:rsidR="002E0EB4">
        <w:t xml:space="preserve">attempt was made to confer a right </w:t>
      </w:r>
      <w:r w:rsidR="007418A7">
        <w:t xml:space="preserve">of execution </w:t>
      </w:r>
      <w:r w:rsidR="002E0EB4">
        <w:t>on municipalities that survived transfer to a new owner.</w:t>
      </w:r>
      <w:r w:rsidR="00C0721A">
        <w:t xml:space="preserve">  It was solely and only the existing owner, barred from passing transfer until municipal debts were squared, and over whose mortgagees the municipality enjoyed preference, who was responsible.</w:t>
      </w:r>
    </w:p>
    <w:p w:rsidR="0070352B" w:rsidRDefault="0070352B">
      <w:pPr>
        <w:pStyle w:val="JUDGMENTCONTINUED"/>
      </w:pPr>
    </w:p>
    <w:p w:rsidR="00F62FDC" w:rsidRDefault="003678B1" w:rsidP="00E961A4">
      <w:pPr>
        <w:pStyle w:val="JUDGMENTNUMBERED"/>
      </w:pPr>
      <w:r>
        <w:t xml:space="preserve">The legislative history illuminates all three features.  </w:t>
      </w:r>
      <w:r w:rsidR="00B41A3E">
        <w:t xml:space="preserve">The need for statutory intervention </w:t>
      </w:r>
      <w:r w:rsidR="005E29E9">
        <w:t xml:space="preserve">to assist municipalities </w:t>
      </w:r>
      <w:r w:rsidR="00F20326">
        <w:t xml:space="preserve">to collect </w:t>
      </w:r>
      <w:r w:rsidR="005E29E9">
        <w:t xml:space="preserve">debts </w:t>
      </w:r>
      <w:r w:rsidR="005B2C13">
        <w:t xml:space="preserve">became evident </w:t>
      </w:r>
      <w:r w:rsidR="00B41A3E">
        <w:t>s</w:t>
      </w:r>
      <w:r w:rsidR="00907822">
        <w:t xml:space="preserve">o far back as </w:t>
      </w:r>
      <w:r w:rsidR="00255E4C">
        <w:t>1848</w:t>
      </w:r>
      <w:r w:rsidR="00B41A3E">
        <w:t>.  A</w:t>
      </w:r>
      <w:r w:rsidR="00255E4C">
        <w:t xml:space="preserve"> municipality conten</w:t>
      </w:r>
      <w:r w:rsidR="00E20FEE">
        <w:t>ded</w:t>
      </w:r>
      <w:r w:rsidR="00255E4C">
        <w:t xml:space="preserve"> that, </w:t>
      </w:r>
      <w:r w:rsidR="008130B5">
        <w:t>“</w:t>
      </w:r>
      <w:r w:rsidR="00255E4C">
        <w:t>by reason of its nature</w:t>
      </w:r>
      <w:r w:rsidR="008130B5">
        <w:t>”</w:t>
      </w:r>
      <w:r w:rsidR="00255E4C">
        <w:t>, “and without any express enactment</w:t>
      </w:r>
      <w:r w:rsidR="00E20FEE">
        <w:t xml:space="preserve"> to that effect</w:t>
      </w:r>
      <w:r w:rsidR="00255E4C">
        <w:t>”</w:t>
      </w:r>
      <w:r w:rsidR="00E20FEE">
        <w:t>,</w:t>
      </w:r>
      <w:r w:rsidR="00255E4C">
        <w:t xml:space="preserve"> </w:t>
      </w:r>
      <w:r w:rsidR="00480273">
        <w:t xml:space="preserve">under </w:t>
      </w:r>
      <w:r w:rsidR="00382901">
        <w:t xml:space="preserve">Roman and </w:t>
      </w:r>
      <w:r w:rsidR="0033694A">
        <w:t>Roman </w:t>
      </w:r>
      <w:r w:rsidR="00382901">
        <w:t xml:space="preserve">Dutch law </w:t>
      </w:r>
      <w:r w:rsidR="00480273">
        <w:t xml:space="preserve">it enjoyed </w:t>
      </w:r>
      <w:r w:rsidR="00255E4C">
        <w:t>a preference over other creditors for the taxes it was empowered to levy.</w:t>
      </w:r>
      <w:r w:rsidR="00B87FC5">
        <w:rPr>
          <w:rStyle w:val="FootnoteReference"/>
        </w:rPr>
        <w:footnoteReference w:id="31"/>
      </w:r>
      <w:r w:rsidR="00255E4C">
        <w:t xml:space="preserve"> </w:t>
      </w:r>
      <w:r w:rsidR="00B87FC5">
        <w:t xml:space="preserve"> </w:t>
      </w:r>
      <w:r w:rsidR="00E20FEE">
        <w:t xml:space="preserve">The </w:t>
      </w:r>
      <w:r w:rsidR="00E20FEE" w:rsidRPr="00255E4C">
        <w:t xml:space="preserve">Supreme Court of the Colony of the Cape of Good Hope </w:t>
      </w:r>
      <w:r w:rsidR="00E20FEE">
        <w:t xml:space="preserve">rejected </w:t>
      </w:r>
      <w:r w:rsidR="00D27B93">
        <w:t>this argument.  It</w:t>
      </w:r>
      <w:r w:rsidR="00B87FC5">
        <w:t xml:space="preserve"> </w:t>
      </w:r>
      <w:r w:rsidR="00B87FC5">
        <w:lastRenderedPageBreak/>
        <w:t>held that the municipality</w:t>
      </w:r>
      <w:r w:rsidR="00294F17">
        <w:t>,</w:t>
      </w:r>
      <w:r w:rsidR="00B87FC5">
        <w:t xml:space="preserve"> </w:t>
      </w:r>
      <w:r w:rsidR="00294F17">
        <w:t>a</w:t>
      </w:r>
      <w:r w:rsidR="00B87FC5">
        <w:t>s merely a crea</w:t>
      </w:r>
      <w:r w:rsidR="0026771E">
        <w:t>ture of the statute creating it</w:t>
      </w:r>
      <w:r w:rsidR="00294F17">
        <w:t>,</w:t>
      </w:r>
      <w:r w:rsidR="00B87FC5">
        <w:rPr>
          <w:rStyle w:val="FootnoteReference"/>
        </w:rPr>
        <w:footnoteReference w:id="32"/>
      </w:r>
      <w:r w:rsidR="00B87FC5">
        <w:t xml:space="preserve"> </w:t>
      </w:r>
      <w:r w:rsidR="00294F17">
        <w:t xml:space="preserve">enjoyed </w:t>
      </w:r>
      <w:r w:rsidR="00B87FC5">
        <w:t>no power or privileges except as were expressly conferred</w:t>
      </w:r>
      <w:r w:rsidR="00382901">
        <w:t xml:space="preserve">.  And </w:t>
      </w:r>
      <w:r w:rsidR="00B87FC5">
        <w:t xml:space="preserve">a preferent right </w:t>
      </w:r>
      <w:r w:rsidR="0026771E">
        <w:t xml:space="preserve">over other creditors </w:t>
      </w:r>
      <w:r w:rsidR="00B87FC5">
        <w:t>was not</w:t>
      </w:r>
      <w:r w:rsidR="00C253CD">
        <w:t xml:space="preserve"> among</w:t>
      </w:r>
      <w:r w:rsidR="0026771E">
        <w:t xml:space="preserve"> these</w:t>
      </w:r>
      <w:r w:rsidR="00B87FC5">
        <w:t>.</w:t>
      </w:r>
      <w:r w:rsidR="00B87FC5">
        <w:rPr>
          <w:rStyle w:val="FootnoteReference"/>
        </w:rPr>
        <w:footnoteReference w:id="33"/>
      </w:r>
      <w:r w:rsidR="0026771E">
        <w:t xml:space="preserve">  This decision was con</w:t>
      </w:r>
      <w:r w:rsidR="00D97520">
        <w:t>sistently endorsed</w:t>
      </w:r>
      <w:r w:rsidR="0026771E">
        <w:rPr>
          <w:rStyle w:val="FootnoteReference"/>
        </w:rPr>
        <w:footnoteReference w:id="34"/>
      </w:r>
      <w:r w:rsidR="00E961A4">
        <w:t xml:space="preserve"> and followed.</w:t>
      </w:r>
      <w:r w:rsidR="00062A1F">
        <w:rPr>
          <w:rStyle w:val="FootnoteReference"/>
        </w:rPr>
        <w:footnoteReference w:id="35"/>
      </w:r>
    </w:p>
    <w:p w:rsidR="0026771E" w:rsidRDefault="0026771E" w:rsidP="0026771E">
      <w:pPr>
        <w:pStyle w:val="JUDGMENTCONTINUED"/>
      </w:pPr>
    </w:p>
    <w:p w:rsidR="0026771E" w:rsidRDefault="00592978" w:rsidP="002C5001">
      <w:pPr>
        <w:pStyle w:val="JUDGMENTNUMBERED"/>
      </w:pPr>
      <w:r>
        <w:t>The</w:t>
      </w:r>
      <w:r w:rsidR="00D97520">
        <w:t xml:space="preserve"> legislative respon</w:t>
      </w:r>
      <w:r>
        <w:t xml:space="preserve">se </w:t>
      </w:r>
      <w:r w:rsidR="00D97520">
        <w:t xml:space="preserve">to these </w:t>
      </w:r>
      <w:r>
        <w:t xml:space="preserve">Cape decisions </w:t>
      </w:r>
      <w:r w:rsidR="00D97520">
        <w:t>was to introduce a restraint on transfer until municipalities certified that outstanding municipal debts had been paid.</w:t>
      </w:r>
      <w:r w:rsidR="00D97520">
        <w:rPr>
          <w:rStyle w:val="FootnoteReference"/>
        </w:rPr>
        <w:footnoteReference w:id="36"/>
      </w:r>
      <w:r w:rsidR="00D97520">
        <w:t xml:space="preserve"> </w:t>
      </w:r>
      <w:r w:rsidR="002B10B3">
        <w:t xml:space="preserve"> </w:t>
      </w:r>
      <w:r w:rsidR="00D97520">
        <w:t xml:space="preserve">These provisions </w:t>
      </w:r>
      <w:r>
        <w:t xml:space="preserve">expressly empowered </w:t>
      </w:r>
      <w:r w:rsidR="00E961A4">
        <w:t xml:space="preserve">a municipality </w:t>
      </w:r>
      <w:r>
        <w:t xml:space="preserve">to </w:t>
      </w:r>
      <w:r w:rsidR="000858C8">
        <w:t>embargo</w:t>
      </w:r>
      <w:r w:rsidR="008276ED">
        <w:rPr>
          <w:rStyle w:val="FootnoteReference"/>
        </w:rPr>
        <w:footnoteReference w:id="37"/>
      </w:r>
      <w:r w:rsidR="000858C8">
        <w:t xml:space="preserve"> </w:t>
      </w:r>
      <w:r>
        <w:t xml:space="preserve">transfer of </w:t>
      </w:r>
      <w:r>
        <w:lastRenderedPageBreak/>
        <w:t xml:space="preserve">property within </w:t>
      </w:r>
      <w:r w:rsidR="0070113C">
        <w:t xml:space="preserve">its </w:t>
      </w:r>
      <w:r>
        <w:t xml:space="preserve">jurisdiction until </w:t>
      </w:r>
      <w:r w:rsidR="0070113C">
        <w:t xml:space="preserve">it </w:t>
      </w:r>
      <w:r w:rsidR="007E7039">
        <w:t>furnished</w:t>
      </w:r>
      <w:r>
        <w:t xml:space="preserve"> a certificate that arrear rates had been paid.</w:t>
      </w:r>
      <w:r>
        <w:rPr>
          <w:rStyle w:val="FootnoteReference"/>
        </w:rPr>
        <w:footnoteReference w:id="38"/>
      </w:r>
      <w:r>
        <w:t xml:space="preserve">  This</w:t>
      </w:r>
      <w:r w:rsidR="001E76D7">
        <w:t xml:space="preserve"> is</w:t>
      </w:r>
      <w:r>
        <w:t xml:space="preserve"> the </w:t>
      </w:r>
      <w:r w:rsidR="001E76D7">
        <w:t xml:space="preserve">apparent </w:t>
      </w:r>
      <w:r>
        <w:t>origin of section 118(1) of the present Act, which</w:t>
      </w:r>
      <w:r w:rsidR="00EA7858">
        <w:t xml:space="preserve"> prohibits transfer of property without a certificate issued by the municipality certifying that all municipal debts due in connection with that property during the preceding two years of application for the certificate “have been fully paid”</w:t>
      </w:r>
      <w:r>
        <w:t>.</w:t>
      </w:r>
      <w:r w:rsidR="00EA7858">
        <w:rPr>
          <w:rStyle w:val="FootnoteReference"/>
        </w:rPr>
        <w:footnoteReference w:id="39"/>
      </w:r>
    </w:p>
    <w:p w:rsidR="0070113C" w:rsidRDefault="0070113C" w:rsidP="0070113C">
      <w:pPr>
        <w:pStyle w:val="JUDGMENTCONTINUED"/>
      </w:pPr>
    </w:p>
    <w:p w:rsidR="00AD1AE2" w:rsidRDefault="0091672E" w:rsidP="0070113C">
      <w:pPr>
        <w:pStyle w:val="JUDGMENTNUMBERED"/>
      </w:pPr>
      <w:r>
        <w:t xml:space="preserve">The </w:t>
      </w:r>
      <w:r w:rsidR="00F7684E">
        <w:t xml:space="preserve">municipalities’ </w:t>
      </w:r>
      <w:r w:rsidR="004B1461">
        <w:t xml:space="preserve">embargo power </w:t>
      </w:r>
      <w:r w:rsidR="00B0576A">
        <w:t xml:space="preserve">was </w:t>
      </w:r>
      <w:r w:rsidR="002B103A">
        <w:t xml:space="preserve">thought, </w:t>
      </w:r>
      <w:r>
        <w:t xml:space="preserve">on </w:t>
      </w:r>
      <w:r w:rsidR="000705B9">
        <w:t xml:space="preserve">distinguished </w:t>
      </w:r>
      <w:r>
        <w:t>authority</w:t>
      </w:r>
      <w:r w:rsidR="002B103A">
        <w:t xml:space="preserve">, </w:t>
      </w:r>
      <w:r w:rsidR="00B0576A">
        <w:t xml:space="preserve">to afford </w:t>
      </w:r>
      <w:r w:rsidR="00AD1AE2">
        <w:t xml:space="preserve">them </w:t>
      </w:r>
      <w:r w:rsidR="004B1461">
        <w:t>preference over other creditors.</w:t>
      </w:r>
      <w:r w:rsidR="004B1461">
        <w:rPr>
          <w:rStyle w:val="FootnoteReference"/>
        </w:rPr>
        <w:footnoteReference w:id="40"/>
      </w:r>
      <w:r w:rsidR="004B1461">
        <w:t xml:space="preserve">  But </w:t>
      </w:r>
      <w:r w:rsidR="00B76C8B">
        <w:t>in 1926</w:t>
      </w:r>
      <w:r w:rsidR="00D472B4">
        <w:t>,</w:t>
      </w:r>
      <w:r w:rsidR="00B76C8B">
        <w:t xml:space="preserve"> </w:t>
      </w:r>
      <w:r w:rsidR="004B1461">
        <w:t xml:space="preserve">the full court of the Transvaal Provincial Division </w:t>
      </w:r>
      <w:r>
        <w:t xml:space="preserve">decisively </w:t>
      </w:r>
      <w:r w:rsidR="004B1461">
        <w:t>re</w:t>
      </w:r>
      <w:r w:rsidR="00105951">
        <w:t>fu</w:t>
      </w:r>
      <w:r w:rsidR="000705B9">
        <w:t>ted</w:t>
      </w:r>
      <w:r w:rsidR="004B1461">
        <w:t xml:space="preserve"> this.</w:t>
      </w:r>
      <w:r w:rsidR="004B1461">
        <w:rPr>
          <w:rStyle w:val="FootnoteReference"/>
        </w:rPr>
        <w:footnoteReference w:id="41"/>
      </w:r>
      <w:r w:rsidR="004B1461">
        <w:t xml:space="preserve">  </w:t>
      </w:r>
      <w:r w:rsidR="00AD1AE2">
        <w:t xml:space="preserve">It held that the municipalities’ </w:t>
      </w:r>
      <w:r w:rsidR="00AD1AE2">
        <w:lastRenderedPageBreak/>
        <w:t>power to prevent transfer until arrear rates had been paid did not constitute a claim ranking in priority to a mortgage bond registered over the premises.</w:t>
      </w:r>
      <w:r w:rsidR="00B0576A">
        <w:t xml:space="preserve">  </w:t>
      </w:r>
      <w:r w:rsidR="00B76C8B">
        <w:t>The Court held o</w:t>
      </w:r>
      <w:r w:rsidR="00CE16CD">
        <w:t xml:space="preserve">ne could go no further than saying that the result of the </w:t>
      </w:r>
      <w:r w:rsidR="00B76C8B">
        <w:t xml:space="preserve">provision </w:t>
      </w:r>
      <w:r w:rsidR="00FB30D7">
        <w:t>wa</w:t>
      </w:r>
      <w:r w:rsidR="00CE16CD">
        <w:t xml:space="preserve">s </w:t>
      </w:r>
      <w:r w:rsidR="00FB30D7">
        <w:t>“</w:t>
      </w:r>
      <w:r w:rsidR="00CE16CD">
        <w:t>in effect to create a preference</w:t>
      </w:r>
      <w:r w:rsidR="00FB30D7">
        <w:t>”</w:t>
      </w:r>
      <w:r w:rsidR="008C672B">
        <w:t xml:space="preserve"> of sorts,</w:t>
      </w:r>
      <w:r w:rsidR="00CE16CD">
        <w:t xml:space="preserve"> “something not wholly in the nature of a lien or a hypothec but </w:t>
      </w:r>
      <w:r w:rsidR="004221C0" w:rsidRPr="004221C0">
        <w:rPr>
          <w:i/>
        </w:rPr>
        <w:t>sui generis</w:t>
      </w:r>
      <w:r w:rsidR="00CE16CD">
        <w:t>”.</w:t>
      </w:r>
      <w:r w:rsidR="00CE16CD">
        <w:rPr>
          <w:rStyle w:val="FootnoteReference"/>
        </w:rPr>
        <w:footnoteReference w:id="42"/>
      </w:r>
      <w:r w:rsidR="00CE16CD">
        <w:t xml:space="preserve">  This </w:t>
      </w:r>
      <w:r w:rsidR="00B0576A">
        <w:t>conclusion flowed in part from the “extraordinary results”</w:t>
      </w:r>
      <w:r w:rsidR="00B0576A">
        <w:rPr>
          <w:rStyle w:val="FootnoteReference"/>
        </w:rPr>
        <w:footnoteReference w:id="43"/>
      </w:r>
      <w:r w:rsidR="00D37B0D">
        <w:t xml:space="preserve"> the Court considered would follow from granting municipalities priority over all other creditors.</w:t>
      </w:r>
      <w:r w:rsidR="00D37B0D">
        <w:rPr>
          <w:rStyle w:val="FootnoteReference"/>
        </w:rPr>
        <w:footnoteReference w:id="44"/>
      </w:r>
    </w:p>
    <w:p w:rsidR="00B0576A" w:rsidRPr="00B0576A" w:rsidRDefault="00B0576A" w:rsidP="00B0576A">
      <w:pPr>
        <w:pStyle w:val="JUDGMENTCONTINUED"/>
      </w:pPr>
    </w:p>
    <w:p w:rsidR="00F62FDC" w:rsidRPr="007238BA" w:rsidRDefault="00F62FDC" w:rsidP="00F62FDC">
      <w:pPr>
        <w:pStyle w:val="JUDGMENTNUMBERED"/>
      </w:pPr>
      <w:r w:rsidRPr="00AB54FF">
        <w:t xml:space="preserve">The phrase “charge upon the property” </w:t>
      </w:r>
      <w:r w:rsidR="00392FD3">
        <w:t xml:space="preserve">in the </w:t>
      </w:r>
      <w:r w:rsidR="00FB30D7">
        <w:t xml:space="preserve">present </w:t>
      </w:r>
      <w:r w:rsidR="00392FD3">
        <w:t xml:space="preserve">Act </w:t>
      </w:r>
      <w:r w:rsidRPr="00AB54FF">
        <w:t xml:space="preserve">has its statutory roots in </w:t>
      </w:r>
      <w:r w:rsidR="003A700B">
        <w:t>section 50</w:t>
      </w:r>
      <w:r w:rsidR="001129D9">
        <w:rPr>
          <w:rStyle w:val="FootnoteReference"/>
        </w:rPr>
        <w:footnoteReference w:id="45"/>
      </w:r>
      <w:r w:rsidR="003A700B">
        <w:t xml:space="preserve"> </w:t>
      </w:r>
      <w:r w:rsidR="00A52F4D">
        <w:t xml:space="preserve">of </w:t>
      </w:r>
      <w:r w:rsidRPr="00AB54FF">
        <w:t xml:space="preserve">the </w:t>
      </w:r>
      <w:r w:rsidR="003A700B">
        <w:t xml:space="preserve">1939 </w:t>
      </w:r>
      <w:r w:rsidRPr="00AB54FF">
        <w:t xml:space="preserve">Transvaal Local Government </w:t>
      </w:r>
      <w:r w:rsidRPr="0073607D">
        <w:t>Ordinance</w:t>
      </w:r>
      <w:r w:rsidR="00506AA0">
        <w:t>.</w:t>
      </w:r>
      <w:r w:rsidR="001D1BC5">
        <w:rPr>
          <w:rStyle w:val="FootnoteReference"/>
        </w:rPr>
        <w:footnoteReference w:id="46"/>
      </w:r>
      <w:r w:rsidRPr="0073607D">
        <w:t xml:space="preserve"> </w:t>
      </w:r>
      <w:r w:rsidR="00506AA0">
        <w:t xml:space="preserve"> This </w:t>
      </w:r>
      <w:r w:rsidRPr="00AB54FF">
        <w:t xml:space="preserve">imposed “a charge upon the premises” in </w:t>
      </w:r>
      <w:r w:rsidR="003A700B">
        <w:t>respect of rates and taxes owed</w:t>
      </w:r>
      <w:r w:rsidR="003A700B">
        <w:rPr>
          <w:rStyle w:val="FootnoteReference"/>
        </w:rPr>
        <w:footnoteReference w:id="47"/>
      </w:r>
      <w:r w:rsidR="003A700B">
        <w:t xml:space="preserve"> – though t</w:t>
      </w:r>
      <w:r w:rsidR="00506AA0">
        <w:t xml:space="preserve">he effect of the </w:t>
      </w:r>
      <w:r w:rsidRPr="00AB54FF">
        <w:t>provision</w:t>
      </w:r>
      <w:r w:rsidR="00506AA0">
        <w:t xml:space="preserve"> was</w:t>
      </w:r>
      <w:r w:rsidRPr="00AB54FF">
        <w:t xml:space="preserve"> limited to the rates due for </w:t>
      </w:r>
      <w:r>
        <w:t xml:space="preserve">two </w:t>
      </w:r>
      <w:r w:rsidR="00AE200D">
        <w:t>(later three)</w:t>
      </w:r>
      <w:r w:rsidR="00AE200D">
        <w:rPr>
          <w:rStyle w:val="FootnoteReference"/>
        </w:rPr>
        <w:footnoteReference w:id="48"/>
      </w:r>
      <w:r w:rsidR="00AE200D">
        <w:t xml:space="preserve"> </w:t>
      </w:r>
      <w:r w:rsidRPr="00AB54FF">
        <w:t xml:space="preserve">years preceding the </w:t>
      </w:r>
      <w:r w:rsidRPr="00AB54FF">
        <w:lastRenderedPageBreak/>
        <w:t>date of application for transfer.</w:t>
      </w:r>
      <w:r w:rsidR="00F61D4C">
        <w:rPr>
          <w:rStyle w:val="FootnoteReference"/>
        </w:rPr>
        <w:footnoteReference w:id="49"/>
      </w:r>
      <w:r w:rsidRPr="00AB54FF">
        <w:t xml:space="preserve">  </w:t>
      </w:r>
      <w:r w:rsidR="007238BA">
        <w:t>But the Ordinance</w:t>
      </w:r>
      <w:r w:rsidR="001C1425">
        <w:t>, in particular section 50,</w:t>
      </w:r>
      <w:r w:rsidR="007238BA">
        <w:t xml:space="preserve"> contained a second important </w:t>
      </w:r>
      <w:r w:rsidR="00030B10">
        <w:t>feature</w:t>
      </w:r>
      <w:r w:rsidR="007238BA">
        <w:t xml:space="preserve"> that neutralised the 1926 full court decision</w:t>
      </w:r>
      <w:r w:rsidR="00073E80">
        <w:t>.</w:t>
      </w:r>
      <w:r w:rsidR="00506AA0">
        <w:t xml:space="preserve"> </w:t>
      </w:r>
      <w:r w:rsidR="00534495">
        <w:t xml:space="preserve"> </w:t>
      </w:r>
      <w:r w:rsidR="00801101">
        <w:t xml:space="preserve">It </w:t>
      </w:r>
      <w:r>
        <w:t xml:space="preserve">provided </w:t>
      </w:r>
      <w:r w:rsidR="00F23DE4">
        <w:t xml:space="preserve">that a municipality’s claim for </w:t>
      </w:r>
      <w:r w:rsidR="00B63658">
        <w:t xml:space="preserve">the amounts owing </w:t>
      </w:r>
      <w:r w:rsidR="00534495">
        <w:t xml:space="preserve">would </w:t>
      </w:r>
      <w:r w:rsidR="00534495" w:rsidRPr="007238BA">
        <w:t>be</w:t>
      </w:r>
      <w:r w:rsidRPr="007238BA">
        <w:t xml:space="preserve"> </w:t>
      </w:r>
      <w:r w:rsidR="00534495" w:rsidRPr="007238BA">
        <w:t>“</w:t>
      </w:r>
      <w:r w:rsidRPr="007238BA">
        <w:t xml:space="preserve">preferent to any mortgage bond </w:t>
      </w:r>
      <w:r w:rsidR="00B63658">
        <w:t>passed over such property</w:t>
      </w:r>
      <w:r w:rsidR="008B3BD5" w:rsidRPr="007238BA">
        <w:t>”</w:t>
      </w:r>
      <w:r w:rsidR="00392FD3" w:rsidRPr="007238BA">
        <w:t>.</w:t>
      </w:r>
      <w:r w:rsidR="00801101" w:rsidRPr="007238BA">
        <w:rPr>
          <w:rStyle w:val="FootnoteReference"/>
        </w:rPr>
        <w:footnoteReference w:id="50"/>
      </w:r>
      <w:r w:rsidR="00083077" w:rsidRPr="007238BA">
        <w:t xml:space="preserve">  From 1939, municipalities thus had a double-weaponed arsenal: embargo plus </w:t>
      </w:r>
      <w:proofErr w:type="spellStart"/>
      <w:r w:rsidR="00B63658">
        <w:t>preferent</w:t>
      </w:r>
      <w:proofErr w:type="spellEnd"/>
      <w:r w:rsidR="00B63658">
        <w:t xml:space="preserve"> charge</w:t>
      </w:r>
      <w:r w:rsidR="00083077" w:rsidRPr="007238BA">
        <w:t>.</w:t>
      </w:r>
    </w:p>
    <w:p w:rsidR="00742EB4" w:rsidRPr="00742EB4" w:rsidRDefault="00742EB4" w:rsidP="00742EB4">
      <w:pPr>
        <w:pStyle w:val="JUDGMENTCONTINUED"/>
      </w:pPr>
    </w:p>
    <w:p w:rsidR="00F62FDC" w:rsidRDefault="00F62FDC" w:rsidP="000C330A">
      <w:pPr>
        <w:pStyle w:val="JUDGMENTNUMBERED"/>
        <w:rPr>
          <w:szCs w:val="26"/>
        </w:rPr>
      </w:pPr>
      <w:r>
        <w:t xml:space="preserve">Section 50(3) of the </w:t>
      </w:r>
      <w:r w:rsidR="00534495">
        <w:t xml:space="preserve">1939 </w:t>
      </w:r>
      <w:r>
        <w:t>Ordinance</w:t>
      </w:r>
      <w:r w:rsidRPr="00AB54FF">
        <w:t xml:space="preserve"> differed signal</w:t>
      </w:r>
      <w:r w:rsidR="001801EA">
        <w:t>ly</w:t>
      </w:r>
      <w:r w:rsidRPr="00AB54FF">
        <w:t xml:space="preserve"> from section</w:t>
      </w:r>
      <w:r w:rsidR="00C22D9F">
        <w:t> </w:t>
      </w:r>
      <w:r w:rsidRPr="00AB54FF">
        <w:t>118(3)</w:t>
      </w:r>
      <w:r w:rsidR="000C330A">
        <w:t>.</w:t>
      </w:r>
      <w:r w:rsidR="00644CB6">
        <w:rPr>
          <w:rStyle w:val="FootnoteReference"/>
        </w:rPr>
        <w:footnoteReference w:id="51"/>
      </w:r>
      <w:r w:rsidR="000C330A">
        <w:t xml:space="preserve">  </w:t>
      </w:r>
      <w:r w:rsidR="001801EA">
        <w:rPr>
          <w:szCs w:val="26"/>
        </w:rPr>
        <w:t xml:space="preserve">Its operation </w:t>
      </w:r>
      <w:r w:rsidR="001801EA" w:rsidRPr="000C330A">
        <w:rPr>
          <w:szCs w:val="26"/>
        </w:rPr>
        <w:t xml:space="preserve">was expressly </w:t>
      </w:r>
      <w:r w:rsidR="001801EA">
        <w:rPr>
          <w:szCs w:val="26"/>
        </w:rPr>
        <w:t xml:space="preserve">limited </w:t>
      </w:r>
      <w:r w:rsidR="001801EA" w:rsidRPr="000C330A">
        <w:rPr>
          <w:szCs w:val="26"/>
        </w:rPr>
        <w:t xml:space="preserve">to </w:t>
      </w:r>
      <w:r w:rsidR="001801EA">
        <w:rPr>
          <w:szCs w:val="26"/>
        </w:rPr>
        <w:t xml:space="preserve">“any amount due” under </w:t>
      </w:r>
      <w:r w:rsidR="001801EA" w:rsidRPr="000C330A">
        <w:rPr>
          <w:szCs w:val="26"/>
        </w:rPr>
        <w:t>the embargo provision in section 50(1)</w:t>
      </w:r>
      <w:r w:rsidR="001801EA">
        <w:rPr>
          <w:szCs w:val="26"/>
        </w:rPr>
        <w:t>.  Th</w:t>
      </w:r>
      <w:r w:rsidR="00E34AB6">
        <w:rPr>
          <w:szCs w:val="26"/>
        </w:rPr>
        <w:t xml:space="preserve">e </w:t>
      </w:r>
      <w:r w:rsidR="007D0BAA">
        <w:rPr>
          <w:szCs w:val="26"/>
        </w:rPr>
        <w:t xml:space="preserve">embargo and the </w:t>
      </w:r>
      <w:r w:rsidR="00073E80">
        <w:rPr>
          <w:szCs w:val="26"/>
        </w:rPr>
        <w:t xml:space="preserve">preferent charge </w:t>
      </w:r>
      <w:r w:rsidR="00E34AB6">
        <w:rPr>
          <w:szCs w:val="26"/>
        </w:rPr>
        <w:t>were conjoined.  Th</w:t>
      </w:r>
      <w:r w:rsidR="001801EA">
        <w:rPr>
          <w:szCs w:val="26"/>
        </w:rPr>
        <w:t xml:space="preserve">is had two consequences.  First, the provision </w:t>
      </w:r>
      <w:r w:rsidRPr="000C330A">
        <w:rPr>
          <w:szCs w:val="26"/>
        </w:rPr>
        <w:t xml:space="preserve">was limited to the rates due for a </w:t>
      </w:r>
      <w:r w:rsidR="009408FC">
        <w:rPr>
          <w:szCs w:val="26"/>
        </w:rPr>
        <w:t xml:space="preserve">specified </w:t>
      </w:r>
      <w:r w:rsidRPr="000C330A">
        <w:rPr>
          <w:szCs w:val="26"/>
        </w:rPr>
        <w:t xml:space="preserve">period </w:t>
      </w:r>
      <w:r w:rsidR="009408FC">
        <w:rPr>
          <w:szCs w:val="26"/>
        </w:rPr>
        <w:t>(</w:t>
      </w:r>
      <w:r w:rsidRPr="000C330A">
        <w:rPr>
          <w:szCs w:val="26"/>
        </w:rPr>
        <w:t>two and later three years</w:t>
      </w:r>
      <w:r w:rsidR="009408FC">
        <w:rPr>
          <w:szCs w:val="26"/>
        </w:rPr>
        <w:t>)</w:t>
      </w:r>
      <w:r w:rsidR="0070547E">
        <w:rPr>
          <w:rStyle w:val="FootnoteReference"/>
          <w:szCs w:val="26"/>
        </w:rPr>
        <w:footnoteReference w:id="52"/>
      </w:r>
      <w:r w:rsidR="001801EA">
        <w:rPr>
          <w:szCs w:val="26"/>
        </w:rPr>
        <w:t xml:space="preserve"> </w:t>
      </w:r>
      <w:r w:rsidR="001801EA" w:rsidRPr="000C330A">
        <w:rPr>
          <w:szCs w:val="26"/>
        </w:rPr>
        <w:t>preceding the date of application for transfer</w:t>
      </w:r>
      <w:r w:rsidR="001801EA">
        <w:rPr>
          <w:szCs w:val="26"/>
        </w:rPr>
        <w:t>.</w:t>
      </w:r>
      <w:r w:rsidR="00534495">
        <w:rPr>
          <w:szCs w:val="26"/>
        </w:rPr>
        <w:t xml:space="preserve">  </w:t>
      </w:r>
      <w:r w:rsidR="006F682D">
        <w:rPr>
          <w:szCs w:val="26"/>
        </w:rPr>
        <w:t xml:space="preserve">The retrospective period of the </w:t>
      </w:r>
      <w:r w:rsidR="007C5693">
        <w:rPr>
          <w:szCs w:val="26"/>
        </w:rPr>
        <w:t xml:space="preserve">municipalities’ </w:t>
      </w:r>
      <w:r w:rsidR="006F682D">
        <w:rPr>
          <w:szCs w:val="26"/>
        </w:rPr>
        <w:t xml:space="preserve">claim was not indefinite.  </w:t>
      </w:r>
      <w:r w:rsidR="000C330A">
        <w:rPr>
          <w:szCs w:val="26"/>
        </w:rPr>
        <w:t>Second,</w:t>
      </w:r>
      <w:r w:rsidR="001801EA">
        <w:rPr>
          <w:szCs w:val="26"/>
        </w:rPr>
        <w:t xml:space="preserve"> because the embargo operated </w:t>
      </w:r>
      <w:r w:rsidR="00212948">
        <w:rPr>
          <w:szCs w:val="26"/>
        </w:rPr>
        <w:t xml:space="preserve">only </w:t>
      </w:r>
      <w:r w:rsidR="001801EA">
        <w:rPr>
          <w:szCs w:val="26"/>
        </w:rPr>
        <w:t xml:space="preserve">until the arrears were paid, there was no question </w:t>
      </w:r>
      <w:r w:rsidR="00AC433B">
        <w:rPr>
          <w:szCs w:val="26"/>
        </w:rPr>
        <w:t xml:space="preserve">that </w:t>
      </w:r>
      <w:r w:rsidR="001801EA">
        <w:rPr>
          <w:szCs w:val="26"/>
        </w:rPr>
        <w:t>the “charge” surviv</w:t>
      </w:r>
      <w:r w:rsidR="00AC433B">
        <w:rPr>
          <w:szCs w:val="26"/>
        </w:rPr>
        <w:t>ed</w:t>
      </w:r>
      <w:r w:rsidR="001801EA">
        <w:rPr>
          <w:szCs w:val="26"/>
        </w:rPr>
        <w:t xml:space="preserve"> transfer</w:t>
      </w:r>
      <w:r w:rsidRPr="000C330A">
        <w:rPr>
          <w:szCs w:val="26"/>
        </w:rPr>
        <w:t>.</w:t>
      </w:r>
      <w:r w:rsidR="00F33A9B">
        <w:rPr>
          <w:rStyle w:val="FootnoteReference"/>
          <w:szCs w:val="26"/>
        </w:rPr>
        <w:footnoteReference w:id="53"/>
      </w:r>
      <w:r w:rsidR="007257EC">
        <w:rPr>
          <w:szCs w:val="26"/>
        </w:rPr>
        <w:t xml:space="preserve">  Only the original owner was on the line.</w:t>
      </w:r>
    </w:p>
    <w:p w:rsidR="00534495" w:rsidRPr="00534495" w:rsidRDefault="00534495" w:rsidP="00534495">
      <w:pPr>
        <w:pStyle w:val="JUDGMENTCONTINUED"/>
      </w:pPr>
    </w:p>
    <w:p w:rsidR="00F62FDC" w:rsidRDefault="00F62FDC" w:rsidP="002C5001">
      <w:pPr>
        <w:pStyle w:val="JUDGMENTNUMBERED"/>
      </w:pPr>
      <w:r w:rsidRPr="00AB54FF">
        <w:t>T</w:t>
      </w:r>
      <w:r w:rsidR="00F23FD3">
        <w:t>h</w:t>
      </w:r>
      <w:r w:rsidRPr="00AB54FF">
        <w:t>e</w:t>
      </w:r>
      <w:r>
        <w:t xml:space="preserve">se features </w:t>
      </w:r>
      <w:r w:rsidR="0092771F" w:rsidRPr="00AB54FF">
        <w:t>of the pre-constitutional provi</w:t>
      </w:r>
      <w:r w:rsidR="0092771F">
        <w:t xml:space="preserve">sions </w:t>
      </w:r>
      <w:r>
        <w:t xml:space="preserve">– the </w:t>
      </w:r>
      <w:r w:rsidRPr="00AB54FF">
        <w:t xml:space="preserve">time limitation and the embargo link </w:t>
      </w:r>
      <w:r>
        <w:t>–</w:t>
      </w:r>
      <w:r w:rsidR="00F23FD3">
        <w:t xml:space="preserve"> meant </w:t>
      </w:r>
      <w:r w:rsidRPr="00AB54FF">
        <w:t xml:space="preserve">that, once the outstanding charges had been paid to </w:t>
      </w:r>
      <w:r w:rsidR="0018725D">
        <w:t xml:space="preserve">secure </w:t>
      </w:r>
      <w:r w:rsidRPr="00AB54FF">
        <w:t>transfer</w:t>
      </w:r>
      <w:r w:rsidR="00AC433B">
        <w:t xml:space="preserve"> to the new owner</w:t>
      </w:r>
      <w:r w:rsidRPr="00AB54FF">
        <w:t xml:space="preserve">, the charge </w:t>
      </w:r>
      <w:r w:rsidR="00B77F85">
        <w:t xml:space="preserve">lost its force.  It </w:t>
      </w:r>
      <w:r w:rsidRPr="00AB54FF">
        <w:t xml:space="preserve">no longer </w:t>
      </w:r>
      <w:r w:rsidR="00F33A9B">
        <w:t>operated.</w:t>
      </w:r>
      <w:r w:rsidRPr="008F6BE6">
        <w:t xml:space="preserve"> </w:t>
      </w:r>
      <w:r w:rsidR="00474701">
        <w:t xml:space="preserve"> </w:t>
      </w:r>
      <w:r w:rsidR="007257EC">
        <w:t xml:space="preserve">The </w:t>
      </w:r>
      <w:r w:rsidRPr="00AB54FF">
        <w:t xml:space="preserve">effect </w:t>
      </w:r>
      <w:r w:rsidRPr="00AB54FF">
        <w:lastRenderedPageBreak/>
        <w:t xml:space="preserve">was to </w:t>
      </w:r>
      <w:r>
        <w:t xml:space="preserve">vest responsibility for municipal property-related debts in the </w:t>
      </w:r>
      <w:r w:rsidRPr="00AB54FF">
        <w:t>owner at the time the</w:t>
      </w:r>
      <w:r>
        <w:t>y</w:t>
      </w:r>
      <w:r w:rsidRPr="00AB54FF">
        <w:t xml:space="preserve"> were incurred</w:t>
      </w:r>
      <w:r>
        <w:t>,</w:t>
      </w:r>
      <w:r w:rsidRPr="00AB54FF">
        <w:t xml:space="preserve"> and</w:t>
      </w:r>
      <w:r w:rsidR="009D71CD">
        <w:t xml:space="preserve"> no one else</w:t>
      </w:r>
      <w:r w:rsidRPr="00AB54FF">
        <w:t>.</w:t>
      </w:r>
    </w:p>
    <w:p w:rsidR="00773655" w:rsidRDefault="00773655" w:rsidP="00773655">
      <w:pPr>
        <w:pStyle w:val="JUDGMENTCONTINUED"/>
      </w:pPr>
    </w:p>
    <w:p w:rsidR="007257EC" w:rsidRPr="007257EC" w:rsidRDefault="00773655" w:rsidP="00212948">
      <w:pPr>
        <w:pStyle w:val="JUDGMENTNUMBERED"/>
      </w:pPr>
      <w:r>
        <w:t xml:space="preserve">Section </w:t>
      </w:r>
      <w:r w:rsidR="00F62FDC" w:rsidRPr="00AB54FF">
        <w:t>118(3)</w:t>
      </w:r>
      <w:r w:rsidR="00023BB9">
        <w:t xml:space="preserve"> </w:t>
      </w:r>
      <w:r w:rsidR="00F62FDC">
        <w:t>took effect on 1 March 2001</w:t>
      </w:r>
      <w:r w:rsidR="00023BB9">
        <w:t>.</w:t>
      </w:r>
      <w:r w:rsidR="009355C3">
        <w:rPr>
          <w:rStyle w:val="FootnoteReference"/>
        </w:rPr>
        <w:footnoteReference w:id="54"/>
      </w:r>
      <w:r w:rsidR="00023BB9">
        <w:t xml:space="preserve">  </w:t>
      </w:r>
      <w:r w:rsidR="00F23FD3">
        <w:t>Against the</w:t>
      </w:r>
      <w:r w:rsidR="00023BB9">
        <w:t xml:space="preserve"> </w:t>
      </w:r>
      <w:r w:rsidR="00023BB9" w:rsidRPr="00AB54FF">
        <w:t xml:space="preserve">background </w:t>
      </w:r>
      <w:r w:rsidR="00F23FD3">
        <w:t>of its predecessors,</w:t>
      </w:r>
      <w:r w:rsidR="00CB0D98">
        <w:rPr>
          <w:rStyle w:val="FootnoteReference"/>
        </w:rPr>
        <w:footnoteReference w:id="55"/>
      </w:r>
      <w:r w:rsidR="00F23FD3">
        <w:t xml:space="preserve"> its </w:t>
      </w:r>
      <w:r w:rsidR="00023BB9">
        <w:t xml:space="preserve">enactment </w:t>
      </w:r>
      <w:r w:rsidR="007257EC">
        <w:t xml:space="preserve">appeared to signal </w:t>
      </w:r>
      <w:r>
        <w:t>a radical departure.</w:t>
      </w:r>
      <w:r w:rsidR="00212948">
        <w:t xml:space="preserve">  </w:t>
      </w:r>
      <w:r w:rsidR="009A5043" w:rsidRPr="00212948">
        <w:rPr>
          <w:szCs w:val="26"/>
        </w:rPr>
        <w:t>Th</w:t>
      </w:r>
      <w:r w:rsidR="00914C07">
        <w:rPr>
          <w:szCs w:val="26"/>
        </w:rPr>
        <w:t xml:space="preserve">is </w:t>
      </w:r>
      <w:r w:rsidR="00391951">
        <w:rPr>
          <w:szCs w:val="26"/>
        </w:rPr>
        <w:t>is</w:t>
      </w:r>
      <w:r w:rsidR="00914C07">
        <w:rPr>
          <w:szCs w:val="26"/>
        </w:rPr>
        <w:t xml:space="preserve"> because the </w:t>
      </w:r>
      <w:r w:rsidR="009A5043" w:rsidRPr="00212948">
        <w:rPr>
          <w:szCs w:val="26"/>
        </w:rPr>
        <w:t>provision</w:t>
      </w:r>
      <w:r w:rsidR="00015F87">
        <w:rPr>
          <w:szCs w:val="26"/>
        </w:rPr>
        <w:t>,</w:t>
      </w:r>
      <w:r w:rsidR="009A5043" w:rsidRPr="00212948">
        <w:rPr>
          <w:szCs w:val="26"/>
        </w:rPr>
        <w:t xml:space="preserve"> </w:t>
      </w:r>
      <w:r w:rsidR="00391951">
        <w:rPr>
          <w:szCs w:val="26"/>
        </w:rPr>
        <w:t>though in the same section of the statute</w:t>
      </w:r>
      <w:r w:rsidR="00015F87">
        <w:rPr>
          <w:szCs w:val="26"/>
        </w:rPr>
        <w:t>,</w:t>
      </w:r>
      <w:r w:rsidR="00391951">
        <w:rPr>
          <w:szCs w:val="26"/>
        </w:rPr>
        <w:t xml:space="preserve"> </w:t>
      </w:r>
      <w:r w:rsidR="0065694B">
        <w:rPr>
          <w:szCs w:val="26"/>
        </w:rPr>
        <w:t>ev</w:t>
      </w:r>
      <w:r w:rsidR="009A5043" w:rsidRPr="00212948">
        <w:rPr>
          <w:szCs w:val="26"/>
        </w:rPr>
        <w:t>i</w:t>
      </w:r>
      <w:r w:rsidR="00391951">
        <w:rPr>
          <w:szCs w:val="26"/>
        </w:rPr>
        <w:t>nces</w:t>
      </w:r>
      <w:r w:rsidR="0065694B">
        <w:rPr>
          <w:szCs w:val="26"/>
        </w:rPr>
        <w:t xml:space="preserve"> no express </w:t>
      </w:r>
      <w:r w:rsidR="009A5043" w:rsidRPr="00212948">
        <w:rPr>
          <w:szCs w:val="26"/>
        </w:rPr>
        <w:t>link</w:t>
      </w:r>
      <w:r w:rsidR="0065694B">
        <w:rPr>
          <w:szCs w:val="26"/>
        </w:rPr>
        <w:t xml:space="preserve"> </w:t>
      </w:r>
      <w:r w:rsidR="008D49F5">
        <w:rPr>
          <w:szCs w:val="26"/>
        </w:rPr>
        <w:t xml:space="preserve">with </w:t>
      </w:r>
      <w:r w:rsidR="009A5043" w:rsidRPr="00212948">
        <w:rPr>
          <w:szCs w:val="26"/>
        </w:rPr>
        <w:t xml:space="preserve">the embargo </w:t>
      </w:r>
      <w:r w:rsidR="002A58B9">
        <w:rPr>
          <w:szCs w:val="26"/>
        </w:rPr>
        <w:t xml:space="preserve">in </w:t>
      </w:r>
      <w:r w:rsidR="0056600F">
        <w:rPr>
          <w:szCs w:val="26"/>
        </w:rPr>
        <w:t xml:space="preserve">the </w:t>
      </w:r>
      <w:r w:rsidR="006A5ADE">
        <w:rPr>
          <w:szCs w:val="26"/>
        </w:rPr>
        <w:t xml:space="preserve">earlier </w:t>
      </w:r>
      <w:r w:rsidR="0056600F">
        <w:rPr>
          <w:szCs w:val="26"/>
        </w:rPr>
        <w:t>subsection</w:t>
      </w:r>
      <w:r w:rsidR="009A5043" w:rsidRPr="00212948">
        <w:rPr>
          <w:szCs w:val="26"/>
        </w:rPr>
        <w:t>.</w:t>
      </w:r>
      <w:r w:rsidR="00391951">
        <w:rPr>
          <w:rStyle w:val="FootnoteReference"/>
          <w:szCs w:val="26"/>
        </w:rPr>
        <w:footnoteReference w:id="56"/>
      </w:r>
      <w:r w:rsidR="009A5043" w:rsidRPr="00212948">
        <w:rPr>
          <w:szCs w:val="26"/>
        </w:rPr>
        <w:t xml:space="preserve">  This has the consequence, first, as the Supreme Court of Appeal h</w:t>
      </w:r>
      <w:r w:rsidR="00A959BA">
        <w:rPr>
          <w:szCs w:val="26"/>
        </w:rPr>
        <w:t>eld</w:t>
      </w:r>
      <w:r w:rsidR="009A5043" w:rsidRPr="00212948">
        <w:rPr>
          <w:szCs w:val="26"/>
        </w:rPr>
        <w:t>,</w:t>
      </w:r>
      <w:r w:rsidR="009A5043">
        <w:rPr>
          <w:rStyle w:val="FootnoteReference"/>
          <w:szCs w:val="26"/>
        </w:rPr>
        <w:footnoteReference w:id="57"/>
      </w:r>
      <w:r w:rsidR="009A5043" w:rsidRPr="00212948">
        <w:rPr>
          <w:szCs w:val="26"/>
        </w:rPr>
        <w:t xml:space="preserve"> that the charge in </w:t>
      </w:r>
      <w:r w:rsidR="00A959BA">
        <w:rPr>
          <w:szCs w:val="26"/>
        </w:rPr>
        <w:t>sub</w:t>
      </w:r>
      <w:r w:rsidR="009A5043" w:rsidRPr="00212948">
        <w:rPr>
          <w:szCs w:val="26"/>
        </w:rPr>
        <w:t>section (3) operates independently of the embargo</w:t>
      </w:r>
      <w:r w:rsidR="00A959BA">
        <w:rPr>
          <w:szCs w:val="26"/>
        </w:rPr>
        <w:t xml:space="preserve"> in subsection (1)</w:t>
      </w:r>
      <w:r w:rsidR="009A5043" w:rsidRPr="00212948">
        <w:rPr>
          <w:szCs w:val="26"/>
        </w:rPr>
        <w:t xml:space="preserve">.  This means </w:t>
      </w:r>
      <w:r w:rsidR="00BE4E37">
        <w:rPr>
          <w:szCs w:val="26"/>
        </w:rPr>
        <w:t xml:space="preserve">the </w:t>
      </w:r>
      <w:r w:rsidRPr="00212948">
        <w:rPr>
          <w:szCs w:val="26"/>
        </w:rPr>
        <w:t xml:space="preserve">charge </w:t>
      </w:r>
      <w:r w:rsidR="002C4325" w:rsidRPr="00212948">
        <w:rPr>
          <w:szCs w:val="26"/>
        </w:rPr>
        <w:t xml:space="preserve">upon </w:t>
      </w:r>
      <w:r w:rsidR="00BD1F5F">
        <w:rPr>
          <w:szCs w:val="26"/>
        </w:rPr>
        <w:t xml:space="preserve">the </w:t>
      </w:r>
      <w:r w:rsidR="002C4325" w:rsidRPr="00212948">
        <w:rPr>
          <w:szCs w:val="26"/>
        </w:rPr>
        <w:t xml:space="preserve">property </w:t>
      </w:r>
      <w:r w:rsidR="00BE4E37">
        <w:rPr>
          <w:szCs w:val="26"/>
        </w:rPr>
        <w:t xml:space="preserve">has no </w:t>
      </w:r>
      <w:r w:rsidRPr="00212948">
        <w:rPr>
          <w:szCs w:val="26"/>
        </w:rPr>
        <w:t xml:space="preserve">express </w:t>
      </w:r>
      <w:r w:rsidR="00F62FDC" w:rsidRPr="00212948">
        <w:rPr>
          <w:szCs w:val="26"/>
        </w:rPr>
        <w:t>retrospective time limit</w:t>
      </w:r>
      <w:r w:rsidR="00BE4E37">
        <w:rPr>
          <w:szCs w:val="26"/>
        </w:rPr>
        <w:t xml:space="preserve"> on the debts it covers</w:t>
      </w:r>
      <w:r w:rsidR="00F62FDC" w:rsidRPr="00212948">
        <w:rPr>
          <w:szCs w:val="26"/>
        </w:rPr>
        <w:t xml:space="preserve">.  </w:t>
      </w:r>
      <w:r w:rsidR="00D97AEE" w:rsidRPr="0047546D">
        <w:rPr>
          <w:szCs w:val="26"/>
        </w:rPr>
        <w:t>The</w:t>
      </w:r>
      <w:r w:rsidR="00D97AEE">
        <w:rPr>
          <w:szCs w:val="26"/>
        </w:rPr>
        <w:t xml:space="preserve"> two-year time limit</w:t>
      </w:r>
      <w:r w:rsidR="0047546D">
        <w:rPr>
          <w:szCs w:val="26"/>
        </w:rPr>
        <w:t xml:space="preserve"> is absent</w:t>
      </w:r>
      <w:r w:rsidR="00D97AEE">
        <w:rPr>
          <w:szCs w:val="26"/>
        </w:rPr>
        <w:t>.</w:t>
      </w:r>
      <w:r w:rsidR="00D97AEE">
        <w:rPr>
          <w:rStyle w:val="FootnoteReference"/>
        </w:rPr>
        <w:footnoteReference w:id="58"/>
      </w:r>
      <w:r w:rsidR="00D97AEE">
        <w:rPr>
          <w:szCs w:val="26"/>
        </w:rPr>
        <w:t xml:space="preserve">  </w:t>
      </w:r>
      <w:r w:rsidR="00F62FDC" w:rsidRPr="00212948">
        <w:rPr>
          <w:szCs w:val="26"/>
        </w:rPr>
        <w:t xml:space="preserve">The charge </w:t>
      </w:r>
      <w:r w:rsidRPr="00212948">
        <w:rPr>
          <w:szCs w:val="26"/>
        </w:rPr>
        <w:t>takes effect in respect of all debts owed to the municipality that have not prescribed.</w:t>
      </w:r>
      <w:r>
        <w:rPr>
          <w:rStyle w:val="FootnoteReference"/>
          <w:szCs w:val="26"/>
        </w:rPr>
        <w:footnoteReference w:id="59"/>
      </w:r>
      <w:r w:rsidRPr="00212948">
        <w:rPr>
          <w:szCs w:val="26"/>
        </w:rPr>
        <w:t xml:space="preserve">  This may </w:t>
      </w:r>
      <w:r w:rsidR="00E64B83">
        <w:rPr>
          <w:szCs w:val="26"/>
        </w:rPr>
        <w:t xml:space="preserve">embrace </w:t>
      </w:r>
      <w:r w:rsidR="00F62FDC" w:rsidRPr="00212948">
        <w:rPr>
          <w:szCs w:val="26"/>
        </w:rPr>
        <w:t xml:space="preserve">the total </w:t>
      </w:r>
      <w:r w:rsidR="00E64B83">
        <w:rPr>
          <w:szCs w:val="26"/>
        </w:rPr>
        <w:t xml:space="preserve">of </w:t>
      </w:r>
      <w:r w:rsidR="00F62FDC" w:rsidRPr="00212948">
        <w:rPr>
          <w:szCs w:val="26"/>
        </w:rPr>
        <w:t>accumulat</w:t>
      </w:r>
      <w:r w:rsidR="00E64B83">
        <w:rPr>
          <w:szCs w:val="26"/>
        </w:rPr>
        <w:t>ed</w:t>
      </w:r>
      <w:r w:rsidR="00F62FDC" w:rsidRPr="00212948">
        <w:rPr>
          <w:szCs w:val="26"/>
        </w:rPr>
        <w:t xml:space="preserve"> municipal debts</w:t>
      </w:r>
      <w:r w:rsidR="00212948">
        <w:rPr>
          <w:szCs w:val="26"/>
        </w:rPr>
        <w:t>,</w:t>
      </w:r>
      <w:r w:rsidR="00F62FDC" w:rsidRPr="00212948">
        <w:rPr>
          <w:szCs w:val="26"/>
        </w:rPr>
        <w:t xml:space="preserve"> including </w:t>
      </w:r>
      <w:r w:rsidR="00403A61">
        <w:rPr>
          <w:szCs w:val="26"/>
        </w:rPr>
        <w:t xml:space="preserve">municipal </w:t>
      </w:r>
      <w:r w:rsidR="00F62FDC" w:rsidRPr="00212948">
        <w:rPr>
          <w:szCs w:val="26"/>
        </w:rPr>
        <w:t>taxes going back 30 years</w:t>
      </w:r>
      <w:r w:rsidR="00212948">
        <w:rPr>
          <w:szCs w:val="26"/>
        </w:rPr>
        <w:t>,</w:t>
      </w:r>
      <w:r w:rsidR="00F62FDC" w:rsidRPr="00212948">
        <w:rPr>
          <w:szCs w:val="26"/>
        </w:rPr>
        <w:t xml:space="preserve"> and </w:t>
      </w:r>
      <w:r w:rsidR="00E64B83">
        <w:rPr>
          <w:szCs w:val="26"/>
        </w:rPr>
        <w:t xml:space="preserve">other </w:t>
      </w:r>
      <w:r w:rsidR="00E64B83" w:rsidRPr="00212948">
        <w:rPr>
          <w:szCs w:val="26"/>
        </w:rPr>
        <w:t xml:space="preserve">charges </w:t>
      </w:r>
      <w:r w:rsidR="00E64B83">
        <w:rPr>
          <w:szCs w:val="26"/>
        </w:rPr>
        <w:t xml:space="preserve">for </w:t>
      </w:r>
      <w:r w:rsidRPr="00212948">
        <w:rPr>
          <w:szCs w:val="26"/>
        </w:rPr>
        <w:t xml:space="preserve">three </w:t>
      </w:r>
      <w:r w:rsidR="00F62FDC" w:rsidRPr="00212948">
        <w:rPr>
          <w:szCs w:val="26"/>
        </w:rPr>
        <w:t>ye</w:t>
      </w:r>
      <w:r w:rsidRPr="00212948">
        <w:rPr>
          <w:szCs w:val="26"/>
        </w:rPr>
        <w:t>ars.</w:t>
      </w:r>
    </w:p>
    <w:p w:rsidR="0070352B" w:rsidRDefault="0070352B">
      <w:pPr>
        <w:pStyle w:val="JUDGMENTCONTINUED"/>
      </w:pPr>
    </w:p>
    <w:p w:rsidR="00F62FDC" w:rsidRDefault="00773655" w:rsidP="00773655">
      <w:pPr>
        <w:pStyle w:val="JUDGMENTNUMBERED"/>
      </w:pPr>
      <w:r>
        <w:rPr>
          <w:szCs w:val="26"/>
        </w:rPr>
        <w:t xml:space="preserve">Second, </w:t>
      </w:r>
      <w:r w:rsidR="00BE4E37">
        <w:rPr>
          <w:szCs w:val="26"/>
        </w:rPr>
        <w:t>and pertinent</w:t>
      </w:r>
      <w:r w:rsidR="00C038FF">
        <w:rPr>
          <w:szCs w:val="26"/>
        </w:rPr>
        <w:t xml:space="preserve"> here</w:t>
      </w:r>
      <w:r w:rsidR="00BE4E37">
        <w:rPr>
          <w:szCs w:val="26"/>
        </w:rPr>
        <w:t xml:space="preserve">, </w:t>
      </w:r>
      <w:r w:rsidR="009A5043">
        <w:rPr>
          <w:szCs w:val="26"/>
        </w:rPr>
        <w:t xml:space="preserve">delinking </w:t>
      </w:r>
      <w:r w:rsidR="00742EB4">
        <w:rPr>
          <w:szCs w:val="26"/>
        </w:rPr>
        <w:t>the two provisions created</w:t>
      </w:r>
      <w:r w:rsidR="009A5043">
        <w:rPr>
          <w:szCs w:val="26"/>
        </w:rPr>
        <w:t xml:space="preserve"> the basis for the</w:t>
      </w:r>
      <w:r w:rsidR="00212948">
        <w:rPr>
          <w:szCs w:val="26"/>
        </w:rPr>
        <w:t xml:space="preserve"> suggestion</w:t>
      </w:r>
      <w:r w:rsidR="009A5043">
        <w:rPr>
          <w:szCs w:val="26"/>
        </w:rPr>
        <w:t>,</w:t>
      </w:r>
      <w:r w:rsidR="001A71BD">
        <w:rPr>
          <w:rStyle w:val="FootnoteReference"/>
          <w:szCs w:val="26"/>
        </w:rPr>
        <w:footnoteReference w:id="60"/>
      </w:r>
      <w:r w:rsidR="009A5043">
        <w:rPr>
          <w:szCs w:val="26"/>
        </w:rPr>
        <w:t xml:space="preserve"> which the municipalities </w:t>
      </w:r>
      <w:r w:rsidR="00683DFE">
        <w:rPr>
          <w:szCs w:val="26"/>
        </w:rPr>
        <w:t xml:space="preserve">and the Minister </w:t>
      </w:r>
      <w:r w:rsidR="009A5043">
        <w:rPr>
          <w:szCs w:val="26"/>
        </w:rPr>
        <w:t xml:space="preserve">have embraced, </w:t>
      </w:r>
      <w:r w:rsidR="00D01E05">
        <w:rPr>
          <w:szCs w:val="26"/>
        </w:rPr>
        <w:t>that the charge survives transfer and</w:t>
      </w:r>
      <w:r w:rsidR="00D52782">
        <w:rPr>
          <w:szCs w:val="26"/>
        </w:rPr>
        <w:t>,</w:t>
      </w:r>
      <w:r w:rsidR="00D01E05">
        <w:rPr>
          <w:szCs w:val="26"/>
        </w:rPr>
        <w:t xml:space="preserve"> thus</w:t>
      </w:r>
      <w:r w:rsidR="00D52782">
        <w:rPr>
          <w:szCs w:val="26"/>
        </w:rPr>
        <w:t>,</w:t>
      </w:r>
      <w:r w:rsidR="00D01E05">
        <w:rPr>
          <w:szCs w:val="26"/>
        </w:rPr>
        <w:t xml:space="preserve"> </w:t>
      </w:r>
      <w:r w:rsidR="00AA299C">
        <w:rPr>
          <w:szCs w:val="26"/>
        </w:rPr>
        <w:t xml:space="preserve">can be enforced </w:t>
      </w:r>
      <w:r w:rsidR="00D01E05">
        <w:rPr>
          <w:szCs w:val="26"/>
        </w:rPr>
        <w:t>against the new owner.</w:t>
      </w:r>
      <w:r w:rsidR="00D14D34">
        <w:rPr>
          <w:szCs w:val="26"/>
        </w:rPr>
        <w:t xml:space="preserve">  This </w:t>
      </w:r>
      <w:r w:rsidR="00BE4E37">
        <w:rPr>
          <w:szCs w:val="26"/>
        </w:rPr>
        <w:t xml:space="preserve">approach </w:t>
      </w:r>
      <w:r w:rsidR="00212948">
        <w:rPr>
          <w:szCs w:val="26"/>
        </w:rPr>
        <w:t>must be assessed in the light of the fact that t</w:t>
      </w:r>
      <w:r w:rsidR="00212948">
        <w:t>here is no</w:t>
      </w:r>
      <w:r w:rsidR="001A71BD">
        <w:t xml:space="preserve"> evidence </w:t>
      </w:r>
      <w:r w:rsidR="00815F5A">
        <w:t xml:space="preserve">at all </w:t>
      </w:r>
      <w:r w:rsidR="001D1C0C">
        <w:t xml:space="preserve">that </w:t>
      </w:r>
      <w:r w:rsidR="001A71BD">
        <w:t xml:space="preserve">before 1 March 2001 </w:t>
      </w:r>
      <w:r w:rsidR="00212948">
        <w:t xml:space="preserve">any enactment ever sought to impose on a new owner responsibility for </w:t>
      </w:r>
      <w:r w:rsidR="00A1568B">
        <w:t xml:space="preserve">a </w:t>
      </w:r>
      <w:r w:rsidR="00212948">
        <w:t xml:space="preserve">previous owner’s debts.  </w:t>
      </w:r>
      <w:r w:rsidR="00520B29">
        <w:t xml:space="preserve">The sole effect of the preceding </w:t>
      </w:r>
      <w:r w:rsidR="00520B29">
        <w:lastRenderedPageBreak/>
        <w:t xml:space="preserve">enactments was to embargo transfer until a municipal </w:t>
      </w:r>
      <w:r w:rsidR="008623A7">
        <w:t xml:space="preserve">debt-payment </w:t>
      </w:r>
      <w:r w:rsidR="00520B29">
        <w:t>certificate was provided, and, later, to give municipalities preference</w:t>
      </w:r>
      <w:r w:rsidR="00BD1F5F">
        <w:t>, coupled with a charge,</w:t>
      </w:r>
      <w:r w:rsidR="00520B29">
        <w:t xml:space="preserve"> over other creditors before transfer.</w:t>
      </w:r>
      <w:r w:rsidR="00D60464">
        <w:t xml:space="preserve">  This means that, if the subsection has the meaning the municipalities and the Minister give it, </w:t>
      </w:r>
      <w:r w:rsidR="00D14D34">
        <w:t xml:space="preserve">it would have constituted a radical innovation on the South African </w:t>
      </w:r>
      <w:r w:rsidR="00547EF4">
        <w:t xml:space="preserve">legal </w:t>
      </w:r>
      <w:r w:rsidR="00D14D34">
        <w:t>landscape.</w:t>
      </w:r>
    </w:p>
    <w:p w:rsidR="00212948" w:rsidRPr="00212948" w:rsidRDefault="00212948" w:rsidP="00212948">
      <w:pPr>
        <w:pStyle w:val="JUDGMENTCONTINUED"/>
      </w:pPr>
    </w:p>
    <w:p w:rsidR="00F62FDC" w:rsidRDefault="00212948" w:rsidP="00F62FDC">
      <w:pPr>
        <w:pStyle w:val="JUDGMENTNUMBERED"/>
      </w:pPr>
      <w:r>
        <w:t>The question is</w:t>
      </w:r>
      <w:r w:rsidR="00D52782">
        <w:t>,</w:t>
      </w:r>
      <w:r>
        <w:t xml:space="preserve"> thus</w:t>
      </w:r>
      <w:r w:rsidR="00D52782">
        <w:t>,</w:t>
      </w:r>
      <w:r>
        <w:t xml:space="preserve"> whether </w:t>
      </w:r>
      <w:r w:rsidR="00F62FDC" w:rsidRPr="00AB54FF">
        <w:t xml:space="preserve">the </w:t>
      </w:r>
      <w:r w:rsidR="00EA0128">
        <w:t xml:space="preserve">separation </w:t>
      </w:r>
      <w:r w:rsidR="00F62FDC" w:rsidRPr="00AB54FF">
        <w:t xml:space="preserve">of subsection </w:t>
      </w:r>
      <w:r w:rsidR="00D01E05">
        <w:t>(</w:t>
      </w:r>
      <w:r w:rsidR="00F62FDC" w:rsidRPr="00AB54FF">
        <w:t>3</w:t>
      </w:r>
      <w:r w:rsidR="00742EB4">
        <w:t>)</w:t>
      </w:r>
      <w:r w:rsidR="00F62FDC" w:rsidRPr="00AB54FF">
        <w:t xml:space="preserve"> </w:t>
      </w:r>
      <w:r w:rsidR="00EA0128">
        <w:t xml:space="preserve">from </w:t>
      </w:r>
      <w:r w:rsidR="00474701">
        <w:t>subsection </w:t>
      </w:r>
      <w:r w:rsidR="00EA0128">
        <w:t xml:space="preserve">(1) in </w:t>
      </w:r>
      <w:r w:rsidR="00D01E05">
        <w:t>section 118</w:t>
      </w:r>
      <w:r w:rsidR="00EA0128">
        <w:t xml:space="preserve"> </w:t>
      </w:r>
      <w:r w:rsidR="00BD344B">
        <w:t>mean</w:t>
      </w:r>
      <w:r w:rsidR="00F62FDC" w:rsidRPr="00AB54FF">
        <w:t>s that the charge “upon the property” survives transfer so as to burden succeeding owners with the pr</w:t>
      </w:r>
      <w:r>
        <w:t>evious owner’s historical debts.</w:t>
      </w:r>
    </w:p>
    <w:p w:rsidR="00F11031" w:rsidRDefault="00F11031" w:rsidP="00F11031">
      <w:pPr>
        <w:pStyle w:val="JUDGMENTCONTINUED"/>
      </w:pPr>
    </w:p>
    <w:p w:rsidR="0070352B" w:rsidRDefault="006E6F70">
      <w:pPr>
        <w:pStyle w:val="HEADING"/>
      </w:pPr>
      <w:r>
        <w:t>Common law setting</w:t>
      </w:r>
    </w:p>
    <w:p w:rsidR="00F62FDC" w:rsidRDefault="009E3331" w:rsidP="00212948">
      <w:pPr>
        <w:pStyle w:val="JUDGMENTNUMBERED"/>
      </w:pPr>
      <w:r>
        <w:t>Given th</w:t>
      </w:r>
      <w:r w:rsidR="00674507">
        <w:t>e</w:t>
      </w:r>
      <w:r>
        <w:t xml:space="preserve"> statutory history, t</w:t>
      </w:r>
      <w:r w:rsidR="00F62FDC" w:rsidRPr="00AB54FF">
        <w:t xml:space="preserve">he words “charge upon the property” must be seen in </w:t>
      </w:r>
      <w:r w:rsidR="001A10D2">
        <w:t xml:space="preserve">the </w:t>
      </w:r>
      <w:r w:rsidR="00F62FDC" w:rsidRPr="00AB54FF">
        <w:t xml:space="preserve">light of the meaning they </w:t>
      </w:r>
      <w:r w:rsidR="00C76647">
        <w:t xml:space="preserve">previously </w:t>
      </w:r>
      <w:r w:rsidR="00F62FDC" w:rsidRPr="00AB54FF">
        <w:t xml:space="preserve">bore within the common law setting of </w:t>
      </w:r>
      <w:r w:rsidR="00F62FDC">
        <w:t>limited real rights</w:t>
      </w:r>
      <w:r w:rsidR="00674507">
        <w:t xml:space="preserve"> of security </w:t>
      </w:r>
      <w:r w:rsidR="00F62FDC" w:rsidRPr="00AB54FF">
        <w:t>in property</w:t>
      </w:r>
      <w:r w:rsidR="00674507" w:rsidRPr="00674507">
        <w:t xml:space="preserve"> </w:t>
      </w:r>
      <w:r w:rsidR="00674507">
        <w:t>for indebtedness</w:t>
      </w:r>
      <w:r w:rsidR="00F62FDC" w:rsidRPr="00AB54FF">
        <w:t>.</w:t>
      </w:r>
      <w:r>
        <w:t xml:space="preserve">  This does not mean that we must impose upon a post-constitutional statute a pre-constitutional meaning.  Nor does it mean that we must resurrect archaic concepts that may be inappropriate to our conception of property rights under the Constitution.</w:t>
      </w:r>
      <w:r w:rsidR="00C76647">
        <w:rPr>
          <w:rStyle w:val="FootnoteReference"/>
        </w:rPr>
        <w:footnoteReference w:id="61"/>
      </w:r>
      <w:r>
        <w:t xml:space="preserve">  It simply recognises that </w:t>
      </w:r>
      <w:r w:rsidR="00F11031">
        <w:t xml:space="preserve">the </w:t>
      </w:r>
      <w:r>
        <w:t>phrase did</w:t>
      </w:r>
      <w:r w:rsidR="00D937AC">
        <w:t xml:space="preserve"> </w:t>
      </w:r>
      <w:r>
        <w:t>n</w:t>
      </w:r>
      <w:r w:rsidR="00D937AC">
        <w:t>o</w:t>
      </w:r>
      <w:r>
        <w:t xml:space="preserve">t </w:t>
      </w:r>
      <w:r w:rsidR="00AF5B55">
        <w:t xml:space="preserve">spring </w:t>
      </w:r>
      <w:r>
        <w:t>from nowhere</w:t>
      </w:r>
      <w:r w:rsidR="0012245C">
        <w:t xml:space="preserve">.  It </w:t>
      </w:r>
      <w:r w:rsidR="00F11031">
        <w:t>was lodged in the present Act imbued with a statutory setting against the background of a common law meaning.</w:t>
      </w:r>
      <w:r w:rsidR="0012245C">
        <w:rPr>
          <w:rStyle w:val="FootnoteReference"/>
        </w:rPr>
        <w:footnoteReference w:id="62"/>
      </w:r>
      <w:r w:rsidR="00F11031">
        <w:t xml:space="preserve">  This may provide helpful clues to illuminate its</w:t>
      </w:r>
      <w:r w:rsidR="00894563">
        <w:t xml:space="preserve"> import</w:t>
      </w:r>
      <w:r>
        <w:t>.</w:t>
      </w:r>
    </w:p>
    <w:p w:rsidR="003A526B" w:rsidRDefault="003A526B" w:rsidP="003A526B">
      <w:pPr>
        <w:pStyle w:val="JUDGMENTCONTINUED"/>
      </w:pPr>
    </w:p>
    <w:p w:rsidR="003A526B" w:rsidRDefault="002C41AD" w:rsidP="003A526B">
      <w:pPr>
        <w:pStyle w:val="JUDGMENTNUMBERED"/>
      </w:pPr>
      <w:r>
        <w:t xml:space="preserve">The case law </w:t>
      </w:r>
      <w:r w:rsidR="003A526B">
        <w:t>indicate</w:t>
      </w:r>
      <w:r>
        <w:t>s</w:t>
      </w:r>
      <w:r w:rsidR="003A526B">
        <w:t xml:space="preserve"> that</w:t>
      </w:r>
      <w:r w:rsidR="00A802DC">
        <w:t xml:space="preserve">, without an express enactment conferring preference above other holders of real rights </w:t>
      </w:r>
      <w:r w:rsidR="00462C28">
        <w:t xml:space="preserve">in the property, </w:t>
      </w:r>
      <w:r w:rsidR="00365250">
        <w:t xml:space="preserve">the </w:t>
      </w:r>
      <w:r w:rsidR="00A802DC">
        <w:t xml:space="preserve">embargo over property transfers until arrear rates are paid </w:t>
      </w:r>
      <w:r w:rsidR="00462C28">
        <w:t xml:space="preserve">gives </w:t>
      </w:r>
      <w:r w:rsidR="00365250">
        <w:t xml:space="preserve">the municipality </w:t>
      </w:r>
      <w:r w:rsidR="00A802DC">
        <w:t xml:space="preserve">no preference above registered rights holders in the property.  The cases also show that, enacted on </w:t>
      </w:r>
      <w:r w:rsidR="00A802DC">
        <w:lastRenderedPageBreak/>
        <w:t xml:space="preserve">its own, </w:t>
      </w:r>
      <w:r w:rsidR="003A526B">
        <w:t xml:space="preserve">a legislatively created “charge upon the property” means </w:t>
      </w:r>
      <w:r w:rsidR="00A802DC">
        <w:t xml:space="preserve">no more than </w:t>
      </w:r>
      <w:r w:rsidR="003A526B">
        <w:t xml:space="preserve">that a debt may be </w:t>
      </w:r>
      <w:r w:rsidR="00765985">
        <w:t xml:space="preserve">recovered </w:t>
      </w:r>
      <w:r w:rsidR="003A526B">
        <w:t>by execution upon the property</w:t>
      </w:r>
      <w:r w:rsidR="00765985">
        <w:t>.</w:t>
      </w:r>
      <w:r w:rsidR="002A103D">
        <w:t xml:space="preserve">  There is </w:t>
      </w:r>
      <w:r w:rsidR="00FB5A3F">
        <w:t xml:space="preserve">thus </w:t>
      </w:r>
      <w:r w:rsidR="002A103D">
        <w:t>no magic in</w:t>
      </w:r>
      <w:r w:rsidR="005A1A10">
        <w:t xml:space="preserve"> </w:t>
      </w:r>
      <w:r w:rsidR="002A103D">
        <w:t>the word “charge”</w:t>
      </w:r>
      <w:r w:rsidR="005A1A10">
        <w:t>,</w:t>
      </w:r>
      <w:r w:rsidR="00512214">
        <w:rPr>
          <w:rStyle w:val="FootnoteReference"/>
        </w:rPr>
        <w:footnoteReference w:id="63"/>
      </w:r>
      <w:r w:rsidR="005A1A10">
        <w:t xml:space="preserve"> and no abstruse </w:t>
      </w:r>
      <w:r w:rsidR="00FB5A3F">
        <w:t xml:space="preserve">technical </w:t>
      </w:r>
      <w:r w:rsidR="005A1A10">
        <w:t>meaning associated with it</w:t>
      </w:r>
      <w:r w:rsidR="002A103D">
        <w:t>.</w:t>
      </w:r>
      <w:r w:rsidR="002A103D">
        <w:rPr>
          <w:rStyle w:val="FootnoteReference"/>
        </w:rPr>
        <w:footnoteReference w:id="64"/>
      </w:r>
      <w:r w:rsidR="002A103D">
        <w:t xml:space="preserve">  The S</w:t>
      </w:r>
      <w:r w:rsidR="003651AF">
        <w:t xml:space="preserve">upreme </w:t>
      </w:r>
      <w:r w:rsidR="002A103D">
        <w:t>C</w:t>
      </w:r>
      <w:r w:rsidR="003651AF">
        <w:t xml:space="preserve">ourt of </w:t>
      </w:r>
      <w:r w:rsidR="002A103D">
        <w:t>A</w:t>
      </w:r>
      <w:r w:rsidR="003651AF">
        <w:t>ppeal</w:t>
      </w:r>
      <w:r w:rsidR="002A103D">
        <w:t xml:space="preserve"> has</w:t>
      </w:r>
      <w:r w:rsidR="005A1A10">
        <w:t xml:space="preserve"> explained</w:t>
      </w:r>
      <w:r w:rsidR="00462C28">
        <w:t>,</w:t>
      </w:r>
      <w:r w:rsidR="00AC0AFF">
        <w:t xml:space="preserve"> illuminatingly</w:t>
      </w:r>
      <w:r w:rsidR="00462C28">
        <w:t>,</w:t>
      </w:r>
      <w:r w:rsidR="00AC0AFF">
        <w:t xml:space="preserve"> </w:t>
      </w:r>
      <w:r w:rsidR="002A103D">
        <w:t xml:space="preserve">that the word “charge” </w:t>
      </w:r>
      <w:r w:rsidR="005A1A10">
        <w:t xml:space="preserve">in section 118(3) </w:t>
      </w:r>
      <w:r w:rsidR="002A103D">
        <w:t xml:space="preserve">means no more than that </w:t>
      </w:r>
      <w:r w:rsidR="005A1A10">
        <w:t>any amount due for municipal debts that have not prescribed is secured by the property and</w:t>
      </w:r>
      <w:r w:rsidR="001A5226">
        <w:t xml:space="preserve"> that,</w:t>
      </w:r>
      <w:r w:rsidR="005A1A10">
        <w:t xml:space="preserve"> after an order of court has been obtained, the property may be sold in execution and the proceeds applied to pay th</w:t>
      </w:r>
      <w:r w:rsidR="005319DB">
        <w:t>os</w:t>
      </w:r>
      <w:r w:rsidR="005A1A10">
        <w:t>e debts.</w:t>
      </w:r>
      <w:r w:rsidR="00CB0D98">
        <w:rPr>
          <w:rStyle w:val="FootnoteReference"/>
        </w:rPr>
        <w:footnoteReference w:id="65"/>
      </w:r>
    </w:p>
    <w:p w:rsidR="00765985" w:rsidRDefault="00765985" w:rsidP="00765985">
      <w:pPr>
        <w:pStyle w:val="JUDGMENTCONTINUED"/>
      </w:pPr>
    </w:p>
    <w:p w:rsidR="00115C06" w:rsidRDefault="00A802DC" w:rsidP="00765985">
      <w:pPr>
        <w:pStyle w:val="JUDGMENTNUMBERED"/>
      </w:pPr>
      <w:r>
        <w:t xml:space="preserve">This </w:t>
      </w:r>
      <w:r w:rsidR="002D5BD7">
        <w:t xml:space="preserve">points to </w:t>
      </w:r>
      <w:r w:rsidR="001A5226">
        <w:t xml:space="preserve">the </w:t>
      </w:r>
      <w:r>
        <w:t xml:space="preserve">conclusion </w:t>
      </w:r>
      <w:r w:rsidR="001A5226">
        <w:t xml:space="preserve">that </w:t>
      </w:r>
      <w:r w:rsidR="007F7CAD">
        <w:t xml:space="preserve">a mere enactment, without more, </w:t>
      </w:r>
      <w:r w:rsidR="001A5226">
        <w:t xml:space="preserve">that a claim for a </w:t>
      </w:r>
      <w:r w:rsidR="007F7CAD">
        <w:t xml:space="preserve">specified </w:t>
      </w:r>
      <w:r w:rsidR="001A5226">
        <w:t>debt is a “charge” upon immovable property</w:t>
      </w:r>
      <w:r w:rsidR="002D5BD7">
        <w:t xml:space="preserve"> does not make the charge transmissible</w:t>
      </w:r>
      <w:r w:rsidR="00156F7C">
        <w:t xml:space="preserve">.  </w:t>
      </w:r>
      <w:r w:rsidR="00462C28">
        <w:t>So i</w:t>
      </w:r>
      <w:r w:rsidR="00156F7C">
        <w:t>t does not endure</w:t>
      </w:r>
      <w:r w:rsidR="002D5BD7">
        <w:t xml:space="preserve"> beyond transfer.  </w:t>
      </w:r>
      <w:r w:rsidR="00156F7C">
        <w:t>And t</w:t>
      </w:r>
      <w:r w:rsidR="002D5BD7">
        <w:t xml:space="preserve">he creditor’s claim is not enforceable against successors in title.  </w:t>
      </w:r>
      <w:r w:rsidR="00985E84">
        <w:t xml:space="preserve">This does not </w:t>
      </w:r>
      <w:r w:rsidR="0085173B">
        <w:t xml:space="preserve">mean </w:t>
      </w:r>
      <w:r w:rsidR="00985E84">
        <w:t xml:space="preserve">the charge </w:t>
      </w:r>
      <w:r w:rsidR="0085173B">
        <w:t xml:space="preserve">is </w:t>
      </w:r>
      <w:r w:rsidR="00985E84">
        <w:t>ineffective or illusory.  There is reason enough for its enactment</w:t>
      </w:r>
      <w:r w:rsidR="0085173B">
        <w:t xml:space="preserve"> even without transmissibility</w:t>
      </w:r>
      <w:r w:rsidR="00985E84">
        <w:t xml:space="preserve">.  It is this: the </w:t>
      </w:r>
      <w:r w:rsidR="005E34A0">
        <w:t>“</w:t>
      </w:r>
      <w:r w:rsidR="00985E84">
        <w:t>charge</w:t>
      </w:r>
      <w:r w:rsidR="005E34A0">
        <w:t>”</w:t>
      </w:r>
      <w:r w:rsidR="00985E84">
        <w:t xml:space="preserve"> helps municipalities elude the constrictions of the </w:t>
      </w:r>
      <w:r w:rsidR="0085173B">
        <w:t>R</w:t>
      </w:r>
      <w:r w:rsidR="00985E84">
        <w:t xml:space="preserve">ules </w:t>
      </w:r>
      <w:r w:rsidR="0085173B">
        <w:t xml:space="preserve">of Court </w:t>
      </w:r>
      <w:r w:rsidR="00985E84">
        <w:t xml:space="preserve">that would otherwise need to be complied with in order to render the property executable.  In other words, the charge allows municipalities to </w:t>
      </w:r>
      <w:r w:rsidR="005E34A0">
        <w:t>by-pass</w:t>
      </w:r>
      <w:r w:rsidR="00985E84">
        <w:t xml:space="preserve"> </w:t>
      </w:r>
      <w:r w:rsidR="0085173B">
        <w:t xml:space="preserve">at least some </w:t>
      </w:r>
      <w:r w:rsidR="00985E84">
        <w:t>debt collection enforcement procedures.  It renders the property immediately and expeditiously executable</w:t>
      </w:r>
      <w:r w:rsidR="00E521FC">
        <w:t>, subject to an order of court</w:t>
      </w:r>
      <w:r w:rsidR="00985E84">
        <w:t>.  I</w:t>
      </w:r>
      <w:r w:rsidR="0085173B">
        <w:t>n this way, it</w:t>
      </w:r>
      <w:r w:rsidR="00985E84">
        <w:t xml:space="preserve"> gives the preference teeth.</w:t>
      </w:r>
    </w:p>
    <w:p w:rsidR="0070352B" w:rsidRDefault="0070352B">
      <w:pPr>
        <w:pStyle w:val="JUDGMENTCONTINUED"/>
      </w:pPr>
    </w:p>
    <w:p w:rsidR="00D0552F" w:rsidRDefault="002D5BD7" w:rsidP="00D0552F">
      <w:pPr>
        <w:pStyle w:val="JUDGMENTNUMBERED"/>
      </w:pPr>
      <w:r>
        <w:t xml:space="preserve">And this </w:t>
      </w:r>
      <w:r w:rsidR="00156F7C">
        <w:t xml:space="preserve">conclusion </w:t>
      </w:r>
      <w:r w:rsidR="00590E60">
        <w:t xml:space="preserve">is strengthened by </w:t>
      </w:r>
      <w:r w:rsidR="00A802DC">
        <w:t xml:space="preserve">the way in which real rights (rights that take effect </w:t>
      </w:r>
      <w:r w:rsidR="003171BA">
        <w:t xml:space="preserve">directly </w:t>
      </w:r>
      <w:r w:rsidR="00A802DC">
        <w:t xml:space="preserve">against property, rather than against </w:t>
      </w:r>
      <w:r w:rsidR="00CD0968">
        <w:t xml:space="preserve">the </w:t>
      </w:r>
      <w:r w:rsidR="00B74261">
        <w:t xml:space="preserve">assets </w:t>
      </w:r>
      <w:r w:rsidR="00CD0968">
        <w:t xml:space="preserve">of </w:t>
      </w:r>
      <w:r w:rsidR="00A802DC">
        <w:t xml:space="preserve">an individual </w:t>
      </w:r>
      <w:r w:rsidR="00A802DC">
        <w:lastRenderedPageBreak/>
        <w:t>debtor)</w:t>
      </w:r>
      <w:r w:rsidR="00B6188C">
        <w:rPr>
          <w:rStyle w:val="FootnoteReference"/>
        </w:rPr>
        <w:footnoteReference w:id="66"/>
      </w:r>
      <w:r w:rsidR="00A802DC">
        <w:t xml:space="preserve"> </w:t>
      </w:r>
      <w:r w:rsidR="00115C06">
        <w:t xml:space="preserve">have historically been conferred on creditors </w:t>
      </w:r>
      <w:r w:rsidR="00A802DC">
        <w:t xml:space="preserve">in our law.  </w:t>
      </w:r>
      <w:r w:rsidR="00474701">
        <w:t xml:space="preserve">Roman </w:t>
      </w:r>
      <w:r w:rsidR="00590E60">
        <w:t>law afforded m</w:t>
      </w:r>
      <w:r w:rsidR="00A802DC">
        <w:t xml:space="preserve">any real rights in property, and many of these </w:t>
      </w:r>
      <w:r w:rsidR="00590E60">
        <w:t xml:space="preserve">granted </w:t>
      </w:r>
      <w:r w:rsidR="00A802DC">
        <w:t xml:space="preserve">creditors security for repayment of debts.  </w:t>
      </w:r>
      <w:r w:rsidR="003E327D">
        <w:t>F</w:t>
      </w:r>
      <w:r w:rsidR="00D0552F" w:rsidRPr="00D0552F">
        <w:t xml:space="preserve">rom the earliest roots of our law, both </w:t>
      </w:r>
      <w:r w:rsidR="002D370A">
        <w:t xml:space="preserve">publicity and </w:t>
      </w:r>
      <w:r w:rsidR="00D0552F" w:rsidRPr="00D0552F">
        <w:t>formality were seen as pivotal to creating a transmissible right of security against property.</w:t>
      </w:r>
    </w:p>
    <w:p w:rsidR="0070352B" w:rsidRDefault="0070352B">
      <w:pPr>
        <w:pStyle w:val="JUDGMENTCONTINUED"/>
      </w:pPr>
    </w:p>
    <w:p w:rsidR="00765985" w:rsidRDefault="00D0552F" w:rsidP="00D0552F">
      <w:pPr>
        <w:pStyle w:val="JUDGMENTNUMBERED"/>
      </w:pPr>
      <w:r>
        <w:t>I</w:t>
      </w:r>
      <w:r w:rsidR="001B7646">
        <w:t xml:space="preserve">t seems to have been </w:t>
      </w:r>
      <w:r w:rsidR="00C36676">
        <w:t xml:space="preserve">necessary </w:t>
      </w:r>
      <w:r w:rsidR="001B7646">
        <w:t xml:space="preserve">that the right the creditor </w:t>
      </w:r>
      <w:r w:rsidR="000B2FA4">
        <w:t xml:space="preserve">acquired </w:t>
      </w:r>
      <w:r w:rsidR="001B7646">
        <w:t xml:space="preserve">be afforded </w:t>
      </w:r>
      <w:r w:rsidR="002D5BD7">
        <w:t xml:space="preserve">some form of </w:t>
      </w:r>
      <w:r w:rsidR="001B7646">
        <w:t>public expression.</w:t>
      </w:r>
      <w:r w:rsidR="001B7646">
        <w:rPr>
          <w:rStyle w:val="FootnoteReference"/>
        </w:rPr>
        <w:footnoteReference w:id="67"/>
      </w:r>
      <w:r w:rsidR="001B7646">
        <w:t xml:space="preserve">  </w:t>
      </w:r>
      <w:r w:rsidR="00A802DC">
        <w:t xml:space="preserve">From </w:t>
      </w:r>
      <w:r w:rsidR="003678B1">
        <w:t>about 500 CE</w:t>
      </w:r>
      <w:r w:rsidR="00A802DC">
        <w:t xml:space="preserve">, criticism </w:t>
      </w:r>
      <w:r w:rsidR="00156F7C">
        <w:t xml:space="preserve">was </w:t>
      </w:r>
      <w:r w:rsidR="00A802DC">
        <w:t xml:space="preserve">levelled against real rights of security for repayment </w:t>
      </w:r>
      <w:r w:rsidR="00156F7C">
        <w:t xml:space="preserve">because </w:t>
      </w:r>
      <w:r w:rsidR="00A802DC">
        <w:t xml:space="preserve">many </w:t>
      </w:r>
      <w:r w:rsidR="00DC0221">
        <w:t>were conferred without fulfilling a requirement that they be created with some measure of publicity, so that other creditors could know of their existence.</w:t>
      </w:r>
      <w:r w:rsidR="00DC0221">
        <w:rPr>
          <w:rStyle w:val="FootnoteReference"/>
        </w:rPr>
        <w:footnoteReference w:id="68"/>
      </w:r>
    </w:p>
    <w:p w:rsidR="002E15FA" w:rsidRDefault="002E15FA" w:rsidP="002E15FA">
      <w:pPr>
        <w:pStyle w:val="JUDGMENTCONTINUED"/>
      </w:pPr>
    </w:p>
    <w:p w:rsidR="002E15FA" w:rsidRDefault="002E15FA" w:rsidP="002E15FA">
      <w:pPr>
        <w:pStyle w:val="JUDGMENTNUMBERED"/>
      </w:pPr>
      <w:r>
        <w:t>In Roman Dutch law, according to Johannes Voet (1647-1713), its most prodig</w:t>
      </w:r>
      <w:r w:rsidR="000E66E6">
        <w:t>ious and authoritative exponent</w:t>
      </w:r>
      <w:r>
        <w:t xml:space="preserve">, a real right of security over immovable property </w:t>
      </w:r>
      <w:r w:rsidR="008B5A72">
        <w:t xml:space="preserve">can </w:t>
      </w:r>
      <w:r w:rsidR="003E2EC0">
        <w:t xml:space="preserve">survive transfer to a new owner </w:t>
      </w:r>
      <w:r w:rsidR="008B5A72">
        <w:t>and</w:t>
      </w:r>
      <w:r w:rsidR="0010450E">
        <w:t>,</w:t>
      </w:r>
      <w:r w:rsidR="008B5A72">
        <w:t xml:space="preserve"> </w:t>
      </w:r>
      <w:r w:rsidR="00C17B4D">
        <w:t>thus</w:t>
      </w:r>
      <w:r w:rsidR="0010450E">
        <w:t>,</w:t>
      </w:r>
      <w:r w:rsidR="00C17B4D">
        <w:t xml:space="preserve"> </w:t>
      </w:r>
      <w:r w:rsidR="008B5A72">
        <w:t xml:space="preserve">bind successors in title </w:t>
      </w:r>
      <w:r w:rsidR="002C530E">
        <w:t xml:space="preserve">only if </w:t>
      </w:r>
      <w:r w:rsidR="003E2EC0">
        <w:t xml:space="preserve">it </w:t>
      </w:r>
      <w:r w:rsidR="002C530E">
        <w:t xml:space="preserve">has </w:t>
      </w:r>
      <w:r w:rsidR="003E2EC0">
        <w:t>be</w:t>
      </w:r>
      <w:r w:rsidR="002C530E">
        <w:t>en</w:t>
      </w:r>
      <w:r w:rsidR="003E2EC0">
        <w:t xml:space="preserve"> “formally established”</w:t>
      </w:r>
      <w:r w:rsidR="003E2EC0">
        <w:rPr>
          <w:rStyle w:val="FootnoteReference"/>
        </w:rPr>
        <w:footnoteReference w:id="69"/>
      </w:r>
      <w:r w:rsidR="00C17B4D">
        <w:t xml:space="preserve"> or </w:t>
      </w:r>
      <w:r w:rsidR="003E2EC0">
        <w:t>properly constituted.</w:t>
      </w:r>
      <w:r w:rsidR="002946AD">
        <w:rPr>
          <w:rStyle w:val="FootnoteReference"/>
        </w:rPr>
        <w:footnoteReference w:id="70"/>
      </w:r>
      <w:r w:rsidR="003E2EC0">
        <w:t xml:space="preserve">  This entailed a written document, concluded wi</w:t>
      </w:r>
      <w:r w:rsidR="00457452">
        <w:t>th proper formalities before a j</w:t>
      </w:r>
      <w:r w:rsidR="003E2EC0">
        <w:t>udge of the place in which the immovable property was situated (</w:t>
      </w:r>
      <w:r w:rsidR="003E2EC0" w:rsidRPr="003E2EC0">
        <w:rPr>
          <w:i/>
        </w:rPr>
        <w:t>coram lege loci</w:t>
      </w:r>
      <w:r w:rsidR="003E2EC0">
        <w:t>)</w:t>
      </w:r>
      <w:r w:rsidR="008B5A72">
        <w:t>, with payment of an appropriate percentage of the debt.</w:t>
      </w:r>
      <w:r w:rsidR="00C17B4D">
        <w:rPr>
          <w:rStyle w:val="FootnoteReference"/>
        </w:rPr>
        <w:footnoteReference w:id="71"/>
      </w:r>
    </w:p>
    <w:p w:rsidR="008B5A72" w:rsidRDefault="008B5A72" w:rsidP="008B5A72">
      <w:pPr>
        <w:pStyle w:val="JUDGMENTCONTINUED"/>
      </w:pPr>
    </w:p>
    <w:p w:rsidR="00315EC5" w:rsidRDefault="00F62FDC" w:rsidP="00315EC5">
      <w:pPr>
        <w:pStyle w:val="JUDGMENTNUMBERED"/>
      </w:pPr>
      <w:r w:rsidRPr="00AB54FF">
        <w:t xml:space="preserve">At common law it </w:t>
      </w:r>
      <w:r w:rsidR="0099348B">
        <w:t xml:space="preserve">thus </w:t>
      </w:r>
      <w:r w:rsidR="000E66E6">
        <w:t xml:space="preserve">appears </w:t>
      </w:r>
      <w:r w:rsidRPr="00AB54FF">
        <w:t xml:space="preserve">that the creation </w:t>
      </w:r>
      <w:r>
        <w:t xml:space="preserve">and continued existence </w:t>
      </w:r>
      <w:r w:rsidRPr="00AB54FF">
        <w:t xml:space="preserve">of a real right in immovable property </w:t>
      </w:r>
      <w:r>
        <w:t>required some formal</w:t>
      </w:r>
      <w:r w:rsidR="0099348B">
        <w:t xml:space="preserve">, public </w:t>
      </w:r>
      <w:r w:rsidR="000E66E6">
        <w:t xml:space="preserve">and </w:t>
      </w:r>
      <w:r w:rsidR="0099348B">
        <w:t>legally reco</w:t>
      </w:r>
      <w:r w:rsidRPr="00AB54FF">
        <w:t xml:space="preserve">gnised </w:t>
      </w:r>
      <w:r w:rsidR="00766335">
        <w:t>act</w:t>
      </w:r>
      <w:r w:rsidR="00766335" w:rsidRPr="00AB54FF">
        <w:t xml:space="preserve"> </w:t>
      </w:r>
      <w:r w:rsidRPr="00AB54FF">
        <w:t>(</w:t>
      </w:r>
      <w:r w:rsidRPr="00315EC5">
        <w:rPr>
          <w:i/>
        </w:rPr>
        <w:t>coram lege loci</w:t>
      </w:r>
      <w:r w:rsidRPr="00AB54FF">
        <w:t>)</w:t>
      </w:r>
      <w:r w:rsidR="00156F7C">
        <w:t>.</w:t>
      </w:r>
      <w:r w:rsidR="00766335">
        <w:rPr>
          <w:rStyle w:val="FootnoteReference"/>
        </w:rPr>
        <w:footnoteReference w:id="72"/>
      </w:r>
      <w:r w:rsidR="0099348B">
        <w:t xml:space="preserve">  </w:t>
      </w:r>
      <w:r w:rsidR="00315EC5">
        <w:t xml:space="preserve">As early as 1840, it was settled doctrine </w:t>
      </w:r>
      <w:r w:rsidR="00252D47">
        <w:t xml:space="preserve">at the Cape </w:t>
      </w:r>
      <w:r w:rsidR="00315EC5">
        <w:t>that</w:t>
      </w:r>
      <w:r w:rsidR="00952171">
        <w:t>—</w:t>
      </w:r>
    </w:p>
    <w:p w:rsidR="00DE31DA" w:rsidRDefault="00DE31DA" w:rsidP="00462C28">
      <w:pPr>
        <w:pStyle w:val="QUOTATION"/>
        <w:ind w:left="1440"/>
      </w:pPr>
    </w:p>
    <w:p w:rsidR="00315EC5" w:rsidRPr="00457452" w:rsidRDefault="00315EC5" w:rsidP="00457452">
      <w:pPr>
        <w:pStyle w:val="QUOTATION"/>
      </w:pPr>
      <w:r w:rsidRPr="00457452">
        <w:t xml:space="preserve">“the </w:t>
      </w:r>
      <w:r w:rsidR="000C7328" w:rsidRPr="000C7328">
        <w:rPr>
          <w:i/>
        </w:rPr>
        <w:t>dominium</w:t>
      </w:r>
      <w:r w:rsidRPr="00457452">
        <w:t xml:space="preserve"> [title] or </w:t>
      </w:r>
      <w:r w:rsidR="000C7328" w:rsidRPr="000C7328">
        <w:rPr>
          <w:i/>
        </w:rPr>
        <w:t>jus in re</w:t>
      </w:r>
      <w:r w:rsidRPr="00457452">
        <w:t xml:space="preserve"> [real right] of immovable property can only be conveyed by transfer made </w:t>
      </w:r>
      <w:proofErr w:type="spellStart"/>
      <w:r w:rsidR="000C7328" w:rsidRPr="000C7328">
        <w:rPr>
          <w:i/>
        </w:rPr>
        <w:t>coram</w:t>
      </w:r>
      <w:proofErr w:type="spellEnd"/>
      <w:r w:rsidR="000C7328" w:rsidRPr="000C7328">
        <w:rPr>
          <w:i/>
        </w:rPr>
        <w:t xml:space="preserve"> </w:t>
      </w:r>
      <w:proofErr w:type="spellStart"/>
      <w:r w:rsidR="000C7328" w:rsidRPr="000C7328">
        <w:rPr>
          <w:i/>
        </w:rPr>
        <w:t>lege</w:t>
      </w:r>
      <w:proofErr w:type="spellEnd"/>
      <w:r w:rsidR="000C7328" w:rsidRPr="000C7328">
        <w:rPr>
          <w:i/>
        </w:rPr>
        <w:t xml:space="preserve"> loci</w:t>
      </w:r>
      <w:r w:rsidRPr="00457452">
        <w:t xml:space="preserve"> [</w:t>
      </w:r>
      <w:r w:rsidR="00F57894" w:rsidRPr="00457452">
        <w:t xml:space="preserve">formally </w:t>
      </w:r>
      <w:r w:rsidR="00252D47" w:rsidRPr="00457452">
        <w:t xml:space="preserve">according to </w:t>
      </w:r>
      <w:r w:rsidRPr="00457452">
        <w:t>the law of the place concerned]</w:t>
      </w:r>
      <w:r w:rsidR="00462C28" w:rsidRPr="00457452">
        <w:t xml:space="preserve">, and this species of transfer is an essential to divest the seller of, and invest the buyer with, the </w:t>
      </w:r>
      <w:r w:rsidR="000C7328" w:rsidRPr="000C7328">
        <w:rPr>
          <w:i/>
        </w:rPr>
        <w:t>dominium</w:t>
      </w:r>
      <w:r w:rsidR="00462C28" w:rsidRPr="00457452">
        <w:t xml:space="preserve"> or </w:t>
      </w:r>
      <w:r w:rsidR="000C7328" w:rsidRPr="000C7328">
        <w:rPr>
          <w:i/>
        </w:rPr>
        <w:t>jus in re</w:t>
      </w:r>
      <w:r w:rsidR="00462C28" w:rsidRPr="00457452">
        <w:t xml:space="preserve"> of immovable property as actual tradition [handing over or conveyance] is to convey the </w:t>
      </w:r>
      <w:r w:rsidR="000C7328" w:rsidRPr="000C7328">
        <w:rPr>
          <w:i/>
        </w:rPr>
        <w:t>dominium</w:t>
      </w:r>
      <w:r w:rsidR="00462C28" w:rsidRPr="00457452">
        <w:t xml:space="preserve"> of movables</w:t>
      </w:r>
      <w:r w:rsidR="00952171" w:rsidRPr="00457452">
        <w:t>.</w:t>
      </w:r>
      <w:r w:rsidR="00462C28" w:rsidRPr="00457452">
        <w:t>”</w:t>
      </w:r>
      <w:r w:rsidR="00457452">
        <w:rPr>
          <w:rStyle w:val="FootnoteReference"/>
        </w:rPr>
        <w:footnoteReference w:id="73"/>
      </w:r>
    </w:p>
    <w:p w:rsidR="00DE31DA" w:rsidRPr="00DE31DA" w:rsidRDefault="00DE31DA" w:rsidP="00DE31DA">
      <w:pPr>
        <w:pStyle w:val="JUDGMENTCONTINUED"/>
      </w:pPr>
    </w:p>
    <w:p w:rsidR="000412F8" w:rsidRDefault="000412F8" w:rsidP="00DE31DA">
      <w:pPr>
        <w:pStyle w:val="JUDGMENTNUMBERED"/>
      </w:pPr>
      <w:r>
        <w:t>In the early 20</w:t>
      </w:r>
      <w:r w:rsidRPr="00C13548">
        <w:rPr>
          <w:vertAlign w:val="superscript"/>
        </w:rPr>
        <w:t>th</w:t>
      </w:r>
      <w:r>
        <w:t xml:space="preserve"> century, Innes CJ, relying on </w:t>
      </w:r>
      <w:r>
        <w:rPr>
          <w:i/>
        </w:rPr>
        <w:t>Harris</w:t>
      </w:r>
      <w:r>
        <w:t>, authoritatively imported into modern South African law the rule that with rare and nominate exceptions registration is indispensable to create real rights in land.</w:t>
      </w:r>
      <w:r>
        <w:rPr>
          <w:rStyle w:val="FootnoteReference"/>
        </w:rPr>
        <w:footnoteReference w:id="74"/>
      </w:r>
      <w:r>
        <w:t xml:space="preserve">  He stated that “the general rule of our law is that real rights in land can only be validly constituted by registration </w:t>
      </w:r>
      <w:r w:rsidRPr="007339E8">
        <w:rPr>
          <w:i/>
        </w:rPr>
        <w:t>coram lege loci</w:t>
      </w:r>
      <w:r>
        <w:t>”.</w:t>
      </w:r>
      <w:r>
        <w:rPr>
          <w:rStyle w:val="FootnoteReference"/>
        </w:rPr>
        <w:footnoteReference w:id="75"/>
      </w:r>
      <w:r>
        <w:t xml:space="preserve">  Innes CJ instanced prescription and acquisition of an interest in land by marriage in community of property as two exceptions to the general rule.</w:t>
      </w:r>
    </w:p>
    <w:p w:rsidR="0070352B" w:rsidRDefault="0070352B">
      <w:pPr>
        <w:pStyle w:val="JUDGMENTCONTINUED"/>
      </w:pPr>
    </w:p>
    <w:p w:rsidR="0099348B" w:rsidRDefault="00FF7E7F" w:rsidP="00DE31DA">
      <w:pPr>
        <w:pStyle w:val="JUDGMENTNUMBERED"/>
      </w:pPr>
      <w:r>
        <w:t xml:space="preserve">In short, long-standing doctrine </w:t>
      </w:r>
      <w:r w:rsidRPr="00FF7E7F">
        <w:t xml:space="preserve">in our law is that </w:t>
      </w:r>
      <w:r>
        <w:t xml:space="preserve">a real right of security over immovable property </w:t>
      </w:r>
      <w:r w:rsidR="001855AD">
        <w:t xml:space="preserve">can </w:t>
      </w:r>
      <w:r w:rsidR="00313EC2">
        <w:t xml:space="preserve">arise </w:t>
      </w:r>
      <w:r w:rsidR="001855AD">
        <w:t>only by giving</w:t>
      </w:r>
      <w:r w:rsidRPr="00FF7E7F">
        <w:t xml:space="preserve"> notice of </w:t>
      </w:r>
      <w:r w:rsidR="001855AD">
        <w:t xml:space="preserve">its creation </w:t>
      </w:r>
      <w:r w:rsidR="00DE31DA">
        <w:t>to the world in general: “</w:t>
      </w:r>
      <w:r w:rsidRPr="00FF7E7F">
        <w:t>The law insists that mortgages shall be effected in so open and public a manner that no one can afterwards complain that he had no notice of them.”</w:t>
      </w:r>
      <w:r w:rsidRPr="00FF7E7F">
        <w:rPr>
          <w:vertAlign w:val="superscript"/>
        </w:rPr>
        <w:footnoteReference w:id="76"/>
      </w:r>
    </w:p>
    <w:p w:rsidR="00DE31DA" w:rsidRPr="00DE31DA" w:rsidRDefault="00DE31DA" w:rsidP="00DE31DA">
      <w:pPr>
        <w:pStyle w:val="JUDGMENTCONTINUED"/>
      </w:pPr>
    </w:p>
    <w:p w:rsidR="00315EC5" w:rsidRDefault="00315EC5" w:rsidP="00DE31DA">
      <w:pPr>
        <w:pStyle w:val="JUDGMENTNUMBERED"/>
      </w:pPr>
      <w:r w:rsidRPr="00AB54FF">
        <w:t>This was the case before registration of title</w:t>
      </w:r>
      <w:r>
        <w:t xml:space="preserve"> in central deeds registries became common practice</w:t>
      </w:r>
      <w:r w:rsidRPr="00AB54FF">
        <w:t>.</w:t>
      </w:r>
      <w:r w:rsidR="00DE31DA">
        <w:rPr>
          <w:rStyle w:val="FootnoteReference"/>
        </w:rPr>
        <w:footnoteReference w:id="77"/>
      </w:r>
      <w:r w:rsidRPr="00AB54FF">
        <w:t xml:space="preserve">  </w:t>
      </w:r>
      <w:r>
        <w:t>Since then,</w:t>
      </w:r>
      <w:r w:rsidR="00DE31DA">
        <w:rPr>
          <w:rStyle w:val="FootnoteReference"/>
        </w:rPr>
        <w:footnoteReference w:id="78"/>
      </w:r>
      <w:r>
        <w:t xml:space="preserve"> t</w:t>
      </w:r>
      <w:r w:rsidRPr="00AB54FF">
        <w:t xml:space="preserve">he </w:t>
      </w:r>
      <w:r w:rsidR="002F2A3C" w:rsidRPr="00AB54FF">
        <w:t xml:space="preserve">act </w:t>
      </w:r>
      <w:r w:rsidR="002F2A3C">
        <w:t xml:space="preserve">of </w:t>
      </w:r>
      <w:r w:rsidRPr="00AB54FF">
        <w:t>formal</w:t>
      </w:r>
      <w:r w:rsidR="002F2A3C">
        <w:t xml:space="preserve">ity required for the constitution of a </w:t>
      </w:r>
      <w:r w:rsidR="002F2A3C">
        <w:lastRenderedPageBreak/>
        <w:t>transmissible real right of security in immovable property</w:t>
      </w:r>
      <w:r w:rsidRPr="00AB54FF">
        <w:t xml:space="preserve"> is registration in the deeds office</w:t>
      </w:r>
      <w:r w:rsidR="00505BF7">
        <w:t>.</w:t>
      </w:r>
    </w:p>
    <w:p w:rsidR="0070352B" w:rsidRDefault="0070352B">
      <w:pPr>
        <w:pStyle w:val="JUDGMENTCONTINUED"/>
      </w:pPr>
    </w:p>
    <w:p w:rsidR="00DE400D" w:rsidRDefault="00DE400D" w:rsidP="00DE400D">
      <w:pPr>
        <w:pStyle w:val="JUDGMENTNUMBERED"/>
      </w:pPr>
      <w:r>
        <w:t xml:space="preserve">And there is good reason for this.  Real </w:t>
      </w:r>
      <w:r w:rsidRPr="00DE400D">
        <w:t xml:space="preserve">security </w:t>
      </w:r>
      <w:r w:rsidR="00032F28">
        <w:t>in</w:t>
      </w:r>
      <w:r>
        <w:t xml:space="preserve"> property </w:t>
      </w:r>
      <w:r w:rsidRPr="00DE400D">
        <w:t xml:space="preserve">is a limited real right with the purpose of ensuring satisfaction of a debt or obligation to another, usually </w:t>
      </w:r>
      <w:r>
        <w:t xml:space="preserve">ahead of other, </w:t>
      </w:r>
      <w:r w:rsidR="000516A9">
        <w:t>unsecured</w:t>
      </w:r>
      <w:r>
        <w:t xml:space="preserve"> creditors</w:t>
      </w:r>
      <w:r w:rsidRPr="00DE400D">
        <w:t xml:space="preserve">. </w:t>
      </w:r>
      <w:r w:rsidR="00940682">
        <w:t xml:space="preserve"> </w:t>
      </w:r>
      <w:r w:rsidRPr="00DE400D">
        <w:t xml:space="preserve">This is </w:t>
      </w:r>
      <w:r>
        <w:t xml:space="preserve">important </w:t>
      </w:r>
      <w:r w:rsidR="00BE3270">
        <w:t xml:space="preserve">for </w:t>
      </w:r>
      <w:r w:rsidRPr="00DE400D">
        <w:t xml:space="preserve">it illustrates the difference between real security rights </w:t>
      </w:r>
      <w:r>
        <w:t xml:space="preserve">specifically of security </w:t>
      </w:r>
      <w:r w:rsidRPr="00DE400D">
        <w:t>(</w:t>
      </w:r>
      <w:r>
        <w:t xml:space="preserve">which are designed to shore up debt, and are </w:t>
      </w:r>
      <w:r w:rsidRPr="00DE400D">
        <w:t xml:space="preserve">a sub-category of limited real rights) and limited real rights in the broader sense.  It moves us away from asking whether a real security right is in principle enforceable against a third party </w:t>
      </w:r>
      <w:r>
        <w:t>–</w:t>
      </w:r>
      <w:r w:rsidRPr="00DE400D">
        <w:t xml:space="preserve"> which, as a sub-species of limited real rights</w:t>
      </w:r>
      <w:r>
        <w:t xml:space="preserve">, it must in principle be – </w:t>
      </w:r>
      <w:r w:rsidRPr="00DE400D">
        <w:t xml:space="preserve">and towards </w:t>
      </w:r>
      <w:r>
        <w:t xml:space="preserve">focusing on the </w:t>
      </w:r>
      <w:r w:rsidRPr="00DE400D">
        <w:t xml:space="preserve">purpose </w:t>
      </w:r>
      <w:r>
        <w:t xml:space="preserve">for which </w:t>
      </w:r>
      <w:r w:rsidRPr="00DE400D">
        <w:t xml:space="preserve">the limited </w:t>
      </w:r>
      <w:r>
        <w:t xml:space="preserve">right </w:t>
      </w:r>
      <w:r w:rsidRPr="00DE400D">
        <w:t xml:space="preserve">was created.  </w:t>
      </w:r>
      <w:r w:rsidR="00980CB4">
        <w:t>T</w:t>
      </w:r>
      <w:r>
        <w:t xml:space="preserve">he point of the right of security in property </w:t>
      </w:r>
      <w:r w:rsidRPr="00DE400D">
        <w:t>is to ensure payment of a debt</w:t>
      </w:r>
      <w:r w:rsidR="00980CB4">
        <w:t>.  T</w:t>
      </w:r>
      <w:r w:rsidRPr="00DE400D">
        <w:t xml:space="preserve">hen </w:t>
      </w:r>
      <w:r>
        <w:t>the question becomes th</w:t>
      </w:r>
      <w:r w:rsidR="00D4041F">
        <w:t>e one</w:t>
      </w:r>
      <w:r>
        <w:t xml:space="preserve"> at issue here: </w:t>
      </w:r>
      <w:r w:rsidRPr="00DE400D">
        <w:t xml:space="preserve">if that debt could be satisfied </w:t>
      </w:r>
      <w:r>
        <w:t xml:space="preserve">by execution upon the property </w:t>
      </w:r>
      <w:r w:rsidRPr="00DE400D">
        <w:rPr>
          <w:i/>
        </w:rPr>
        <w:t>before</w:t>
      </w:r>
      <w:r>
        <w:t xml:space="preserve"> the debtor </w:t>
      </w:r>
      <w:r w:rsidRPr="00DE400D">
        <w:t>dispos</w:t>
      </w:r>
      <w:r>
        <w:t>es of the property</w:t>
      </w:r>
      <w:r w:rsidR="00940682">
        <w:t> </w:t>
      </w:r>
      <w:r>
        <w:t>– o</w:t>
      </w:r>
      <w:r w:rsidRPr="00DE400D">
        <w:t>r even</w:t>
      </w:r>
      <w:r>
        <w:t xml:space="preserve"> later –</w:t>
      </w:r>
      <w:r w:rsidR="003221AD">
        <w:t xml:space="preserve"> </w:t>
      </w:r>
      <w:r w:rsidRPr="00DE400D">
        <w:t xml:space="preserve">why should </w:t>
      </w:r>
      <w:r w:rsidR="006E01DC">
        <w:t xml:space="preserve">it </w:t>
      </w:r>
      <w:r w:rsidRPr="00DE400D">
        <w:t xml:space="preserve">be enforceable against </w:t>
      </w:r>
      <w:r>
        <w:t xml:space="preserve">innocent </w:t>
      </w:r>
      <w:r w:rsidRPr="00DE400D">
        <w:t>third parties</w:t>
      </w:r>
      <w:r>
        <w:t xml:space="preserve"> who are unconnected with the debt and may not even know of its existence?</w:t>
      </w:r>
    </w:p>
    <w:p w:rsidR="00DE400D" w:rsidRPr="00DE400D" w:rsidRDefault="00DE400D" w:rsidP="00DE400D">
      <w:pPr>
        <w:pStyle w:val="JUDGMENTCONTINUED"/>
      </w:pPr>
    </w:p>
    <w:p w:rsidR="009F7CA5" w:rsidRDefault="00DE400D" w:rsidP="009F7CA5">
      <w:pPr>
        <w:pStyle w:val="JUDGMENTNUMBERED"/>
      </w:pPr>
      <w:r>
        <w:t>Against this background, w</w:t>
      </w:r>
      <w:r w:rsidR="002F2A3C">
        <w:t xml:space="preserve">hat is </w:t>
      </w:r>
      <w:r>
        <w:t xml:space="preserve">notable </w:t>
      </w:r>
      <w:r w:rsidR="002F2A3C">
        <w:t xml:space="preserve">about section 118(3) is that </w:t>
      </w:r>
      <w:r w:rsidR="00F62FDC" w:rsidRPr="00AB54FF">
        <w:t xml:space="preserve">the legislature </w:t>
      </w:r>
      <w:r w:rsidR="00F62FDC">
        <w:t>did not require</w:t>
      </w:r>
      <w:r w:rsidR="00F62FDC" w:rsidRPr="00AB54FF">
        <w:t xml:space="preserve"> that </w:t>
      </w:r>
      <w:r w:rsidR="00D8742D">
        <w:t xml:space="preserve">the charge </w:t>
      </w:r>
      <w:r w:rsidR="00F62FDC" w:rsidRPr="00AB54FF">
        <w:t xml:space="preserve">be </w:t>
      </w:r>
      <w:r w:rsidR="00F62FDC">
        <w:t xml:space="preserve">either </w:t>
      </w:r>
      <w:r w:rsidR="00F62FDC" w:rsidRPr="00AB54FF">
        <w:t>registered or noted on the register</w:t>
      </w:r>
      <w:r w:rsidR="00D8742D">
        <w:t xml:space="preserve"> of deeds</w:t>
      </w:r>
      <w:r w:rsidR="002F2A3C">
        <w:t>.</w:t>
      </w:r>
      <w:r w:rsidR="002F2A3C">
        <w:rPr>
          <w:rStyle w:val="FootnoteReference"/>
        </w:rPr>
        <w:footnoteReference w:id="79"/>
      </w:r>
      <w:r w:rsidR="002F2A3C">
        <w:t xml:space="preserve">  </w:t>
      </w:r>
      <w:r w:rsidR="009F7CA5" w:rsidRPr="009F7CA5">
        <w:t xml:space="preserve">Textually, there is no indication that the right </w:t>
      </w:r>
      <w:r w:rsidR="004C10C5">
        <w:t>given</w:t>
      </w:r>
      <w:r w:rsidR="003A0FD9">
        <w:t xml:space="preserve"> to</w:t>
      </w:r>
      <w:r w:rsidR="004C10C5">
        <w:t xml:space="preserve"> </w:t>
      </w:r>
      <w:r w:rsidR="009F7CA5" w:rsidRPr="009F7CA5">
        <w:t xml:space="preserve">municipalities </w:t>
      </w:r>
      <w:r w:rsidR="009F7CA5">
        <w:t xml:space="preserve">has </w:t>
      </w:r>
      <w:r w:rsidR="009F7CA5" w:rsidRPr="009F7CA5">
        <w:t>third</w:t>
      </w:r>
      <w:r w:rsidR="00B25DFB">
        <w:t>-</w:t>
      </w:r>
      <w:r w:rsidR="009F7CA5" w:rsidRPr="009F7CA5">
        <w:t>party effect: no provision is made to fulfil the publicity requirement central to the functioning of limited real rights.</w:t>
      </w:r>
      <w:r w:rsidR="009F7CA5">
        <w:t xml:space="preserve">  </w:t>
      </w:r>
      <w:r w:rsidR="002F2A3C">
        <w:t xml:space="preserve">It stands </w:t>
      </w:r>
      <w:r w:rsidR="004D33EC">
        <w:t xml:space="preserve">alone, </w:t>
      </w:r>
      <w:r w:rsidR="002F2A3C">
        <w:t>isolated</w:t>
      </w:r>
      <w:r w:rsidR="004D33EC">
        <w:t xml:space="preserve"> and unsupported</w:t>
      </w:r>
      <w:r w:rsidR="002F2A3C">
        <w:t>, without foundation or undergirding and with no express words carrying any sugges</w:t>
      </w:r>
      <w:r w:rsidR="00A24EA8">
        <w:t>tion that it is transmissible.</w:t>
      </w:r>
    </w:p>
    <w:p w:rsidR="0070352B" w:rsidRDefault="0070352B">
      <w:pPr>
        <w:pStyle w:val="JUDGMENTCONTINUED"/>
      </w:pPr>
    </w:p>
    <w:p w:rsidR="00BC2CAF" w:rsidRDefault="004C10C5" w:rsidP="009F7CA5">
      <w:pPr>
        <w:pStyle w:val="JUDGMENTNUMBERED"/>
      </w:pPr>
      <w:r>
        <w:t xml:space="preserve">A useful </w:t>
      </w:r>
      <w:r w:rsidR="002F2A3C">
        <w:t xml:space="preserve">contrast </w:t>
      </w:r>
      <w:r>
        <w:t xml:space="preserve">arises from </w:t>
      </w:r>
      <w:r w:rsidR="002F2A3C" w:rsidRPr="00AB54FF">
        <w:t xml:space="preserve">a statute enacted </w:t>
      </w:r>
      <w:r w:rsidR="00A77E9C">
        <w:t xml:space="preserve">soon </w:t>
      </w:r>
      <w:r w:rsidR="002F2A3C" w:rsidRPr="00AB54FF">
        <w:t>after section</w:t>
      </w:r>
      <w:r w:rsidR="002F2A3C">
        <w:t> </w:t>
      </w:r>
      <w:r w:rsidR="002F2A3C" w:rsidRPr="00AB54FF">
        <w:t xml:space="preserve">118(3) took effect, the Land and Agricultural </w:t>
      </w:r>
      <w:r w:rsidR="002F2A3C">
        <w:t>D</w:t>
      </w:r>
      <w:r w:rsidR="002F2A3C" w:rsidRPr="00AB54FF">
        <w:t>evelopment Bank Act.</w:t>
      </w:r>
      <w:r w:rsidR="00BC2CAF">
        <w:rPr>
          <w:rStyle w:val="FootnoteReference"/>
        </w:rPr>
        <w:footnoteReference w:id="80"/>
      </w:r>
      <w:r w:rsidR="002F2A3C" w:rsidRPr="00AB54FF">
        <w:t xml:space="preserve">  </w:t>
      </w:r>
      <w:r w:rsidR="004D33EC">
        <w:t xml:space="preserve">This </w:t>
      </w:r>
      <w:r w:rsidR="002F2A3C" w:rsidRPr="00AB54FF">
        <w:t>provides that</w:t>
      </w:r>
      <w:r w:rsidR="00EB3BDD">
        <w:t>,</w:t>
      </w:r>
      <w:r w:rsidR="002F2A3C" w:rsidRPr="00AB54FF">
        <w:t xml:space="preserve"> before </w:t>
      </w:r>
      <w:r w:rsidR="002F2A3C" w:rsidRPr="00AB54FF">
        <w:lastRenderedPageBreak/>
        <w:t xml:space="preserve">the </w:t>
      </w:r>
      <w:r w:rsidR="002F2A3C">
        <w:t>B</w:t>
      </w:r>
      <w:r w:rsidR="002F2A3C" w:rsidRPr="00AB54FF">
        <w:t xml:space="preserve">ank makes </w:t>
      </w:r>
      <w:r w:rsidR="002F2A3C">
        <w:t>any payment</w:t>
      </w:r>
      <w:r w:rsidR="00BC2CAF">
        <w:t xml:space="preserve"> of a loan</w:t>
      </w:r>
      <w:r w:rsidR="002F2A3C" w:rsidRPr="00AB54FF">
        <w:t xml:space="preserve">, it must transmit in </w:t>
      </w:r>
      <w:r w:rsidR="002F2A3C">
        <w:t>w</w:t>
      </w:r>
      <w:r w:rsidR="002F2A3C" w:rsidRPr="00AB54FF">
        <w:t>r</w:t>
      </w:r>
      <w:r w:rsidR="002F2A3C">
        <w:t>i</w:t>
      </w:r>
      <w:r w:rsidR="002F2A3C" w:rsidRPr="00AB54FF">
        <w:t xml:space="preserve">ting to the </w:t>
      </w:r>
      <w:r w:rsidR="002F2A3C">
        <w:t>R</w:t>
      </w:r>
      <w:r w:rsidR="002F2A3C" w:rsidRPr="00AB54FF">
        <w:t xml:space="preserve">egistrar of </w:t>
      </w:r>
      <w:r w:rsidR="002F2A3C" w:rsidRPr="00142AB7">
        <w:t>Deeds information about the advance, including its amount</w:t>
      </w:r>
      <w:r w:rsidR="002F2A3C" w:rsidRPr="00954C7A">
        <w:t xml:space="preserve"> and date</w:t>
      </w:r>
      <w:r w:rsidR="002F2A3C">
        <w:t>.</w:t>
      </w:r>
      <w:r w:rsidR="00743230">
        <w:rPr>
          <w:rStyle w:val="FootnoteReference"/>
        </w:rPr>
        <w:footnoteReference w:id="81"/>
      </w:r>
      <w:r w:rsidR="002F2A3C">
        <w:t xml:space="preserve">  The Registrar </w:t>
      </w:r>
      <w:r w:rsidR="002F2A3C" w:rsidRPr="00954C7A">
        <w:t xml:space="preserve">must </w:t>
      </w:r>
      <w:r w:rsidR="002F2A3C">
        <w:t>then “</w:t>
      </w:r>
      <w:r w:rsidR="002F2A3C" w:rsidRPr="00954C7A">
        <w:t xml:space="preserve">cause a note thereof to be made in </w:t>
      </w:r>
      <w:r w:rsidR="002F2A3C">
        <w:t>his</w:t>
      </w:r>
      <w:r w:rsidR="002F2A3C" w:rsidRPr="00954C7A">
        <w:t xml:space="preserve"> or her registers in respect of the proper</w:t>
      </w:r>
      <w:r w:rsidR="002F2A3C" w:rsidRPr="00150B13">
        <w:t xml:space="preserve">ty”. </w:t>
      </w:r>
      <w:r>
        <w:t xml:space="preserve"> Th</w:t>
      </w:r>
      <w:r w:rsidR="00EB3BDD">
        <w:t xml:space="preserve">is </w:t>
      </w:r>
      <w:r w:rsidR="002F2A3C" w:rsidRPr="00142AB7">
        <w:t xml:space="preserve">note </w:t>
      </w:r>
      <w:r>
        <w:t xml:space="preserve">the statute says </w:t>
      </w:r>
      <w:r w:rsidR="00EB3BDD">
        <w:t>“</w:t>
      </w:r>
      <w:r w:rsidR="002F2A3C" w:rsidRPr="00142AB7">
        <w:t>has the effect of creating in favour of the Bank a charge upon the property until the amount of the advance together with interest and costs has been repaid”</w:t>
      </w:r>
      <w:r w:rsidR="002F2A3C">
        <w:t>.</w:t>
      </w:r>
      <w:r w:rsidR="00EB3BDD">
        <w:rPr>
          <w:rStyle w:val="FootnoteReference"/>
        </w:rPr>
        <w:footnoteReference w:id="82"/>
      </w:r>
    </w:p>
    <w:p w:rsidR="0070352B" w:rsidRDefault="0070352B">
      <w:pPr>
        <w:pStyle w:val="JUDGMENTCONTINUED"/>
      </w:pPr>
    </w:p>
    <w:p w:rsidR="00F62FDC" w:rsidRDefault="00BC2CAF" w:rsidP="00BC2CAF">
      <w:pPr>
        <w:pStyle w:val="JUDGMENTNUMBERED"/>
      </w:pPr>
      <w:r>
        <w:t xml:space="preserve">This is the bullseye target section 118(3) </w:t>
      </w:r>
      <w:proofErr w:type="gramStart"/>
      <w:r w:rsidR="00ED6524">
        <w:t>does</w:t>
      </w:r>
      <w:proofErr w:type="gramEnd"/>
      <w:r w:rsidR="00682FA4">
        <w:t xml:space="preserve"> </w:t>
      </w:r>
      <w:r w:rsidR="00ED6524">
        <w:t>n</w:t>
      </w:r>
      <w:r w:rsidR="00682FA4">
        <w:t>o</w:t>
      </w:r>
      <w:r w:rsidR="00ED6524">
        <w:t>t even attempt</w:t>
      </w:r>
      <w:r>
        <w:t xml:space="preserve"> to hit.  </w:t>
      </w:r>
      <w:r w:rsidR="00EB3BDD">
        <w:t xml:space="preserve">The </w:t>
      </w:r>
      <w:r>
        <w:t xml:space="preserve">two provisions use the </w:t>
      </w:r>
      <w:r w:rsidR="00EB3BDD">
        <w:t xml:space="preserve">same language (“charge upon the property”) </w:t>
      </w:r>
      <w:r>
        <w:t xml:space="preserve">– </w:t>
      </w:r>
      <w:r w:rsidR="00EB3BDD">
        <w:t>but</w:t>
      </w:r>
      <w:r>
        <w:t xml:space="preserve"> </w:t>
      </w:r>
      <w:r w:rsidR="00EB3BDD">
        <w:t xml:space="preserve">the </w:t>
      </w:r>
      <w:r w:rsidR="00B06683" w:rsidRPr="00AB54FF">
        <w:t xml:space="preserve">Land and Agricultural </w:t>
      </w:r>
      <w:r w:rsidR="00B06683">
        <w:t>D</w:t>
      </w:r>
      <w:r w:rsidR="00B06683" w:rsidRPr="00AB54FF">
        <w:t>evelopment Bank Act</w:t>
      </w:r>
      <w:r>
        <w:t xml:space="preserve"> contains the </w:t>
      </w:r>
      <w:r w:rsidR="00EB3BDD">
        <w:t xml:space="preserve">logical corollary </w:t>
      </w:r>
      <w:r>
        <w:t xml:space="preserve">that secures </w:t>
      </w:r>
      <w:r w:rsidR="00EB3BDD">
        <w:t>transmissibility</w:t>
      </w:r>
      <w:r w:rsidR="0030562A">
        <w:t xml:space="preserve">, </w:t>
      </w:r>
      <w:r w:rsidR="00EB3BDD">
        <w:t xml:space="preserve">namely registration by public </w:t>
      </w:r>
      <w:r>
        <w:t xml:space="preserve">act </w:t>
      </w:r>
      <w:r w:rsidR="008F684D">
        <w:t>i</w:t>
      </w:r>
      <w:r>
        <w:t>n the register of deeds</w:t>
      </w:r>
      <w:r w:rsidR="00EB3BDD">
        <w:t xml:space="preserve">.  </w:t>
      </w:r>
      <w:r w:rsidR="00FC1A95">
        <w:t>It</w:t>
      </w:r>
      <w:r>
        <w:t xml:space="preserve"> </w:t>
      </w:r>
      <w:r w:rsidR="00845CD1">
        <w:t>thu</w:t>
      </w:r>
      <w:r w:rsidR="00EB3BDD">
        <w:t xml:space="preserve">s </w:t>
      </w:r>
      <w:r w:rsidR="00783C1C">
        <w:t xml:space="preserve">shows </w:t>
      </w:r>
      <w:r w:rsidR="002F2A3C" w:rsidRPr="00AB54FF">
        <w:t xml:space="preserve">that, </w:t>
      </w:r>
      <w:r w:rsidR="00EB3BDD">
        <w:t xml:space="preserve">when legislation </w:t>
      </w:r>
      <w:r w:rsidR="002F2A3C" w:rsidRPr="00AB54FF">
        <w:t>create</w:t>
      </w:r>
      <w:r w:rsidR="00EB3BDD">
        <w:t>s</w:t>
      </w:r>
      <w:r w:rsidR="002F2A3C" w:rsidRPr="00AB54FF">
        <w:t xml:space="preserve"> a </w:t>
      </w:r>
      <w:r w:rsidR="00845CD1">
        <w:t xml:space="preserve">transmissible </w:t>
      </w:r>
      <w:r w:rsidR="002F2A3C" w:rsidRPr="00AB54FF">
        <w:t>charge upon immovable property</w:t>
      </w:r>
      <w:r w:rsidR="002F2A3C">
        <w:t>,</w:t>
      </w:r>
      <w:r w:rsidR="002F2A3C" w:rsidRPr="00AB54FF">
        <w:t xml:space="preserve"> registration </w:t>
      </w:r>
      <w:r w:rsidR="00845CD1">
        <w:t>in the Deeds Registry (</w:t>
      </w:r>
      <w:r w:rsidR="002F2A3C">
        <w:t xml:space="preserve">or some </w:t>
      </w:r>
      <w:r w:rsidR="00845CD1">
        <w:t xml:space="preserve">other act </w:t>
      </w:r>
      <w:r w:rsidR="002F2A3C">
        <w:t>of publicity or formality</w:t>
      </w:r>
      <w:r w:rsidR="00845CD1">
        <w:t>)</w:t>
      </w:r>
      <w:r w:rsidR="002F2A3C">
        <w:t xml:space="preserve"> </w:t>
      </w:r>
      <w:r w:rsidR="00EB3BDD">
        <w:t>is</w:t>
      </w:r>
      <w:r w:rsidR="00783C1C">
        <w:t xml:space="preserve"> specified</w:t>
      </w:r>
      <w:r w:rsidR="00EB3BDD">
        <w:t>.</w:t>
      </w:r>
      <w:r w:rsidR="006D61B2">
        <w:t xml:space="preserve"> </w:t>
      </w:r>
      <w:r w:rsidR="00EB3BDD">
        <w:t xml:space="preserve"> </w:t>
      </w:r>
      <w:r w:rsidR="00845CD1">
        <w:t>I</w:t>
      </w:r>
      <w:r>
        <w:t>ts</w:t>
      </w:r>
      <w:r w:rsidR="00845CD1">
        <w:t xml:space="preserve"> </w:t>
      </w:r>
      <w:r>
        <w:t xml:space="preserve">absence from section 118(3) </w:t>
      </w:r>
      <w:r w:rsidR="004811C8">
        <w:t xml:space="preserve">provides a telling </w:t>
      </w:r>
      <w:r w:rsidR="00845CD1">
        <w:t xml:space="preserve">indication </w:t>
      </w:r>
      <w:r w:rsidR="0005242B">
        <w:t xml:space="preserve">that </w:t>
      </w:r>
      <w:r w:rsidR="00EB3BDD">
        <w:t xml:space="preserve">the charge </w:t>
      </w:r>
      <w:r w:rsidR="004811C8" w:rsidRPr="00AB54FF">
        <w:t>takes effect only against the current owner</w:t>
      </w:r>
      <w:r w:rsidR="006927E8">
        <w:t xml:space="preserve"> </w:t>
      </w:r>
      <w:r w:rsidR="001C0310">
        <w:t xml:space="preserve">and not </w:t>
      </w:r>
      <w:r w:rsidR="006927E8">
        <w:t>successors</w:t>
      </w:r>
      <w:r w:rsidR="004811C8">
        <w:t>.</w:t>
      </w:r>
      <w:r w:rsidR="00C27BE1">
        <w:rPr>
          <w:rStyle w:val="FootnoteReference"/>
        </w:rPr>
        <w:footnoteReference w:id="83"/>
      </w:r>
    </w:p>
    <w:p w:rsidR="00EB3BDD" w:rsidRPr="00EB3BDD" w:rsidRDefault="00EB3BDD" w:rsidP="00EB3BDD">
      <w:pPr>
        <w:pStyle w:val="JUDGMENTCONTINUED"/>
      </w:pPr>
    </w:p>
    <w:p w:rsidR="00A311FC" w:rsidRDefault="00F62FDC" w:rsidP="00495071">
      <w:pPr>
        <w:pStyle w:val="JUDGMENTNUMBERED"/>
      </w:pPr>
      <w:r w:rsidRPr="00AB54FF">
        <w:t xml:space="preserve">Were there no </w:t>
      </w:r>
      <w:r>
        <w:t>C</w:t>
      </w:r>
      <w:r w:rsidRPr="00AB54FF">
        <w:t xml:space="preserve">onstitution, </w:t>
      </w:r>
      <w:r w:rsidR="00EB3BDD">
        <w:t xml:space="preserve">one would </w:t>
      </w:r>
      <w:r w:rsidR="00701713">
        <w:t>thus conclude</w:t>
      </w:r>
      <w:r w:rsidRPr="00AB54FF">
        <w:t xml:space="preserve">, on the wording of section 118(3) alone, that the unregistered charge it creates is enforceable against the property only so long as the </w:t>
      </w:r>
      <w:r w:rsidR="00BC2CAF">
        <w:t xml:space="preserve">original </w:t>
      </w:r>
      <w:r w:rsidRPr="00AB54FF">
        <w:t xml:space="preserve">owner </w:t>
      </w:r>
      <w:r w:rsidR="00BC2CAF">
        <w:t>holds title</w:t>
      </w:r>
      <w:r w:rsidRPr="00AB54FF">
        <w:t>.</w:t>
      </w:r>
      <w:r>
        <w:t xml:space="preserve">  The </w:t>
      </w:r>
      <w:r w:rsidR="0044276A">
        <w:t xml:space="preserve">absence </w:t>
      </w:r>
      <w:r>
        <w:t xml:space="preserve">of </w:t>
      </w:r>
      <w:r w:rsidR="00EB3BDD">
        <w:t xml:space="preserve">any </w:t>
      </w:r>
      <w:r>
        <w:t xml:space="preserve">requirement </w:t>
      </w:r>
      <w:r w:rsidR="00EB3BDD">
        <w:t xml:space="preserve">that the </w:t>
      </w:r>
      <w:r w:rsidR="00261FA0">
        <w:t xml:space="preserve">charge be publicly formalised </w:t>
      </w:r>
      <w:r>
        <w:t xml:space="preserve">is a </w:t>
      </w:r>
      <w:r w:rsidR="009379B1">
        <w:t xml:space="preserve">strong </w:t>
      </w:r>
      <w:r>
        <w:t xml:space="preserve">interpretative indicator that the limited real right section 118(3) </w:t>
      </w:r>
      <w:r w:rsidR="00EB3BDD">
        <w:t xml:space="preserve">creates </w:t>
      </w:r>
      <w:r>
        <w:t>is defeasible on transfer of ownership.</w:t>
      </w:r>
    </w:p>
    <w:p w:rsidR="008D3494" w:rsidRDefault="008D3494">
      <w:pPr>
        <w:pStyle w:val="JUDGMENTCONTINUED"/>
      </w:pPr>
    </w:p>
    <w:p w:rsidR="00F62FDC" w:rsidRDefault="00CB3CB5" w:rsidP="00495071">
      <w:pPr>
        <w:pStyle w:val="JUDGMENTNUMBERED"/>
      </w:pPr>
      <w:r>
        <w:t>And i</w:t>
      </w:r>
      <w:r w:rsidR="002F39FE">
        <w:t xml:space="preserve">t is no answer to suggest that the statute itself fulfils the publicity requirement.  In the case of the charge contemplated in section 118(3), the statute is evidence </w:t>
      </w:r>
      <w:r>
        <w:t xml:space="preserve">only </w:t>
      </w:r>
      <w:r w:rsidR="002F39FE">
        <w:t xml:space="preserve">of the </w:t>
      </w:r>
      <w:r w:rsidR="002F39FE" w:rsidRPr="00980390">
        <w:rPr>
          <w:i/>
        </w:rPr>
        <w:t>existence</w:t>
      </w:r>
      <w:r w:rsidR="002F39FE">
        <w:t xml:space="preserve"> of</w:t>
      </w:r>
      <w:r w:rsidR="001D2330">
        <w:t xml:space="preserve"> potential</w:t>
      </w:r>
      <w:r w:rsidR="002F39FE">
        <w:t xml:space="preserve"> debt on the property.  </w:t>
      </w:r>
      <w:r>
        <w:t>T</w:t>
      </w:r>
      <w:r w:rsidR="002F39FE">
        <w:t xml:space="preserve">here is no indication as to the value of that debt.  </w:t>
      </w:r>
      <w:r>
        <w:t>Registration of the charge would provide t</w:t>
      </w:r>
      <w:r w:rsidR="002F39FE">
        <w:t xml:space="preserve">hat detail.  </w:t>
      </w:r>
      <w:r w:rsidR="002F39FE">
        <w:lastRenderedPageBreak/>
        <w:t xml:space="preserve">Even </w:t>
      </w:r>
      <w:r>
        <w:t xml:space="preserve">where </w:t>
      </w:r>
      <w:r w:rsidR="002F39FE">
        <w:t>a covering mortgage bond</w:t>
      </w:r>
      <w:r>
        <w:t xml:space="preserve"> is registered</w:t>
      </w:r>
      <w:r w:rsidR="002F39FE">
        <w:t xml:space="preserve">, the amount of which may fluctuate over time, the bond </w:t>
      </w:r>
      <w:r>
        <w:t xml:space="preserve">to be effective </w:t>
      </w:r>
      <w:r w:rsidR="002F39FE">
        <w:t>must include a fixed amount beyond which future debts shall not be secured.</w:t>
      </w:r>
      <w:r w:rsidR="002F39FE">
        <w:rPr>
          <w:rStyle w:val="FootnoteReference"/>
        </w:rPr>
        <w:footnoteReference w:id="84"/>
      </w:r>
      <w:r w:rsidR="002F39FE">
        <w:t xml:space="preserve">  So the legislate</w:t>
      </w:r>
      <w:r>
        <w:t>d</w:t>
      </w:r>
      <w:r w:rsidR="002F39FE">
        <w:t xml:space="preserve"> </w:t>
      </w:r>
      <w:r>
        <w:t>fact</w:t>
      </w:r>
      <w:r w:rsidR="002F39FE">
        <w:t xml:space="preserve"> of the charge, alone, does not render the requirement of registration or formalisation redundant.  Th</w:t>
      </w:r>
      <w:r>
        <w:t>at</w:t>
      </w:r>
      <w:r w:rsidR="002F39FE">
        <w:t xml:space="preserve"> </w:t>
      </w:r>
      <w:r w:rsidR="00A311FC">
        <w:t xml:space="preserve">remains </w:t>
      </w:r>
      <w:r w:rsidR="002F39FE">
        <w:t xml:space="preserve">necessary to </w:t>
      </w:r>
      <w:r>
        <w:t xml:space="preserve">fulfil the </w:t>
      </w:r>
      <w:r w:rsidR="000C1B89">
        <w:t xml:space="preserve">publicity </w:t>
      </w:r>
      <w:r>
        <w:t xml:space="preserve">purpose by </w:t>
      </w:r>
      <w:r w:rsidR="002F39FE">
        <w:t>provid</w:t>
      </w:r>
      <w:r>
        <w:t xml:space="preserve">ing </w:t>
      </w:r>
      <w:r w:rsidR="002F39FE">
        <w:t>details of the charge</w:t>
      </w:r>
      <w:r w:rsidR="00143F64">
        <w:t>.</w:t>
      </w:r>
      <w:r w:rsidR="00582CFD">
        <w:rPr>
          <w:rStyle w:val="FootnoteReference"/>
        </w:rPr>
        <w:footnoteReference w:id="85"/>
      </w:r>
    </w:p>
    <w:p w:rsidR="00EB3BDD" w:rsidRPr="00EB3BDD" w:rsidRDefault="00EB3BDD" w:rsidP="00EB3BDD">
      <w:pPr>
        <w:pStyle w:val="JUDGMENTCONTINUED"/>
      </w:pPr>
    </w:p>
    <w:p w:rsidR="004678D5" w:rsidRPr="00C13548" w:rsidRDefault="00081DE9" w:rsidP="00C13548">
      <w:pPr>
        <w:pStyle w:val="HEADING"/>
        <w:rPr>
          <w:i w:val="0"/>
        </w:rPr>
      </w:pPr>
      <w:r w:rsidRPr="00C13548">
        <w:t>Constitution</w:t>
      </w:r>
    </w:p>
    <w:p w:rsidR="001E6933" w:rsidRDefault="00F62FDC" w:rsidP="00242823">
      <w:pPr>
        <w:pStyle w:val="JUDGMENTNUMBERED"/>
      </w:pPr>
      <w:r w:rsidRPr="00AB54FF">
        <w:t>But</w:t>
      </w:r>
      <w:r w:rsidR="00096A1C">
        <w:t>,</w:t>
      </w:r>
      <w:r w:rsidRPr="00AB54FF">
        <w:t xml:space="preserve"> </w:t>
      </w:r>
      <w:r w:rsidR="00EB3BDD">
        <w:t>fortunately</w:t>
      </w:r>
      <w:r w:rsidR="00096A1C">
        <w:t>,</w:t>
      </w:r>
      <w:r w:rsidR="00EB3BDD">
        <w:t xml:space="preserve"> </w:t>
      </w:r>
      <w:r w:rsidRPr="00AB54FF">
        <w:t>we</w:t>
      </w:r>
      <w:r>
        <w:t xml:space="preserve"> live in a constitutional state.  And </w:t>
      </w:r>
      <w:r w:rsidR="005228F9">
        <w:t xml:space="preserve">that makes </w:t>
      </w:r>
      <w:r w:rsidRPr="00AB54FF">
        <w:t xml:space="preserve">the </w:t>
      </w:r>
      <w:r>
        <w:t>C</w:t>
      </w:r>
      <w:r w:rsidRPr="00AB54FF">
        <w:t xml:space="preserve">onstitution </w:t>
      </w:r>
      <w:r w:rsidR="00AF132B">
        <w:t>supreme</w:t>
      </w:r>
      <w:r w:rsidRPr="00AB54FF">
        <w:t>.</w:t>
      </w:r>
      <w:r>
        <w:t xml:space="preserve">  The position under the common law provides but a useful backdrop to the process of </w:t>
      </w:r>
      <w:r w:rsidR="00EB3BDD">
        <w:t>interpreting section 118(3) in accordance with and in the light of the Constitution</w:t>
      </w:r>
      <w:r>
        <w:t>.</w:t>
      </w:r>
      <w:r w:rsidR="00EB3BDD">
        <w:t xml:space="preserve">  If there is any doubt about the meaning of the</w:t>
      </w:r>
      <w:r w:rsidR="00212F4C">
        <w:t xml:space="preserve"> section</w:t>
      </w:r>
      <w:r w:rsidR="00EB3BDD">
        <w:t xml:space="preserve">, that doubt must be resolved </w:t>
      </w:r>
      <w:r w:rsidR="00212F4C">
        <w:t xml:space="preserve">to accord </w:t>
      </w:r>
      <w:r w:rsidR="00EB3BDD">
        <w:t>best with the spirit</w:t>
      </w:r>
      <w:r w:rsidR="00212F4C">
        <w:t>,</w:t>
      </w:r>
      <w:r w:rsidR="00EB3BDD">
        <w:t xml:space="preserve"> purport and objects of the Bill of Rights.</w:t>
      </w:r>
      <w:r w:rsidR="00EB3BDD">
        <w:rPr>
          <w:rStyle w:val="FootnoteReference"/>
        </w:rPr>
        <w:footnoteReference w:id="86"/>
      </w:r>
      <w:r w:rsidR="00EB3BDD">
        <w:t xml:space="preserve">  </w:t>
      </w:r>
      <w:r w:rsidR="009379B1">
        <w:t xml:space="preserve">Since </w:t>
      </w:r>
      <w:r w:rsidR="00EB3BDD" w:rsidRPr="00E75247">
        <w:rPr>
          <w:i/>
        </w:rPr>
        <w:t>Hyundai</w:t>
      </w:r>
      <w:r w:rsidR="00EB3BDD">
        <w:t>,</w:t>
      </w:r>
      <w:r w:rsidR="00E75247">
        <w:rPr>
          <w:rStyle w:val="FootnoteReference"/>
        </w:rPr>
        <w:footnoteReference w:id="87"/>
      </w:r>
      <w:r w:rsidR="00EB3BDD">
        <w:t xml:space="preserve"> </w:t>
      </w:r>
      <w:r w:rsidR="00E75247">
        <w:t>all legislation must be approached through the prism of the Bill of Rights</w:t>
      </w:r>
      <w:r w:rsidR="001E6933">
        <w:t>.</w:t>
      </w:r>
      <w:r w:rsidR="00E75247">
        <w:rPr>
          <w:rStyle w:val="FootnoteReference"/>
        </w:rPr>
        <w:footnoteReference w:id="88"/>
      </w:r>
      <w:r w:rsidR="00E75247">
        <w:t xml:space="preserve">  </w:t>
      </w:r>
      <w:r w:rsidR="001E6933">
        <w:t xml:space="preserve">And </w:t>
      </w:r>
      <w:r w:rsidR="005228F9">
        <w:t>it has been “gold-plate doctrine”</w:t>
      </w:r>
      <w:r w:rsidR="005228F9">
        <w:rPr>
          <w:rStyle w:val="FootnoteReference"/>
        </w:rPr>
        <w:footnoteReference w:id="89"/>
      </w:r>
      <w:r w:rsidR="005228F9">
        <w:t xml:space="preserve"> in this Court that</w:t>
      </w:r>
      <w:r w:rsidR="009379B1">
        <w:t>,</w:t>
      </w:r>
      <w:r w:rsidR="005228F9">
        <w:t xml:space="preserve"> </w:t>
      </w:r>
      <w:r w:rsidR="001E6933">
        <w:t xml:space="preserve">if a meaning conformable with the Bill of Rights can reasonably be ascribed to legislation, </w:t>
      </w:r>
      <w:r w:rsidR="001E6933">
        <w:lastRenderedPageBreak/>
        <w:t xml:space="preserve">that meaning must be embraced, rather than </w:t>
      </w:r>
      <w:r w:rsidR="00242823">
        <w:t xml:space="preserve">one that offends the Constitution.  </w:t>
      </w:r>
      <w:r w:rsidR="001E6933">
        <w:t xml:space="preserve">Thus approached, </w:t>
      </w:r>
      <w:r w:rsidR="00EB3BDD">
        <w:t>t</w:t>
      </w:r>
      <w:r w:rsidRPr="00AB54FF">
        <w:t xml:space="preserve">he question is whether </w:t>
      </w:r>
      <w:r w:rsidR="001E6933">
        <w:t xml:space="preserve">the values and rights in the Constitution </w:t>
      </w:r>
      <w:r w:rsidR="00BE02DB">
        <w:t xml:space="preserve">point to the conclusion </w:t>
      </w:r>
      <w:r>
        <w:t xml:space="preserve">that </w:t>
      </w:r>
      <w:r w:rsidRPr="00AB54FF">
        <w:t xml:space="preserve">the section 118(3) charge </w:t>
      </w:r>
      <w:r w:rsidR="001E6933">
        <w:t xml:space="preserve">on property </w:t>
      </w:r>
      <w:r w:rsidRPr="00AB54FF">
        <w:t>survive</w:t>
      </w:r>
      <w:r w:rsidR="001E6933">
        <w:t xml:space="preserve">s </w:t>
      </w:r>
      <w:r w:rsidRPr="00AB54FF">
        <w:t>transfer to a new owner.</w:t>
      </w:r>
    </w:p>
    <w:p w:rsidR="001E6933" w:rsidRPr="001E6933" w:rsidRDefault="001E6933" w:rsidP="001E6933">
      <w:pPr>
        <w:pStyle w:val="JUDGMENTCONTINUED"/>
      </w:pPr>
    </w:p>
    <w:p w:rsidR="0070352B" w:rsidRDefault="00F62FDC">
      <w:pPr>
        <w:pStyle w:val="HEADING"/>
      </w:pPr>
      <w:r>
        <w:t>Municipalities’ cons</w:t>
      </w:r>
      <w:r w:rsidR="00081DE9" w:rsidRPr="00C13548">
        <w:rPr>
          <w:rStyle w:val="HEADINGChar"/>
        </w:rPr>
        <w:t>t</w:t>
      </w:r>
      <w:r>
        <w:t>itutional duties to provide services</w:t>
      </w:r>
    </w:p>
    <w:p w:rsidR="001E6933" w:rsidRDefault="00F62FDC" w:rsidP="001E6933">
      <w:pPr>
        <w:pStyle w:val="JUDGMENTNUMBERED"/>
      </w:pPr>
      <w:r w:rsidRPr="00AB54FF">
        <w:t>All three munici</w:t>
      </w:r>
      <w:r>
        <w:t>pa</w:t>
      </w:r>
      <w:r w:rsidRPr="00AB54FF">
        <w:t xml:space="preserve">lities </w:t>
      </w:r>
      <w:r w:rsidR="001E6933">
        <w:t xml:space="preserve">contended </w:t>
      </w:r>
      <w:r w:rsidRPr="00AB54FF">
        <w:t xml:space="preserve">that the </w:t>
      </w:r>
      <w:r w:rsidR="0064150B">
        <w:t>c</w:t>
      </w:r>
      <w:r w:rsidR="001E6933">
        <w:t>onstitution</w:t>
      </w:r>
      <w:r w:rsidR="0064150B">
        <w:t>al</w:t>
      </w:r>
      <w:r w:rsidR="001E6933">
        <w:t xml:space="preserve"> </w:t>
      </w:r>
      <w:r w:rsidR="007968CE">
        <w:t xml:space="preserve">setting points to the conclusion </w:t>
      </w:r>
      <w:r w:rsidRPr="00AB54FF">
        <w:t xml:space="preserve">that the charge </w:t>
      </w:r>
      <w:r w:rsidR="001E6933">
        <w:t xml:space="preserve">indeed </w:t>
      </w:r>
      <w:r w:rsidRPr="00AB54FF">
        <w:t>survives</w:t>
      </w:r>
      <w:r>
        <w:t xml:space="preserve"> transfer</w:t>
      </w:r>
      <w:r w:rsidR="001E6933">
        <w:t xml:space="preserve"> </w:t>
      </w:r>
      <w:r w:rsidR="007968CE">
        <w:t>and th</w:t>
      </w:r>
      <w:r w:rsidR="00D46E71">
        <w:t>us</w:t>
      </w:r>
      <w:r w:rsidR="007968CE">
        <w:t xml:space="preserve"> </w:t>
      </w:r>
      <w:r w:rsidR="001E6933">
        <w:t>burden</w:t>
      </w:r>
      <w:r w:rsidR="007968CE">
        <w:t>s</w:t>
      </w:r>
      <w:r w:rsidR="001E6933">
        <w:t xml:space="preserve"> new owner</w:t>
      </w:r>
      <w:r w:rsidR="0064150B">
        <w:t>s</w:t>
      </w:r>
      <w:r w:rsidR="001E6933">
        <w:t>.  The</w:t>
      </w:r>
      <w:r w:rsidR="007968CE">
        <w:t>ir</w:t>
      </w:r>
      <w:r w:rsidR="001E6933">
        <w:t xml:space="preserve"> contentions </w:t>
      </w:r>
      <w:r w:rsidR="00BA67E8">
        <w:t xml:space="preserve">demand </w:t>
      </w:r>
      <w:r w:rsidR="001E6933">
        <w:t>careful consideration.</w:t>
      </w:r>
    </w:p>
    <w:p w:rsidR="0070352B" w:rsidRDefault="0070352B">
      <w:pPr>
        <w:pStyle w:val="JUDGMENTCONTINUED"/>
      </w:pPr>
    </w:p>
    <w:p w:rsidR="00F62FDC" w:rsidRDefault="00F62FDC" w:rsidP="001E6933">
      <w:pPr>
        <w:pStyle w:val="JUDGMENTNUMBERED"/>
      </w:pPr>
      <w:r w:rsidRPr="00AB54FF">
        <w:t xml:space="preserve">Tshwane </w:t>
      </w:r>
      <w:r w:rsidR="003A5369">
        <w:t xml:space="preserve">based its </w:t>
      </w:r>
      <w:r w:rsidR="001E6933">
        <w:t>argu</w:t>
      </w:r>
      <w:r w:rsidR="003A5369">
        <w:t>ment</w:t>
      </w:r>
      <w:r w:rsidR="001E6933">
        <w:t xml:space="preserve"> </w:t>
      </w:r>
      <w:r w:rsidR="003A5369">
        <w:t>on</w:t>
      </w:r>
      <w:r w:rsidRPr="00AB54FF">
        <w:t xml:space="preserve"> </w:t>
      </w:r>
      <w:r w:rsidR="00BA67E8">
        <w:t xml:space="preserve">the </w:t>
      </w:r>
      <w:r w:rsidRPr="00AB54FF">
        <w:t>constitutional dut</w:t>
      </w:r>
      <w:r w:rsidR="00EA3CE8">
        <w:t>ies</w:t>
      </w:r>
      <w:r w:rsidR="00BA67E8">
        <w:t xml:space="preserve"> municipalities</w:t>
      </w:r>
      <w:r w:rsidR="00EA3CE8">
        <w:t xml:space="preserve"> bear</w:t>
      </w:r>
      <w:r w:rsidR="006D7CD9">
        <w:t>.  Th</w:t>
      </w:r>
      <w:r w:rsidR="000F009E">
        <w:t>e</w:t>
      </w:r>
      <w:r w:rsidR="006D7CD9">
        <w:t>s</w:t>
      </w:r>
      <w:r w:rsidR="000F009E">
        <w:t xml:space="preserve">e oblige </w:t>
      </w:r>
      <w:r w:rsidR="006D7CD9">
        <w:t>them</w:t>
      </w:r>
      <w:r w:rsidR="00BA67E8">
        <w:t xml:space="preserve"> </w:t>
      </w:r>
      <w:r w:rsidRPr="00AB54FF">
        <w:t xml:space="preserve">to provide </w:t>
      </w:r>
      <w:r>
        <w:t>services to the whole community</w:t>
      </w:r>
      <w:r w:rsidR="00B26F7B">
        <w:t>,</w:t>
      </w:r>
      <w:r w:rsidRPr="00AB54FF">
        <w:t xml:space="preserve"> and progressively to realise rights of access to housing</w:t>
      </w:r>
      <w:r>
        <w:t>,</w:t>
      </w:r>
      <w:r w:rsidRPr="00AB54FF">
        <w:t xml:space="preserve"> water and sanitation</w:t>
      </w:r>
      <w:r w:rsidR="006E4127">
        <w:t>.</w:t>
      </w:r>
      <w:r w:rsidR="0064150B">
        <w:rPr>
          <w:rStyle w:val="FootnoteReference"/>
        </w:rPr>
        <w:footnoteReference w:id="90"/>
      </w:r>
      <w:r w:rsidRPr="00AB54FF">
        <w:t xml:space="preserve"> </w:t>
      </w:r>
      <w:r w:rsidR="006E4127">
        <w:t xml:space="preserve"> This</w:t>
      </w:r>
      <w:r w:rsidR="00E6471F">
        <w:t>,</w:t>
      </w:r>
      <w:r w:rsidR="006E4127">
        <w:t xml:space="preserve"> Tshwane said</w:t>
      </w:r>
      <w:r w:rsidR="00E6471F">
        <w:t>,</w:t>
      </w:r>
      <w:r w:rsidR="006E4127">
        <w:t xml:space="preserve"> </w:t>
      </w:r>
      <w:r w:rsidRPr="00AB54FF">
        <w:t>justifie</w:t>
      </w:r>
      <w:r w:rsidR="001E6933">
        <w:t>s</w:t>
      </w:r>
      <w:r w:rsidRPr="00AB54FF">
        <w:t xml:space="preserve"> </w:t>
      </w:r>
      <w:r w:rsidR="00A90144">
        <w:t xml:space="preserve">concluding </w:t>
      </w:r>
      <w:r w:rsidR="001E6933">
        <w:t xml:space="preserve">that the charge survives.  </w:t>
      </w:r>
      <w:r w:rsidR="006E4127">
        <w:t xml:space="preserve">Tshwane admitted a difficulty </w:t>
      </w:r>
      <w:r>
        <w:t>with the provision</w:t>
      </w:r>
      <w:r w:rsidR="006E4127">
        <w:t>.  This</w:t>
      </w:r>
      <w:r>
        <w:t xml:space="preserve"> </w:t>
      </w:r>
      <w:r w:rsidR="00B26F7B">
        <w:t>i</w:t>
      </w:r>
      <w:r>
        <w:t xml:space="preserve">s </w:t>
      </w:r>
      <w:r w:rsidR="00B26F7B">
        <w:t xml:space="preserve">that </w:t>
      </w:r>
      <w:r>
        <w:t xml:space="preserve">potential purchasers </w:t>
      </w:r>
      <w:r w:rsidR="00B26F7B">
        <w:t>do</w:t>
      </w:r>
      <w:r w:rsidR="003B3029">
        <w:t xml:space="preserve"> </w:t>
      </w:r>
      <w:r w:rsidR="00B26F7B">
        <w:t>n</w:t>
      </w:r>
      <w:r w:rsidR="003B3029">
        <w:t>o</w:t>
      </w:r>
      <w:r w:rsidR="00B26F7B">
        <w:t xml:space="preserve">t know </w:t>
      </w:r>
      <w:r>
        <w:t>the extent of the historical debt</w:t>
      </w:r>
      <w:r w:rsidR="00B26F7B">
        <w:t xml:space="preserve"> fixed to the property</w:t>
      </w:r>
      <w:r>
        <w:t xml:space="preserve">.  </w:t>
      </w:r>
      <w:r w:rsidR="00A90144">
        <w:t>But</w:t>
      </w:r>
      <w:r w:rsidR="006E4127">
        <w:t xml:space="preserve"> this</w:t>
      </w:r>
      <w:r w:rsidR="00A90144">
        <w:t xml:space="preserve">, it </w:t>
      </w:r>
      <w:r w:rsidR="00B26F7B">
        <w:t>urged, could be fixed.  T</w:t>
      </w:r>
      <w:r>
        <w:t xml:space="preserve">he Court </w:t>
      </w:r>
      <w:r w:rsidR="00B26F7B">
        <w:t>could infer</w:t>
      </w:r>
      <w:r>
        <w:t xml:space="preserve"> an obligation </w:t>
      </w:r>
      <w:r w:rsidR="00A70A1A">
        <w:t xml:space="preserve">that </w:t>
      </w:r>
      <w:r>
        <w:t xml:space="preserve">municipalities </w:t>
      </w:r>
      <w:r w:rsidR="00A70A1A">
        <w:t xml:space="preserve">have </w:t>
      </w:r>
      <w:r w:rsidR="006970CF">
        <w:t xml:space="preserve">to supply information </w:t>
      </w:r>
      <w:r w:rsidR="00A70A1A">
        <w:t xml:space="preserve">about </w:t>
      </w:r>
      <w:r w:rsidR="006970CF">
        <w:t xml:space="preserve">historical debts.  This </w:t>
      </w:r>
      <w:r>
        <w:t xml:space="preserve">would </w:t>
      </w:r>
      <w:r w:rsidR="00004F33">
        <w:t xml:space="preserve">shine a light on the murk </w:t>
      </w:r>
      <w:r w:rsidR="00540E42">
        <w:t xml:space="preserve">that surrounds </w:t>
      </w:r>
      <w:r>
        <w:t>a prospective owner</w:t>
      </w:r>
      <w:r w:rsidR="00004F33">
        <w:t xml:space="preserve"> when buying a prope</w:t>
      </w:r>
      <w:r w:rsidR="00540E42">
        <w:t>rty saddled with municipal debt</w:t>
      </w:r>
      <w:r>
        <w:t>.</w:t>
      </w:r>
    </w:p>
    <w:p w:rsidR="006970CF" w:rsidRPr="006970CF" w:rsidRDefault="006970CF" w:rsidP="006970CF">
      <w:pPr>
        <w:pStyle w:val="JUDGMENTCONTINUED"/>
      </w:pPr>
    </w:p>
    <w:p w:rsidR="000D1F44" w:rsidRPr="005B0DDF" w:rsidRDefault="00004F33" w:rsidP="000D1F44">
      <w:pPr>
        <w:pStyle w:val="JUDGMENTNUMBERED"/>
      </w:pPr>
      <w:r>
        <w:t xml:space="preserve">Section </w:t>
      </w:r>
      <w:r w:rsidR="006970CF">
        <w:t>118(3)</w:t>
      </w:r>
      <w:r>
        <w:t>, Tshwane contended,</w:t>
      </w:r>
      <w:r w:rsidR="000D1F44">
        <w:t xml:space="preserve"> </w:t>
      </w:r>
      <w:r w:rsidR="00A70A1A">
        <w:t xml:space="preserve">imports </w:t>
      </w:r>
      <w:r w:rsidR="006970CF">
        <w:t>an implied duty</w:t>
      </w:r>
      <w:r w:rsidR="00A70A1A">
        <w:t xml:space="preserve"> on b</w:t>
      </w:r>
      <w:r>
        <w:t xml:space="preserve">oth </w:t>
      </w:r>
      <w:r w:rsidR="00FB571F">
        <w:t xml:space="preserve">a </w:t>
      </w:r>
      <w:r w:rsidR="00F62FDC" w:rsidRPr="00AB54FF">
        <w:t xml:space="preserve">municipality and previous owner </w:t>
      </w:r>
      <w:r w:rsidR="00A70A1A">
        <w:t xml:space="preserve">to fess up </w:t>
      </w:r>
      <w:r w:rsidR="00F62FDC" w:rsidRPr="00AB54FF">
        <w:t>to the prospective transferee</w:t>
      </w:r>
      <w:r w:rsidR="00212392" w:rsidRPr="00212392">
        <w:t xml:space="preserve"> </w:t>
      </w:r>
      <w:r w:rsidR="00212392">
        <w:t>about historical debt</w:t>
      </w:r>
      <w:r w:rsidR="006970CF">
        <w:t xml:space="preserve">.  </w:t>
      </w:r>
      <w:r w:rsidR="007358E0">
        <w:t>This</w:t>
      </w:r>
      <w:r w:rsidR="006970CF">
        <w:t xml:space="preserve"> </w:t>
      </w:r>
      <w:r w:rsidR="007358E0">
        <w:t xml:space="preserve">would afford </w:t>
      </w:r>
      <w:r w:rsidR="003421C5">
        <w:t>ample options (</w:t>
      </w:r>
      <w:r w:rsidR="00212392">
        <w:t xml:space="preserve">cancelling or </w:t>
      </w:r>
      <w:r w:rsidR="003421C5">
        <w:t xml:space="preserve">renegotiating </w:t>
      </w:r>
      <w:r w:rsidR="007358E0">
        <w:t>the deal</w:t>
      </w:r>
      <w:r w:rsidR="00F62FDC" w:rsidRPr="00AB54FF">
        <w:t>;</w:t>
      </w:r>
      <w:r w:rsidR="007358E0">
        <w:t xml:space="preserve"> or </w:t>
      </w:r>
      <w:r w:rsidR="003421C5">
        <w:t xml:space="preserve">shouldering </w:t>
      </w:r>
      <w:r w:rsidR="00F62FDC">
        <w:t>the</w:t>
      </w:r>
      <w:r w:rsidR="007358E0">
        <w:t xml:space="preserve"> debt</w:t>
      </w:r>
      <w:r w:rsidR="00F62FDC">
        <w:t>)</w:t>
      </w:r>
      <w:r w:rsidR="00F62FDC" w:rsidRPr="00AB54FF">
        <w:t>.</w:t>
      </w:r>
      <w:r w:rsidR="000D1F44">
        <w:t xml:space="preserve">  </w:t>
      </w:r>
      <w:r w:rsidR="00AF7AA9" w:rsidRPr="00DE4CB8">
        <w:t xml:space="preserve">Adding </w:t>
      </w:r>
      <w:r w:rsidR="000D1F44" w:rsidRPr="00DE4CB8">
        <w:t xml:space="preserve">to this, </w:t>
      </w:r>
      <w:r w:rsidR="00AF7AA9" w:rsidRPr="00DE4CB8">
        <w:t xml:space="preserve">Ekurhuleni </w:t>
      </w:r>
      <w:r w:rsidR="000D1F44" w:rsidRPr="00DE4CB8">
        <w:t>invok</w:t>
      </w:r>
      <w:r w:rsidR="00AF7AA9" w:rsidRPr="00DE4CB8">
        <w:t>ed</w:t>
      </w:r>
      <w:r w:rsidR="000D1F44" w:rsidRPr="00DE4CB8">
        <w:t xml:space="preserve"> </w:t>
      </w:r>
      <w:r w:rsidR="00D4295E" w:rsidRPr="00DE4CB8">
        <w:t xml:space="preserve">the </w:t>
      </w:r>
      <w:r w:rsidR="00114D38" w:rsidRPr="00DE4CB8">
        <w:t xml:space="preserve">Act’s </w:t>
      </w:r>
      <w:r w:rsidR="00D4295E" w:rsidRPr="00DE4CB8">
        <w:t>provision that</w:t>
      </w:r>
      <w:r w:rsidR="000D1F44" w:rsidRPr="00DE4CB8">
        <w:t xml:space="preserve"> </w:t>
      </w:r>
      <w:r w:rsidR="00D4295E" w:rsidRPr="00DE4CB8">
        <w:t xml:space="preserve">gives </w:t>
      </w:r>
      <w:r w:rsidR="000D1F44" w:rsidRPr="00DE4CB8">
        <w:t xml:space="preserve">members of the local community </w:t>
      </w:r>
      <w:r w:rsidR="00D4295E" w:rsidRPr="00DE4CB8">
        <w:t xml:space="preserve">the right </w:t>
      </w:r>
      <w:r w:rsidR="000D1F44" w:rsidRPr="00DE4CB8">
        <w:t xml:space="preserve">to be informed of decisions of the </w:t>
      </w:r>
      <w:r w:rsidR="000D1F44" w:rsidRPr="00DE4CB8">
        <w:lastRenderedPageBreak/>
        <w:t>municipality affecting their rights, property or reasonable expectations.</w:t>
      </w:r>
      <w:r w:rsidR="000D1F44" w:rsidRPr="00DE4CB8">
        <w:rPr>
          <w:rStyle w:val="FootnoteReference"/>
        </w:rPr>
        <w:footnoteReference w:id="91"/>
      </w:r>
      <w:r w:rsidR="000D1F44" w:rsidRPr="00DE4CB8">
        <w:t xml:space="preserve">  This </w:t>
      </w:r>
      <w:r w:rsidR="00C720D0" w:rsidRPr="00DE4CB8">
        <w:t>provides</w:t>
      </w:r>
      <w:r w:rsidR="00C3686E" w:rsidRPr="00DE4CB8">
        <w:t>,</w:t>
      </w:r>
      <w:r w:rsidR="00C720D0" w:rsidRPr="00DE4CB8">
        <w:t xml:space="preserve"> it </w:t>
      </w:r>
      <w:r w:rsidR="0067616F" w:rsidRPr="00DE4CB8">
        <w:t>urged</w:t>
      </w:r>
      <w:r w:rsidR="00C3686E" w:rsidRPr="00DE4CB8">
        <w:t>,</w:t>
      </w:r>
      <w:r w:rsidR="0067616F" w:rsidRPr="00DE4CB8">
        <w:t xml:space="preserve"> </w:t>
      </w:r>
      <w:r w:rsidR="000D1F44" w:rsidRPr="00DE4CB8">
        <w:t xml:space="preserve">a statutory foundation </w:t>
      </w:r>
      <w:r w:rsidR="00AF7AA9" w:rsidRPr="00DE4CB8">
        <w:t xml:space="preserve">for purchasers </w:t>
      </w:r>
      <w:r w:rsidR="000D1F44" w:rsidRPr="00DE4CB8">
        <w:t xml:space="preserve">to demand information </w:t>
      </w:r>
      <w:r w:rsidR="00197B7B" w:rsidRPr="00DE4CB8">
        <w:t xml:space="preserve">from the municipality </w:t>
      </w:r>
      <w:r w:rsidR="00AF7AA9" w:rsidRPr="00DE4CB8">
        <w:t>about historical debts</w:t>
      </w:r>
      <w:r w:rsidR="000D1F44" w:rsidRPr="00DE4CB8">
        <w:t>.</w:t>
      </w:r>
      <w:r w:rsidR="0086568F" w:rsidRPr="00DE4CB8">
        <w:rPr>
          <w:rStyle w:val="FootnoteReference"/>
        </w:rPr>
        <w:footnoteReference w:id="92"/>
      </w:r>
      <w:r w:rsidR="000D1F44" w:rsidRPr="00DE4CB8">
        <w:t xml:space="preserve">  Ekurhuleni </w:t>
      </w:r>
      <w:r w:rsidR="00185FEB" w:rsidRPr="00DE4CB8">
        <w:t xml:space="preserve">also </w:t>
      </w:r>
      <w:r w:rsidR="000D1F44" w:rsidRPr="00DE4CB8">
        <w:t>n</w:t>
      </w:r>
      <w:r w:rsidR="00212392" w:rsidRPr="00DE4CB8">
        <w:t>oted that section 118(1) already obliges</w:t>
      </w:r>
      <w:r w:rsidR="000D1F44" w:rsidRPr="00DE4CB8">
        <w:t xml:space="preserve"> municipalities to provide some information about past debts </w:t>
      </w:r>
      <w:r w:rsidR="00B53F94" w:rsidRPr="00DE4CB8">
        <w:t xml:space="preserve">during the transfer process </w:t>
      </w:r>
      <w:r w:rsidR="000D1F44" w:rsidRPr="00DE4CB8">
        <w:t>–</w:t>
      </w:r>
      <w:r w:rsidR="00B53F94" w:rsidRPr="00DE4CB8">
        <w:t xml:space="preserve"> </w:t>
      </w:r>
      <w:r w:rsidR="000D1F44" w:rsidRPr="00DE4CB8">
        <w:t xml:space="preserve">at least for </w:t>
      </w:r>
      <w:r w:rsidR="00701CC9" w:rsidRPr="00DE4CB8">
        <w:t xml:space="preserve">the </w:t>
      </w:r>
      <w:r w:rsidR="000D1F44" w:rsidRPr="00DE4CB8">
        <w:t>two preceding</w:t>
      </w:r>
      <w:r w:rsidR="00701CC9" w:rsidRPr="00DE4CB8">
        <w:t xml:space="preserve"> years</w:t>
      </w:r>
      <w:r w:rsidR="000D1F44" w:rsidRPr="00DE4CB8">
        <w:t>.</w:t>
      </w:r>
      <w:r w:rsidR="00B50005" w:rsidRPr="00DE4CB8">
        <w:rPr>
          <w:rStyle w:val="FootnoteReference"/>
        </w:rPr>
        <w:footnoteReference w:id="93"/>
      </w:r>
      <w:r w:rsidR="000D1F44" w:rsidRPr="00DE4CB8">
        <w:t xml:space="preserve">  </w:t>
      </w:r>
      <w:r w:rsidR="002D7289" w:rsidRPr="00DE4CB8">
        <w:t xml:space="preserve">This </w:t>
      </w:r>
      <w:r w:rsidR="00B53F94" w:rsidRPr="00DE4CB8">
        <w:t xml:space="preserve">benefits </w:t>
      </w:r>
      <w:r w:rsidR="000D1F44" w:rsidRPr="00DE4CB8">
        <w:t xml:space="preserve">both the </w:t>
      </w:r>
      <w:r w:rsidR="000F5553" w:rsidRPr="00DE4CB8">
        <w:t xml:space="preserve">transferee </w:t>
      </w:r>
      <w:r w:rsidR="000D1F44" w:rsidRPr="00DE4CB8">
        <w:t>and the bondholder.</w:t>
      </w:r>
    </w:p>
    <w:p w:rsidR="007358E0" w:rsidRPr="007358E0" w:rsidRDefault="007358E0" w:rsidP="007358E0">
      <w:pPr>
        <w:pStyle w:val="JUDGMENTCONTINUED"/>
      </w:pPr>
    </w:p>
    <w:p w:rsidR="00F62FDC" w:rsidRDefault="00F62FDC" w:rsidP="00F62FDC">
      <w:pPr>
        <w:pStyle w:val="JUDGMENTNUMBERED"/>
      </w:pPr>
      <w:r w:rsidRPr="00D765D3">
        <w:t>Ekurhuleni</w:t>
      </w:r>
      <w:r w:rsidR="00165792">
        <w:t>,</w:t>
      </w:r>
      <w:r w:rsidRPr="00D765D3">
        <w:t xml:space="preserve"> </w:t>
      </w:r>
      <w:r w:rsidR="009560C8">
        <w:t>like Tshwane</w:t>
      </w:r>
      <w:r w:rsidR="00165792">
        <w:t>,</w:t>
      </w:r>
      <w:r w:rsidR="009560C8">
        <w:t xml:space="preserve"> thus </w:t>
      </w:r>
      <w:r w:rsidR="00197B7B">
        <w:t xml:space="preserve">urged that </w:t>
      </w:r>
      <w:r w:rsidRPr="00D765D3">
        <w:t xml:space="preserve">the special public responsibilities </w:t>
      </w:r>
      <w:r w:rsidR="00197B7B">
        <w:t xml:space="preserve">of </w:t>
      </w:r>
      <w:r w:rsidRPr="00D765D3">
        <w:t>municipalities</w:t>
      </w:r>
      <w:r w:rsidR="00FE23AB">
        <w:t xml:space="preserve"> show</w:t>
      </w:r>
      <w:r w:rsidR="00D247B2">
        <w:t xml:space="preserve"> that</w:t>
      </w:r>
      <w:r w:rsidR="00197B7B">
        <w:t xml:space="preserve"> t</w:t>
      </w:r>
      <w:r w:rsidR="000D1F44">
        <w:t xml:space="preserve">he </w:t>
      </w:r>
      <w:r w:rsidRPr="00D765D3">
        <w:t>legislature</w:t>
      </w:r>
      <w:r w:rsidR="00197B7B">
        <w:t xml:space="preserve"> </w:t>
      </w:r>
      <w:r w:rsidRPr="00D765D3">
        <w:t>made a fundamental choice: to burden the new owner with responsibility for historical debts.</w:t>
      </w:r>
    </w:p>
    <w:p w:rsidR="000D1F44" w:rsidRPr="000D1F44" w:rsidRDefault="000D1F44" w:rsidP="000D1F44">
      <w:pPr>
        <w:pStyle w:val="JUDGMENTCONTINUED"/>
      </w:pPr>
    </w:p>
    <w:p w:rsidR="00F62FDC" w:rsidRDefault="00F62FDC" w:rsidP="00F62FDC">
      <w:pPr>
        <w:pStyle w:val="JUDGMENTNUMBERED"/>
      </w:pPr>
      <w:r w:rsidRPr="00AB54FF">
        <w:t xml:space="preserve">The Minister </w:t>
      </w:r>
      <w:r>
        <w:t xml:space="preserve">contended </w:t>
      </w:r>
      <w:r w:rsidR="00701CC9">
        <w:t xml:space="preserve">that </w:t>
      </w:r>
      <w:r w:rsidRPr="00AB54FF">
        <w:t>th</w:t>
      </w:r>
      <w:r w:rsidR="00197B7B">
        <w:t xml:space="preserve">ere was a </w:t>
      </w:r>
      <w:r w:rsidRPr="00AB54FF">
        <w:t xml:space="preserve">legitimate governmental purpose </w:t>
      </w:r>
      <w:r w:rsidR="000D1F44">
        <w:t xml:space="preserve">for the </w:t>
      </w:r>
      <w:r w:rsidR="00B6588F">
        <w:t xml:space="preserve">survival of the </w:t>
      </w:r>
      <w:r w:rsidR="000D1F44">
        <w:t>charge</w:t>
      </w:r>
      <w:r w:rsidR="00197B7B">
        <w:t xml:space="preserve">.  This </w:t>
      </w:r>
      <w:r w:rsidRPr="00AB54FF">
        <w:t xml:space="preserve">is </w:t>
      </w:r>
      <w:r w:rsidR="00197B7B">
        <w:t>to create</w:t>
      </w:r>
      <w:r>
        <w:t xml:space="preserve"> </w:t>
      </w:r>
      <w:r w:rsidRPr="00AB54FF">
        <w:t>empowered</w:t>
      </w:r>
      <w:r w:rsidR="00B6588F">
        <w:t xml:space="preserve"> and</w:t>
      </w:r>
      <w:r w:rsidRPr="00AB54FF">
        <w:t xml:space="preserve"> functional municipalities t</w:t>
      </w:r>
      <w:r w:rsidR="00197B7B">
        <w:t>hat</w:t>
      </w:r>
      <w:r w:rsidRPr="00AB54FF">
        <w:t xml:space="preserve"> generate revenue for service delivery.</w:t>
      </w:r>
      <w:r>
        <w:t xml:space="preserve">  </w:t>
      </w:r>
      <w:r w:rsidR="00197B7B">
        <w:t>But t</w:t>
      </w:r>
      <w:r>
        <w:t>he Minister c</w:t>
      </w:r>
      <w:r w:rsidR="00197B7B">
        <w:t>onceded</w:t>
      </w:r>
      <w:r>
        <w:t xml:space="preserve"> that section</w:t>
      </w:r>
      <w:r w:rsidR="0064473A">
        <w:t> </w:t>
      </w:r>
      <w:r>
        <w:t xml:space="preserve">118(3) should be used as </w:t>
      </w:r>
      <w:r w:rsidR="00197B7B">
        <w:t xml:space="preserve">only </w:t>
      </w:r>
      <w:r>
        <w:t>a “last resort and where the seller is nowhere to be found”.</w:t>
      </w:r>
    </w:p>
    <w:p w:rsidR="000D1F44" w:rsidRPr="000D1F44" w:rsidRDefault="000D1F44" w:rsidP="000D1F44">
      <w:pPr>
        <w:pStyle w:val="JUDGMENTCONTINUED"/>
      </w:pPr>
    </w:p>
    <w:p w:rsidR="00F62FDC" w:rsidRPr="00DE4CB8" w:rsidRDefault="00052BDE" w:rsidP="00F62FDC">
      <w:pPr>
        <w:pStyle w:val="JUDGMENTNUMBERED"/>
      </w:pPr>
      <w:r w:rsidRPr="00DE4CB8">
        <w:t>e</w:t>
      </w:r>
      <w:r w:rsidR="00F62FDC" w:rsidRPr="00DE4CB8">
        <w:t xml:space="preserve">Thekwini emphasised </w:t>
      </w:r>
      <w:r w:rsidR="00EE7F92" w:rsidRPr="00DE4CB8">
        <w:t xml:space="preserve">the shared civic duties of </w:t>
      </w:r>
      <w:r w:rsidR="00F62FDC" w:rsidRPr="00DE4CB8">
        <w:t xml:space="preserve">municipalities and owners.  Hence, in a transformative context, </w:t>
      </w:r>
      <w:r w:rsidR="00197B7B" w:rsidRPr="00DE4CB8">
        <w:t xml:space="preserve">the charge survives </w:t>
      </w:r>
      <w:r w:rsidR="00F62FDC" w:rsidRPr="00DE4CB8">
        <w:t>for the collective good.</w:t>
      </w:r>
    </w:p>
    <w:p w:rsidR="000D1F44" w:rsidRPr="000D1F44" w:rsidRDefault="000D1F44" w:rsidP="000D1F44">
      <w:pPr>
        <w:pStyle w:val="JUDGMENTCONTINUED"/>
      </w:pPr>
    </w:p>
    <w:p w:rsidR="00F62FDC" w:rsidRDefault="0068002D" w:rsidP="00F62FDC">
      <w:pPr>
        <w:pStyle w:val="JUDGMENTNUMBERED"/>
      </w:pPr>
      <w:r>
        <w:lastRenderedPageBreak/>
        <w:t xml:space="preserve">These </w:t>
      </w:r>
      <w:r w:rsidR="00F62FDC" w:rsidRPr="00AB54FF">
        <w:t>ar</w:t>
      </w:r>
      <w:r w:rsidR="000D1F44">
        <w:t xml:space="preserve">guments are not without force. </w:t>
      </w:r>
      <w:r w:rsidR="000A2F1C">
        <w:t xml:space="preserve"> </w:t>
      </w:r>
      <w:r w:rsidR="009B3A82">
        <w:t xml:space="preserve">The notion that owning property comes with burdens </w:t>
      </w:r>
      <w:r w:rsidR="00197B7B">
        <w:t xml:space="preserve">for </w:t>
      </w:r>
      <w:r w:rsidR="009B3A82">
        <w:t>the public good is no</w:t>
      </w:r>
      <w:r w:rsidR="00197B7B">
        <w:t>t</w:t>
      </w:r>
      <w:r w:rsidR="009B3A82">
        <w:t xml:space="preserve"> outlandish.  </w:t>
      </w:r>
      <w:r w:rsidR="00F62FDC" w:rsidRPr="00AB54FF">
        <w:t>This Court has increasingly emphasi</w:t>
      </w:r>
      <w:r w:rsidR="00F62FDC">
        <w:t>sed</w:t>
      </w:r>
      <w:r w:rsidR="00F62FDC" w:rsidRPr="00AB54FF">
        <w:t xml:space="preserve"> the constitutional limitations on private property </w:t>
      </w:r>
      <w:r w:rsidR="00EF4DE1">
        <w:t xml:space="preserve">as well as </w:t>
      </w:r>
      <w:r w:rsidR="00F62FDC">
        <w:t>the constitutional vision that property utilisation must cond</w:t>
      </w:r>
      <w:r w:rsidR="009B3A82">
        <w:t>uce to the public good</w:t>
      </w:r>
      <w:r w:rsidR="00F62FDC" w:rsidRPr="00AB54FF">
        <w:t>.</w:t>
      </w:r>
      <w:r w:rsidR="009B3A82">
        <w:rPr>
          <w:rStyle w:val="FootnoteReference"/>
        </w:rPr>
        <w:footnoteReference w:id="94"/>
      </w:r>
      <w:r w:rsidR="009B3A82">
        <w:t xml:space="preserve">  So </w:t>
      </w:r>
      <w:r w:rsidR="00F62FDC" w:rsidRPr="00AB54FF">
        <w:t>the notion that a new owner may be burdened by historical debt relating to the property should not be treated as</w:t>
      </w:r>
      <w:r>
        <w:t xml:space="preserve"> landing from </w:t>
      </w:r>
      <w:r w:rsidR="00A0183C">
        <w:t xml:space="preserve">planet </w:t>
      </w:r>
      <w:r>
        <w:t>Pluto</w:t>
      </w:r>
      <w:r w:rsidR="00F62FDC" w:rsidRPr="00AB54FF">
        <w:t>.</w:t>
      </w:r>
    </w:p>
    <w:p w:rsidR="009B3A82" w:rsidRPr="009B3A82" w:rsidRDefault="009B3A82" w:rsidP="009B3A82">
      <w:pPr>
        <w:pStyle w:val="JUDGMENTCONTINUED"/>
      </w:pPr>
    </w:p>
    <w:p w:rsidR="00EF4DE1" w:rsidRDefault="009B3A82" w:rsidP="009B3A82">
      <w:pPr>
        <w:pStyle w:val="JUDGMENTNUMBERED"/>
      </w:pPr>
      <w:r>
        <w:t xml:space="preserve">But the </w:t>
      </w:r>
      <w:r w:rsidR="00F62FDC" w:rsidRPr="00AB54FF">
        <w:t xml:space="preserve">full </w:t>
      </w:r>
      <w:r>
        <w:t>constitutional context</w:t>
      </w:r>
      <w:r w:rsidR="00197B7B">
        <w:t xml:space="preserve"> affords a richer picture</w:t>
      </w:r>
      <w:r>
        <w:t xml:space="preserve">.  This </w:t>
      </w:r>
      <w:r w:rsidR="00EF4DE1">
        <w:t>appreciably attenuates the considerations the municipalities say favour</w:t>
      </w:r>
      <w:r w:rsidR="00F62FDC" w:rsidRPr="00AB54FF">
        <w:t xml:space="preserve"> </w:t>
      </w:r>
      <w:r>
        <w:t>imposing the charge on new owners</w:t>
      </w:r>
      <w:r w:rsidR="00F62FDC" w:rsidRPr="00AB54FF">
        <w:t>.</w:t>
      </w:r>
    </w:p>
    <w:p w:rsidR="0070352B" w:rsidRDefault="0070352B">
      <w:pPr>
        <w:pStyle w:val="JUDGMENTCONTINUED"/>
      </w:pPr>
    </w:p>
    <w:p w:rsidR="00F62FDC" w:rsidRDefault="00B3096E" w:rsidP="009B3A82">
      <w:pPr>
        <w:pStyle w:val="JUDGMENTNUMBERED"/>
      </w:pPr>
      <w:r>
        <w:t>Start with this: as</w:t>
      </w:r>
      <w:r w:rsidR="00F62FDC" w:rsidRPr="00AB54FF">
        <w:t xml:space="preserve"> the Minister</w:t>
      </w:r>
      <w:r w:rsidR="00425D22">
        <w:t xml:space="preserve"> rightly noted</w:t>
      </w:r>
      <w:r w:rsidR="00F62FDC" w:rsidRPr="00AB54FF">
        <w:t>, historical debts exist only because municipaliti</w:t>
      </w:r>
      <w:r w:rsidR="009B3A82">
        <w:t xml:space="preserve">es have </w:t>
      </w:r>
      <w:r w:rsidR="00E72E09">
        <w:t xml:space="preserve">not </w:t>
      </w:r>
      <w:r w:rsidR="009B3A82">
        <w:t>recover</w:t>
      </w:r>
      <w:r w:rsidR="00E72E09">
        <w:t>ed</w:t>
      </w:r>
      <w:r w:rsidR="009B3A82">
        <w:t xml:space="preserve"> them.  </w:t>
      </w:r>
      <w:r w:rsidR="00513465">
        <w:t xml:space="preserve">This while the statute expressly obliges </w:t>
      </w:r>
      <w:r w:rsidR="00E22712">
        <w:t xml:space="preserve">every </w:t>
      </w:r>
      <w:r w:rsidR="00513465">
        <w:t>m</w:t>
      </w:r>
      <w:r w:rsidR="00E22712">
        <w:t xml:space="preserve">unicipality </w:t>
      </w:r>
      <w:r w:rsidR="00F62FDC" w:rsidRPr="00AB54FF">
        <w:t xml:space="preserve">to collect </w:t>
      </w:r>
      <w:r w:rsidR="00E22712">
        <w:t xml:space="preserve">“all money </w:t>
      </w:r>
      <w:r w:rsidR="00EE7F92">
        <w:t xml:space="preserve">that is </w:t>
      </w:r>
      <w:r w:rsidR="00F62FDC" w:rsidRPr="00AB54FF">
        <w:t xml:space="preserve">due and </w:t>
      </w:r>
      <w:r w:rsidR="00E22712">
        <w:t xml:space="preserve">payable </w:t>
      </w:r>
      <w:r w:rsidR="00F62FDC" w:rsidRPr="00AB54FF">
        <w:t xml:space="preserve">to </w:t>
      </w:r>
      <w:r w:rsidR="00E22712">
        <w:t>it”</w:t>
      </w:r>
      <w:r w:rsidR="00E22712">
        <w:rPr>
          <w:rStyle w:val="FootnoteReference"/>
        </w:rPr>
        <w:footnoteReference w:id="95"/>
      </w:r>
      <w:r w:rsidR="00E22712">
        <w:t xml:space="preserve"> and to </w:t>
      </w:r>
      <w:r w:rsidR="00F62FDC" w:rsidRPr="00AB54FF">
        <w:t>implement a credit cont</w:t>
      </w:r>
      <w:r w:rsidR="009B3A82">
        <w:t>rol and debt collection policy</w:t>
      </w:r>
      <w:r w:rsidR="00F62FDC" w:rsidRPr="00AB54FF">
        <w:t>.</w:t>
      </w:r>
      <w:r w:rsidR="009B3A82">
        <w:rPr>
          <w:rStyle w:val="FootnoteReference"/>
        </w:rPr>
        <w:footnoteReference w:id="96"/>
      </w:r>
      <w:r w:rsidR="0086568F">
        <w:t xml:space="preserve">  As this Court pointed out in </w:t>
      </w:r>
      <w:r w:rsidR="0086568F">
        <w:rPr>
          <w:i/>
        </w:rPr>
        <w:t>Mkontwana</w:t>
      </w:r>
      <w:r w:rsidR="0086568F">
        <w:t>, a municipality has a duty to send out regular accounts, develop a culture of payment, disconnect the supply of electricity and water in appropriate circumstances, and take appropriate steps to collect amounts due.</w:t>
      </w:r>
      <w:r w:rsidR="0086568F">
        <w:rPr>
          <w:rStyle w:val="FootnoteReference"/>
        </w:rPr>
        <w:footnoteReference w:id="97"/>
      </w:r>
      <w:r w:rsidR="0086568F">
        <w:t xml:space="preserve">  In addition, for the sake of service delivery, it is imperative </w:t>
      </w:r>
      <w:r w:rsidR="00371C45">
        <w:t xml:space="preserve">that </w:t>
      </w:r>
      <w:r w:rsidR="0086568F">
        <w:t>municipalities do everything reasonable to reduce amounts owing.</w:t>
      </w:r>
      <w:r w:rsidR="0086568F">
        <w:rPr>
          <w:rStyle w:val="FootnoteReference"/>
        </w:rPr>
        <w:footnoteReference w:id="98"/>
      </w:r>
    </w:p>
    <w:p w:rsidR="00A2776B" w:rsidRPr="00A2776B" w:rsidRDefault="00A2776B" w:rsidP="00A2776B">
      <w:pPr>
        <w:pStyle w:val="JUDGMENTCONTINUED"/>
      </w:pPr>
    </w:p>
    <w:p w:rsidR="00CA416D" w:rsidRDefault="00E72E09" w:rsidP="00E72E09">
      <w:pPr>
        <w:pStyle w:val="JUDGMENTNUMBERED"/>
      </w:pPr>
      <w:r>
        <w:t>And t</w:t>
      </w:r>
      <w:r w:rsidRPr="00AB54FF">
        <w:t xml:space="preserve">he statute </w:t>
      </w:r>
      <w:r>
        <w:t xml:space="preserve">does indeed provide </w:t>
      </w:r>
      <w:r w:rsidRPr="00AB54FF">
        <w:t>a</w:t>
      </w:r>
      <w:r>
        <w:t xml:space="preserve"> </w:t>
      </w:r>
      <w:r w:rsidRPr="00AB54FF">
        <w:t>full</w:t>
      </w:r>
      <w:r>
        <w:t>-plated</w:t>
      </w:r>
      <w:r w:rsidRPr="00AB54FF">
        <w:t xml:space="preserve"> panoply of mechanisms </w:t>
      </w:r>
      <w:r w:rsidR="00C16081">
        <w:t>enabling</w:t>
      </w:r>
      <w:r w:rsidRPr="00AB54FF">
        <w:t xml:space="preserve"> efficient debt recovery </w:t>
      </w:r>
      <w:r w:rsidR="00B7224E">
        <w:t xml:space="preserve">in the cause of </w:t>
      </w:r>
      <w:r w:rsidR="00415308">
        <w:t xml:space="preserve">collecting </w:t>
      </w:r>
      <w:r>
        <w:t>public</w:t>
      </w:r>
      <w:r w:rsidR="00415308">
        <w:t>ly vital</w:t>
      </w:r>
      <w:r w:rsidR="00B7224E">
        <w:t xml:space="preserve"> revenue</w:t>
      </w:r>
      <w:r>
        <w:t xml:space="preserve">.  </w:t>
      </w:r>
      <w:r w:rsidR="0048011B">
        <w:t xml:space="preserve">Here </w:t>
      </w:r>
      <w:r w:rsidR="0048011B">
        <w:lastRenderedPageBreak/>
        <w:t>t</w:t>
      </w:r>
      <w:r w:rsidR="00AA5A26">
        <w:t xml:space="preserve">he </w:t>
      </w:r>
      <w:r w:rsidR="00415308">
        <w:t xml:space="preserve">parts of </w:t>
      </w:r>
      <w:r w:rsidR="00AA5A26">
        <w:t>s</w:t>
      </w:r>
      <w:r w:rsidR="00F62FDC" w:rsidRPr="00AB54FF">
        <w:t xml:space="preserve">ection 118(3) </w:t>
      </w:r>
      <w:r w:rsidR="00415308">
        <w:t xml:space="preserve">that are </w:t>
      </w:r>
      <w:r w:rsidR="006D50B7">
        <w:t>un</w:t>
      </w:r>
      <w:r w:rsidR="00F60151">
        <w:t>conte</w:t>
      </w:r>
      <w:r w:rsidR="006D50B7">
        <w:t>s</w:t>
      </w:r>
      <w:r w:rsidR="00F60151">
        <w:t>t</w:t>
      </w:r>
      <w:r w:rsidR="006D50B7">
        <w:t xml:space="preserve">ed </w:t>
      </w:r>
      <w:r w:rsidR="00415308">
        <w:t xml:space="preserve">are </w:t>
      </w:r>
      <w:r w:rsidR="00F62FDC" w:rsidRPr="00AB54FF">
        <w:t>integral</w:t>
      </w:r>
      <w:r w:rsidR="00415308">
        <w:t>.  These are</w:t>
      </w:r>
      <w:r w:rsidR="00385E48">
        <w:t xml:space="preserve"> </w:t>
      </w:r>
      <w:r w:rsidR="00415308">
        <w:t xml:space="preserve">the </w:t>
      </w:r>
      <w:r w:rsidR="00385E48">
        <w:t xml:space="preserve">charge </w:t>
      </w:r>
      <w:r w:rsidR="00415308">
        <w:t xml:space="preserve">on the property against </w:t>
      </w:r>
      <w:r w:rsidR="00385E48">
        <w:t>the existing owner</w:t>
      </w:r>
      <w:r w:rsidR="00D30DED">
        <w:t>,</w:t>
      </w:r>
      <w:r w:rsidR="00385E48">
        <w:t xml:space="preserve"> and </w:t>
      </w:r>
      <w:r w:rsidR="004B1190">
        <w:t xml:space="preserve">the municipality’s </w:t>
      </w:r>
      <w:r w:rsidR="00385E48">
        <w:t>preference over registered mortgagees</w:t>
      </w:r>
      <w:r w:rsidR="00F62FDC" w:rsidRPr="00AB54FF">
        <w:t xml:space="preserve">.  </w:t>
      </w:r>
      <w:r w:rsidR="00082027">
        <w:t xml:space="preserve">During </w:t>
      </w:r>
      <w:r w:rsidR="00082027" w:rsidRPr="00AB54FF">
        <w:t xml:space="preserve">argument </w:t>
      </w:r>
      <w:r w:rsidR="00082027">
        <w:t>t</w:t>
      </w:r>
      <w:r w:rsidR="00F62FDC" w:rsidRPr="00AB54FF">
        <w:t>he municipalities conceded</w:t>
      </w:r>
      <w:r w:rsidR="006D50B7">
        <w:t>, correctly,</w:t>
      </w:r>
      <w:r w:rsidR="00F62FDC" w:rsidRPr="00AB54FF">
        <w:t xml:space="preserve"> that </w:t>
      </w:r>
      <w:r>
        <w:t>the</w:t>
      </w:r>
      <w:r w:rsidR="00F62FDC">
        <w:t xml:space="preserve"> provision</w:t>
      </w:r>
      <w:r w:rsidR="00F62FDC" w:rsidRPr="00AB54FF">
        <w:t xml:space="preserve"> </w:t>
      </w:r>
      <w:r w:rsidR="00F62FDC">
        <w:t>enables</w:t>
      </w:r>
      <w:r w:rsidR="00F62FDC" w:rsidRPr="00AB54FF">
        <w:t xml:space="preserve"> them to enforce the charge</w:t>
      </w:r>
      <w:r w:rsidR="00AA5A26">
        <w:t xml:space="preserve"> against the existing owner</w:t>
      </w:r>
      <w:r w:rsidR="00F62FDC" w:rsidRPr="00AB54FF">
        <w:t xml:space="preserve"> </w:t>
      </w:r>
      <w:r w:rsidR="006D50B7" w:rsidRPr="00AB54FF">
        <w:t xml:space="preserve">up to </w:t>
      </w:r>
      <w:r w:rsidR="006D50B7">
        <w:t xml:space="preserve">the moment of </w:t>
      </w:r>
      <w:r w:rsidR="006D50B7" w:rsidRPr="00AB54FF">
        <w:t xml:space="preserve">transfer </w:t>
      </w:r>
      <w:r w:rsidR="00F62FDC">
        <w:t xml:space="preserve">– </w:t>
      </w:r>
      <w:r w:rsidR="00F62FDC" w:rsidRPr="00AB54FF">
        <w:t>and to do</w:t>
      </w:r>
      <w:r w:rsidR="00F62FDC">
        <w:t xml:space="preserve"> so</w:t>
      </w:r>
      <w:r w:rsidR="00F62FDC" w:rsidRPr="00AB54FF">
        <w:t xml:space="preserve"> </w:t>
      </w:r>
      <w:r w:rsidR="00AA5A26">
        <w:t xml:space="preserve">above and before </w:t>
      </w:r>
      <w:r w:rsidR="00F62FDC" w:rsidRPr="00AB54FF">
        <w:t xml:space="preserve">any </w:t>
      </w:r>
      <w:r w:rsidR="00AA5A26">
        <w:t xml:space="preserve">registered </w:t>
      </w:r>
      <w:r w:rsidR="00F62FDC" w:rsidRPr="00AB54FF">
        <w:t>mortgage</w:t>
      </w:r>
      <w:r w:rsidR="00AA5A26">
        <w:t>es</w:t>
      </w:r>
      <w:r>
        <w:t xml:space="preserve">. </w:t>
      </w:r>
      <w:r w:rsidR="006D50B7">
        <w:t xml:space="preserve"> </w:t>
      </w:r>
      <w:r>
        <w:t>A</w:t>
      </w:r>
      <w:r w:rsidR="006D50B7">
        <w:t>nd</w:t>
      </w:r>
      <w:r w:rsidR="00FD678A">
        <w:t xml:space="preserve"> </w:t>
      </w:r>
      <w:r>
        <w:t>t</w:t>
      </w:r>
      <w:r w:rsidR="00082027">
        <w:t xml:space="preserve">hey </w:t>
      </w:r>
      <w:r w:rsidR="001338C6">
        <w:t xml:space="preserve">were constrained to </w:t>
      </w:r>
      <w:r w:rsidR="00F62FDC" w:rsidRPr="00AB54FF">
        <w:t>concede</w:t>
      </w:r>
      <w:r w:rsidR="00F62FDC">
        <w:t xml:space="preserve">, </w:t>
      </w:r>
      <w:r w:rsidR="00AA5A26">
        <w:t xml:space="preserve">also </w:t>
      </w:r>
      <w:r w:rsidR="00F62FDC">
        <w:t>correctly,</w:t>
      </w:r>
      <w:r w:rsidR="00F62FDC" w:rsidRPr="00AB54FF">
        <w:t xml:space="preserve"> </w:t>
      </w:r>
      <w:r w:rsidR="00082027">
        <w:t xml:space="preserve">where there are unpaid municipal debts, </w:t>
      </w:r>
      <w:r w:rsidR="00F62FDC" w:rsidRPr="00AB54FF">
        <w:t xml:space="preserve">that </w:t>
      </w:r>
      <w:r w:rsidR="006D50B7">
        <w:t>the charge enables them to</w:t>
      </w:r>
      <w:r w:rsidR="00F62FDC" w:rsidRPr="00AB54FF">
        <w:t xml:space="preserve"> </w:t>
      </w:r>
      <w:r w:rsidR="001338C6">
        <w:t xml:space="preserve">slam the legal brake </w:t>
      </w:r>
      <w:r w:rsidR="00082027">
        <w:t xml:space="preserve">on </w:t>
      </w:r>
      <w:r w:rsidR="00F62FDC" w:rsidRPr="00AB54FF">
        <w:t>an</w:t>
      </w:r>
      <w:r w:rsidR="006D50B7">
        <w:t>y</w:t>
      </w:r>
      <w:r w:rsidR="00F62FDC" w:rsidRPr="00AB54FF">
        <w:t xml:space="preserve"> impending transfer </w:t>
      </w:r>
      <w:r w:rsidR="001338C6">
        <w:t>by obtaining an interdict</w:t>
      </w:r>
      <w:r w:rsidR="00B41DBC">
        <w:t xml:space="preserve"> against transfer</w:t>
      </w:r>
      <w:r w:rsidR="00F62FDC" w:rsidRPr="00AB54FF">
        <w:t>.</w:t>
      </w:r>
      <w:r w:rsidR="00C70198">
        <w:rPr>
          <w:rStyle w:val="FootnoteReference"/>
        </w:rPr>
        <w:footnoteReference w:id="99"/>
      </w:r>
    </w:p>
    <w:p w:rsidR="0070352B" w:rsidRDefault="0070352B">
      <w:pPr>
        <w:pStyle w:val="JUDGMENTCONTINUED"/>
      </w:pPr>
    </w:p>
    <w:p w:rsidR="00031B65" w:rsidRDefault="00DE4497" w:rsidP="00E72E09">
      <w:pPr>
        <w:pStyle w:val="JUDGMENTNUMBERED"/>
      </w:pPr>
      <w:r>
        <w:t xml:space="preserve">Add this: </w:t>
      </w:r>
      <w:r w:rsidR="00031B65">
        <w:t>section 118(1) places municipalities on notice that a transfer within their jurisdiction is pending.  B</w:t>
      </w:r>
      <w:r w:rsidR="00CA416D">
        <w:t>ecause</w:t>
      </w:r>
      <w:r w:rsidR="00031B65">
        <w:t xml:space="preserve"> the provision </w:t>
      </w:r>
      <w:r w:rsidR="00A4287A">
        <w:t xml:space="preserve">embargoes </w:t>
      </w:r>
      <w:r w:rsidR="006D50B7">
        <w:t xml:space="preserve">each and every </w:t>
      </w:r>
      <w:r w:rsidR="00A4287A">
        <w:t xml:space="preserve">transfer </w:t>
      </w:r>
      <w:r w:rsidR="00031B65">
        <w:t xml:space="preserve">until </w:t>
      </w:r>
      <w:r w:rsidR="00A4287A">
        <w:t xml:space="preserve">the municipality issues a </w:t>
      </w:r>
      <w:r w:rsidR="00CA416D">
        <w:t>clearance certificate</w:t>
      </w:r>
      <w:r w:rsidR="006D50B7">
        <w:t xml:space="preserve"> for the last two years’ debt</w:t>
      </w:r>
      <w:r w:rsidR="00CA416D">
        <w:t xml:space="preserve">, prospective </w:t>
      </w:r>
      <w:r w:rsidR="00A4287A">
        <w:t xml:space="preserve">transferors </w:t>
      </w:r>
      <w:r w:rsidR="00CA416D">
        <w:t xml:space="preserve">and their attorneys are obliged to notify municipalities of </w:t>
      </w:r>
      <w:r w:rsidR="00A4287A">
        <w:t xml:space="preserve">every </w:t>
      </w:r>
      <w:r w:rsidR="00CA416D">
        <w:t>impending</w:t>
      </w:r>
      <w:r w:rsidR="00A4287A">
        <w:t xml:space="preserve"> transfer</w:t>
      </w:r>
      <w:r w:rsidR="00CA416D">
        <w:t>.</w:t>
      </w:r>
      <w:r w:rsidR="00A4287A">
        <w:t xml:space="preserve">  </w:t>
      </w:r>
      <w:r w:rsidR="00B41DBC">
        <w:t xml:space="preserve">Doing so </w:t>
      </w:r>
      <w:r w:rsidR="00FD678A">
        <w:t xml:space="preserve">is </w:t>
      </w:r>
      <w:r w:rsidR="00031B65">
        <w:t xml:space="preserve">indeed </w:t>
      </w:r>
      <w:r w:rsidR="00FD678A">
        <w:t xml:space="preserve">indispensable and invariable.  </w:t>
      </w:r>
      <w:r w:rsidR="00A4287A">
        <w:t>This gives the municipality full power</w:t>
      </w:r>
      <w:r w:rsidR="006D50B7">
        <w:t>, and full opportunity,</w:t>
      </w:r>
      <w:r w:rsidR="00A4287A">
        <w:t xml:space="preserve"> to enforce the charge</w:t>
      </w:r>
      <w:r w:rsidR="00031B65">
        <w:t xml:space="preserve"> against the existing owner for </w:t>
      </w:r>
      <w:r w:rsidR="00B41DBC">
        <w:t xml:space="preserve">all </w:t>
      </w:r>
      <w:r w:rsidR="00031B65">
        <w:t>recoverable d</w:t>
      </w:r>
      <w:r w:rsidR="00B41DBC">
        <w:t>ebt</w:t>
      </w:r>
      <w:r w:rsidR="000E1DCF">
        <w:t xml:space="preserve">, </w:t>
      </w:r>
      <w:r w:rsidR="00B41DBC">
        <w:t xml:space="preserve">even beyond </w:t>
      </w:r>
      <w:r w:rsidR="00031B65">
        <w:t>the last two years</w:t>
      </w:r>
      <w:r w:rsidR="006D50B7">
        <w:t>.</w:t>
      </w:r>
    </w:p>
    <w:p w:rsidR="0070352B" w:rsidRDefault="0070352B">
      <w:pPr>
        <w:pStyle w:val="JUDGMENTCONTINUED"/>
      </w:pPr>
    </w:p>
    <w:p w:rsidR="00F62FDC" w:rsidRDefault="006D50B7" w:rsidP="00D14E3F">
      <w:pPr>
        <w:pStyle w:val="JUDGMENTNUMBERED"/>
      </w:pPr>
      <w:r>
        <w:t xml:space="preserve">In this way, all outstanding debt can be recovered, as a charge against the property, </w:t>
      </w:r>
      <w:r w:rsidR="00A4287A">
        <w:rPr>
          <w:i/>
        </w:rPr>
        <w:t>before</w:t>
      </w:r>
      <w:r w:rsidR="00A4287A">
        <w:t xml:space="preserve"> transfer.  Neat.  </w:t>
      </w:r>
      <w:r w:rsidR="000E1DCF">
        <w:t xml:space="preserve">This </w:t>
      </w:r>
      <w:r w:rsidR="00FF4BB4">
        <w:t xml:space="preserve">power </w:t>
      </w:r>
      <w:r w:rsidR="0049630B">
        <w:t>does</w:t>
      </w:r>
      <w:r w:rsidR="00C55F06">
        <w:t xml:space="preserve"> </w:t>
      </w:r>
      <w:r w:rsidR="0049630B">
        <w:t>n</w:t>
      </w:r>
      <w:r w:rsidR="00C55F06">
        <w:t>o</w:t>
      </w:r>
      <w:r w:rsidR="0049630B">
        <w:t xml:space="preserve">t improve with age.  It </w:t>
      </w:r>
      <w:r w:rsidR="00FF4BB4">
        <w:t xml:space="preserve">is </w:t>
      </w:r>
      <w:r w:rsidR="009D13F1">
        <w:t xml:space="preserve">no jot or tittle better </w:t>
      </w:r>
      <w:r w:rsidR="009D13F1" w:rsidRPr="009520BC">
        <w:rPr>
          <w:i/>
        </w:rPr>
        <w:t>after</w:t>
      </w:r>
      <w:r w:rsidR="009D13F1">
        <w:t xml:space="preserve"> transfer than before.</w:t>
      </w:r>
      <w:r w:rsidR="00B85CFE">
        <w:t xml:space="preserve">  So why wait?  </w:t>
      </w:r>
      <w:r w:rsidR="00D14E3F">
        <w:t xml:space="preserve">If transfer nowise </w:t>
      </w:r>
      <w:r w:rsidR="00C33BD0">
        <w:t xml:space="preserve">strengthens </w:t>
      </w:r>
      <w:r w:rsidR="00D14E3F">
        <w:t xml:space="preserve">a municipality’s position, why not </w:t>
      </w:r>
      <w:r w:rsidR="00190E4B">
        <w:t xml:space="preserve">act </w:t>
      </w:r>
      <w:r w:rsidR="00D14E3F">
        <w:t xml:space="preserve">pre-transfer?  </w:t>
      </w:r>
      <w:r w:rsidR="00A4287A">
        <w:t>The municipalities and the Minister had no answer.</w:t>
      </w:r>
      <w:r w:rsidR="007569E7">
        <w:t xml:space="preserve">  Indeed, during oral argument, Tshwane conceded </w:t>
      </w:r>
      <w:r w:rsidR="002A07C7">
        <w:t xml:space="preserve">perforce and rightly </w:t>
      </w:r>
      <w:r w:rsidR="007569E7">
        <w:t>that, should the Court find municipalities have ample power to recover outstanding debt from current owners, there would be little justification for making the charge survive.</w:t>
      </w:r>
    </w:p>
    <w:p w:rsidR="00E72E09" w:rsidRDefault="00E72E09" w:rsidP="00E72E09">
      <w:pPr>
        <w:pStyle w:val="JUDGMENTCONTINUED"/>
      </w:pPr>
    </w:p>
    <w:p w:rsidR="00F62FDC" w:rsidRDefault="00F62FDC" w:rsidP="007569E7">
      <w:pPr>
        <w:pStyle w:val="JUDGMENTNUMBERED"/>
      </w:pPr>
      <w:r w:rsidRPr="00AB54FF">
        <w:lastRenderedPageBreak/>
        <w:t xml:space="preserve">To itemise these </w:t>
      </w:r>
      <w:r>
        <w:t xml:space="preserve">ample </w:t>
      </w:r>
      <w:r w:rsidRPr="00AB54FF">
        <w:t xml:space="preserve">powers is not to </w:t>
      </w:r>
      <w:r w:rsidR="00D14E3F">
        <w:t xml:space="preserve">approach the interpretive task </w:t>
      </w:r>
      <w:r w:rsidR="00D01080">
        <w:t xml:space="preserve">as </w:t>
      </w:r>
      <w:r w:rsidR="00190E4B">
        <w:t xml:space="preserve">providing a chance </w:t>
      </w:r>
      <w:r w:rsidR="00D01080">
        <w:t xml:space="preserve">to </w:t>
      </w:r>
      <w:r w:rsidR="003D0CC0">
        <w:t xml:space="preserve">scold </w:t>
      </w:r>
      <w:r w:rsidRPr="00AB54FF">
        <w:t xml:space="preserve">municipalities for </w:t>
      </w:r>
      <w:r w:rsidR="007569E7">
        <w:t>known inefficiencies</w:t>
      </w:r>
      <w:r w:rsidR="00FB0C04">
        <w:t>.</w:t>
      </w:r>
      <w:r w:rsidR="00BB69DC">
        <w:rPr>
          <w:rStyle w:val="FootnoteReference"/>
        </w:rPr>
        <w:footnoteReference w:id="100"/>
      </w:r>
      <w:r w:rsidR="00FB0C04">
        <w:t xml:space="preserve">  </w:t>
      </w:r>
      <w:r w:rsidR="00190E4B">
        <w:rPr>
          <w:i/>
        </w:rPr>
        <w:t>Mkontwana</w:t>
      </w:r>
      <w:r w:rsidR="00190E4B" w:rsidRPr="007569E7">
        <w:t xml:space="preserve"> </w:t>
      </w:r>
      <w:r w:rsidR="00C34366" w:rsidRPr="007569E7">
        <w:t>rightly</w:t>
      </w:r>
      <w:r w:rsidR="00C34366">
        <w:t xml:space="preserve"> cautioned </w:t>
      </w:r>
      <w:r w:rsidR="00FB0C04">
        <w:t>against this</w:t>
      </w:r>
      <w:r w:rsidRPr="00AB54FF">
        <w:t>.</w:t>
      </w:r>
      <w:r w:rsidR="007569E7">
        <w:rPr>
          <w:rStyle w:val="FootnoteReference"/>
        </w:rPr>
        <w:footnoteReference w:id="101"/>
      </w:r>
      <w:r w:rsidR="007569E7">
        <w:t xml:space="preserve">  </w:t>
      </w:r>
      <w:r w:rsidR="00F065CA">
        <w:t xml:space="preserve">Indeed, </w:t>
      </w:r>
      <w:r w:rsidR="00190E4B">
        <w:t xml:space="preserve">this Court </w:t>
      </w:r>
      <w:r w:rsidR="00F065CA">
        <w:t xml:space="preserve">gave </w:t>
      </w:r>
      <w:r w:rsidR="00F065CA" w:rsidRPr="00AB54FF">
        <w:t xml:space="preserve">considerable </w:t>
      </w:r>
      <w:r w:rsidR="00F065CA">
        <w:t xml:space="preserve">weight there to the </w:t>
      </w:r>
      <w:r w:rsidR="003C19CE">
        <w:t xml:space="preserve">heavy </w:t>
      </w:r>
      <w:r w:rsidR="00F065CA">
        <w:t>public duties municipalities have to perform.</w:t>
      </w:r>
      <w:r w:rsidR="00F065CA">
        <w:rPr>
          <w:rStyle w:val="FootnoteReference"/>
        </w:rPr>
        <w:footnoteReference w:id="102"/>
      </w:r>
      <w:r w:rsidR="00F065CA">
        <w:t xml:space="preserve">  </w:t>
      </w:r>
      <w:r w:rsidRPr="00AB54FF">
        <w:t xml:space="preserve">It is rather to consider whether, against the objective </w:t>
      </w:r>
      <w:r w:rsidR="00C34366">
        <w:t xml:space="preserve">fact </w:t>
      </w:r>
      <w:r w:rsidRPr="00AB54FF">
        <w:t xml:space="preserve">of a </w:t>
      </w:r>
      <w:r w:rsidR="001445A5">
        <w:t xml:space="preserve">powerful armoury </w:t>
      </w:r>
      <w:r w:rsidRPr="00AB54FF">
        <w:t xml:space="preserve">of </w:t>
      </w:r>
      <w:r w:rsidR="00C34366">
        <w:t xml:space="preserve">existing </w:t>
      </w:r>
      <w:r w:rsidRPr="00AB54FF">
        <w:t xml:space="preserve">statutory </w:t>
      </w:r>
      <w:r>
        <w:t>debt</w:t>
      </w:r>
      <w:r w:rsidR="00474701">
        <w:noBreakHyphen/>
      </w:r>
      <w:r>
        <w:t>collection</w:t>
      </w:r>
      <w:r w:rsidR="001445A5">
        <w:t xml:space="preserve"> weapons</w:t>
      </w:r>
      <w:r w:rsidRPr="00AB54FF">
        <w:t xml:space="preserve">, </w:t>
      </w:r>
      <w:r>
        <w:t>there is any public interest warrant, constitutional need or fair</w:t>
      </w:r>
      <w:r w:rsidRPr="00AB54FF">
        <w:t xml:space="preserve"> justifi</w:t>
      </w:r>
      <w:r>
        <w:t xml:space="preserve">cation for </w:t>
      </w:r>
      <w:r w:rsidRPr="00AB54FF">
        <w:t>read</w:t>
      </w:r>
      <w:r>
        <w:t>ing</w:t>
      </w:r>
      <w:r w:rsidRPr="00AB54FF">
        <w:t xml:space="preserve"> </w:t>
      </w:r>
      <w:r w:rsidR="00C34366">
        <w:t xml:space="preserve">the charge in section 118(3) to survive </w:t>
      </w:r>
      <w:r w:rsidRPr="00AB54FF">
        <w:t>transfer.</w:t>
      </w:r>
    </w:p>
    <w:p w:rsidR="00E72E09" w:rsidRDefault="00E72E09" w:rsidP="00E72E09">
      <w:pPr>
        <w:pStyle w:val="JUDGMENTCONTINUED"/>
      </w:pPr>
    </w:p>
    <w:p w:rsidR="004678D5" w:rsidRDefault="00F62FDC" w:rsidP="00C13548">
      <w:pPr>
        <w:pStyle w:val="HEADING"/>
      </w:pPr>
      <w:r>
        <w:t>Deprivation of property</w:t>
      </w:r>
    </w:p>
    <w:p w:rsidR="006C3C5E" w:rsidRDefault="00F23245" w:rsidP="00F065CA">
      <w:pPr>
        <w:pStyle w:val="JUDGMENTNUMBERED"/>
      </w:pPr>
      <w:r>
        <w:t xml:space="preserve">Apart </w:t>
      </w:r>
      <w:r w:rsidR="00BE185F">
        <w:t xml:space="preserve">from the considerations </w:t>
      </w:r>
      <w:r>
        <w:t xml:space="preserve">the municipalities advanced as </w:t>
      </w:r>
      <w:r w:rsidR="00BE185F">
        <w:t>favouring survival of the charge,</w:t>
      </w:r>
      <w:r w:rsidR="00F065CA">
        <w:t xml:space="preserve"> we also weigh</w:t>
      </w:r>
      <w:r w:rsidR="00F62FDC" w:rsidRPr="00AB54FF">
        <w:t xml:space="preserve"> the sever</w:t>
      </w:r>
      <w:r w:rsidR="00F62FDC">
        <w:t>e</w:t>
      </w:r>
      <w:r w:rsidR="00F62FDC" w:rsidRPr="00AB54FF">
        <w:t xml:space="preserve"> consequences of imposin</w:t>
      </w:r>
      <w:r w:rsidR="00F62FDC">
        <w:t>g</w:t>
      </w:r>
      <w:r w:rsidR="00F62FDC" w:rsidRPr="00AB54FF">
        <w:t xml:space="preserve"> </w:t>
      </w:r>
      <w:r w:rsidR="00F065CA">
        <w:t xml:space="preserve">historical debts </w:t>
      </w:r>
      <w:r w:rsidR="00F62FDC" w:rsidRPr="00AB54FF">
        <w:t xml:space="preserve">on </w:t>
      </w:r>
      <w:r w:rsidR="00F62FDC">
        <w:t>a</w:t>
      </w:r>
      <w:r w:rsidR="00F62FDC" w:rsidRPr="00AB54FF">
        <w:t xml:space="preserve"> new owner.</w:t>
      </w:r>
      <w:r w:rsidR="00F065CA">
        <w:t xml:space="preserve">  </w:t>
      </w:r>
      <w:r w:rsidR="00BE185F">
        <w:t xml:space="preserve">The </w:t>
      </w:r>
      <w:r w:rsidR="00F62FDC" w:rsidRPr="00AB54FF">
        <w:t>Bill of Rights</w:t>
      </w:r>
      <w:r w:rsidR="00061B62" w:rsidRPr="00061B62">
        <w:t xml:space="preserve"> </w:t>
      </w:r>
      <w:r w:rsidR="00061B62" w:rsidRPr="00AB54FF">
        <w:t>prohibits “arbitrary deprivation of property”</w:t>
      </w:r>
      <w:r w:rsidR="00061B62">
        <w:t>.</w:t>
      </w:r>
      <w:r w:rsidR="00BE185F">
        <w:rPr>
          <w:rStyle w:val="FootnoteReference"/>
        </w:rPr>
        <w:footnoteReference w:id="103"/>
      </w:r>
      <w:r w:rsidR="00F62FDC" w:rsidRPr="00AB54FF">
        <w:t xml:space="preserve"> </w:t>
      </w:r>
      <w:r w:rsidR="00BE185F">
        <w:t xml:space="preserve"> </w:t>
      </w:r>
      <w:r w:rsidR="006C3C5E">
        <w:t xml:space="preserve">It was </w:t>
      </w:r>
      <w:r w:rsidR="00DE6D2E">
        <w:t xml:space="preserve">rightly </w:t>
      </w:r>
      <w:r w:rsidR="006C3C5E">
        <w:t xml:space="preserve">not </w:t>
      </w:r>
      <w:r w:rsidR="00BE185F">
        <w:t xml:space="preserve">disputed that the new owner has a property interest </w:t>
      </w:r>
      <w:r w:rsidR="00061B62">
        <w:t xml:space="preserve">that would </w:t>
      </w:r>
      <w:r w:rsidR="00DE6D2E">
        <w:t xml:space="preserve">be </w:t>
      </w:r>
      <w:r w:rsidR="00061B62">
        <w:t>affect</w:t>
      </w:r>
      <w:r w:rsidR="00DE6D2E">
        <w:t>ed if the charge were transmissible</w:t>
      </w:r>
      <w:r w:rsidR="006C3C5E">
        <w:t>.  Equally,</w:t>
      </w:r>
      <w:r w:rsidR="00BE185F">
        <w:t xml:space="preserve"> </w:t>
      </w:r>
      <w:r w:rsidR="00DE6D2E">
        <w:t xml:space="preserve">the interests of </w:t>
      </w:r>
      <w:r w:rsidR="006C3C5E">
        <w:t>bond</w:t>
      </w:r>
      <w:r w:rsidR="00474701">
        <w:noBreakHyphen/>
      </w:r>
      <w:r w:rsidR="006C3C5E">
        <w:t xml:space="preserve">holders </w:t>
      </w:r>
      <w:r w:rsidR="00DE6D2E">
        <w:t xml:space="preserve">who advance loans to </w:t>
      </w:r>
      <w:r w:rsidR="006C3C5E">
        <w:t>the transferee would be affected</w:t>
      </w:r>
      <w:r w:rsidR="00DE6D2E">
        <w:rPr>
          <w:rStyle w:val="FootnoteReference"/>
        </w:rPr>
        <w:footnoteReference w:id="104"/>
      </w:r>
      <w:r w:rsidR="006C3C5E">
        <w:t xml:space="preserve"> if the debts, accumulated during the previous owner’s title, </w:t>
      </w:r>
      <w:r w:rsidR="00DE6D2E">
        <w:t xml:space="preserve">were to operate </w:t>
      </w:r>
      <w:r w:rsidR="006C3C5E">
        <w:t>as a charge against the new owner.</w:t>
      </w:r>
      <w:r w:rsidR="00BE185F">
        <w:rPr>
          <w:rStyle w:val="FootnoteReference"/>
        </w:rPr>
        <w:footnoteReference w:id="105"/>
      </w:r>
    </w:p>
    <w:p w:rsidR="0070352B" w:rsidRDefault="0070352B">
      <w:pPr>
        <w:pStyle w:val="JUDGMENTCONTINUED"/>
      </w:pPr>
    </w:p>
    <w:p w:rsidR="00F065CA" w:rsidRDefault="006C3C5E" w:rsidP="00F62FDC">
      <w:pPr>
        <w:pStyle w:val="JUDGMENTNUMBERED"/>
      </w:pPr>
      <w:r>
        <w:t xml:space="preserve">This Court </w:t>
      </w:r>
      <w:r w:rsidR="00C2129A">
        <w:t xml:space="preserve">has </w:t>
      </w:r>
      <w:r>
        <w:t xml:space="preserve">summarised its jurisprudence </w:t>
      </w:r>
      <w:r w:rsidR="00753B02">
        <w:t xml:space="preserve">regarding constitutionally cognisable </w:t>
      </w:r>
      <w:r>
        <w:t>deprivation</w:t>
      </w:r>
      <w:r w:rsidR="00F065CA" w:rsidRPr="00102383">
        <w:t xml:space="preserve"> </w:t>
      </w:r>
      <w:r w:rsidR="00753B02">
        <w:t>of property</w:t>
      </w:r>
      <w:r w:rsidR="00E83B28">
        <w:t xml:space="preserve"> by saying that </w:t>
      </w:r>
      <w:r w:rsidR="00F065CA" w:rsidRPr="00102383">
        <w:t xml:space="preserve">there </w:t>
      </w:r>
      <w:r>
        <w:t xml:space="preserve">is </w:t>
      </w:r>
      <w:r w:rsidR="00F065CA" w:rsidRPr="00102383">
        <w:t xml:space="preserve">a </w:t>
      </w:r>
      <w:r>
        <w:t xml:space="preserve">constitutionally significant </w:t>
      </w:r>
      <w:r w:rsidR="00F065CA" w:rsidRPr="00102383">
        <w:t xml:space="preserve">deprivation </w:t>
      </w:r>
      <w:r>
        <w:t xml:space="preserve">of property </w:t>
      </w:r>
      <w:r w:rsidR="00F065CA" w:rsidRPr="00102383">
        <w:t xml:space="preserve">only where the </w:t>
      </w:r>
      <w:r w:rsidR="00F065CA">
        <w:t xml:space="preserve">interference </w:t>
      </w:r>
      <w:r>
        <w:t xml:space="preserve">with a property right </w:t>
      </w:r>
      <w:r w:rsidR="00F065CA">
        <w:t>is “substantial”</w:t>
      </w:r>
      <w:r>
        <w:t xml:space="preserve"> –</w:t>
      </w:r>
      <w:r w:rsidR="00F065CA">
        <w:t xml:space="preserve"> meaning that the </w:t>
      </w:r>
      <w:r w:rsidR="00F065CA" w:rsidRPr="00102383">
        <w:t>extent</w:t>
      </w:r>
      <w:r w:rsidR="00F065CA">
        <w:t xml:space="preserve"> of the intrusion must be</w:t>
      </w:r>
      <w:r w:rsidR="001E1F11">
        <w:t xml:space="preserve"> extensive</w:t>
      </w:r>
      <w:r w:rsidR="00F065CA">
        <w:t xml:space="preserve"> </w:t>
      </w:r>
      <w:r>
        <w:t xml:space="preserve">to have </w:t>
      </w:r>
      <w:r w:rsidR="00F065CA">
        <w:t xml:space="preserve">a legally significant impact </w:t>
      </w:r>
      <w:r w:rsidR="001E1F11">
        <w:t xml:space="preserve">on </w:t>
      </w:r>
      <w:r w:rsidR="00F065CA">
        <w:t>the rights of the affected party.</w:t>
      </w:r>
      <w:r>
        <w:rPr>
          <w:rStyle w:val="FootnoteReference"/>
        </w:rPr>
        <w:footnoteReference w:id="106"/>
      </w:r>
    </w:p>
    <w:p w:rsidR="006C3C5E" w:rsidRPr="006C3C5E" w:rsidRDefault="006C3C5E" w:rsidP="006C3C5E">
      <w:pPr>
        <w:pStyle w:val="JUDGMENTCONTINUED"/>
      </w:pPr>
    </w:p>
    <w:p w:rsidR="003E3722" w:rsidRDefault="00E83B28" w:rsidP="00F62FDC">
      <w:pPr>
        <w:pStyle w:val="JUDGMENTNUMBERED"/>
      </w:pPr>
      <w:r>
        <w:t xml:space="preserve">Does this happen </w:t>
      </w:r>
      <w:r w:rsidR="00050AB9">
        <w:t xml:space="preserve">if the charge takes effect </w:t>
      </w:r>
      <w:r w:rsidR="00F62FDC" w:rsidRPr="00AB54FF">
        <w:t>in the hands of a new owner to satisfy debts incurred during a pre</w:t>
      </w:r>
      <w:r w:rsidR="00F62FDC">
        <w:t>ceding</w:t>
      </w:r>
      <w:r w:rsidR="00F62FDC" w:rsidRPr="00AB54FF">
        <w:t xml:space="preserve"> owner</w:t>
      </w:r>
      <w:r w:rsidR="00F62FDC">
        <w:t>’</w:t>
      </w:r>
      <w:r w:rsidR="00F62FDC" w:rsidRPr="00AB54FF">
        <w:t>s</w:t>
      </w:r>
      <w:r w:rsidR="00F62FDC">
        <w:t xml:space="preserve"> t</w:t>
      </w:r>
      <w:r w:rsidR="00F62FDC" w:rsidRPr="00AB54FF">
        <w:t>i</w:t>
      </w:r>
      <w:r w:rsidR="00F62FDC">
        <w:t>tle</w:t>
      </w:r>
      <w:r w:rsidR="00050AB9">
        <w:t>?  As the applicants compelling</w:t>
      </w:r>
      <w:r w:rsidR="008B250C">
        <w:t>ly</w:t>
      </w:r>
      <w:r w:rsidR="00050AB9">
        <w:t xml:space="preserve"> contended, the new owner’s property </w:t>
      </w:r>
      <w:r>
        <w:t xml:space="preserve">could </w:t>
      </w:r>
      <w:r w:rsidR="00050AB9">
        <w:t>be sold</w:t>
      </w:r>
      <w:r w:rsidR="003E3722">
        <w:t xml:space="preserve"> in execution to satisfy the charge</w:t>
      </w:r>
      <w:r w:rsidR="00050AB9">
        <w:t xml:space="preserve">.  And, if the historical debts are big enough, the new owner could be left </w:t>
      </w:r>
      <w:r w:rsidR="002C186B">
        <w:t xml:space="preserve">with very </w:t>
      </w:r>
      <w:r w:rsidR="003E3722">
        <w:t xml:space="preserve">little </w:t>
      </w:r>
      <w:r w:rsidR="002C186B">
        <w:t xml:space="preserve">– </w:t>
      </w:r>
      <w:r w:rsidR="003E3722">
        <w:t>or even</w:t>
      </w:r>
      <w:r w:rsidR="003E3722" w:rsidRPr="00AB54FF">
        <w:t xml:space="preserve">, where the debt </w:t>
      </w:r>
      <w:r w:rsidR="003E3722">
        <w:t xml:space="preserve">exceeds </w:t>
      </w:r>
      <w:r w:rsidR="003E3722" w:rsidRPr="00AB54FF">
        <w:t>the value of the property</w:t>
      </w:r>
      <w:r w:rsidR="003E3722">
        <w:t xml:space="preserve">, </w:t>
      </w:r>
      <w:r w:rsidR="00050AB9">
        <w:t xml:space="preserve">with nothing.  </w:t>
      </w:r>
      <w:r w:rsidR="003E3722">
        <w:t xml:space="preserve">The municipalities were constrained to </w:t>
      </w:r>
      <w:r w:rsidR="003E3722" w:rsidRPr="00AB54FF">
        <w:t xml:space="preserve">concede that the historical debt could be </w:t>
      </w:r>
      <w:r w:rsidR="003E3722">
        <w:t xml:space="preserve">so big </w:t>
      </w:r>
      <w:r w:rsidR="003E3722" w:rsidRPr="00AB54FF">
        <w:t>as to extinguish the new owner’s e</w:t>
      </w:r>
      <w:r w:rsidR="003E3722">
        <w:t>ntire interest in the property</w:t>
      </w:r>
      <w:r w:rsidR="003E3722" w:rsidRPr="00AB54FF">
        <w:t>.</w:t>
      </w:r>
    </w:p>
    <w:p w:rsidR="0070352B" w:rsidRDefault="0070352B">
      <w:pPr>
        <w:pStyle w:val="JUDGMENTCONTINUED"/>
      </w:pPr>
    </w:p>
    <w:p w:rsidR="00F62FDC" w:rsidRDefault="00050AB9" w:rsidP="00F62FDC">
      <w:pPr>
        <w:pStyle w:val="JUDGMENTNUMBERED"/>
      </w:pPr>
      <w:r>
        <w:t xml:space="preserve">The same applies to the bond-holder, who advances money to the new owner to finance the transfer, but finds that its security, carefully calculated on the value of the property before transfer, becomes useless afterwards.  </w:t>
      </w:r>
      <w:r w:rsidR="00F62FDC">
        <w:t xml:space="preserve">The effect of </w:t>
      </w:r>
      <w:r w:rsidR="00A13C08">
        <w:t xml:space="preserve">allowing </w:t>
      </w:r>
      <w:r>
        <w:t xml:space="preserve">the </w:t>
      </w:r>
      <w:r w:rsidR="00F62FDC">
        <w:t xml:space="preserve">charge </w:t>
      </w:r>
      <w:r w:rsidR="00A13C08">
        <w:t xml:space="preserve">to take effect </w:t>
      </w:r>
      <w:r>
        <w:t xml:space="preserve">post-transfer </w:t>
      </w:r>
      <w:r w:rsidR="00F62FDC">
        <w:t xml:space="preserve">is </w:t>
      </w:r>
      <w:r>
        <w:t xml:space="preserve">thus </w:t>
      </w:r>
      <w:r w:rsidR="00F62FDC">
        <w:t xml:space="preserve">to substantially interfere </w:t>
      </w:r>
      <w:r>
        <w:t xml:space="preserve">with </w:t>
      </w:r>
      <w:r w:rsidR="00F62FDC">
        <w:t>or limit the transferee’s ownership</w:t>
      </w:r>
      <w:r>
        <w:t xml:space="preserve"> </w:t>
      </w:r>
      <w:r w:rsidR="00A13C08">
        <w:t xml:space="preserve">as well as </w:t>
      </w:r>
      <w:r>
        <w:t>the mortgagee’s real right of security</w:t>
      </w:r>
      <w:r w:rsidR="00F62FDC">
        <w:t>.</w:t>
      </w:r>
    </w:p>
    <w:p w:rsidR="00050AB9" w:rsidRPr="00050AB9" w:rsidRDefault="00050AB9" w:rsidP="00050AB9">
      <w:pPr>
        <w:pStyle w:val="JUDGMENTCONTINUED"/>
      </w:pPr>
    </w:p>
    <w:p w:rsidR="00F62FDC" w:rsidRDefault="003E3722" w:rsidP="00F62FDC">
      <w:pPr>
        <w:pStyle w:val="JUDGMENTNUMBERED"/>
      </w:pPr>
      <w:r>
        <w:t>Despite these far-reaching effects, not only the municipalities</w:t>
      </w:r>
      <w:r w:rsidR="00BA794B">
        <w:t xml:space="preserve"> </w:t>
      </w:r>
      <w:r w:rsidR="00F62FDC" w:rsidRPr="00AB54FF">
        <w:t>but also the Minister</w:t>
      </w:r>
      <w:r w:rsidR="00BA794B">
        <w:t xml:space="preserve"> </w:t>
      </w:r>
      <w:r w:rsidR="00F62FDC" w:rsidRPr="00AB54FF">
        <w:t>contended that there was no deprivation.  This</w:t>
      </w:r>
      <w:r>
        <w:t>,</w:t>
      </w:r>
      <w:r w:rsidR="00F62FDC" w:rsidRPr="00AB54FF">
        <w:t xml:space="preserve"> </w:t>
      </w:r>
      <w:r w:rsidR="00F62FDC">
        <w:t>they urged</w:t>
      </w:r>
      <w:r>
        <w:t>,</w:t>
      </w:r>
      <w:r w:rsidR="00F62FDC">
        <w:t xml:space="preserve"> </w:t>
      </w:r>
      <w:r w:rsidR="00F62FDC" w:rsidRPr="00AB54FF">
        <w:t xml:space="preserve">was because the charge </w:t>
      </w:r>
      <w:r w:rsidR="00F62FDC">
        <w:t xml:space="preserve">took </w:t>
      </w:r>
      <w:r w:rsidR="00F62FDC" w:rsidRPr="00AB54FF">
        <w:t xml:space="preserve">effect </w:t>
      </w:r>
      <w:r>
        <w:t xml:space="preserve">at the time </w:t>
      </w:r>
      <w:r w:rsidR="00F62FDC" w:rsidRPr="00AB54FF">
        <w:t>when the debts were incurred</w:t>
      </w:r>
      <w:r>
        <w:t xml:space="preserve"> – under the previous </w:t>
      </w:r>
      <w:r>
        <w:lastRenderedPageBreak/>
        <w:t>owner</w:t>
      </w:r>
      <w:r w:rsidR="00F62FDC" w:rsidRPr="00AB54FF">
        <w:t>.</w:t>
      </w:r>
      <w:r w:rsidR="005E6846">
        <w:rPr>
          <w:rStyle w:val="FootnoteReference"/>
        </w:rPr>
        <w:footnoteReference w:id="107"/>
      </w:r>
      <w:r w:rsidR="00F62FDC" w:rsidRPr="00AB54FF">
        <w:t xml:space="preserve">  This meant that the </w:t>
      </w:r>
      <w:r w:rsidR="00F62FDC">
        <w:t xml:space="preserve">new </w:t>
      </w:r>
      <w:r w:rsidR="00F62FDC" w:rsidRPr="00AB54FF">
        <w:t xml:space="preserve">owner, when </w:t>
      </w:r>
      <w:r>
        <w:t xml:space="preserve">taking transfer of </w:t>
      </w:r>
      <w:r w:rsidR="00F62FDC" w:rsidRPr="00AB54FF">
        <w:t>the property</w:t>
      </w:r>
      <w:r w:rsidR="00F62FDC">
        <w:t>,</w:t>
      </w:r>
      <w:r w:rsidR="00F62FDC" w:rsidRPr="00AB54FF">
        <w:t xml:space="preserve"> acquired dominium </w:t>
      </w:r>
      <w:r>
        <w:t>t</w:t>
      </w:r>
      <w:r w:rsidR="00915228">
        <w:t>hat had</w:t>
      </w:r>
      <w:r>
        <w:t xml:space="preserve"> </w:t>
      </w:r>
      <w:r w:rsidR="00F62FDC" w:rsidRPr="00AB54FF">
        <w:t>already diminished in the hands of the previous owner.</w:t>
      </w:r>
    </w:p>
    <w:p w:rsidR="003E3722" w:rsidRPr="003E3722" w:rsidRDefault="003E3722" w:rsidP="003E3722">
      <w:pPr>
        <w:pStyle w:val="JUDGMENTCONTINUED"/>
      </w:pPr>
    </w:p>
    <w:p w:rsidR="003E3722" w:rsidRDefault="00F62FDC" w:rsidP="00F62FDC">
      <w:pPr>
        <w:pStyle w:val="JUDGMENTNUMBERED"/>
      </w:pPr>
      <w:r w:rsidRPr="00AB54FF">
        <w:t>This</w:t>
      </w:r>
      <w:r w:rsidR="00C87C07">
        <w:t xml:space="preserve"> argument is fallacious.  Enforcement </w:t>
      </w:r>
      <w:r w:rsidR="003E3722">
        <w:t>of the charge against the owner during wh</w:t>
      </w:r>
      <w:r w:rsidR="00C87C07">
        <w:t xml:space="preserve">ose title the debts accumulate </w:t>
      </w:r>
      <w:r w:rsidR="003E3722">
        <w:t>does</w:t>
      </w:r>
      <w:r w:rsidR="002D32AC">
        <w:t xml:space="preserve"> </w:t>
      </w:r>
      <w:r w:rsidR="003E3722">
        <w:t>n</w:t>
      </w:r>
      <w:r w:rsidR="002D32AC">
        <w:t>o</w:t>
      </w:r>
      <w:r w:rsidR="003E3722">
        <w:t xml:space="preserve">t amount to a deprivation of property.  The previous owner was </w:t>
      </w:r>
      <w:r w:rsidR="005B3F23">
        <w:t xml:space="preserve">as property owner responsible for the </w:t>
      </w:r>
      <w:r w:rsidR="003E3722">
        <w:t>debt</w:t>
      </w:r>
      <w:r w:rsidR="005B3F23">
        <w:t>s incurred on the property</w:t>
      </w:r>
      <w:r w:rsidR="003E3722">
        <w:t>.</w:t>
      </w:r>
      <w:r w:rsidR="00D97ED8">
        <w:rPr>
          <w:rStyle w:val="FootnoteReference"/>
        </w:rPr>
        <w:footnoteReference w:id="108"/>
      </w:r>
      <w:r w:rsidR="003E3722">
        <w:t xml:space="preserve">  The charge served to enforce the debt</w:t>
      </w:r>
      <w:r w:rsidR="00D97ED8">
        <w:t>s for which the previous owner was responsible</w:t>
      </w:r>
      <w:r w:rsidR="003E3722">
        <w:t xml:space="preserve">.  </w:t>
      </w:r>
      <w:r w:rsidRPr="00AB54FF">
        <w:t>It is fanciful to construe payment of a debt that is lawfully owing as imposing a depriv</w:t>
      </w:r>
      <w:r>
        <w:t>ation of property on the debtor.</w:t>
      </w:r>
      <w:r w:rsidR="002A37ED">
        <w:rPr>
          <w:rStyle w:val="FootnoteReference"/>
        </w:rPr>
        <w:footnoteReference w:id="109"/>
      </w:r>
      <w:r>
        <w:t xml:space="preserve">  </w:t>
      </w:r>
      <w:r w:rsidRPr="00AB54FF">
        <w:t xml:space="preserve">The debtor’s </w:t>
      </w:r>
      <w:r>
        <w:t xml:space="preserve">patrimony is </w:t>
      </w:r>
      <w:r w:rsidRPr="00AB54FF">
        <w:t>diminished</w:t>
      </w:r>
      <w:r>
        <w:t xml:space="preserve"> – but this is </w:t>
      </w:r>
      <w:r w:rsidRPr="00AB54FF">
        <w:t>in consequence of lawful subtraction</w:t>
      </w:r>
      <w:r w:rsidR="003E3722">
        <w:t>,</w:t>
      </w:r>
      <w:r w:rsidRPr="00AB54FF">
        <w:t xml:space="preserve"> </w:t>
      </w:r>
      <w:r>
        <w:t xml:space="preserve">through </w:t>
      </w:r>
      <w:r w:rsidRPr="00AB54FF">
        <w:t xml:space="preserve">payment of a debt </w:t>
      </w:r>
      <w:r w:rsidR="00D13846">
        <w:t xml:space="preserve">for which </w:t>
      </w:r>
      <w:r w:rsidRPr="00AB54FF">
        <w:t>the debtor itself i</w:t>
      </w:r>
      <w:r w:rsidR="00D13846">
        <w:t>s responsible</w:t>
      </w:r>
      <w:r w:rsidRPr="00AB54FF">
        <w:t>.  There is no constitutionally cognisable deprivation.</w:t>
      </w:r>
      <w:r w:rsidR="00A57520">
        <w:rPr>
          <w:rStyle w:val="FootnoteReference"/>
        </w:rPr>
        <w:footnoteReference w:id="110"/>
      </w:r>
    </w:p>
    <w:p w:rsidR="0070352B" w:rsidRDefault="0070352B">
      <w:pPr>
        <w:pStyle w:val="JUDGMENTCONTINUED"/>
      </w:pPr>
    </w:p>
    <w:p w:rsidR="00F62FDC" w:rsidRDefault="003E3722" w:rsidP="00F62FDC">
      <w:pPr>
        <w:pStyle w:val="JUDGMENTNUMBERED"/>
      </w:pPr>
      <w:r>
        <w:t>The position is different w</w:t>
      </w:r>
      <w:r w:rsidR="00F62FDC" w:rsidRPr="00AB54FF">
        <w:t>hen a debt is enforced against</w:t>
      </w:r>
      <w:r w:rsidR="00F62FDC">
        <w:t xml:space="preserve"> </w:t>
      </w:r>
      <w:r w:rsidR="00B413F9">
        <w:t xml:space="preserve">the </w:t>
      </w:r>
      <w:r w:rsidR="00F62FDC">
        <w:t xml:space="preserve">property </w:t>
      </w:r>
      <w:r w:rsidR="00B413F9">
        <w:t xml:space="preserve">of an </w:t>
      </w:r>
      <w:r w:rsidR="00F62FDC">
        <w:t xml:space="preserve">owner who </w:t>
      </w:r>
      <w:r w:rsidR="008F1B92">
        <w:t xml:space="preserve">had no connection at all with </w:t>
      </w:r>
      <w:r w:rsidR="00F62FDC">
        <w:t>it</w:t>
      </w:r>
      <w:r>
        <w:t xml:space="preserve">.  It is then that a </w:t>
      </w:r>
      <w:r w:rsidR="00F62FDC" w:rsidRPr="00AB54FF">
        <w:t>constitution</w:t>
      </w:r>
      <w:r w:rsidR="00F62FDC">
        <w:t>a</w:t>
      </w:r>
      <w:r w:rsidR="00F62FDC" w:rsidRPr="00AB54FF">
        <w:t>l</w:t>
      </w:r>
      <w:r>
        <w:t>ly cognisable</w:t>
      </w:r>
      <w:r w:rsidR="00F62FDC" w:rsidRPr="00AB54FF">
        <w:t xml:space="preserve"> deprivation</w:t>
      </w:r>
      <w:r>
        <w:t xml:space="preserve"> occurs</w:t>
      </w:r>
      <w:r w:rsidR="00F62FDC" w:rsidRPr="00AB54FF">
        <w:t>.</w:t>
      </w:r>
      <w:r>
        <w:t xml:space="preserve">  This is precisely</w:t>
      </w:r>
      <w:r w:rsidR="00D12C4F">
        <w:t xml:space="preserve"> what</w:t>
      </w:r>
      <w:r>
        <w:t xml:space="preserve"> would happen if the charge in section</w:t>
      </w:r>
      <w:r w:rsidR="00D12C4F">
        <w:t> </w:t>
      </w:r>
      <w:r>
        <w:t>118(3) were to take effect on new owners.</w:t>
      </w:r>
    </w:p>
    <w:p w:rsidR="003E3722" w:rsidRPr="003E3722" w:rsidRDefault="003E3722" w:rsidP="003E3722">
      <w:pPr>
        <w:pStyle w:val="JUDGMENTCONTINUED"/>
      </w:pPr>
    </w:p>
    <w:p w:rsidR="00B413F9" w:rsidRDefault="003E3722" w:rsidP="00F62FDC">
      <w:pPr>
        <w:pStyle w:val="JUDGMENTNUMBERED"/>
      </w:pPr>
      <w:r>
        <w:t xml:space="preserve">The municipalities also </w:t>
      </w:r>
      <w:r w:rsidR="00F62FDC" w:rsidRPr="00AB54FF">
        <w:t>contend</w:t>
      </w:r>
      <w:r w:rsidR="00B413F9">
        <w:t>ed</w:t>
      </w:r>
      <w:r w:rsidR="00F62FDC" w:rsidRPr="00AB54FF">
        <w:t xml:space="preserve"> that the consumption for which the debts were incurred</w:t>
      </w:r>
      <w:r w:rsidR="00B413F9">
        <w:t>, under the old owner, enhanced</w:t>
      </w:r>
      <w:r w:rsidR="00F62FDC" w:rsidRPr="00AB54FF">
        <w:t xml:space="preserve"> the value of the property</w:t>
      </w:r>
      <w:r w:rsidR="00B413F9">
        <w:t>.  This, they said, made</w:t>
      </w:r>
      <w:r w:rsidR="00F62FDC" w:rsidRPr="00AB54FF">
        <w:t xml:space="preserve"> it just to impose the historical debt on the new owner.  </w:t>
      </w:r>
      <w:r w:rsidR="00B413F9">
        <w:t xml:space="preserve">For this they invoked the reasoning in </w:t>
      </w:r>
      <w:r w:rsidR="00B413F9" w:rsidRPr="00B413F9">
        <w:rPr>
          <w:i/>
        </w:rPr>
        <w:t>Mkontwana</w:t>
      </w:r>
      <w:r w:rsidR="00B413F9">
        <w:t>.</w:t>
      </w:r>
      <w:r w:rsidR="00B413F9">
        <w:rPr>
          <w:rStyle w:val="FootnoteReference"/>
        </w:rPr>
        <w:footnoteReference w:id="111"/>
      </w:r>
      <w:r w:rsidR="00B413F9">
        <w:t xml:space="preserve">  </w:t>
      </w:r>
      <w:r w:rsidR="00F62FDC" w:rsidRPr="00AB54FF">
        <w:t xml:space="preserve">This </w:t>
      </w:r>
      <w:r w:rsidR="00B413F9">
        <w:t>argument is also fallacious</w:t>
      </w:r>
      <w:r w:rsidR="00F62FDC" w:rsidRPr="00AB54FF">
        <w:t>.</w:t>
      </w:r>
    </w:p>
    <w:p w:rsidR="0070352B" w:rsidRDefault="0070352B">
      <w:pPr>
        <w:pStyle w:val="JUDGMENTCONTINUED"/>
      </w:pPr>
    </w:p>
    <w:p w:rsidR="00BD6368" w:rsidRDefault="00F62FDC" w:rsidP="00F62FDC">
      <w:pPr>
        <w:pStyle w:val="JUDGMENTNUMBERED"/>
      </w:pPr>
      <w:r w:rsidRPr="00AB54FF">
        <w:t xml:space="preserve">First, it is </w:t>
      </w:r>
      <w:r w:rsidR="00B413F9">
        <w:t xml:space="preserve">difficult to see how </w:t>
      </w:r>
      <w:r w:rsidRPr="00BD6368">
        <w:rPr>
          <w:i/>
        </w:rPr>
        <w:t>past consumption</w:t>
      </w:r>
      <w:r w:rsidRPr="00AB54FF">
        <w:t xml:space="preserve"> of municipal services</w:t>
      </w:r>
      <w:r w:rsidR="00BD6368">
        <w:t xml:space="preserve">, in contradistinction to </w:t>
      </w:r>
      <w:r w:rsidR="00BD6368" w:rsidRPr="00AB54FF">
        <w:t>the</w:t>
      </w:r>
      <w:r w:rsidR="00BD6368">
        <w:t>ir</w:t>
      </w:r>
      <w:r w:rsidR="00BD6368" w:rsidRPr="00AB54FF">
        <w:t xml:space="preserve"> </w:t>
      </w:r>
      <w:r w:rsidR="00BD6368" w:rsidRPr="00BD6368">
        <w:rPr>
          <w:i/>
        </w:rPr>
        <w:t>continuing supply</w:t>
      </w:r>
      <w:r w:rsidR="00BD6368">
        <w:t>,</w:t>
      </w:r>
      <w:r w:rsidRPr="00AB54FF">
        <w:t xml:space="preserve"> </w:t>
      </w:r>
      <w:r w:rsidR="00B413F9">
        <w:t xml:space="preserve">enhances a property’s value.  </w:t>
      </w:r>
      <w:r w:rsidR="00B413F9" w:rsidRPr="00BD6368">
        <w:rPr>
          <w:i/>
        </w:rPr>
        <w:t xml:space="preserve">Mkontwana </w:t>
      </w:r>
      <w:r w:rsidR="00B413F9">
        <w:t xml:space="preserve">was concerned with the </w:t>
      </w:r>
      <w:r w:rsidR="00BD6368">
        <w:t xml:space="preserve">current </w:t>
      </w:r>
      <w:r w:rsidR="00B413F9">
        <w:t xml:space="preserve">enhancement of a property’s value, in the hands of the present owner, by the </w:t>
      </w:r>
      <w:r w:rsidR="00BD6368">
        <w:t xml:space="preserve">continuing </w:t>
      </w:r>
      <w:r w:rsidR="00B413F9">
        <w:t>supply to it and consumption on it of municipal services.</w:t>
      </w:r>
      <w:r w:rsidR="00B413F9">
        <w:rPr>
          <w:rStyle w:val="FootnoteReference"/>
        </w:rPr>
        <w:footnoteReference w:id="112"/>
      </w:r>
    </w:p>
    <w:p w:rsidR="0070352B" w:rsidRDefault="0070352B">
      <w:pPr>
        <w:pStyle w:val="JUDGMENTCONTINUED"/>
      </w:pPr>
    </w:p>
    <w:p w:rsidR="004A7FE8" w:rsidRDefault="00BD6368" w:rsidP="00F62FDC">
      <w:pPr>
        <w:pStyle w:val="JUDGMENTNUMBERED"/>
      </w:pPr>
      <w:r w:rsidRPr="00BD6368">
        <w:rPr>
          <w:i/>
        </w:rPr>
        <w:t>Mkontwana</w:t>
      </w:r>
      <w:r>
        <w:t xml:space="preserve"> also recognised that </w:t>
      </w:r>
      <w:r w:rsidR="008518AB">
        <w:t xml:space="preserve">the value of a </w:t>
      </w:r>
      <w:r>
        <w:t xml:space="preserve">property </w:t>
      </w:r>
      <w:r w:rsidR="008518AB">
        <w:t xml:space="preserve">was </w:t>
      </w:r>
      <w:r>
        <w:t>enhanced</w:t>
      </w:r>
      <w:r w:rsidR="008518AB">
        <w:t xml:space="preserve"> if municipal services were accessible from it</w:t>
      </w:r>
      <w:r>
        <w:t>.</w:t>
      </w:r>
      <w:r>
        <w:rPr>
          <w:rStyle w:val="FootnoteReference"/>
        </w:rPr>
        <w:footnoteReference w:id="113"/>
      </w:r>
      <w:r>
        <w:t xml:space="preserve">  That is clear.  A plot in the bundu, without electricity or piped water, is </w:t>
      </w:r>
      <w:r w:rsidR="004A7FE8">
        <w:t xml:space="preserve">in most circumstances </w:t>
      </w:r>
      <w:r>
        <w:t>much less valuable than one in town.  But the applicants astutely pointed out that</w:t>
      </w:r>
      <w:r w:rsidR="00F62FDC" w:rsidRPr="00AB54FF">
        <w:t xml:space="preserve"> any value re</w:t>
      </w:r>
      <w:r w:rsidR="00F62FDC">
        <w:t xml:space="preserve">flected </w:t>
      </w:r>
      <w:r w:rsidR="00F62FDC" w:rsidRPr="00AB54FF">
        <w:t>in this way has already been factored</w:t>
      </w:r>
      <w:r w:rsidR="00F62FDC">
        <w:t xml:space="preserve"> </w:t>
      </w:r>
      <w:r w:rsidR="00F62FDC" w:rsidRPr="00AB54FF">
        <w:t xml:space="preserve">into the purchase price.  </w:t>
      </w:r>
      <w:r>
        <w:t xml:space="preserve">The new owner paid more precisely because of the urban location of the property, and its accessibility to municipal services.  </w:t>
      </w:r>
      <w:r w:rsidR="00F62FDC" w:rsidRPr="00AB54FF">
        <w:t xml:space="preserve">To make the </w:t>
      </w:r>
      <w:r w:rsidR="007348F8">
        <w:t xml:space="preserve">new owner </w:t>
      </w:r>
      <w:r w:rsidR="00F62FDC" w:rsidRPr="00AB54FF">
        <w:t>pay for t</w:t>
      </w:r>
      <w:r w:rsidR="00543AAE">
        <w:t>his value</w:t>
      </w:r>
      <w:r w:rsidR="00F62FDC" w:rsidRPr="00AB54FF">
        <w:t xml:space="preserve"> again </w:t>
      </w:r>
      <w:r w:rsidR="004A7FE8">
        <w:t xml:space="preserve">by making </w:t>
      </w:r>
      <w:r w:rsidR="00F62FDC" w:rsidRPr="00AB54FF">
        <w:t xml:space="preserve">historical debts </w:t>
      </w:r>
      <w:r w:rsidR="004A7FE8">
        <w:t xml:space="preserve">enforceable against the </w:t>
      </w:r>
      <w:r w:rsidR="007348F8">
        <w:t xml:space="preserve">transferee </w:t>
      </w:r>
      <w:r w:rsidR="00F62FDC" w:rsidRPr="00AB54FF">
        <w:t xml:space="preserve">is a form of double debit that </w:t>
      </w:r>
      <w:r w:rsidR="007B2355">
        <w:t xml:space="preserve">makes it </w:t>
      </w:r>
      <w:r w:rsidR="007348F8">
        <w:t xml:space="preserve">a </w:t>
      </w:r>
      <w:r w:rsidR="00F62FDC" w:rsidRPr="00AB54FF">
        <w:t>constitutional</w:t>
      </w:r>
      <w:r w:rsidR="007348F8">
        <w:t xml:space="preserve"> deprivation</w:t>
      </w:r>
      <w:r w:rsidR="00F62FDC" w:rsidRPr="00AB54FF">
        <w:t>.</w:t>
      </w:r>
    </w:p>
    <w:p w:rsidR="0070352B" w:rsidRDefault="0070352B">
      <w:pPr>
        <w:pStyle w:val="JUDGMENTCONTINUED"/>
      </w:pPr>
    </w:p>
    <w:p w:rsidR="00F62FDC" w:rsidRPr="00AB54FF" w:rsidRDefault="004A7FE8" w:rsidP="00F62FDC">
      <w:pPr>
        <w:pStyle w:val="JUDGMENTNUMBERED"/>
      </w:pPr>
      <w:r>
        <w:t xml:space="preserve">We must therefore conclude that, if the charge in section 118(3) survives transfer, there could be a </w:t>
      </w:r>
      <w:r w:rsidR="00F53D0E">
        <w:t xml:space="preserve">significant </w:t>
      </w:r>
      <w:r>
        <w:t>deprivation of property.</w:t>
      </w:r>
    </w:p>
    <w:p w:rsidR="0070352B" w:rsidRDefault="0070352B">
      <w:pPr>
        <w:pStyle w:val="JUDGMENTCONTINUED"/>
      </w:pPr>
    </w:p>
    <w:p w:rsidR="004678D5" w:rsidRDefault="00F62FDC" w:rsidP="00C13548">
      <w:pPr>
        <w:pStyle w:val="HEADING"/>
      </w:pPr>
      <w:r w:rsidRPr="0087516F">
        <w:lastRenderedPageBreak/>
        <w:t>Is the deprivation arbitrary?</w:t>
      </w:r>
    </w:p>
    <w:p w:rsidR="00F62FDC" w:rsidRDefault="00F62FDC" w:rsidP="00F62FDC">
      <w:pPr>
        <w:pStyle w:val="JUDGMENTNUMBERED"/>
      </w:pPr>
      <w:r w:rsidRPr="00AB54FF">
        <w:t xml:space="preserve">Two cases have considered </w:t>
      </w:r>
      <w:r w:rsidR="004A7FE8">
        <w:t xml:space="preserve">the constitutional sustainability of </w:t>
      </w:r>
      <w:r w:rsidR="007821B9">
        <w:t xml:space="preserve">imposing </w:t>
      </w:r>
      <w:r w:rsidRPr="00AB54FF">
        <w:t xml:space="preserve">statutory liability on </w:t>
      </w:r>
      <w:r>
        <w:t xml:space="preserve">a </w:t>
      </w:r>
      <w:r w:rsidRPr="00AB54FF">
        <w:t xml:space="preserve">property holder for the debts of </w:t>
      </w:r>
      <w:r>
        <w:t>another</w:t>
      </w:r>
      <w:r w:rsidRPr="00AB54FF">
        <w:t xml:space="preserve">.  They are </w:t>
      </w:r>
      <w:r w:rsidRPr="005B0DDF">
        <w:rPr>
          <w:i/>
        </w:rPr>
        <w:t>FNB</w:t>
      </w:r>
      <w:r w:rsidR="004A7FE8" w:rsidRPr="004A7FE8">
        <w:rPr>
          <w:rStyle w:val="FootnoteReference"/>
        </w:rPr>
        <w:footnoteReference w:id="114"/>
      </w:r>
      <w:r w:rsidRPr="00AB54FF">
        <w:t xml:space="preserve"> and </w:t>
      </w:r>
      <w:r w:rsidRPr="00AB54FF">
        <w:rPr>
          <w:i/>
        </w:rPr>
        <w:t>Mkontwana</w:t>
      </w:r>
      <w:r w:rsidRPr="00AB54FF">
        <w:t>.</w:t>
      </w:r>
      <w:r w:rsidR="004A7FE8">
        <w:rPr>
          <w:rStyle w:val="FootnoteReference"/>
        </w:rPr>
        <w:footnoteReference w:id="115"/>
      </w:r>
    </w:p>
    <w:p w:rsidR="004A7FE8" w:rsidRPr="00EA6DBD" w:rsidRDefault="004A7FE8">
      <w:pPr>
        <w:pStyle w:val="JUDGMENTCONTINUED"/>
      </w:pPr>
    </w:p>
    <w:p w:rsidR="00F62FDC" w:rsidRDefault="00F62FDC" w:rsidP="00F62FDC">
      <w:pPr>
        <w:pStyle w:val="JUDGMENTNUMBERED"/>
      </w:pPr>
      <w:r w:rsidRPr="00AB54FF">
        <w:t xml:space="preserve">In </w:t>
      </w:r>
      <w:r w:rsidRPr="00D940C1">
        <w:rPr>
          <w:i/>
        </w:rPr>
        <w:t>FNB</w:t>
      </w:r>
      <w:r w:rsidR="004A7FE8">
        <w:t>, a statute</w:t>
      </w:r>
      <w:r w:rsidRPr="00AB54FF">
        <w:t xml:space="preserve"> permit</w:t>
      </w:r>
      <w:r w:rsidR="004A7FE8">
        <w:t>ted</w:t>
      </w:r>
      <w:r w:rsidRPr="00AB54FF">
        <w:t xml:space="preserve"> the revenue services to impound and sell a vehicle belonging to a leasing company to recover a debt owed by the tax debtor to whom the vehicle was leased.</w:t>
      </w:r>
      <w:r w:rsidR="004A7FE8">
        <w:rPr>
          <w:rStyle w:val="FootnoteReference"/>
        </w:rPr>
        <w:footnoteReference w:id="116"/>
      </w:r>
      <w:r w:rsidRPr="00AB54FF">
        <w:t xml:space="preserve">  </w:t>
      </w:r>
      <w:r w:rsidR="004A7FE8">
        <w:t xml:space="preserve">This </w:t>
      </w:r>
      <w:r w:rsidR="004A7FE8" w:rsidRPr="00AB54FF">
        <w:t xml:space="preserve">Court concluded that </w:t>
      </w:r>
      <w:r w:rsidR="004A7FE8">
        <w:t xml:space="preserve">the provision was arbitrary.  The </w:t>
      </w:r>
      <w:r w:rsidRPr="00AB54FF">
        <w:t xml:space="preserve">end </w:t>
      </w:r>
      <w:r w:rsidR="004A7FE8">
        <w:t xml:space="preserve">the legislature </w:t>
      </w:r>
      <w:r w:rsidRPr="00AB54FF">
        <w:t xml:space="preserve">sought to </w:t>
      </w:r>
      <w:r w:rsidR="004A7FE8">
        <w:t xml:space="preserve">achieve </w:t>
      </w:r>
      <w:r w:rsidRPr="00AB54FF">
        <w:t xml:space="preserve">by </w:t>
      </w:r>
      <w:r>
        <w:t xml:space="preserve">depriving the leasing company of its </w:t>
      </w:r>
      <w:r w:rsidR="004A7FE8">
        <w:t xml:space="preserve">property was </w:t>
      </w:r>
      <w:r w:rsidRPr="00AB54FF">
        <w:t>payment of a customs debt</w:t>
      </w:r>
      <w:r w:rsidR="004A7FE8">
        <w:t>.  This</w:t>
      </w:r>
      <w:r w:rsidRPr="00AB54FF">
        <w:t xml:space="preserve">, </w:t>
      </w:r>
      <w:r w:rsidR="004A7FE8">
        <w:t>the Court held, was “</w:t>
      </w:r>
      <w:r w:rsidR="004A7FE8" w:rsidRPr="004A7FE8">
        <w:t>a legitimate governmental objective of undisputed high</w:t>
      </w:r>
      <w:r w:rsidR="004A7FE8">
        <w:t xml:space="preserve"> priority”.</w:t>
      </w:r>
      <w:r w:rsidR="004A7FE8">
        <w:rPr>
          <w:rStyle w:val="FootnoteReference"/>
        </w:rPr>
        <w:footnoteReference w:id="117"/>
      </w:r>
      <w:r w:rsidR="004A7FE8">
        <w:t xml:space="preserve">  Yet</w:t>
      </w:r>
      <w:r w:rsidRPr="00AB54FF">
        <w:t xml:space="preserve"> the </w:t>
      </w:r>
      <w:r w:rsidR="009023D9">
        <w:t>lessor</w:t>
      </w:r>
      <w:r w:rsidR="00D940C1">
        <w:t xml:space="preserve">/property owner </w:t>
      </w:r>
      <w:r w:rsidRPr="00AB54FF">
        <w:t>had no connection to the transaction giving rise to the debt; the property seized</w:t>
      </w:r>
      <w:r w:rsidR="00D940C1">
        <w:t>,</w:t>
      </w:r>
      <w:r w:rsidRPr="00AB54FF">
        <w:t xml:space="preserve"> itself</w:t>
      </w:r>
      <w:r w:rsidR="00D940C1">
        <w:t>,</w:t>
      </w:r>
      <w:r w:rsidRPr="00AB54FF">
        <w:t xml:space="preserve"> had no connection with the debt; and the </w:t>
      </w:r>
      <w:r w:rsidR="00D940C1">
        <w:t xml:space="preserve">property owner </w:t>
      </w:r>
      <w:r w:rsidRPr="00AB54FF">
        <w:t>had not placed t</w:t>
      </w:r>
      <w:r w:rsidR="009023D9">
        <w:t>he debtor/</w:t>
      </w:r>
      <w:r w:rsidR="00D940C1">
        <w:t xml:space="preserve">taxpayer </w:t>
      </w:r>
      <w:r w:rsidRPr="00AB54FF">
        <w:t>in possession of the property in a way that could</w:t>
      </w:r>
      <w:r>
        <w:t xml:space="preserve"> induce</w:t>
      </w:r>
      <w:r w:rsidRPr="00AB54FF">
        <w:t xml:space="preserve"> reliance </w:t>
      </w:r>
      <w:r w:rsidR="004E7CE5">
        <w:t xml:space="preserve">by </w:t>
      </w:r>
      <w:r w:rsidRPr="00AB54FF">
        <w:t xml:space="preserve">the revenue </w:t>
      </w:r>
      <w:r>
        <w:t>authorities t</w:t>
      </w:r>
      <w:r w:rsidRPr="00AB54FF">
        <w:t xml:space="preserve">o act to </w:t>
      </w:r>
      <w:r>
        <w:t xml:space="preserve">their </w:t>
      </w:r>
      <w:r w:rsidR="00D940C1">
        <w:t>detriment</w:t>
      </w:r>
      <w:r w:rsidRPr="00AB54FF">
        <w:t>.</w:t>
      </w:r>
      <w:r w:rsidR="00D940C1">
        <w:rPr>
          <w:rStyle w:val="FootnoteReference"/>
        </w:rPr>
        <w:footnoteReference w:id="118"/>
      </w:r>
      <w:r w:rsidRPr="00AB54FF">
        <w:t xml:space="preserve"> </w:t>
      </w:r>
      <w:r w:rsidR="00D940C1">
        <w:t xml:space="preserve"> </w:t>
      </w:r>
      <w:r>
        <w:t xml:space="preserve">The </w:t>
      </w:r>
      <w:r w:rsidR="00D940C1">
        <w:t xml:space="preserve">Court </w:t>
      </w:r>
      <w:r>
        <w:t xml:space="preserve">struck </w:t>
      </w:r>
      <w:r w:rsidR="00D940C1">
        <w:t xml:space="preserve">the provision </w:t>
      </w:r>
      <w:r>
        <w:t>down.</w:t>
      </w:r>
    </w:p>
    <w:p w:rsidR="00D940C1" w:rsidRPr="00D940C1" w:rsidRDefault="00D940C1" w:rsidP="00D940C1">
      <w:pPr>
        <w:pStyle w:val="JUDGMENTCONTINUED"/>
      </w:pPr>
    </w:p>
    <w:p w:rsidR="00F62FDC" w:rsidRDefault="00F62FDC" w:rsidP="00D940C1">
      <w:pPr>
        <w:pStyle w:val="JUDGMENTNUMBERED"/>
      </w:pPr>
      <w:r w:rsidRPr="00AB54FF">
        <w:t xml:space="preserve">In </w:t>
      </w:r>
      <w:r w:rsidRPr="00AB54FF">
        <w:rPr>
          <w:i/>
        </w:rPr>
        <w:t>Mkontwana</w:t>
      </w:r>
      <w:r w:rsidRPr="00AB54FF">
        <w:t xml:space="preserve">, by contrast, the </w:t>
      </w:r>
      <w:r w:rsidR="00D940C1">
        <w:t xml:space="preserve">companion provision to that in issue here was upheld.  </w:t>
      </w:r>
      <w:r>
        <w:t xml:space="preserve">The </w:t>
      </w:r>
      <w:r w:rsidRPr="00AB54FF">
        <w:t>question was whether the embargo section 118(1) imposed</w:t>
      </w:r>
      <w:r w:rsidR="00D940C1">
        <w:t xml:space="preserve"> against transfer to a new owner, against payment by the existing owner of two years’ preceding</w:t>
      </w:r>
      <w:r w:rsidRPr="00AB54FF">
        <w:t xml:space="preserve"> </w:t>
      </w:r>
      <w:r w:rsidR="00D940C1">
        <w:t xml:space="preserve">outstanding </w:t>
      </w:r>
      <w:r w:rsidR="000D2C23">
        <w:t xml:space="preserve">municipal </w:t>
      </w:r>
      <w:r w:rsidR="00D940C1">
        <w:t xml:space="preserve">debts, </w:t>
      </w:r>
      <w:r w:rsidRPr="00AB54FF">
        <w:t xml:space="preserve">could be justified where the accumulated debts </w:t>
      </w:r>
      <w:r>
        <w:t xml:space="preserve">were incurred by persons </w:t>
      </w:r>
      <w:r w:rsidR="00EA7EE8">
        <w:t xml:space="preserve">other </w:t>
      </w:r>
      <w:r>
        <w:t>than the owner</w:t>
      </w:r>
      <w:r w:rsidRPr="00AB54FF">
        <w:t xml:space="preserve">. </w:t>
      </w:r>
      <w:r>
        <w:t xml:space="preserve"> </w:t>
      </w:r>
      <w:r w:rsidRPr="00AB54FF">
        <w:t xml:space="preserve">This </w:t>
      </w:r>
      <w:r>
        <w:t>C</w:t>
      </w:r>
      <w:r w:rsidRPr="00AB54FF">
        <w:t>ourt held that it was.  Even though the debts might have been incurred by tenants, illegal occupiers, usufructu</w:t>
      </w:r>
      <w:r>
        <w:t>a</w:t>
      </w:r>
      <w:r w:rsidRPr="00AB54FF">
        <w:t>r</w:t>
      </w:r>
      <w:r>
        <w:t>i</w:t>
      </w:r>
      <w:r w:rsidRPr="00AB54FF">
        <w:t>es or other possessors</w:t>
      </w:r>
      <w:r>
        <w:t xml:space="preserve">, </w:t>
      </w:r>
      <w:r w:rsidRPr="00AB54FF">
        <w:t>good faith or bad faith,</w:t>
      </w:r>
      <w:r>
        <w:t xml:space="preserve"> </w:t>
      </w:r>
      <w:r w:rsidRPr="00AB54FF">
        <w:t>there remained a close link between the current owner, the propert</w:t>
      </w:r>
      <w:r w:rsidR="00D940C1">
        <w:t xml:space="preserve">y and the </w:t>
      </w:r>
      <w:proofErr w:type="spellStart"/>
      <w:r w:rsidR="00D940C1">
        <w:t>arisal</w:t>
      </w:r>
      <w:proofErr w:type="spellEnd"/>
      <w:r w:rsidR="00D940C1">
        <w:t xml:space="preserve"> of the debt.</w:t>
      </w:r>
      <w:r w:rsidR="00D940C1">
        <w:rPr>
          <w:rStyle w:val="FootnoteReference"/>
        </w:rPr>
        <w:footnoteReference w:id="119"/>
      </w:r>
    </w:p>
    <w:p w:rsidR="00505678" w:rsidRPr="00505678" w:rsidRDefault="00505678" w:rsidP="00505678">
      <w:pPr>
        <w:pStyle w:val="JUDGMENTCONTINUED"/>
      </w:pPr>
    </w:p>
    <w:p w:rsidR="00AD5D37" w:rsidRDefault="00505678" w:rsidP="00F62FDC">
      <w:pPr>
        <w:pStyle w:val="JUDGMENTNUMBERED"/>
      </w:pPr>
      <w:r>
        <w:t xml:space="preserve">A crucial consideration in the Court’s reasoning was </w:t>
      </w:r>
      <w:r w:rsidR="00DB5E44">
        <w:t xml:space="preserve">that </w:t>
      </w:r>
      <w:r w:rsidR="00F62FDC" w:rsidRPr="00AB54FF">
        <w:t>the imposition was limited to two years</w:t>
      </w:r>
      <w:r w:rsidR="00F62FDC">
        <w:t>’ debts.</w:t>
      </w:r>
      <w:r>
        <w:rPr>
          <w:rStyle w:val="FootnoteReference"/>
        </w:rPr>
        <w:footnoteReference w:id="120"/>
      </w:r>
      <w:r>
        <w:t xml:space="preserve">  </w:t>
      </w:r>
      <w:r w:rsidR="00F62FDC" w:rsidRPr="00AB54FF">
        <w:t>In section 118(3), if the municipalities</w:t>
      </w:r>
      <w:r w:rsidR="00AD5D37">
        <w:t xml:space="preserve">’ interpretation is </w:t>
      </w:r>
      <w:r w:rsidR="00F62FDC">
        <w:t>correct</w:t>
      </w:r>
      <w:r w:rsidR="00F62FDC" w:rsidRPr="00AB54FF">
        <w:t xml:space="preserve">, there </w:t>
      </w:r>
      <w:r w:rsidR="00AD5D37">
        <w:t xml:space="preserve">is </w:t>
      </w:r>
      <w:r w:rsidR="00F62FDC" w:rsidRPr="00AB54FF">
        <w:t>no time limit</w:t>
      </w:r>
      <w:r w:rsidR="00AD5D37">
        <w:t>.  The only bound is</w:t>
      </w:r>
      <w:r w:rsidR="00F62FDC" w:rsidRPr="00AB54FF">
        <w:t xml:space="preserve"> prescription</w:t>
      </w:r>
      <w:r w:rsidR="00AD5D37">
        <w:t xml:space="preserve">.  More importantly, as one who arrives fresh and </w:t>
      </w:r>
      <w:r w:rsidR="00F74BD6">
        <w:t xml:space="preserve">bare </w:t>
      </w:r>
      <w:r w:rsidR="00AD5D37">
        <w:t>of previous proprietary control over the property,</w:t>
      </w:r>
      <w:r w:rsidR="00F62FDC" w:rsidRPr="00AB54FF">
        <w:t xml:space="preserve"> the new owner will have had no control what</w:t>
      </w:r>
      <w:r w:rsidR="00EA7EE8">
        <w:t xml:space="preserve">soever </w:t>
      </w:r>
      <w:r w:rsidR="00F62FDC" w:rsidRPr="00AB54FF">
        <w:t xml:space="preserve">over </w:t>
      </w:r>
      <w:r w:rsidR="00AD5D37">
        <w:t>how the debt arose</w:t>
      </w:r>
      <w:r w:rsidR="00F62FDC" w:rsidRPr="00AB54FF">
        <w:t>.</w:t>
      </w:r>
      <w:r w:rsidR="00AD5D37">
        <w:t xml:space="preserve">  </w:t>
      </w:r>
      <w:r w:rsidR="00F62FDC" w:rsidRPr="00AB54FF">
        <w:t xml:space="preserve">This, as counsel for BASA </w:t>
      </w:r>
      <w:r w:rsidR="00AD5D37">
        <w:t>persuasively pointed out</w:t>
      </w:r>
      <w:r w:rsidR="00F62FDC" w:rsidRPr="00AB54FF">
        <w:t>, was the epitome of arbitrariness.</w:t>
      </w:r>
    </w:p>
    <w:p w:rsidR="0070352B" w:rsidRDefault="0070352B">
      <w:pPr>
        <w:pStyle w:val="JUDGMENTCONTINUED"/>
      </w:pPr>
    </w:p>
    <w:p w:rsidR="00F62FDC" w:rsidRDefault="00F62FDC" w:rsidP="00E63648">
      <w:pPr>
        <w:pStyle w:val="JUDGMENTNUMBERED"/>
      </w:pPr>
      <w:r>
        <w:t xml:space="preserve">The </w:t>
      </w:r>
      <w:r w:rsidR="00C27FB1">
        <w:t xml:space="preserve">new owner’s </w:t>
      </w:r>
      <w:r>
        <w:t xml:space="preserve">deprivation is arbitrary </w:t>
      </w:r>
      <w:r w:rsidRPr="00AB54FF">
        <w:t>in cases where the debt is much smaller</w:t>
      </w:r>
      <w:r>
        <w:t xml:space="preserve"> than the value of the property</w:t>
      </w:r>
      <w:r w:rsidRPr="00AB54FF">
        <w:t xml:space="preserve">, and even </w:t>
      </w:r>
      <w:r>
        <w:t xml:space="preserve">where it is </w:t>
      </w:r>
      <w:r w:rsidRPr="00AB54FF">
        <w:t>relatively trivial</w:t>
      </w:r>
      <w:r>
        <w:t>.</w:t>
      </w:r>
      <w:r w:rsidRPr="00AB54FF">
        <w:t xml:space="preserve"> </w:t>
      </w:r>
      <w:r w:rsidR="00AD5D37">
        <w:t xml:space="preserve"> This is because i</w:t>
      </w:r>
      <w:r w:rsidRPr="00AB54FF">
        <w:t xml:space="preserve">t </w:t>
      </w:r>
      <w:r w:rsidR="00AD5D37">
        <w:t xml:space="preserve">is intrinsically </w:t>
      </w:r>
      <w:r w:rsidRPr="00AB54FF">
        <w:t xml:space="preserve">arbitrary to impose responsibility for payment </w:t>
      </w:r>
      <w:r w:rsidR="00AD5D37">
        <w:t xml:space="preserve">of a debt </w:t>
      </w:r>
      <w:r w:rsidRPr="00AB54FF">
        <w:t xml:space="preserve">on a property owner who has no connection with it and </w:t>
      </w:r>
      <w:r>
        <w:t xml:space="preserve">who </w:t>
      </w:r>
      <w:r w:rsidRPr="00AB54FF">
        <w:t xml:space="preserve">had no control </w:t>
      </w:r>
      <w:r>
        <w:t xml:space="preserve">at all </w:t>
      </w:r>
      <w:r w:rsidRPr="00AB54FF">
        <w:t xml:space="preserve">over the property or those </w:t>
      </w:r>
      <w:r w:rsidR="00AD5D37">
        <w:t xml:space="preserve">occupying the property </w:t>
      </w:r>
      <w:r w:rsidRPr="00AB54FF">
        <w:t xml:space="preserve">when </w:t>
      </w:r>
      <w:r w:rsidR="00AD5D37">
        <w:t xml:space="preserve">the debt </w:t>
      </w:r>
      <w:r w:rsidRPr="00AB54FF">
        <w:t>was incurred.</w:t>
      </w:r>
      <w:r w:rsidR="00E63648">
        <w:t xml:space="preserve">  </w:t>
      </w:r>
      <w:r>
        <w:t xml:space="preserve">Control in this sense was integral to the reasoning </w:t>
      </w:r>
      <w:r w:rsidR="0035509C">
        <w:t xml:space="preserve">in </w:t>
      </w:r>
      <w:r w:rsidRPr="00E63648">
        <w:rPr>
          <w:i/>
        </w:rPr>
        <w:t>Mkontwana</w:t>
      </w:r>
      <w:r>
        <w:t>.</w:t>
      </w:r>
    </w:p>
    <w:p w:rsidR="00E63648" w:rsidRPr="00E63648" w:rsidRDefault="00E63648" w:rsidP="00E63648">
      <w:pPr>
        <w:pStyle w:val="JUDGMENTCONTINUED"/>
      </w:pPr>
    </w:p>
    <w:p w:rsidR="00C36317" w:rsidRDefault="00E63648" w:rsidP="00C27BE1">
      <w:pPr>
        <w:pStyle w:val="JUDGMENTNUMBERED"/>
      </w:pPr>
      <w:r>
        <w:t xml:space="preserve">This case is thus close to </w:t>
      </w:r>
      <w:r w:rsidRPr="00E63648">
        <w:rPr>
          <w:i/>
        </w:rPr>
        <w:t>FNB</w:t>
      </w:r>
      <w:r>
        <w:t xml:space="preserve">, but different from </w:t>
      </w:r>
      <w:r w:rsidRPr="00E63648">
        <w:rPr>
          <w:i/>
        </w:rPr>
        <w:t>Mkontwana</w:t>
      </w:r>
      <w:r>
        <w:t xml:space="preserve">.  The </w:t>
      </w:r>
      <w:r w:rsidR="00F62FDC" w:rsidRPr="00AB54FF">
        <w:t xml:space="preserve">imposition on a new owner of municipal property of unprescribed debts without historical limit </w:t>
      </w:r>
      <w:r>
        <w:t xml:space="preserve">would constitute </w:t>
      </w:r>
      <w:r w:rsidR="00F62FDC">
        <w:t>an</w:t>
      </w:r>
      <w:r w:rsidR="00F62FDC" w:rsidRPr="00AB54FF">
        <w:t xml:space="preserve"> arbitrary</w:t>
      </w:r>
      <w:r w:rsidR="00F62FDC">
        <w:t xml:space="preserve"> deprivation of property.</w:t>
      </w:r>
    </w:p>
    <w:p w:rsidR="0070352B" w:rsidRDefault="0070352B">
      <w:pPr>
        <w:pStyle w:val="JUDGMENTCONTINUED"/>
      </w:pPr>
    </w:p>
    <w:p w:rsidR="00AA24FB" w:rsidRDefault="00AA24FB" w:rsidP="00C27BE1">
      <w:pPr>
        <w:pStyle w:val="JUDGMENTNUMBERED"/>
      </w:pPr>
      <w:r>
        <w:t xml:space="preserve">It </w:t>
      </w:r>
      <w:r w:rsidR="00C36317">
        <w:t xml:space="preserve">may be useful </w:t>
      </w:r>
      <w:r>
        <w:t>to add that no</w:t>
      </w:r>
      <w:r w:rsidR="00C36317">
        <w:t>ne of the parties suggested that any</w:t>
      </w:r>
      <w:r>
        <w:t xml:space="preserve">thing turns on </w:t>
      </w:r>
      <w:r w:rsidR="00C36317">
        <w:t xml:space="preserve">how </w:t>
      </w:r>
      <w:r>
        <w:t>the transferee acquired title</w:t>
      </w:r>
      <w:r w:rsidR="00C36317">
        <w:t xml:space="preserve">, whether </w:t>
      </w:r>
      <w:r>
        <w:t>at a sale in execution</w:t>
      </w:r>
      <w:r w:rsidR="00C36317">
        <w:t xml:space="preserve"> or by regular deed of sale or by other means</w:t>
      </w:r>
      <w:r>
        <w:t>.</w:t>
      </w:r>
      <w:r>
        <w:rPr>
          <w:rStyle w:val="FootnoteReference"/>
        </w:rPr>
        <w:footnoteReference w:id="121"/>
      </w:r>
    </w:p>
    <w:p w:rsidR="00E63648" w:rsidRPr="00E63648" w:rsidRDefault="00E63648" w:rsidP="00E63648">
      <w:pPr>
        <w:pStyle w:val="JUDGMENTCONTINUED"/>
      </w:pPr>
    </w:p>
    <w:p w:rsidR="00F62FDC" w:rsidRDefault="00F62FDC" w:rsidP="00F62FDC">
      <w:pPr>
        <w:pStyle w:val="JUDGMENTNUMBERED"/>
      </w:pPr>
      <w:r>
        <w:t xml:space="preserve">As in </w:t>
      </w:r>
      <w:r w:rsidRPr="00E63648">
        <w:rPr>
          <w:i/>
        </w:rPr>
        <w:t>FNB</w:t>
      </w:r>
      <w:r>
        <w:t>,</w:t>
      </w:r>
      <w:r w:rsidR="00E63648">
        <w:rPr>
          <w:rStyle w:val="FootnoteReference"/>
        </w:rPr>
        <w:footnoteReference w:id="122"/>
      </w:r>
      <w:r>
        <w:t xml:space="preserve"> it seems unnecessary to enter the section 36 limitation analysis, b</w:t>
      </w:r>
      <w:r w:rsidR="00E63648">
        <w:t xml:space="preserve">ut, to the extent that it is, </w:t>
      </w:r>
      <w:r w:rsidR="004210AA">
        <w:t xml:space="preserve">it would be difficult to </w:t>
      </w:r>
      <w:r w:rsidR="005D27F5">
        <w:t xml:space="preserve">sustain </w:t>
      </w:r>
      <w:r w:rsidR="004210AA">
        <w:t>the municipalities’ interpretation of the provision</w:t>
      </w:r>
      <w:r w:rsidRPr="00AB54FF">
        <w:t>.</w:t>
      </w:r>
      <w:r w:rsidR="00E63648">
        <w:t xml:space="preserve">  In short, </w:t>
      </w:r>
      <w:r w:rsidR="004210AA">
        <w:t>if section</w:t>
      </w:r>
      <w:r w:rsidR="00FA3289">
        <w:t> </w:t>
      </w:r>
      <w:r w:rsidR="004210AA">
        <w:t>118(3) meant</w:t>
      </w:r>
      <w:r>
        <w:t xml:space="preserve"> that new owners are </w:t>
      </w:r>
      <w:r>
        <w:lastRenderedPageBreak/>
        <w:t>liable, post</w:t>
      </w:r>
      <w:r w:rsidR="009C210E">
        <w:noBreakHyphen/>
      </w:r>
      <w:r>
        <w:t xml:space="preserve">transfer, for </w:t>
      </w:r>
      <w:r w:rsidR="00E63648">
        <w:t xml:space="preserve">a </w:t>
      </w:r>
      <w:r>
        <w:t xml:space="preserve">previous owner’s debts, it would be </w:t>
      </w:r>
      <w:r w:rsidRPr="00AB54FF">
        <w:t>constitutionally impermissible</w:t>
      </w:r>
      <w:r>
        <w:t>.</w:t>
      </w:r>
    </w:p>
    <w:p w:rsidR="00E63648" w:rsidRPr="00E63648" w:rsidRDefault="00E63648" w:rsidP="00E63648">
      <w:pPr>
        <w:pStyle w:val="JUDGMENTCONTINUED"/>
      </w:pPr>
    </w:p>
    <w:p w:rsidR="00E63648" w:rsidRDefault="00F62FDC" w:rsidP="00AA51C0">
      <w:pPr>
        <w:pStyle w:val="JUDGMENTNUMBERED"/>
      </w:pPr>
      <w:r w:rsidRPr="00AB54FF">
        <w:t>Section 39(2) enjoins us</w:t>
      </w:r>
      <w:r>
        <w:t>,</w:t>
      </w:r>
      <w:r w:rsidRPr="00AB54FF">
        <w:t xml:space="preserve"> when interpreting legislation</w:t>
      </w:r>
      <w:r>
        <w:t>,</w:t>
      </w:r>
      <w:r w:rsidRPr="00AB54FF">
        <w:t xml:space="preserve"> to promote the sp</w:t>
      </w:r>
      <w:r w:rsidR="00600751">
        <w:t>i</w:t>
      </w:r>
      <w:r w:rsidRPr="00AB54FF">
        <w:t>rit</w:t>
      </w:r>
      <w:r>
        <w:t>,</w:t>
      </w:r>
      <w:r w:rsidRPr="00AB54FF">
        <w:t xml:space="preserve"> purport and object of the </w:t>
      </w:r>
      <w:r>
        <w:t>B</w:t>
      </w:r>
      <w:r w:rsidR="00E63648">
        <w:t xml:space="preserve">ill of Rights.  To </w:t>
      </w:r>
      <w:r w:rsidRPr="00AB54FF">
        <w:t xml:space="preserve">avoid </w:t>
      </w:r>
      <w:r>
        <w:t xml:space="preserve">unjustified </w:t>
      </w:r>
      <w:r w:rsidRPr="00AB54FF">
        <w:t xml:space="preserve">arbitrariness </w:t>
      </w:r>
      <w:r>
        <w:t xml:space="preserve">in </w:t>
      </w:r>
      <w:r w:rsidR="00C36317">
        <w:t>viola</w:t>
      </w:r>
      <w:r>
        <w:t xml:space="preserve">tion of </w:t>
      </w:r>
      <w:r w:rsidR="009023D9">
        <w:t xml:space="preserve">section </w:t>
      </w:r>
      <w:r w:rsidRPr="00AB54FF">
        <w:t xml:space="preserve">25(1) of the Bill of Rights, we must </w:t>
      </w:r>
      <w:r w:rsidR="00C36317">
        <w:t xml:space="preserve">thus </w:t>
      </w:r>
      <w:r w:rsidRPr="00AB54FF">
        <w:t xml:space="preserve">interpret section 118(3) </w:t>
      </w:r>
      <w:r w:rsidR="009023D9">
        <w:t xml:space="preserve">of the Act </w:t>
      </w:r>
      <w:r w:rsidRPr="00AB54FF">
        <w:t xml:space="preserve">so that the charge it imposes does not survive transfer.  </w:t>
      </w:r>
      <w:r w:rsidR="00C36317">
        <w:t>Far from t</w:t>
      </w:r>
      <w:r w:rsidR="00E63648">
        <w:t xml:space="preserve">he </w:t>
      </w:r>
      <w:r w:rsidRPr="00AB54FF">
        <w:t xml:space="preserve">provision </w:t>
      </w:r>
      <w:r w:rsidR="00C36317">
        <w:t xml:space="preserve">being </w:t>
      </w:r>
      <w:r w:rsidR="005D27F5">
        <w:t xml:space="preserve">merely </w:t>
      </w:r>
      <w:r w:rsidRPr="00AB54FF">
        <w:t xml:space="preserve">capable of </w:t>
      </w:r>
      <w:r>
        <w:t xml:space="preserve">this </w:t>
      </w:r>
      <w:r w:rsidRPr="00AB54FF">
        <w:t>interpretation</w:t>
      </w:r>
      <w:r>
        <w:t>,</w:t>
      </w:r>
      <w:r w:rsidRPr="00AB54FF">
        <w:t xml:space="preserve"> </w:t>
      </w:r>
      <w:r w:rsidR="00E63648">
        <w:t xml:space="preserve">it is from historical, linguistic and common law perspectives the overwhelmingly </w:t>
      </w:r>
      <w:r w:rsidR="00C36317">
        <w:t xml:space="preserve">persuasive </w:t>
      </w:r>
      <w:r w:rsidR="00E63648">
        <w:t>interpretation.</w:t>
      </w:r>
      <w:r w:rsidR="00E63648">
        <w:rPr>
          <w:rStyle w:val="FootnoteReference"/>
        </w:rPr>
        <w:footnoteReference w:id="123"/>
      </w:r>
    </w:p>
    <w:p w:rsidR="0070352B" w:rsidRDefault="0070352B">
      <w:pPr>
        <w:pStyle w:val="JUDGMENTCONTINUED"/>
      </w:pPr>
    </w:p>
    <w:p w:rsidR="00F62FDC" w:rsidRDefault="008F1377" w:rsidP="00F62FDC">
      <w:pPr>
        <w:pStyle w:val="JUDGMENTNUMBERED"/>
      </w:pPr>
      <w:r>
        <w:t xml:space="preserve">It follows that, because the provision can properly and reasonably be interpreted without constitutional objection, it is not necessary to </w:t>
      </w:r>
      <w:r w:rsidR="00F62FDC" w:rsidRPr="00AB54FF">
        <w:t xml:space="preserve">confirm the </w:t>
      </w:r>
      <w:r w:rsidR="00FA3289" w:rsidRPr="00AB54FF">
        <w:t>High</w:t>
      </w:r>
      <w:r w:rsidR="00FA3289">
        <w:t> </w:t>
      </w:r>
      <w:r w:rsidR="00F62FDC" w:rsidRPr="00AB54FF">
        <w:t>Court’s declaration</w:t>
      </w:r>
      <w:r w:rsidR="00F62FDC">
        <w:t xml:space="preserve"> of invalidity</w:t>
      </w:r>
      <w:r w:rsidR="00F62FDC" w:rsidRPr="00AB54FF">
        <w:t>.</w:t>
      </w:r>
      <w:r>
        <w:t xml:space="preserve">  </w:t>
      </w:r>
      <w:r w:rsidR="00735D3D">
        <w:t xml:space="preserve">This means that, purely as a matter of form, the appeal must succeed, though not for the reasons the appellants advanced.  </w:t>
      </w:r>
      <w:r w:rsidR="003E093A">
        <w:t>In fact, the reasons that led the High Court to conclude that the provision was invalid are substantially vindicated in this judgement.  To make this clear</w:t>
      </w:r>
      <w:r>
        <w:t xml:space="preserve">, </w:t>
      </w:r>
      <w:r w:rsidR="00F62FDC" w:rsidRPr="00AB54FF">
        <w:t>I would</w:t>
      </w:r>
      <w:r w:rsidR="00F62FDC">
        <w:t xml:space="preserve"> grant</w:t>
      </w:r>
      <w:r w:rsidR="003E093A">
        <w:t xml:space="preserve"> a</w:t>
      </w:r>
      <w:r w:rsidR="00F62FDC">
        <w:t xml:space="preserve"> </w:t>
      </w:r>
      <w:r w:rsidR="00F62FDC" w:rsidRPr="00AB54FF">
        <w:t>declaration that the charge does not survive transfer.</w:t>
      </w:r>
    </w:p>
    <w:p w:rsidR="008F1377" w:rsidRPr="00284220" w:rsidRDefault="008F1377">
      <w:pPr>
        <w:pStyle w:val="JUDGMENTCONTINUED"/>
      </w:pPr>
    </w:p>
    <w:p w:rsidR="0070352B" w:rsidRDefault="008F1377">
      <w:pPr>
        <w:pStyle w:val="HEADING"/>
      </w:pPr>
      <w:r>
        <w:t>Costs</w:t>
      </w:r>
    </w:p>
    <w:p w:rsidR="00C36317" w:rsidRDefault="00C36317" w:rsidP="00AA24FB">
      <w:pPr>
        <w:pStyle w:val="JUDGMENTNUMBERED"/>
      </w:pPr>
      <w:r>
        <w:t>In form, this Court must thus decline to confirm the High Court’s declaration of constitutional invalidity</w:t>
      </w:r>
      <w:r w:rsidR="00735D3D">
        <w:t xml:space="preserve"> and thus allow the municipalities’ appeal</w:t>
      </w:r>
      <w:r>
        <w:t xml:space="preserve">.  In substance, however, the confirmation applicants have won, because the interpretation of the provision that favours them </w:t>
      </w:r>
      <w:r w:rsidR="00A11B89">
        <w:t xml:space="preserve">(and whose opposite would render the provision constitutionally invalid) </w:t>
      </w:r>
      <w:r>
        <w:t>has prevailed.  They are therefore entitled to their costs.</w:t>
      </w:r>
    </w:p>
    <w:p w:rsidR="0070352B" w:rsidRDefault="0070352B">
      <w:pPr>
        <w:pStyle w:val="JUDGMENTCONTINUED"/>
      </w:pPr>
    </w:p>
    <w:p w:rsidR="00EC5D99" w:rsidRDefault="00F62FDC" w:rsidP="00AA24FB">
      <w:pPr>
        <w:pStyle w:val="JUDGMENTNUMBERED"/>
      </w:pPr>
      <w:r>
        <w:t xml:space="preserve">I </w:t>
      </w:r>
      <w:r w:rsidRPr="00AB54FF">
        <w:t>would not grant the confirmation applicants the costs</w:t>
      </w:r>
      <w:r w:rsidR="0024534D">
        <w:t xml:space="preserve"> of</w:t>
      </w:r>
      <w:r w:rsidRPr="00AB54FF">
        <w:t xml:space="preserve"> </w:t>
      </w:r>
      <w:r>
        <w:t xml:space="preserve">four </w:t>
      </w:r>
      <w:r w:rsidRPr="00AB54FF">
        <w:t>counsel</w:t>
      </w:r>
      <w:r>
        <w:t>, as sought</w:t>
      </w:r>
      <w:r w:rsidRPr="00AB54FF">
        <w:t>.</w:t>
      </w:r>
      <w:r w:rsidR="00C36317">
        <w:t xml:space="preserve">  </w:t>
      </w:r>
      <w:r w:rsidR="009C0958">
        <w:t>T</w:t>
      </w:r>
      <w:r w:rsidR="00C36317">
        <w:t xml:space="preserve">hey </w:t>
      </w:r>
      <w:r w:rsidR="00AA24FB">
        <w:t xml:space="preserve">are entitled to </w:t>
      </w:r>
      <w:r w:rsidRPr="00AB54FF">
        <w:t xml:space="preserve">the costs of </w:t>
      </w:r>
      <w:r w:rsidR="009C0958">
        <w:t xml:space="preserve">two </w:t>
      </w:r>
      <w:r w:rsidRPr="00AB54FF">
        <w:t>counsel</w:t>
      </w:r>
      <w:r w:rsidR="00AA24FB">
        <w:t>.</w:t>
      </w:r>
    </w:p>
    <w:p w:rsidR="0070352B" w:rsidRDefault="0070352B">
      <w:pPr>
        <w:pStyle w:val="JUDGMENTCONTINUED"/>
      </w:pPr>
    </w:p>
    <w:p w:rsidR="00860C4E" w:rsidRPr="00BE700A" w:rsidRDefault="00860C4E" w:rsidP="00937742">
      <w:pPr>
        <w:pStyle w:val="HEADING"/>
      </w:pPr>
      <w:r w:rsidRPr="00BE700A">
        <w:lastRenderedPageBreak/>
        <w:t>Order</w:t>
      </w:r>
    </w:p>
    <w:p w:rsidR="00860C4E" w:rsidRPr="009C3888" w:rsidRDefault="00860C4E" w:rsidP="000C38CF">
      <w:pPr>
        <w:pStyle w:val="JUDGMENTNUMBERED"/>
      </w:pPr>
      <w:r w:rsidRPr="009C3888">
        <w:t>The following order is made:</w:t>
      </w:r>
    </w:p>
    <w:p w:rsidR="00A7784B" w:rsidRDefault="00FD362A">
      <w:pPr>
        <w:pStyle w:val="ORDER"/>
        <w:numPr>
          <w:ilvl w:val="0"/>
          <w:numId w:val="34"/>
        </w:numPr>
      </w:pPr>
      <w:r>
        <w:t xml:space="preserve">The appeals </w:t>
      </w:r>
      <w:r w:rsidR="00616125">
        <w:t>succeed</w:t>
      </w:r>
      <w:r>
        <w:t>.</w:t>
      </w:r>
    </w:p>
    <w:p w:rsidR="00A7784B" w:rsidRDefault="00625FD5">
      <w:pPr>
        <w:pStyle w:val="ORDER"/>
        <w:numPr>
          <w:ilvl w:val="0"/>
          <w:numId w:val="34"/>
        </w:numPr>
      </w:pPr>
      <w:r>
        <w:t>The order of invalidity is not confirmed.</w:t>
      </w:r>
    </w:p>
    <w:p w:rsidR="00A7784B" w:rsidRDefault="00625FD5">
      <w:pPr>
        <w:pStyle w:val="ORDER"/>
        <w:numPr>
          <w:ilvl w:val="0"/>
          <w:numId w:val="34"/>
        </w:numPr>
      </w:pPr>
      <w:r>
        <w:t>It is declared that</w:t>
      </w:r>
      <w:r w:rsidR="004F160A">
        <w:t xml:space="preserve">, </w:t>
      </w:r>
      <w:r w:rsidR="000B701A">
        <w:t xml:space="preserve">upon transfer of </w:t>
      </w:r>
      <w:r w:rsidR="004F160A">
        <w:t>a property,</w:t>
      </w:r>
      <w:r>
        <w:t xml:space="preserve"> </w:t>
      </w:r>
      <w:r w:rsidR="000B701A">
        <w:t xml:space="preserve">a </w:t>
      </w:r>
      <w:r w:rsidR="005F393F">
        <w:t xml:space="preserve">new owner is not liable for debts arising </w:t>
      </w:r>
      <w:r w:rsidR="00774EC4">
        <w:t xml:space="preserve">before transfer </w:t>
      </w:r>
      <w:r w:rsidR="005F393F">
        <w:t xml:space="preserve">from </w:t>
      </w:r>
      <w:r>
        <w:t xml:space="preserve">the charge </w:t>
      </w:r>
      <w:r w:rsidR="008249E3">
        <w:t xml:space="preserve">upon the property </w:t>
      </w:r>
      <w:r w:rsidR="005F393F">
        <w:t xml:space="preserve">under </w:t>
      </w:r>
      <w:r>
        <w:t xml:space="preserve">section 118(3) of the Local Government: Municipal Systems Act </w:t>
      </w:r>
      <w:r w:rsidR="00FD362A">
        <w:t>32 of 2000.</w:t>
      </w:r>
    </w:p>
    <w:p w:rsidR="00A7784B" w:rsidRDefault="00FD362A">
      <w:pPr>
        <w:pStyle w:val="ORDER"/>
        <w:numPr>
          <w:ilvl w:val="0"/>
          <w:numId w:val="34"/>
        </w:numPr>
      </w:pPr>
      <w:r>
        <w:t xml:space="preserve">The appellants in the appeals and the Minister are to pay the applicants’ costs, including the costs of </w:t>
      </w:r>
      <w:r w:rsidR="00F368DF">
        <w:t xml:space="preserve">two </w:t>
      </w:r>
      <w:r>
        <w:t>counsel.</w:t>
      </w:r>
    </w:p>
    <w:p w:rsidR="00800726" w:rsidRDefault="00800726" w:rsidP="00800726">
      <w:pPr>
        <w:pStyle w:val="ORDER"/>
        <w:ind w:left="720" w:firstLine="0"/>
      </w:pPr>
    </w:p>
    <w:p w:rsidR="00CE5F9F" w:rsidRPr="00CE5F9F" w:rsidRDefault="00CE5F9F" w:rsidP="000C38CF">
      <w:pPr>
        <w:pStyle w:val="JUDGMENTCONTINUED"/>
        <w:sectPr w:rsidR="00CE5F9F" w:rsidRPr="00CE5F9F" w:rsidSect="000F7521">
          <w:headerReference w:type="default" r:id="rId16"/>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7"/>
          <w:footerReference w:type="default" r:id="rId18"/>
          <w:pgSz w:w="11907" w:h="16839" w:code="9"/>
          <w:pgMar w:top="1440" w:right="1440" w:bottom="1440" w:left="1440" w:header="708" w:footer="708" w:gutter="0"/>
          <w:pgNumType w:start="1"/>
          <w:cols w:space="708"/>
          <w:docGrid w:linePitch="360"/>
        </w:sectPr>
      </w:pPr>
    </w:p>
    <w:p w:rsidR="00086B5B" w:rsidRPr="009C3888" w:rsidRDefault="002E52A0" w:rsidP="00086B5B">
      <w:pPr>
        <w:pStyle w:val="COUNSELDETAILS"/>
      </w:pPr>
      <w:r>
        <w:lastRenderedPageBreak/>
        <w:t xml:space="preserve">For </w:t>
      </w:r>
      <w:r w:rsidR="00086B5B">
        <w:t>Jordaan and Others (applicants in CCT 283/16</w:t>
      </w:r>
      <w:r w:rsidR="009023D9">
        <w:t xml:space="preserve"> and</w:t>
      </w:r>
      <w:r w:rsidR="00086B5B">
        <w:t xml:space="preserve"> </w:t>
      </w:r>
      <w:r w:rsidR="00086B5B" w:rsidRPr="00756143">
        <w:t>respondents in CCT 293/16</w:t>
      </w:r>
      <w:r w:rsidR="00086B5B">
        <w:t>)</w:t>
      </w:r>
      <w:r w:rsidR="00086B5B" w:rsidRPr="009C3888">
        <w:t>:</w:t>
      </w:r>
    </w:p>
    <w:p w:rsidR="00086B5B" w:rsidRPr="009C3888" w:rsidRDefault="00086B5B" w:rsidP="00086B5B">
      <w:pPr>
        <w:pStyle w:val="COUNSELDETAILS"/>
      </w:pPr>
    </w:p>
    <w:p w:rsidR="00086B5B" w:rsidRPr="009C3888" w:rsidRDefault="00086B5B" w:rsidP="00086B5B">
      <w:pPr>
        <w:pStyle w:val="COUNSELDETAILS"/>
      </w:pPr>
    </w:p>
    <w:p w:rsidR="00086B5B" w:rsidRPr="009C3888" w:rsidRDefault="002E52A0" w:rsidP="00086B5B">
      <w:pPr>
        <w:pStyle w:val="COUNSELDETAILS"/>
      </w:pPr>
      <w:r>
        <w:t xml:space="preserve">For </w:t>
      </w:r>
      <w:r w:rsidR="00086B5B">
        <w:t>City of Tshwane Metropolitan Municipality (fi</w:t>
      </w:r>
      <w:r w:rsidR="00086B5B" w:rsidRPr="00756143">
        <w:t>rst respondent in CCT</w:t>
      </w:r>
      <w:r w:rsidR="0097118E">
        <w:t> </w:t>
      </w:r>
      <w:r w:rsidR="00086B5B" w:rsidRPr="00756143">
        <w:t>283/16 and applicant in CCT 293/16</w:t>
      </w:r>
      <w:r w:rsidR="00086B5B">
        <w:t>)</w:t>
      </w:r>
      <w:r w:rsidR="00086B5B" w:rsidRPr="009C3888">
        <w:t>:</w:t>
      </w:r>
    </w:p>
    <w:p w:rsidR="00086B5B" w:rsidRPr="009C3888" w:rsidRDefault="00086B5B" w:rsidP="00086B5B">
      <w:pPr>
        <w:pStyle w:val="COUNSELDETAILS"/>
      </w:pPr>
    </w:p>
    <w:p w:rsidR="00086B5B" w:rsidRPr="009C3888" w:rsidRDefault="00086B5B" w:rsidP="00086B5B">
      <w:pPr>
        <w:pStyle w:val="COUNSELDETAILS"/>
      </w:pPr>
    </w:p>
    <w:p w:rsidR="00086B5B" w:rsidRPr="009C3888" w:rsidRDefault="00086B5B" w:rsidP="00086B5B">
      <w:pPr>
        <w:pStyle w:val="COUNSELDETAILS"/>
      </w:pPr>
      <w:r w:rsidRPr="009C3888">
        <w:t xml:space="preserve">For </w:t>
      </w:r>
      <w:r>
        <w:t>Ekurhuleni Metropolitan Municipality (second</w:t>
      </w:r>
      <w:r w:rsidRPr="00756143">
        <w:t xml:space="preserve"> respondent in CCT 283/16 and applicant in CCT</w:t>
      </w:r>
      <w:r w:rsidR="0097118E">
        <w:t> </w:t>
      </w:r>
      <w:r w:rsidRPr="00756143">
        <w:t>29</w:t>
      </w:r>
      <w:r>
        <w:t>4</w:t>
      </w:r>
      <w:r w:rsidRPr="00756143">
        <w:t>/16</w:t>
      </w:r>
      <w:r>
        <w:t>)</w:t>
      </w:r>
      <w:r w:rsidRPr="009C3888">
        <w:t>:</w:t>
      </w:r>
    </w:p>
    <w:p w:rsidR="00086B5B" w:rsidRPr="009C3888" w:rsidRDefault="00086B5B" w:rsidP="00086B5B">
      <w:pPr>
        <w:pStyle w:val="COUNSELDETAILS"/>
      </w:pPr>
    </w:p>
    <w:p w:rsidR="00086B5B" w:rsidRDefault="00086B5B" w:rsidP="00086B5B">
      <w:pPr>
        <w:pStyle w:val="COUNSELDETAILS"/>
      </w:pPr>
    </w:p>
    <w:p w:rsidR="00086B5B" w:rsidRDefault="002E52A0" w:rsidP="00086B5B">
      <w:pPr>
        <w:pStyle w:val="COUNSELDETAILS"/>
      </w:pPr>
      <w:r>
        <w:t xml:space="preserve">For </w:t>
      </w:r>
      <w:r w:rsidR="00086B5B" w:rsidRPr="00C000CE">
        <w:t>Minister of Cooperative Governance and Traditional Affairs</w:t>
      </w:r>
      <w:r w:rsidR="00086B5B">
        <w:t xml:space="preserve"> (third</w:t>
      </w:r>
      <w:r w:rsidR="00086B5B" w:rsidRPr="00756143">
        <w:t xml:space="preserve"> respondent in CCT 283/16</w:t>
      </w:r>
      <w:r w:rsidR="00086B5B">
        <w:t>):</w:t>
      </w:r>
    </w:p>
    <w:p w:rsidR="00086B5B" w:rsidRDefault="00086B5B" w:rsidP="00086B5B">
      <w:pPr>
        <w:pStyle w:val="COUNSELDETAILS"/>
      </w:pPr>
    </w:p>
    <w:p w:rsidR="00086B5B" w:rsidRPr="009C3888" w:rsidRDefault="00086B5B" w:rsidP="00086B5B">
      <w:pPr>
        <w:pStyle w:val="COUNSELDETAILS"/>
      </w:pPr>
    </w:p>
    <w:p w:rsidR="00086B5B" w:rsidRDefault="00086B5B" w:rsidP="00086B5B">
      <w:pPr>
        <w:pStyle w:val="COUNSELDETAILS"/>
      </w:pPr>
      <w:r w:rsidRPr="009C3888">
        <w:t xml:space="preserve">For </w:t>
      </w:r>
      <w:r w:rsidR="00800726">
        <w:t>TUHF</w:t>
      </w:r>
      <w:r w:rsidR="00800726" w:rsidRPr="009C3888">
        <w:t xml:space="preserve"> </w:t>
      </w:r>
      <w:r w:rsidR="009023D9">
        <w:t xml:space="preserve">Limited </w:t>
      </w:r>
      <w:r w:rsidR="00800726">
        <w:t>(</w:t>
      </w:r>
      <w:r w:rsidR="009023D9">
        <w:t>f</w:t>
      </w:r>
      <w:r>
        <w:t>irst</w:t>
      </w:r>
      <w:r w:rsidRPr="009C3888">
        <w:t xml:space="preserve"> </w:t>
      </w:r>
      <w:r w:rsidR="009023D9">
        <w:t>amicus c</w:t>
      </w:r>
      <w:r w:rsidRPr="009C3888">
        <w:t>uriae</w:t>
      </w:r>
      <w:r w:rsidR="00800726">
        <w:t>)</w:t>
      </w:r>
      <w:r w:rsidRPr="009C3888">
        <w:t>:</w:t>
      </w:r>
      <w:r>
        <w:tab/>
      </w:r>
    </w:p>
    <w:p w:rsidR="00086B5B" w:rsidRDefault="00086B5B" w:rsidP="00086B5B">
      <w:pPr>
        <w:pStyle w:val="COUNSELDETAILS"/>
      </w:pPr>
    </w:p>
    <w:p w:rsidR="00086B5B" w:rsidRDefault="00086B5B" w:rsidP="00086B5B">
      <w:pPr>
        <w:pStyle w:val="COUNSELDETAILS"/>
      </w:pPr>
    </w:p>
    <w:p w:rsidR="00086B5B" w:rsidRDefault="00086B5B" w:rsidP="00086B5B">
      <w:pPr>
        <w:pStyle w:val="COUNSELDETAILS"/>
      </w:pPr>
      <w:r>
        <w:t xml:space="preserve">For </w:t>
      </w:r>
      <w:r w:rsidR="00800726">
        <w:t>Banking Association South Africa (</w:t>
      </w:r>
      <w:r w:rsidR="009023D9">
        <w:t>s</w:t>
      </w:r>
      <w:r>
        <w:t xml:space="preserve">econd </w:t>
      </w:r>
      <w:r w:rsidR="009023D9">
        <w:t>a</w:t>
      </w:r>
      <w:r>
        <w:t xml:space="preserve">micus </w:t>
      </w:r>
      <w:r w:rsidR="009023D9">
        <w:t>c</w:t>
      </w:r>
      <w:r>
        <w:t>uriae</w:t>
      </w:r>
      <w:r w:rsidR="00800726">
        <w:t>)</w:t>
      </w:r>
      <w:r>
        <w:t>:</w:t>
      </w:r>
    </w:p>
    <w:p w:rsidR="00086B5B" w:rsidRDefault="00086B5B" w:rsidP="00086B5B">
      <w:pPr>
        <w:pStyle w:val="COUNSELDETAILS"/>
      </w:pPr>
    </w:p>
    <w:p w:rsidR="00086B5B" w:rsidRDefault="00086B5B" w:rsidP="00086B5B">
      <w:pPr>
        <w:pStyle w:val="COUNSELDETAILS"/>
      </w:pPr>
    </w:p>
    <w:p w:rsidR="00086B5B" w:rsidRDefault="00086B5B" w:rsidP="00086B5B">
      <w:pPr>
        <w:pStyle w:val="COUNSELDETAILS"/>
      </w:pPr>
      <w:r>
        <w:t xml:space="preserve">For </w:t>
      </w:r>
      <w:r w:rsidR="00800726">
        <w:t>eThekw</w:t>
      </w:r>
      <w:r w:rsidR="009023D9">
        <w:t>ini Metropolitan Municipality (t</w:t>
      </w:r>
      <w:r w:rsidR="00800726">
        <w:t xml:space="preserve">hird </w:t>
      </w:r>
      <w:r w:rsidR="009023D9">
        <w:t>a</w:t>
      </w:r>
      <w:r w:rsidR="00800726">
        <w:t xml:space="preserve">micus </w:t>
      </w:r>
      <w:r w:rsidR="009023D9">
        <w:t>c</w:t>
      </w:r>
      <w:r w:rsidR="00800726">
        <w:t>uriae)</w:t>
      </w:r>
      <w:r>
        <w:t>:</w:t>
      </w:r>
    </w:p>
    <w:p w:rsidR="00086B5B" w:rsidRDefault="00086B5B" w:rsidP="00086B5B">
      <w:pPr>
        <w:pStyle w:val="COUNSELDETAILS"/>
      </w:pPr>
    </w:p>
    <w:p w:rsidR="00086B5B" w:rsidRDefault="00086B5B" w:rsidP="00086B5B">
      <w:pPr>
        <w:pStyle w:val="COUNSELDETAILS"/>
      </w:pPr>
    </w:p>
    <w:p w:rsidR="00086B5B" w:rsidRPr="009C3888" w:rsidRDefault="00086B5B" w:rsidP="00086B5B">
      <w:pPr>
        <w:pStyle w:val="COUNSELDETAILS"/>
      </w:pPr>
      <w:r w:rsidRPr="009C3888">
        <w:br w:type="column"/>
      </w:r>
      <w:r>
        <w:lastRenderedPageBreak/>
        <w:t xml:space="preserve">D Unterhalter SC, </w:t>
      </w:r>
      <w:r w:rsidRPr="00094E20">
        <w:t>L</w:t>
      </w:r>
      <w:r w:rsidR="0097118E">
        <w:t xml:space="preserve"> </w:t>
      </w:r>
      <w:r w:rsidRPr="00094E20">
        <w:t>G</w:t>
      </w:r>
      <w:r w:rsidR="0097118E">
        <w:t xml:space="preserve"> </w:t>
      </w:r>
      <w:r w:rsidRPr="00094E20">
        <w:t>F Putter SC</w:t>
      </w:r>
      <w:r>
        <w:t>, H</w:t>
      </w:r>
      <w:r w:rsidR="002E52A0">
        <w:t> </w:t>
      </w:r>
      <w:r>
        <w:t>Varney</w:t>
      </w:r>
      <w:r w:rsidRPr="009C3888">
        <w:t xml:space="preserve"> and </w:t>
      </w:r>
      <w:r>
        <w:t>S Ogunronbi instructed by Ross Attorneys</w:t>
      </w:r>
    </w:p>
    <w:p w:rsidR="00086B5B" w:rsidRPr="009C3888" w:rsidRDefault="00086B5B" w:rsidP="00086B5B">
      <w:pPr>
        <w:pStyle w:val="COUNSELDETAILS"/>
      </w:pPr>
    </w:p>
    <w:p w:rsidR="00086B5B" w:rsidRDefault="00086B5B" w:rsidP="00086B5B">
      <w:pPr>
        <w:pStyle w:val="COUNSELDETAILS"/>
      </w:pPr>
    </w:p>
    <w:p w:rsidR="00086B5B" w:rsidRPr="00C000CE" w:rsidRDefault="00086B5B" w:rsidP="00086B5B">
      <w:pPr>
        <w:pStyle w:val="COUNSELDETAILS"/>
      </w:pPr>
      <w:r>
        <w:t>T Motau SC, A Vorster, S Scott and I </w:t>
      </w:r>
      <w:proofErr w:type="spellStart"/>
      <w:r>
        <w:t>Phalane</w:t>
      </w:r>
      <w:proofErr w:type="spellEnd"/>
      <w:r w:rsidRPr="009C3888">
        <w:t xml:space="preserve"> instructed by </w:t>
      </w:r>
      <w:proofErr w:type="spellStart"/>
      <w:r w:rsidRPr="00C000CE">
        <w:t>Gildenhuys</w:t>
      </w:r>
      <w:proofErr w:type="spellEnd"/>
      <w:r w:rsidRPr="00C000CE">
        <w:t xml:space="preserve"> </w:t>
      </w:r>
      <w:proofErr w:type="spellStart"/>
      <w:r w:rsidRPr="00C000CE">
        <w:t>Malatji</w:t>
      </w:r>
      <w:proofErr w:type="spellEnd"/>
      <w:r w:rsidRPr="00C000CE">
        <w:t xml:space="preserve"> </w:t>
      </w:r>
      <w:proofErr w:type="spellStart"/>
      <w:r w:rsidRPr="00C000CE">
        <w:t>Inc</w:t>
      </w:r>
      <w:proofErr w:type="spellEnd"/>
    </w:p>
    <w:p w:rsidR="00086B5B" w:rsidRPr="009C3888" w:rsidRDefault="00086B5B" w:rsidP="00086B5B">
      <w:pPr>
        <w:pStyle w:val="COUNSELDETAILS"/>
      </w:pPr>
    </w:p>
    <w:p w:rsidR="00086B5B" w:rsidRDefault="00086B5B" w:rsidP="00086B5B">
      <w:pPr>
        <w:pStyle w:val="COUNSELDETAILS"/>
      </w:pPr>
    </w:p>
    <w:p w:rsidR="00EB15BE" w:rsidRDefault="00EB15BE" w:rsidP="00086B5B">
      <w:pPr>
        <w:pStyle w:val="COUNSELDETAILS"/>
      </w:pPr>
    </w:p>
    <w:p w:rsidR="00086B5B" w:rsidRPr="00C000CE" w:rsidRDefault="00086B5B" w:rsidP="00086B5B">
      <w:pPr>
        <w:pStyle w:val="COUNSELDETAILS"/>
      </w:pPr>
      <w:r>
        <w:t xml:space="preserve">W J </w:t>
      </w:r>
      <w:proofErr w:type="spellStart"/>
      <w:r>
        <w:t>Vermeulen</w:t>
      </w:r>
      <w:proofErr w:type="spellEnd"/>
      <w:r>
        <w:t xml:space="preserve"> SC</w:t>
      </w:r>
      <w:r w:rsidRPr="009C3888">
        <w:t xml:space="preserve"> and </w:t>
      </w:r>
      <w:r>
        <w:t>P Sieberhagen</w:t>
      </w:r>
      <w:r w:rsidRPr="009C3888">
        <w:t xml:space="preserve"> instructed by </w:t>
      </w:r>
      <w:r w:rsidRPr="00C000CE">
        <w:t>Chiba &amp; Tourapi Attorneys</w:t>
      </w:r>
    </w:p>
    <w:p w:rsidR="00086B5B" w:rsidRDefault="00086B5B" w:rsidP="00086B5B">
      <w:pPr>
        <w:pStyle w:val="COUNSELDETAILS"/>
      </w:pPr>
    </w:p>
    <w:p w:rsidR="00086B5B" w:rsidRPr="009C3888" w:rsidRDefault="00086B5B" w:rsidP="00086B5B">
      <w:pPr>
        <w:pStyle w:val="COUNSELDETAILS"/>
      </w:pPr>
    </w:p>
    <w:p w:rsidR="00086B5B" w:rsidRDefault="00086B5B" w:rsidP="00086B5B">
      <w:pPr>
        <w:pStyle w:val="COUNSELDETAILS"/>
      </w:pPr>
    </w:p>
    <w:p w:rsidR="00086B5B" w:rsidRDefault="00086B5B" w:rsidP="00086B5B">
      <w:pPr>
        <w:pStyle w:val="COUNSELDETAILS"/>
      </w:pPr>
      <w:r>
        <w:t>L Montsho-Moloisane SC,</w:t>
      </w:r>
      <w:r w:rsidRPr="00C000CE">
        <w:t xml:space="preserve"> </w:t>
      </w:r>
      <w:r>
        <w:t>L Bomela</w:t>
      </w:r>
      <w:r w:rsidRPr="009C3888">
        <w:t xml:space="preserve"> and </w:t>
      </w:r>
      <w:r>
        <w:t>K Bokaba</w:t>
      </w:r>
      <w:r w:rsidRPr="009C3888">
        <w:t xml:space="preserve"> instructed by </w:t>
      </w:r>
      <w:r w:rsidRPr="00C000CE">
        <w:t>State Attorney, Pretoria</w:t>
      </w:r>
    </w:p>
    <w:p w:rsidR="00086B5B" w:rsidRDefault="00086B5B" w:rsidP="00086B5B">
      <w:pPr>
        <w:pStyle w:val="COUNSELDETAILS"/>
      </w:pPr>
    </w:p>
    <w:p w:rsidR="00086B5B" w:rsidRDefault="00086B5B" w:rsidP="00086B5B">
      <w:pPr>
        <w:pStyle w:val="COUNSELDETAILS"/>
      </w:pPr>
    </w:p>
    <w:p w:rsidR="00086B5B" w:rsidRDefault="00086B5B" w:rsidP="00086B5B">
      <w:pPr>
        <w:pStyle w:val="COUNSELDETAILS"/>
      </w:pPr>
      <w:r>
        <w:t xml:space="preserve">I </w:t>
      </w:r>
      <w:proofErr w:type="spellStart"/>
      <w:r>
        <w:t>Miltz</w:t>
      </w:r>
      <w:proofErr w:type="spellEnd"/>
      <w:r>
        <w:t xml:space="preserve"> SC and J J Bitter instructed by </w:t>
      </w:r>
      <w:r w:rsidRPr="00C000CE">
        <w:t>Schindlers Attorneys</w:t>
      </w:r>
    </w:p>
    <w:p w:rsidR="00086B5B" w:rsidRDefault="00086B5B" w:rsidP="00086B5B">
      <w:pPr>
        <w:pStyle w:val="COUNSELDETAILS"/>
      </w:pPr>
    </w:p>
    <w:p w:rsidR="00EB15BE" w:rsidRDefault="00EB15BE" w:rsidP="00086B5B">
      <w:pPr>
        <w:pStyle w:val="COUNSELDETAILS"/>
      </w:pPr>
    </w:p>
    <w:p w:rsidR="00086B5B" w:rsidRDefault="00086B5B" w:rsidP="00086B5B">
      <w:pPr>
        <w:pStyle w:val="COUNSELDETAILS"/>
      </w:pPr>
      <w:r w:rsidRPr="005D435E">
        <w:t>A Cockrell SC</w:t>
      </w:r>
      <w:r>
        <w:t xml:space="preserve"> and C Tabata instructed by </w:t>
      </w:r>
      <w:r w:rsidRPr="00C000CE">
        <w:t>Cliffe Dekker Hofmeyr</w:t>
      </w:r>
    </w:p>
    <w:p w:rsidR="00086B5B" w:rsidRDefault="00086B5B" w:rsidP="00086B5B">
      <w:pPr>
        <w:pStyle w:val="COUNSELDETAILS"/>
      </w:pPr>
    </w:p>
    <w:p w:rsidR="00EB15BE" w:rsidRDefault="00EB15BE" w:rsidP="00086B5B">
      <w:pPr>
        <w:pStyle w:val="COUNSELDETAILS"/>
        <w:rPr>
          <w:lang w:val="en-US"/>
        </w:rPr>
      </w:pPr>
    </w:p>
    <w:p w:rsidR="00086B5B" w:rsidRPr="00C000CE" w:rsidRDefault="00086B5B" w:rsidP="00086B5B">
      <w:pPr>
        <w:pStyle w:val="COUNSELDETAILS"/>
      </w:pPr>
      <w:proofErr w:type="gramStart"/>
      <w:r w:rsidRPr="00412621">
        <w:rPr>
          <w:lang w:val="en-US"/>
        </w:rPr>
        <w:t>A</w:t>
      </w:r>
      <w:proofErr w:type="gramEnd"/>
      <w:r w:rsidRPr="00412621">
        <w:rPr>
          <w:lang w:val="en-US"/>
        </w:rPr>
        <w:t xml:space="preserve"> </w:t>
      </w:r>
      <w:proofErr w:type="spellStart"/>
      <w:r w:rsidRPr="00412621">
        <w:rPr>
          <w:lang w:val="en-US"/>
        </w:rPr>
        <w:t>A</w:t>
      </w:r>
      <w:proofErr w:type="spellEnd"/>
      <w:r w:rsidRPr="00412621">
        <w:rPr>
          <w:lang w:val="en-US"/>
        </w:rPr>
        <w:t xml:space="preserve"> Gabriel SC</w:t>
      </w:r>
      <w:r>
        <w:rPr>
          <w:lang w:val="en-US"/>
        </w:rPr>
        <w:t xml:space="preserve"> and </w:t>
      </w:r>
      <w:r w:rsidRPr="00412621">
        <w:rPr>
          <w:lang w:val="en-US"/>
        </w:rPr>
        <w:t>J P Broster</w:t>
      </w:r>
      <w:r>
        <w:rPr>
          <w:lang w:val="en-US"/>
        </w:rPr>
        <w:t xml:space="preserve"> instructed by </w:t>
      </w:r>
      <w:r w:rsidRPr="00C000CE">
        <w:t>Linda Mazibuko &amp; Associates</w:t>
      </w:r>
    </w:p>
    <w:p w:rsidR="00C000CE" w:rsidRPr="00C000CE" w:rsidRDefault="00C000CE" w:rsidP="00086B5B">
      <w:pPr>
        <w:pStyle w:val="COUNSELDETAILS"/>
      </w:pPr>
    </w:p>
    <w:sectPr w:rsidR="00C000CE" w:rsidRPr="00C000CE"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C73" w:rsidRDefault="00D37C73" w:rsidP="00E4607C">
      <w:pPr>
        <w:spacing w:line="240" w:lineRule="auto"/>
      </w:pPr>
      <w:r>
        <w:separator/>
      </w:r>
    </w:p>
  </w:endnote>
  <w:endnote w:type="continuationSeparator" w:id="0">
    <w:p w:rsidR="00D37C73" w:rsidRDefault="00D37C73"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767" w:rsidRDefault="0048176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52B" w:rsidRDefault="00D37C73" w:rsidP="0087217E">
    <w:pPr>
      <w:pStyle w:val="Footer"/>
      <w:jc w:val="center"/>
    </w:pPr>
    <w:r>
      <w:fldChar w:fldCharType="begin"/>
    </w:r>
    <w:r>
      <w:instrText xml:space="preserve"> PAGE   \* MERGEFORMAT </w:instrText>
    </w:r>
    <w:r>
      <w:fldChar w:fldCharType="separate"/>
    </w:r>
    <w:r w:rsidR="0028133F">
      <w:rPr>
        <w:noProof/>
      </w:rPr>
      <w:t>36</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767" w:rsidRDefault="0048176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52B" w:rsidRDefault="0070352B"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C73" w:rsidRDefault="00D37C73" w:rsidP="00E4607C">
      <w:pPr>
        <w:spacing w:line="240" w:lineRule="auto"/>
      </w:pPr>
      <w:r>
        <w:separator/>
      </w:r>
    </w:p>
  </w:footnote>
  <w:footnote w:type="continuationSeparator" w:id="0">
    <w:p w:rsidR="00D37C73" w:rsidRDefault="00D37C73" w:rsidP="00E4607C">
      <w:pPr>
        <w:spacing w:line="240" w:lineRule="auto"/>
      </w:pPr>
      <w:r>
        <w:continuationSeparator/>
      </w:r>
    </w:p>
  </w:footnote>
  <w:footnote w:id="1">
    <w:p w:rsidR="0070352B" w:rsidRDefault="0070352B" w:rsidP="00C13548">
      <w:pPr>
        <w:pStyle w:val="FootnoteText1"/>
      </w:pPr>
      <w:r>
        <w:rPr>
          <w:rStyle w:val="FootnoteReference"/>
        </w:rPr>
        <w:footnoteRef/>
      </w:r>
      <w:r>
        <w:t xml:space="preserve"> 32 of 2000.</w:t>
      </w:r>
    </w:p>
  </w:footnote>
  <w:footnote w:id="2">
    <w:p w:rsidR="0070352B" w:rsidRDefault="0070352B" w:rsidP="00C13548">
      <w:pPr>
        <w:pStyle w:val="FootnoteText1"/>
      </w:pPr>
      <w:r>
        <w:rPr>
          <w:rStyle w:val="FootnoteReference"/>
        </w:rPr>
        <w:footnoteRef/>
      </w:r>
      <w:r>
        <w:t xml:space="preserve"> In full, section 118 of the Act </w:t>
      </w:r>
      <w:r w:rsidRPr="0015549D">
        <w:t>provides</w:t>
      </w:r>
      <w:r>
        <w:t>:</w:t>
      </w:r>
    </w:p>
    <w:p w:rsidR="0070352B" w:rsidRDefault="0070352B" w:rsidP="00C13548">
      <w:pPr>
        <w:pStyle w:val="QUOTEINFOOTNOTE"/>
      </w:pPr>
      <w:bookmarkStart w:id="1" w:name="section118"/>
      <w:r>
        <w:t>“</w:t>
      </w:r>
      <w:r w:rsidRPr="00D0552F">
        <w:t>Restraint on transfer of property</w:t>
      </w:r>
      <w:bookmarkEnd w:id="1"/>
    </w:p>
    <w:p w:rsidR="0070352B" w:rsidRDefault="0070352B" w:rsidP="00C13548">
      <w:pPr>
        <w:pStyle w:val="QUOTEINFOOTNOTE"/>
        <w:numPr>
          <w:ilvl w:val="0"/>
          <w:numId w:val="24"/>
        </w:numPr>
        <w:ind w:left="1440" w:hanging="720"/>
      </w:pPr>
      <w:r w:rsidRPr="00E57F4C">
        <w:t>A registrar of deeds may not register the transfer of property except on production to that registrar of deeds of a prescribed certificate</w:t>
      </w:r>
      <w:r>
        <w:rPr>
          <w:szCs w:val="20"/>
        </w:rPr>
        <w:t>—</w:t>
      </w:r>
    </w:p>
    <w:p w:rsidR="0070352B" w:rsidRDefault="0070352B" w:rsidP="00C13548">
      <w:pPr>
        <w:pStyle w:val="QUOTEINFOOTNOTE"/>
        <w:numPr>
          <w:ilvl w:val="0"/>
          <w:numId w:val="25"/>
        </w:numPr>
        <w:ind w:left="2160" w:hanging="720"/>
      </w:pPr>
      <w:r w:rsidRPr="00E57F4C">
        <w:t>issued by the municipality or municipalities in which that property is situated; and</w:t>
      </w:r>
    </w:p>
    <w:p w:rsidR="0070352B" w:rsidRDefault="0070352B" w:rsidP="00C13548">
      <w:pPr>
        <w:pStyle w:val="QUOTEINFOOTNOTE"/>
        <w:numPr>
          <w:ilvl w:val="0"/>
          <w:numId w:val="25"/>
        </w:numPr>
        <w:ind w:left="2160" w:hanging="720"/>
      </w:pPr>
      <w:r w:rsidRPr="00D13A00">
        <w:t>which certifies that all amounts that became due in connection with that property for municipal service fees, surcharges on fees, property rates and other municipal taxes, levies and duties during the two years preceding the date of application for the certificate have been fully paid.</w:t>
      </w:r>
    </w:p>
    <w:p w:rsidR="0070352B" w:rsidRDefault="0070352B" w:rsidP="00C13548">
      <w:pPr>
        <w:pStyle w:val="QUOTEINFOOTNOTE"/>
        <w:ind w:left="1440" w:hanging="720"/>
      </w:pPr>
      <w:r w:rsidRPr="00E57F4C">
        <w:t>(1A)</w:t>
      </w:r>
      <w:r>
        <w:tab/>
      </w:r>
      <w:r w:rsidRPr="00E57F4C">
        <w:t>A prescribed certificate issued by a municipality in terms of subsection (1) is valid for a period of 60 days from the date it has been issued.</w:t>
      </w:r>
    </w:p>
    <w:p w:rsidR="0070352B" w:rsidRDefault="0070352B" w:rsidP="00C13548">
      <w:pPr>
        <w:pStyle w:val="QUOTEINFOOTNOTE"/>
        <w:numPr>
          <w:ilvl w:val="0"/>
          <w:numId w:val="24"/>
        </w:numPr>
        <w:ind w:left="1440" w:hanging="720"/>
      </w:pPr>
      <w:r w:rsidRPr="00E57F4C">
        <w:t xml:space="preserve">In the </w:t>
      </w:r>
      <w:r w:rsidRPr="001E3580">
        <w:t>case of the transfer of property by a trustee of an insolvent estate, the provisions of this section are subject to</w:t>
      </w:r>
      <w:r>
        <w:t xml:space="preserve"> </w:t>
      </w:r>
      <w:hyperlink r:id="rId1" w:anchor="section89" w:history="1">
        <w:r w:rsidRPr="00F16185">
          <w:rPr>
            <w:rStyle w:val="Hyperlink"/>
            <w:color w:val="auto"/>
            <w:u w:val="none"/>
          </w:rPr>
          <w:t>section 89</w:t>
        </w:r>
      </w:hyperlink>
      <w:r>
        <w:t xml:space="preserve"> </w:t>
      </w:r>
      <w:r w:rsidRPr="0015549D">
        <w:t>of th</w:t>
      </w:r>
      <w:r w:rsidRPr="001E3580">
        <w:t>e Insolvency Act, 1936 (Act</w:t>
      </w:r>
      <w:r>
        <w:t> </w:t>
      </w:r>
      <w:r w:rsidRPr="001E3580">
        <w:t>24 of 1936).</w:t>
      </w:r>
    </w:p>
    <w:p w:rsidR="0070352B" w:rsidRDefault="0070352B" w:rsidP="00C13548">
      <w:pPr>
        <w:pStyle w:val="QUOTEINFOOTNOTE"/>
        <w:numPr>
          <w:ilvl w:val="0"/>
          <w:numId w:val="24"/>
        </w:numPr>
        <w:ind w:left="1440" w:hanging="720"/>
      </w:pPr>
      <w:r w:rsidRPr="001E3580">
        <w:t>An amount due for municipal service fees, surcharges on fees, property rates and other municipal taxes, levies and duties is a charge upon the property in connection with which the amount is owing and enjoys preference over any mortgage bond registered against the property.</w:t>
      </w:r>
    </w:p>
    <w:p w:rsidR="0070352B" w:rsidRDefault="0070352B" w:rsidP="00C13548">
      <w:pPr>
        <w:pStyle w:val="QUOTEINFOOTNOTE"/>
        <w:numPr>
          <w:ilvl w:val="0"/>
          <w:numId w:val="24"/>
        </w:numPr>
        <w:ind w:left="1440" w:hanging="720"/>
      </w:pPr>
      <w:r w:rsidRPr="001E3580">
        <w:t>Subsection (1) does not apply to</w:t>
      </w:r>
      <w:r>
        <w:rPr>
          <w:szCs w:val="20"/>
        </w:rPr>
        <w:t>—</w:t>
      </w:r>
    </w:p>
    <w:p w:rsidR="0070352B" w:rsidRDefault="0070352B" w:rsidP="00C13548">
      <w:pPr>
        <w:pStyle w:val="QUOTEINFOOTNOTE"/>
        <w:numPr>
          <w:ilvl w:val="0"/>
          <w:numId w:val="27"/>
        </w:numPr>
        <w:ind w:left="2160" w:hanging="720"/>
      </w:pPr>
      <w:r w:rsidRPr="001E3580">
        <w:t>a transfer from the national government, a provincial government or a municipality of a residential property which was financed with funds or loans made available by the national government, a provincial government or a municipality; and</w:t>
      </w:r>
    </w:p>
    <w:p w:rsidR="0070352B" w:rsidRDefault="0070352B" w:rsidP="00C13548">
      <w:pPr>
        <w:pStyle w:val="QUOTEINFOOTNOTE"/>
        <w:numPr>
          <w:ilvl w:val="0"/>
          <w:numId w:val="27"/>
        </w:numPr>
        <w:ind w:left="2160" w:hanging="720"/>
      </w:pPr>
      <w:r w:rsidRPr="001E3580">
        <w:t xml:space="preserve">the vesting of ownership as a result of a conversion of land tenure rights into ownership in terms </w:t>
      </w:r>
      <w:r w:rsidRPr="0015549D">
        <w:t xml:space="preserve">of </w:t>
      </w:r>
      <w:hyperlink r:id="rId2" w:anchor="chapter1" w:history="1">
        <w:r w:rsidRPr="00F16185">
          <w:rPr>
            <w:rStyle w:val="Hyperlink"/>
            <w:color w:val="auto"/>
            <w:u w:val="none"/>
          </w:rPr>
          <w:t>Chapter 1</w:t>
        </w:r>
      </w:hyperlink>
      <w:r w:rsidRPr="00F16185">
        <w:t xml:space="preserve"> of</w:t>
      </w:r>
      <w:r w:rsidRPr="001E3580">
        <w:t xml:space="preserve"> the Upgrading of Land Tenure Rights Act, 1991 (Act 112 of 1991):</w:t>
      </w:r>
    </w:p>
    <w:p w:rsidR="0070352B" w:rsidRDefault="0070352B" w:rsidP="00C13548">
      <w:pPr>
        <w:pStyle w:val="QUOTEINFOOTNOTE"/>
        <w:ind w:left="1440"/>
      </w:pPr>
      <w:r w:rsidRPr="001E3580">
        <w:t xml:space="preserve">Provided that nothing in this subsection precludes the subsequent collection by a municipality of any amounts owed to </w:t>
      </w:r>
      <w:r w:rsidRPr="00E57F4C">
        <w:t>it in respect of such a property at the time of such transfer or conversion.</w:t>
      </w:r>
    </w:p>
    <w:p w:rsidR="0070352B" w:rsidRDefault="0070352B" w:rsidP="00C13548">
      <w:pPr>
        <w:pStyle w:val="QUOTEINFOOTNOTE"/>
        <w:numPr>
          <w:ilvl w:val="0"/>
          <w:numId w:val="24"/>
        </w:numPr>
        <w:ind w:left="1440" w:hanging="720"/>
      </w:pPr>
      <w:r w:rsidRPr="00E57F4C">
        <w:t>Subsection (3) does not apply to any amount referred to in that subsection that became due before a transfer of a residential property or a conversion of land tenure rights into ownership contemplated in subsection (4) took place.</w:t>
      </w:r>
      <w:r>
        <w:t>”</w:t>
      </w:r>
    </w:p>
  </w:footnote>
  <w:footnote w:id="3">
    <w:p w:rsidR="0070352B" w:rsidRDefault="0070352B" w:rsidP="00C13548">
      <w:pPr>
        <w:pStyle w:val="FootnoteText1"/>
      </w:pPr>
      <w:r>
        <w:rPr>
          <w:rStyle w:val="FootnoteReference"/>
        </w:rPr>
        <w:footnoteRef/>
      </w:r>
      <w:r>
        <w:t xml:space="preserve"> </w:t>
      </w:r>
      <w:r w:rsidRPr="00C13548">
        <w:rPr>
          <w:i/>
        </w:rPr>
        <w:t>Jordaan v City of Tshwane Metropolitan Municipality; New Ventures Consulting &amp; Services (Pty) Ltd v City of Tshwane Metropolitan Municipality; Livanos v Ekurhuleni Metropolitan Municipality; Oak Plant Rentals (Pty) Ltd v Ekurhuleni Metropolitan Municipality</w:t>
      </w:r>
      <w:r w:rsidRPr="0034702B">
        <w:t xml:space="preserve"> </w:t>
      </w:r>
      <w:r>
        <w:t>2017 (2) SA 295 (GP) (High Court judgment).</w:t>
      </w:r>
    </w:p>
  </w:footnote>
  <w:footnote w:id="4">
    <w:p w:rsidR="0070352B" w:rsidRDefault="0070352B" w:rsidP="00C13548">
      <w:pPr>
        <w:pStyle w:val="FootnoteText1"/>
      </w:pPr>
      <w:r>
        <w:rPr>
          <w:rStyle w:val="FootnoteReference"/>
        </w:rPr>
        <w:footnoteRef/>
      </w:r>
      <w:r>
        <w:t xml:space="preserve"> The relevant part of the High Court order reads:</w:t>
      </w:r>
    </w:p>
    <w:p w:rsidR="0070352B" w:rsidRDefault="0070352B" w:rsidP="00C13548">
      <w:pPr>
        <w:pStyle w:val="QUOTEINFOOTNOTE"/>
      </w:pPr>
      <w:r>
        <w:t xml:space="preserve">“The provisions of </w:t>
      </w:r>
      <w:r w:rsidRPr="004221C0">
        <w:t>section 118(3)</w:t>
      </w:r>
      <w:r>
        <w:t xml:space="preserve"> of the [Act] are declared to be constitutionally invalid to the extent only that the security provision ‘a charge upon the property’ survives transfer of ownership into the name of a new or subsequent owner who is not a debtor of the municipality with regard to municipal debts incurred prior to such transfer.”</w:t>
      </w:r>
    </w:p>
  </w:footnote>
  <w:footnote w:id="5">
    <w:p w:rsidR="0070352B" w:rsidRDefault="0070352B" w:rsidP="00C13548">
      <w:pPr>
        <w:pStyle w:val="FootnoteText1"/>
      </w:pPr>
      <w:r>
        <w:rPr>
          <w:rStyle w:val="FootnoteReference"/>
        </w:rPr>
        <w:footnoteRef/>
      </w:r>
      <w:r>
        <w:t xml:space="preserve"> Section 167(5) of the Constitution provides:</w:t>
      </w:r>
    </w:p>
    <w:p w:rsidR="0070352B" w:rsidRDefault="0070352B" w:rsidP="00C13548">
      <w:pPr>
        <w:pStyle w:val="QUOTEINFOOTNOTE"/>
      </w:pPr>
      <w:r>
        <w:t>“The Constitutional Court makes the final decision whether an Act of Parliament, a provincial Act or conduct of the President is constitutional, and must confirm any order of invalidity made by the Supreme Court of Appeal, the High Court of South Africa, or a court of similar stature, before that order has any force.”</w:t>
      </w:r>
    </w:p>
    <w:p w:rsidR="0070352B" w:rsidRPr="00E80A14" w:rsidRDefault="0070352B" w:rsidP="00E80A14">
      <w:pPr>
        <w:pStyle w:val="FootnoteText1"/>
      </w:pPr>
      <w:r w:rsidRPr="00E80A14">
        <w:t>Section 172(2)(a) of the Constitution is to the same effect.</w:t>
      </w:r>
    </w:p>
  </w:footnote>
  <w:footnote w:id="6">
    <w:p w:rsidR="0070352B" w:rsidRDefault="0070352B">
      <w:pPr>
        <w:pStyle w:val="FootnoteText"/>
      </w:pPr>
      <w:r>
        <w:rPr>
          <w:rStyle w:val="FootnoteReference"/>
        </w:rPr>
        <w:footnoteRef/>
      </w:r>
      <w:r>
        <w:t xml:space="preserve"> Section 172(2)(d) of the Constitution provides:</w:t>
      </w:r>
    </w:p>
    <w:p w:rsidR="0070352B" w:rsidRDefault="0070352B" w:rsidP="00C13548">
      <w:pPr>
        <w:pStyle w:val="QUOTEINFOOTNOTE"/>
      </w:pPr>
      <w:r>
        <w:t>“Any person or organ of state with a sufficient interest may appeal, or apply, directly to the Constitutional Court to confirm or vary an order of constitutional invalidity by a court in terms of this subsection.”</w:t>
      </w:r>
    </w:p>
  </w:footnote>
  <w:footnote w:id="7">
    <w:p w:rsidR="0070352B" w:rsidRDefault="0070352B">
      <w:pPr>
        <w:pStyle w:val="FootnoteText"/>
      </w:pPr>
      <w:r>
        <w:rPr>
          <w:rStyle w:val="FootnoteReference"/>
        </w:rPr>
        <w:footnoteRef/>
      </w:r>
      <w:r>
        <w:t xml:space="preserve"> Third amicus curiae.</w:t>
      </w:r>
    </w:p>
  </w:footnote>
  <w:footnote w:id="8">
    <w:p w:rsidR="0070352B" w:rsidRDefault="0070352B" w:rsidP="00C13548">
      <w:pPr>
        <w:pStyle w:val="FootnoteText1"/>
      </w:pPr>
      <w:r>
        <w:rPr>
          <w:rStyle w:val="FootnoteReference"/>
        </w:rPr>
        <w:footnoteRef/>
      </w:r>
      <w:r>
        <w:t xml:space="preserve"> eThekwini originally sought either admission as an </w:t>
      </w:r>
      <w:r w:rsidRPr="004221C0">
        <w:rPr>
          <w:i/>
        </w:rPr>
        <w:t>amicus curiae</w:t>
      </w:r>
      <w:r>
        <w:t xml:space="preserve"> or joinder as a party.  Its admission as an </w:t>
      </w:r>
      <w:r w:rsidRPr="004221C0">
        <w:rPr>
          <w:i/>
        </w:rPr>
        <w:t>amicus curiae</w:t>
      </w:r>
      <w:r>
        <w:t xml:space="preserve"> enabled it to provide the Court with full written and oral submissions on the issues.</w:t>
      </w:r>
    </w:p>
  </w:footnote>
  <w:footnote w:id="9">
    <w:p w:rsidR="0070352B" w:rsidRDefault="0070352B" w:rsidP="00C13548">
      <w:pPr>
        <w:pStyle w:val="FootnoteText1"/>
      </w:pPr>
      <w:r>
        <w:rPr>
          <w:rStyle w:val="FootnoteReference"/>
        </w:rPr>
        <w:footnoteRef/>
      </w:r>
      <w:r>
        <w:t xml:space="preserve"> The High Court heard the matters together, but no consolidation order was granted.  There were five applications before the High Court – the first two against Tshwane and the remaining three against Ekurhuleni.  Similar relief was sought in four of the applications (except that in the fourth application, additional relief was sought, namely a declaratory order relating to Ekurhuleni’s alleged obligation to render municipal services and to open a services account under circumstances where there is a debt outstanding in respect of the property concerned beyond the two-year period provided for in section 118(1) of the Act).</w:t>
      </w:r>
    </w:p>
  </w:footnote>
  <w:footnote w:id="10">
    <w:p w:rsidR="0070352B" w:rsidRDefault="0070352B">
      <w:pPr>
        <w:pStyle w:val="FootnoteText"/>
      </w:pPr>
      <w:r>
        <w:rPr>
          <w:rStyle w:val="FootnoteReference"/>
        </w:rPr>
        <w:footnoteRef/>
      </w:r>
      <w:r>
        <w:t xml:space="preserve"> </w:t>
      </w:r>
      <w:r w:rsidRPr="00AB54FF">
        <w:t xml:space="preserve">High Court judgment </w:t>
      </w:r>
      <w:r>
        <w:t xml:space="preserve">above n 3 at </w:t>
      </w:r>
      <w:r w:rsidRPr="00AB54FF">
        <w:t xml:space="preserve">paras </w:t>
      </w:r>
      <w:r>
        <w:t xml:space="preserve">5-6, </w:t>
      </w:r>
      <w:r w:rsidRPr="00E73B37">
        <w:t>14-6</w:t>
      </w:r>
      <w:r>
        <w:t xml:space="preserve"> and 82.</w:t>
      </w:r>
    </w:p>
  </w:footnote>
  <w:footnote w:id="11">
    <w:p w:rsidR="0070352B" w:rsidRDefault="0070352B" w:rsidP="00C13548">
      <w:pPr>
        <w:pStyle w:val="FootnoteText1"/>
      </w:pPr>
      <w:r>
        <w:rPr>
          <w:rStyle w:val="FootnoteReference"/>
        </w:rPr>
        <w:footnoteRef/>
      </w:r>
      <w:r>
        <w:t xml:space="preserve"> Section 96 of the Act is headed “Debt collection responsibility of municipalities”.  It provides:</w:t>
      </w:r>
    </w:p>
    <w:p w:rsidR="0070352B" w:rsidRDefault="0070352B" w:rsidP="00C13548">
      <w:pPr>
        <w:pStyle w:val="QUOTEINFOOTNOTE"/>
      </w:pPr>
      <w:r>
        <w:t>“A municipality—</w:t>
      </w:r>
    </w:p>
    <w:p w:rsidR="0070352B" w:rsidRDefault="0070352B" w:rsidP="00C13548">
      <w:pPr>
        <w:pStyle w:val="QUOTEINFOOTNOTE"/>
        <w:ind w:left="1440" w:hanging="720"/>
      </w:pPr>
      <w:r>
        <w:t>(a)</w:t>
      </w:r>
      <w:r>
        <w:tab/>
        <w:t>must collect all money that is due and payable to it, subject to this Act and any other applicable legislation; and</w:t>
      </w:r>
    </w:p>
    <w:p w:rsidR="0070352B" w:rsidRDefault="0070352B" w:rsidP="00C13548">
      <w:pPr>
        <w:pStyle w:val="QUOTEINFOOTNOTE"/>
        <w:ind w:left="1440" w:hanging="720"/>
      </w:pPr>
      <w:r>
        <w:t>(b)</w:t>
      </w:r>
      <w:r>
        <w:tab/>
        <w:t>for this purpose, must adopt, maintain and implement a credit control and debt collection policy which is consistent with its rates and tariff policies and complies with the provisions of this Act.”</w:t>
      </w:r>
    </w:p>
    <w:p w:rsidR="0070352B" w:rsidRDefault="0070352B" w:rsidP="00C13548">
      <w:pPr>
        <w:pStyle w:val="FootnoteText1"/>
      </w:pPr>
      <w:r>
        <w:t xml:space="preserve">Tshwane’s </w:t>
      </w:r>
      <w:r w:rsidRPr="008C3CA8">
        <w:t>Cr</w:t>
      </w:r>
      <w:r>
        <w:t xml:space="preserve">edit and Debit Control Policy </w:t>
      </w:r>
      <w:r w:rsidRPr="008C3CA8">
        <w:t>of 30 August 2012</w:t>
      </w:r>
      <w:r>
        <w:t xml:space="preserve"> provide</w:t>
      </w:r>
      <w:r w:rsidRPr="008C3CA8">
        <w:t xml:space="preserve">s that clearance certificates </w:t>
      </w:r>
      <w:r>
        <w:t>in terms of section 118(1) of the Act may</w:t>
      </w:r>
      <w:r w:rsidRPr="008C3CA8">
        <w:t xml:space="preserve"> </w:t>
      </w:r>
      <w:r>
        <w:t>be</w:t>
      </w:r>
      <w:r w:rsidRPr="008C3CA8">
        <w:t xml:space="preserve"> issued </w:t>
      </w:r>
      <w:r>
        <w:t>only upon security being provided for full payment of outstanding amounts – including historical debts.</w:t>
      </w:r>
    </w:p>
  </w:footnote>
  <w:footnote w:id="12">
    <w:p w:rsidR="0070352B" w:rsidRDefault="0070352B">
      <w:pPr>
        <w:pStyle w:val="FootnoteText"/>
      </w:pPr>
      <w:r>
        <w:rPr>
          <w:rStyle w:val="FootnoteReference"/>
        </w:rPr>
        <w:footnoteRef/>
      </w:r>
      <w:r>
        <w:t xml:space="preserve"> 3 of 2000.</w:t>
      </w:r>
    </w:p>
  </w:footnote>
  <w:footnote w:id="13">
    <w:p w:rsidR="0070352B" w:rsidRDefault="0070352B" w:rsidP="00C13548">
      <w:pPr>
        <w:pStyle w:val="FootnoteText1"/>
      </w:pPr>
      <w:r>
        <w:rPr>
          <w:rStyle w:val="FootnoteReference"/>
        </w:rPr>
        <w:footnoteRef/>
      </w:r>
      <w:r>
        <w:t xml:space="preserve"> High Court judgment above n 3 at paras 14-6.</w:t>
      </w:r>
    </w:p>
  </w:footnote>
  <w:footnote w:id="14">
    <w:p w:rsidR="0070352B" w:rsidRDefault="0070352B">
      <w:pPr>
        <w:pStyle w:val="FootnoteText"/>
      </w:pPr>
      <w:r>
        <w:rPr>
          <w:rStyle w:val="FootnoteReference"/>
        </w:rPr>
        <w:footnoteRef/>
      </w:r>
      <w:r>
        <w:t xml:space="preserve"> </w:t>
      </w:r>
      <w:r w:rsidRPr="00C13548">
        <w:rPr>
          <w:i/>
        </w:rPr>
        <w:t>S v Mhlungu</w:t>
      </w:r>
      <w:r>
        <w:t xml:space="preserve"> </w:t>
      </w:r>
      <w:r w:rsidRPr="001E2777">
        <w:t>[1995] ZACC 4; 1995 (3) SA 867 (CC)</w:t>
      </w:r>
      <w:r>
        <w:t xml:space="preserve">; </w:t>
      </w:r>
      <w:r w:rsidRPr="000012E2">
        <w:t>1995 (7) BCLR 793 (CC)</w:t>
      </w:r>
      <w:r>
        <w:t xml:space="preserve"> (</w:t>
      </w:r>
      <w:r w:rsidRPr="002E086B">
        <w:rPr>
          <w:i/>
        </w:rPr>
        <w:t>Mhlungu</w:t>
      </w:r>
      <w:r>
        <w:t>)</w:t>
      </w:r>
      <w:r w:rsidRPr="001E2777">
        <w:t xml:space="preserve"> </w:t>
      </w:r>
      <w:r>
        <w:t xml:space="preserve">at para 59, </w:t>
      </w:r>
      <w:r w:rsidRPr="00635F24">
        <w:t xml:space="preserve">approved in </w:t>
      </w:r>
      <w:r w:rsidRPr="00635F24">
        <w:rPr>
          <w:i/>
        </w:rPr>
        <w:t>Zantsi v Council of State, Ciskei</w:t>
      </w:r>
      <w:r w:rsidRPr="00635F24">
        <w:t xml:space="preserve"> [1995] ZACC 9; 1995 (4) SA 615 (CC); 1995 (10) BCLR 1424 (CC) at para 3</w:t>
      </w:r>
      <w:r>
        <w:t>.</w:t>
      </w:r>
    </w:p>
  </w:footnote>
  <w:footnote w:id="15">
    <w:p w:rsidR="0070352B" w:rsidRDefault="0070352B" w:rsidP="00C13548">
      <w:pPr>
        <w:pStyle w:val="FootnoteText1"/>
      </w:pPr>
      <w:r>
        <w:rPr>
          <w:rStyle w:val="FootnoteReference"/>
        </w:rPr>
        <w:footnoteRef/>
      </w:r>
      <w:r>
        <w:t xml:space="preserve"> </w:t>
      </w:r>
      <w:proofErr w:type="spellStart"/>
      <w:r w:rsidRPr="004A794D">
        <w:rPr>
          <w:i/>
        </w:rPr>
        <w:t>Mhlungu</w:t>
      </w:r>
      <w:proofErr w:type="spellEnd"/>
      <w:r>
        <w:t xml:space="preserve"> id was also cited to the High Court, which considered itself bound by its approach and that it was “</w:t>
      </w:r>
      <w:r w:rsidRPr="002E6BEC">
        <w:t>settled jurisprudence that a court should not ordinarily decide a constitutional issue unless it is necessary to do so</w:t>
      </w:r>
      <w:r>
        <w:t>” (High Court judgment above n 3 at para 15).</w:t>
      </w:r>
    </w:p>
  </w:footnote>
  <w:footnote w:id="16">
    <w:p w:rsidR="0070352B" w:rsidRDefault="0070352B">
      <w:pPr>
        <w:pStyle w:val="FootnoteText"/>
      </w:pPr>
      <w:r>
        <w:rPr>
          <w:rStyle w:val="FootnoteReference"/>
        </w:rPr>
        <w:footnoteRef/>
      </w:r>
      <w:r>
        <w:t xml:space="preserve"> Section 98 of the interim Constitution.</w:t>
      </w:r>
    </w:p>
  </w:footnote>
  <w:footnote w:id="17">
    <w:p w:rsidR="0070352B" w:rsidRDefault="0070352B">
      <w:pPr>
        <w:pStyle w:val="FootnoteText"/>
      </w:pPr>
      <w:r>
        <w:rPr>
          <w:rStyle w:val="FootnoteReference"/>
        </w:rPr>
        <w:footnoteRef/>
      </w:r>
      <w:r>
        <w:t xml:space="preserve"> Section 101(5) of the interim Constitution: “</w:t>
      </w:r>
      <w:r w:rsidRPr="002E6A6B">
        <w:t>The Appellate Division shall have no jurisdiction to adjudicate any matter within the jurisdiction of the Constitutional Court</w:t>
      </w:r>
      <w:r>
        <w:t>”.</w:t>
      </w:r>
    </w:p>
  </w:footnote>
  <w:footnote w:id="18">
    <w:p w:rsidR="0070352B" w:rsidRDefault="0070352B">
      <w:pPr>
        <w:pStyle w:val="FootnoteText"/>
      </w:pPr>
      <w:r>
        <w:rPr>
          <w:rStyle w:val="FootnoteReference"/>
        </w:rPr>
        <w:footnoteRef/>
      </w:r>
      <w:r>
        <w:t xml:space="preserve"> Section 168 of the Constitution.</w:t>
      </w:r>
    </w:p>
  </w:footnote>
  <w:footnote w:id="19">
    <w:p w:rsidR="0070352B" w:rsidRDefault="0070352B">
      <w:pPr>
        <w:pStyle w:val="FootnoteText"/>
      </w:pPr>
      <w:r>
        <w:rPr>
          <w:rStyle w:val="FootnoteReference"/>
        </w:rPr>
        <w:footnoteRef/>
      </w:r>
      <w:r>
        <w:t xml:space="preserve"> Section 173 of the Constitution provides:</w:t>
      </w:r>
    </w:p>
    <w:p w:rsidR="0070352B" w:rsidRDefault="0070352B" w:rsidP="00C13548">
      <w:pPr>
        <w:pStyle w:val="QUOTEINFOOTNOTE"/>
      </w:pPr>
      <w:r>
        <w:t>“The Constitutional Court, the Supreme Court of Appeal and the High Court of South Africa each has the inherent power to protect and regulate their own process, and to develop the common law, taking into account the interests of justice.”</w:t>
      </w:r>
    </w:p>
  </w:footnote>
  <w:footnote w:id="20">
    <w:p w:rsidR="0070352B" w:rsidRDefault="0070352B">
      <w:pPr>
        <w:pStyle w:val="FootnoteText"/>
      </w:pPr>
      <w:r>
        <w:rPr>
          <w:rStyle w:val="FootnoteReference"/>
        </w:rPr>
        <w:footnoteRef/>
      </w:r>
      <w:r>
        <w:t xml:space="preserve"> </w:t>
      </w:r>
      <w:r>
        <w:rPr>
          <w:lang w:val="en-GB"/>
        </w:rPr>
        <w:t>The Constitutional Court was “</w:t>
      </w:r>
      <w:r w:rsidRPr="0008590C">
        <w:rPr>
          <w:lang w:val="en-GB"/>
        </w:rPr>
        <w:t>the highest court on all constitutional matters</w:t>
      </w:r>
      <w:r>
        <w:rPr>
          <w:lang w:val="en-GB"/>
        </w:rPr>
        <w:t xml:space="preserve">” before the enactment of the </w:t>
      </w:r>
      <w:r>
        <w:t>Constitution Seventeenth Amendment Act 72 of 2012 (Amendment Act)</w:t>
      </w:r>
      <w:r>
        <w:rPr>
          <w:lang w:val="en-GB"/>
        </w:rPr>
        <w:t>, which gave this Court final appellate jurisdiction in all cases.</w:t>
      </w:r>
      <w:r w:rsidRPr="009724DB">
        <w:t xml:space="preserve"> </w:t>
      </w:r>
      <w:r>
        <w:t xml:space="preserve"> See section 3(a) of the Amendment Act, which came into effect on </w:t>
      </w:r>
      <w:r w:rsidRPr="002C3559">
        <w:t>23</w:t>
      </w:r>
      <w:r>
        <w:t> </w:t>
      </w:r>
      <w:r w:rsidRPr="002C3559">
        <w:t>August 2013</w:t>
      </w:r>
      <w:r>
        <w:t>.</w:t>
      </w:r>
    </w:p>
  </w:footnote>
  <w:footnote w:id="21">
    <w:p w:rsidR="0070352B" w:rsidRDefault="0070352B" w:rsidP="00C13548">
      <w:pPr>
        <w:pStyle w:val="FootnoteText1"/>
      </w:pPr>
      <w:r>
        <w:rPr>
          <w:rStyle w:val="FootnoteReference"/>
        </w:rPr>
        <w:footnoteRef/>
      </w:r>
      <w:r>
        <w:t xml:space="preserve"> See the minority judgment in </w:t>
      </w:r>
      <w:r w:rsidRPr="00A11124">
        <w:rPr>
          <w:i/>
        </w:rPr>
        <w:t>My Vote Counts NPC v Speaker of the National Assembly</w:t>
      </w:r>
      <w:r>
        <w:t xml:space="preserve"> [2015] ZACC 31; 2016 (1) SA 132 (CC); 2015 (12) BCLR 1407 (CC)</w:t>
      </w:r>
      <w:r w:rsidRPr="00B34346">
        <w:t xml:space="preserve"> </w:t>
      </w:r>
      <w:r>
        <w:t>at para 51, with which the majority judgment expressed no disagreement.</w:t>
      </w:r>
    </w:p>
  </w:footnote>
  <w:footnote w:id="22">
    <w:p w:rsidR="0070352B" w:rsidRPr="002946AD" w:rsidRDefault="0070352B" w:rsidP="006C4050">
      <w:pPr>
        <w:pStyle w:val="FootnoteText"/>
      </w:pPr>
      <w:r>
        <w:rPr>
          <w:rStyle w:val="FootnoteReference"/>
        </w:rPr>
        <w:footnoteRef/>
      </w:r>
      <w:r>
        <w:t xml:space="preserve"> </w:t>
      </w:r>
      <w:r w:rsidRPr="00466EDA">
        <w:rPr>
          <w:i/>
        </w:rPr>
        <w:t>City of Tshwane</w:t>
      </w:r>
      <w:r>
        <w:rPr>
          <w:i/>
        </w:rPr>
        <w:t xml:space="preserve"> Metropolitan Municipality</w:t>
      </w:r>
      <w:r w:rsidRPr="00466EDA">
        <w:rPr>
          <w:i/>
        </w:rPr>
        <w:t xml:space="preserve"> v Mathabathe</w:t>
      </w:r>
      <w:r>
        <w:t xml:space="preserve"> </w:t>
      </w:r>
      <w:r w:rsidRPr="006C4050">
        <w:t>[2013] ZASCA 60</w:t>
      </w:r>
      <w:r>
        <w:t>; 2013 (4) SA 319 (SCA) (</w:t>
      </w:r>
      <w:proofErr w:type="spellStart"/>
      <w:r w:rsidRPr="00E73B37">
        <w:rPr>
          <w:i/>
        </w:rPr>
        <w:t>Mathab</w:t>
      </w:r>
      <w:r>
        <w:rPr>
          <w:i/>
        </w:rPr>
        <w:t>a</w:t>
      </w:r>
      <w:r w:rsidRPr="00E73B37">
        <w:rPr>
          <w:i/>
        </w:rPr>
        <w:t>the</w:t>
      </w:r>
      <w:proofErr w:type="spellEnd"/>
      <w:r>
        <w:t>) at para 12,</w:t>
      </w:r>
      <w:r w:rsidRPr="00AB54FF">
        <w:t xml:space="preserve"> </w:t>
      </w:r>
      <w:r>
        <w:t xml:space="preserve">where Ponnan JA, with </w:t>
      </w:r>
      <w:r w:rsidRPr="001B6ABE">
        <w:t>Majiedt JA, Erasmus</w:t>
      </w:r>
      <w:r>
        <w:t xml:space="preserve"> AJA</w:t>
      </w:r>
      <w:r w:rsidRPr="001B6ABE">
        <w:t xml:space="preserve">, Swain </w:t>
      </w:r>
      <w:r>
        <w:t xml:space="preserve">AJA </w:t>
      </w:r>
      <w:r w:rsidRPr="001B6ABE">
        <w:t>and Zondi AJA</w:t>
      </w:r>
      <w:r>
        <w:t xml:space="preserve"> concurring, held that Tshwane’s contention, in those proceedings, that it lost its rights under section 118(3) upon transfer to a new owner was “</w:t>
      </w:r>
      <w:r w:rsidRPr="001B6ABE">
        <w:t>plainly wrong</w:t>
      </w:r>
      <w:r>
        <w:t xml:space="preserve">”; </w:t>
      </w:r>
      <w:r w:rsidRPr="00AB54FF">
        <w:t>and the majority</w:t>
      </w:r>
      <w:r>
        <w:t xml:space="preserve"> judgment</w:t>
      </w:r>
      <w:r w:rsidRPr="00AB54FF">
        <w:t xml:space="preserve"> in </w:t>
      </w:r>
      <w:r w:rsidRPr="00466EDA">
        <w:rPr>
          <w:i/>
        </w:rPr>
        <w:t>Tshwane City v Mitchell</w:t>
      </w:r>
      <w:r w:rsidRPr="00AB54FF">
        <w:t xml:space="preserve"> </w:t>
      </w:r>
      <w:r w:rsidRPr="006C4050">
        <w:t> [2016] ZASCA 1</w:t>
      </w:r>
      <w:r>
        <w:t xml:space="preserve">; </w:t>
      </w:r>
      <w:r w:rsidRPr="00AB54FF">
        <w:t xml:space="preserve">2016 </w:t>
      </w:r>
      <w:r>
        <w:t>(</w:t>
      </w:r>
      <w:r w:rsidRPr="00AB54FF">
        <w:t>3</w:t>
      </w:r>
      <w:r>
        <w:t>)</w:t>
      </w:r>
      <w:r w:rsidRPr="00AB54FF">
        <w:t xml:space="preserve"> SA 23</w:t>
      </w:r>
      <w:r>
        <w:t>1</w:t>
      </w:r>
      <w:r w:rsidRPr="00AB54FF">
        <w:t xml:space="preserve"> (SCA) </w:t>
      </w:r>
      <w:r>
        <w:t xml:space="preserve">at </w:t>
      </w:r>
      <w:r w:rsidRPr="00AB54FF">
        <w:t>para 23</w:t>
      </w:r>
      <w:r>
        <w:t xml:space="preserve">, where Baartman AJA, with </w:t>
      </w:r>
      <w:r w:rsidRPr="001B6ABE">
        <w:t xml:space="preserve">Mpati P, </w:t>
      </w:r>
      <w:proofErr w:type="spellStart"/>
      <w:r w:rsidRPr="001B6ABE">
        <w:t>Bosielo</w:t>
      </w:r>
      <w:proofErr w:type="spellEnd"/>
      <w:r>
        <w:t xml:space="preserve"> JA</w:t>
      </w:r>
      <w:r w:rsidRPr="001B6ABE">
        <w:t xml:space="preserve"> and </w:t>
      </w:r>
      <w:proofErr w:type="spellStart"/>
      <w:r w:rsidRPr="001B6ABE">
        <w:t>Saldulker</w:t>
      </w:r>
      <w:proofErr w:type="spellEnd"/>
      <w:r>
        <w:t> </w:t>
      </w:r>
      <w:r w:rsidRPr="001B6ABE">
        <w:t>JA concurring</w:t>
      </w:r>
      <w:r>
        <w:t xml:space="preserve">, reversed a first-instance declaration that a successor in title is not liable under section 118(3) for the historical debt relating to the property, instead holding that </w:t>
      </w:r>
      <w:r w:rsidRPr="009C0AB0">
        <w:t xml:space="preserve">the sale in execution and subsequent transfer of the property into the name of the </w:t>
      </w:r>
      <w:r>
        <w:t xml:space="preserve">successor in title </w:t>
      </w:r>
      <w:r w:rsidRPr="009C0AB0">
        <w:t>did not extinguish the hypothec created by s</w:t>
      </w:r>
      <w:r>
        <w:t>ection</w:t>
      </w:r>
      <w:r w:rsidRPr="009C0AB0">
        <w:t xml:space="preserve"> 118(3) in favour of the</w:t>
      </w:r>
      <w:r>
        <w:t xml:space="preserve"> municipality, with the consequence </w:t>
      </w:r>
      <w:r w:rsidRPr="009C0AB0">
        <w:t>that nothing prevent</w:t>
      </w:r>
      <w:r>
        <w:t>s</w:t>
      </w:r>
      <w:r w:rsidRPr="009C0AB0">
        <w:t xml:space="preserve"> the </w:t>
      </w:r>
      <w:r>
        <w:t xml:space="preserve">municipality </w:t>
      </w:r>
      <w:r w:rsidRPr="009C0AB0">
        <w:t xml:space="preserve">from perfecting </w:t>
      </w:r>
      <w:r>
        <w:t xml:space="preserve">its security over the property </w:t>
      </w:r>
      <w:r w:rsidRPr="009C0AB0">
        <w:t>to ensure payment of the historical debt</w:t>
      </w:r>
      <w:r>
        <w:t xml:space="preserve">.  Zondi JA, in dissent, held that the real right of security under section 118(3) does not survive transfer to a new owner after a sale in execution (para 29).  </w:t>
      </w:r>
      <w:r w:rsidRPr="00E73B37">
        <w:t xml:space="preserve">Brits </w:t>
      </w:r>
      <w:r w:rsidRPr="00E73B37">
        <w:rPr>
          <w:i/>
        </w:rPr>
        <w:t>Real Security Law</w:t>
      </w:r>
      <w:r w:rsidRPr="00E73B37">
        <w:t xml:space="preserve"> (Juta &amp; Co Ltd, Cape Town 2016) at 404-5</w:t>
      </w:r>
      <w:r>
        <w:t xml:space="preserve"> suggests that the Supreme Court of Appeal’s statement in </w:t>
      </w:r>
      <w:r>
        <w:rPr>
          <w:i/>
        </w:rPr>
        <w:t xml:space="preserve">Mathabathe </w:t>
      </w:r>
      <w:r>
        <w:t>is “ambiguous” and “not clear at all”, in that the Court may have meant to say merely that the municipality’s personal claim against the original property owner is not lost upon transfer; but this seems hard to warrant.</w:t>
      </w:r>
    </w:p>
  </w:footnote>
  <w:footnote w:id="23">
    <w:p w:rsidR="0070352B" w:rsidRDefault="0070352B">
      <w:pPr>
        <w:pStyle w:val="FootnoteText"/>
      </w:pPr>
      <w:r>
        <w:rPr>
          <w:rStyle w:val="FootnoteReference"/>
        </w:rPr>
        <w:footnoteRef/>
      </w:r>
      <w:r>
        <w:t xml:space="preserve"> </w:t>
      </w:r>
      <w:r w:rsidRPr="00482475">
        <w:t xml:space="preserve">See du Plessis “Observations on the (un-)constitutionality of section 118(3) of the Local Government: Municipal Systems Act 32 of 2000” </w:t>
      </w:r>
      <w:r>
        <w:t>(</w:t>
      </w:r>
      <w:r w:rsidRPr="00482475">
        <w:t>2006</w:t>
      </w:r>
      <w:r>
        <w:t>)</w:t>
      </w:r>
      <w:r w:rsidRPr="00482475">
        <w:t xml:space="preserve"> </w:t>
      </w:r>
      <w:r>
        <w:t xml:space="preserve">17 </w:t>
      </w:r>
      <w:r w:rsidRPr="00482475">
        <w:rPr>
          <w:i/>
        </w:rPr>
        <w:t xml:space="preserve">Stell LR </w:t>
      </w:r>
      <w:r w:rsidRPr="00482475">
        <w:t>505 at 517.</w:t>
      </w:r>
    </w:p>
  </w:footnote>
  <w:footnote w:id="24">
    <w:p w:rsidR="0070352B" w:rsidRDefault="0070352B" w:rsidP="003433CF">
      <w:pPr>
        <w:pStyle w:val="FootnoteText"/>
      </w:pPr>
      <w:r>
        <w:rPr>
          <w:rStyle w:val="FootnoteReference"/>
        </w:rPr>
        <w:footnoteRef/>
      </w:r>
      <w:r>
        <w:t xml:space="preserve"> Section 96 is set out in full above n 11.</w:t>
      </w:r>
    </w:p>
  </w:footnote>
  <w:footnote w:id="25">
    <w:p w:rsidR="0070352B" w:rsidRDefault="0070352B">
      <w:pPr>
        <w:pStyle w:val="FootnoteText"/>
      </w:pPr>
      <w:r>
        <w:rPr>
          <w:rStyle w:val="FootnoteReference"/>
        </w:rPr>
        <w:footnoteRef/>
      </w:r>
      <w:r>
        <w:t xml:space="preserve"> First amicus curiae.</w:t>
      </w:r>
    </w:p>
  </w:footnote>
  <w:footnote w:id="26">
    <w:p w:rsidR="0070352B" w:rsidRDefault="0070352B">
      <w:pPr>
        <w:pStyle w:val="FootnoteText"/>
      </w:pPr>
      <w:r>
        <w:rPr>
          <w:rStyle w:val="FootnoteReference"/>
        </w:rPr>
        <w:footnoteRef/>
      </w:r>
      <w:r>
        <w:t xml:space="preserve"> Second amicus curiae.</w:t>
      </w:r>
    </w:p>
  </w:footnote>
  <w:footnote w:id="27">
    <w:p w:rsidR="0070352B" w:rsidRDefault="0070352B" w:rsidP="00466EDA">
      <w:pPr>
        <w:pStyle w:val="FootnoteText"/>
      </w:pPr>
      <w:r>
        <w:rPr>
          <w:rStyle w:val="FootnoteReference"/>
        </w:rPr>
        <w:footnoteRef/>
      </w:r>
      <w:r>
        <w:t xml:space="preserve"> </w:t>
      </w:r>
      <w:r w:rsidRPr="00C40099">
        <w:t>71 of 2008</w:t>
      </w:r>
      <w:r>
        <w:t>.</w:t>
      </w:r>
    </w:p>
  </w:footnote>
  <w:footnote w:id="28">
    <w:p w:rsidR="0070352B" w:rsidRDefault="0070352B" w:rsidP="007D4321">
      <w:pPr>
        <w:pStyle w:val="FootnoteText"/>
      </w:pPr>
      <w:r>
        <w:rPr>
          <w:rStyle w:val="FootnoteReference"/>
        </w:rPr>
        <w:footnoteRef/>
      </w:r>
      <w:r>
        <w:t xml:space="preserve"> The parties’ arguments, including BASA’s, were confined solely to the question whether the charge created in section 118(3) survives transfer to a new owner.  The constitutional validity of the provision that, </w:t>
      </w:r>
      <w:r w:rsidRPr="009D1A8E">
        <w:t>pre-transfer,</w:t>
      </w:r>
      <w:r>
        <w:t xml:space="preserve"> an amount due to the municipality “</w:t>
      </w:r>
      <w:r w:rsidRPr="001E3580">
        <w:t>enjoys preference over any mortgage bond registered against the property</w:t>
      </w:r>
      <w:r>
        <w:t xml:space="preserve">” was not debated.  </w:t>
      </w:r>
      <w:r>
        <w:rPr>
          <w:i/>
        </w:rPr>
        <w:t>City of Johannesburg v Kaplan N.O.</w:t>
      </w:r>
      <w:r>
        <w:t xml:space="preserve"> </w:t>
      </w:r>
      <w:r w:rsidRPr="007D4321">
        <w:t>[2006] ZASCA 39</w:t>
      </w:r>
      <w:r>
        <w:t>; 2006 (5) SA 10 (SCA) (</w:t>
      </w:r>
      <w:r w:rsidRPr="004221C0">
        <w:rPr>
          <w:i/>
        </w:rPr>
        <w:t>Kaplan</w:t>
      </w:r>
      <w:r>
        <w:t>) at para 26 explained this as meaning that, if execution on the property is levied, municipal debts are first paid in full: “Only after satisfaction of such debts will the remainder, if any, be available for payment of the debt secured by a mortgage bond over the property.”  The constitutionality of the preference over mortgagees is discussed by du Plessis above n 23 at 523.</w:t>
      </w:r>
    </w:p>
  </w:footnote>
  <w:footnote w:id="29">
    <w:p w:rsidR="0070352B" w:rsidRDefault="0070352B">
      <w:pPr>
        <w:pStyle w:val="FootnoteText"/>
      </w:pPr>
      <w:r>
        <w:rPr>
          <w:rStyle w:val="FootnoteReference"/>
        </w:rPr>
        <w:footnoteRef/>
      </w:r>
      <w:r>
        <w:t xml:space="preserve"> The JAA explained that it had learned of submissions affecting its members’ interests only after oral argument.  On 26 May 2017, the Court directed the JAA to file its application.  On 1 June 2017, the JAA did so.  In the absence of opposition it was on 5 June 2017 admitted as fourth </w:t>
      </w:r>
      <w:r w:rsidRPr="000A1996">
        <w:rPr>
          <w:i/>
        </w:rPr>
        <w:t>amicus curiae</w:t>
      </w:r>
      <w:r>
        <w:t xml:space="preserve"> and directed to file written submissions, to which the parties were invited to respond.  On 9 June 2017, the JAA filed written submissions.</w:t>
      </w:r>
    </w:p>
  </w:footnote>
  <w:footnote w:id="30">
    <w:p w:rsidR="0070352B" w:rsidRDefault="0070352B">
      <w:pPr>
        <w:pStyle w:val="FootnoteText"/>
      </w:pPr>
      <w:r>
        <w:rPr>
          <w:rStyle w:val="FootnoteReference"/>
        </w:rPr>
        <w:footnoteRef/>
      </w:r>
      <w:r>
        <w:t xml:space="preserve"> The JAA submitted that the conveyancer may be appointed by the buyer or the seller, but is the agent of the seller in transferring the property.  The conveyancer’s mandate is limited: the conveyancer does not resolve disputes, nor is the conveyancer the seller’s agent in relation to disclosure of representations made by the seller.  A conveyancer can apply for rates clearance figures on the seller’s behalf, but cannot know whether those figures are correct.  Further, some municipalities do not include details of the historical debt on their rates clearance figures since the municipality is not required to render “full and final” figures at the time of clearance.  The conveyancer cannot reveal the seller’s historical debt to the buyer because of the conveyancer’s duty of confidentiality to the seller – but not revealing this may be detrimental to the purchaser, and the conveyancer has a duty to the buyer and seller to act in both of their best interests.  This</w:t>
      </w:r>
      <w:r w:rsidR="00425605">
        <w:t>,</w:t>
      </w:r>
      <w:r>
        <w:t xml:space="preserve"> it said</w:t>
      </w:r>
      <w:r w:rsidR="00425605">
        <w:t>,</w:t>
      </w:r>
      <w:r>
        <w:t xml:space="preserve"> creates a conflict for the conveyancer.</w:t>
      </w:r>
    </w:p>
  </w:footnote>
  <w:footnote w:id="31">
    <w:p w:rsidR="0070352B" w:rsidRDefault="0070352B" w:rsidP="00C13548">
      <w:pPr>
        <w:pStyle w:val="FootnoteText1"/>
      </w:pPr>
      <w:r>
        <w:rPr>
          <w:rStyle w:val="FootnoteReference"/>
        </w:rPr>
        <w:footnoteRef/>
      </w:r>
      <w:r>
        <w:t xml:space="preserve"> </w:t>
      </w:r>
      <w:r w:rsidRPr="00C13548">
        <w:rPr>
          <w:i/>
        </w:rPr>
        <w:t>Municipality of Green Point v Powell’s Trustees</w:t>
      </w:r>
      <w:r>
        <w:t xml:space="preserve"> </w:t>
      </w:r>
      <w:r w:rsidRPr="00ED510E">
        <w:t>(18</w:t>
      </w:r>
      <w:r>
        <w:t>48</w:t>
      </w:r>
      <w:r w:rsidRPr="00ED510E">
        <w:t xml:space="preserve">) 2 Menz 380 </w:t>
      </w:r>
      <w:r w:rsidRPr="00D80739">
        <w:t>(</w:t>
      </w:r>
      <w:r w:rsidRPr="004221C0">
        <w:rPr>
          <w:i/>
        </w:rPr>
        <w:t>Green Point</w:t>
      </w:r>
      <w:r w:rsidRPr="00D80739">
        <w:t>)</w:t>
      </w:r>
      <w:r>
        <w:t>.</w:t>
      </w:r>
    </w:p>
  </w:footnote>
  <w:footnote w:id="32">
    <w:p w:rsidR="0070352B" w:rsidRDefault="0070352B" w:rsidP="00C13548">
      <w:pPr>
        <w:pStyle w:val="FootnoteText1"/>
      </w:pPr>
      <w:r>
        <w:rPr>
          <w:rStyle w:val="FootnoteReference"/>
        </w:rPr>
        <w:footnoteRef/>
      </w:r>
      <w:r>
        <w:t xml:space="preserve"> Ordinance No. 4 of 1839.</w:t>
      </w:r>
    </w:p>
  </w:footnote>
  <w:footnote w:id="33">
    <w:p w:rsidR="0070352B" w:rsidRDefault="0070352B" w:rsidP="00C13548">
      <w:pPr>
        <w:pStyle w:val="FootnoteText1"/>
      </w:pPr>
      <w:r>
        <w:rPr>
          <w:rStyle w:val="FootnoteReference"/>
        </w:rPr>
        <w:footnoteRef/>
      </w:r>
      <w:r>
        <w:t xml:space="preserve"> </w:t>
      </w:r>
      <w:r>
        <w:rPr>
          <w:i/>
        </w:rPr>
        <w:t xml:space="preserve">Green Point </w:t>
      </w:r>
      <w:r>
        <w:t>above n 31, per Wylde CJ and Menzies J; Musgrave J dissenting.</w:t>
      </w:r>
    </w:p>
  </w:footnote>
  <w:footnote w:id="34">
    <w:p w:rsidR="0070352B" w:rsidRDefault="0070352B" w:rsidP="00C13548">
      <w:pPr>
        <w:pStyle w:val="FootnoteText1"/>
      </w:pPr>
      <w:r>
        <w:rPr>
          <w:rStyle w:val="FootnoteReference"/>
        </w:rPr>
        <w:footnoteRef/>
      </w:r>
      <w:r>
        <w:t xml:space="preserve"> See </w:t>
      </w:r>
      <w:r>
        <w:rPr>
          <w:i/>
        </w:rPr>
        <w:t>Municipality of Mossel Bay v Holloway’s Trustee</w:t>
      </w:r>
      <w:r>
        <w:t xml:space="preserve"> (1884) 3 SC 50, where the municipality conceded that, under </w:t>
      </w:r>
      <w:r w:rsidRPr="0026771E">
        <w:rPr>
          <w:i/>
        </w:rPr>
        <w:t>Green Point</w:t>
      </w:r>
      <w:r>
        <w:t xml:space="preserve"> above n 31 the rates were not preferent, but tried to limit the decision’s impact, arguing that municipal rates are nevertheless “in the nature of </w:t>
      </w:r>
      <w:r w:rsidRPr="00F6063A">
        <w:t>rights</w:t>
      </w:r>
      <w:r w:rsidRPr="00F6063A">
        <w:rPr>
          <w:i/>
        </w:rPr>
        <w:t xml:space="preserve"> in rem</w:t>
      </w:r>
      <w:r>
        <w:t xml:space="preserve"> attaching to the property”.  The municipality sought to establish, not that its claim survived transfer, but only that it did not have to be proved in the land owner’s insolvency, but fell directly due, without being ensnared in the claims process.  For this purpose, the municipality urged, the rates, although not preferent, were “a burden running with the land”.  De Villiers CJ rejected this attempt to limit </w:t>
      </w:r>
      <w:r>
        <w:rPr>
          <w:i/>
        </w:rPr>
        <w:t xml:space="preserve">Green </w:t>
      </w:r>
      <w:r w:rsidRPr="00E85E74">
        <w:rPr>
          <w:i/>
        </w:rPr>
        <w:t>Point</w:t>
      </w:r>
      <w:r>
        <w:t xml:space="preserve">.  He </w:t>
      </w:r>
      <w:r w:rsidRPr="00E85E74">
        <w:t>held</w:t>
      </w:r>
      <w:r>
        <w:t xml:space="preserve"> that: “It is clear that if there is no preference there is no right </w:t>
      </w:r>
      <w:r w:rsidRPr="00F6063A">
        <w:rPr>
          <w:i/>
        </w:rPr>
        <w:t>in rem</w:t>
      </w:r>
      <w:r>
        <w:t xml:space="preserve">”.  Consequently municipal rates were not “in the nature of </w:t>
      </w:r>
      <w:r w:rsidRPr="00382901">
        <w:rPr>
          <w:i/>
        </w:rPr>
        <w:t>jura in rem</w:t>
      </w:r>
      <w:r>
        <w:t xml:space="preserve"> [real rights] attaching to the property”.  The municipality, therefore, had to prove its claim along with the rest of the creditors.</w:t>
      </w:r>
    </w:p>
  </w:footnote>
  <w:footnote w:id="35">
    <w:p w:rsidR="0070352B" w:rsidRDefault="0070352B" w:rsidP="00C13548">
      <w:pPr>
        <w:pStyle w:val="FootnoteText1"/>
      </w:pPr>
      <w:r>
        <w:rPr>
          <w:rStyle w:val="FootnoteReference"/>
        </w:rPr>
        <w:footnoteRef/>
      </w:r>
      <w:r>
        <w:t xml:space="preserve"> The Cape Court affirmed that, before special legislative provision to that effect</w:t>
      </w:r>
      <w:r w:rsidRPr="00621CAC">
        <w:t xml:space="preserve"> </w:t>
      </w:r>
      <w:r>
        <w:t xml:space="preserve">was introduced, municipalities enjoyed no “tacit hypothecation” for rates, and could not prevent transfer of land because rates arrears were unpaid: </w:t>
      </w:r>
      <w:r w:rsidRPr="0070352B">
        <w:t xml:space="preserve">see the summary of the position before the Divisional Councils Act 40 of 1889 (Cape) was enacted in </w:t>
      </w:r>
      <w:r w:rsidRPr="0070352B">
        <w:rPr>
          <w:i/>
        </w:rPr>
        <w:t xml:space="preserve">Smuts v Cathcart Divisional Council </w:t>
      </w:r>
      <w:r w:rsidRPr="0070352B">
        <w:t>(1896) 13 SC 359 at 362-3 (per de Villiers CJ).</w:t>
      </w:r>
      <w:r>
        <w:t xml:space="preserve">  The same decision affirmed that a municipality cannot refuse services to a new owner who tenders payment of rates he himself has incurred.  Nor could councils expand the “rates due” by refusing certification, and thus blocking transfer, so as to claim “all other arrear rates” (at 363).</w:t>
      </w:r>
    </w:p>
  </w:footnote>
  <w:footnote w:id="36">
    <w:p w:rsidR="0070352B" w:rsidRDefault="0070352B" w:rsidP="00C13548">
      <w:pPr>
        <w:pStyle w:val="FootnoteText1"/>
      </w:pPr>
      <w:r>
        <w:rPr>
          <w:rStyle w:val="FootnoteReference"/>
        </w:rPr>
        <w:footnoteRef/>
      </w:r>
      <w:r>
        <w:t xml:space="preserve"> Section 275 of the Divisional Councils Act 40 of 1889 (Cape) provided that: “Before passing transfer of any immovable property . . . every Registrar of Deeds shall require the production of a receipt or other voucher showing that the rates last due to the council upon such property have been paid”.  Section 99 of the Rural Council Act 33 of 1909 contained a similar provision.  See </w:t>
      </w:r>
      <w:r>
        <w:rPr>
          <w:i/>
        </w:rPr>
        <w:t>Union Government (Minister of Lands) v Cape Rural Council</w:t>
      </w:r>
      <w:r>
        <w:t xml:space="preserve"> 1912 CPD 857 at 859 (</w:t>
      </w:r>
      <w:r w:rsidRPr="00FD18BD">
        <w:rPr>
          <w:i/>
        </w:rPr>
        <w:t>Cape Rural Council</w:t>
      </w:r>
      <w:r>
        <w:t xml:space="preserve">).  Maasdorp JP observed at 863, citing </w:t>
      </w:r>
      <w:r>
        <w:rPr>
          <w:i/>
        </w:rPr>
        <w:t>Cape Divisional Council v Marais</w:t>
      </w:r>
      <w:r>
        <w:t xml:space="preserve"> 2 Buch AC 350, that it was “quite clear” that until the passing of the 1889 statute, divisional councils “had no tacit hypothecation in any shape or form in respect of any portion of their rates”.  The 1889 statute, however, imposed a duty upon the Registrar “which operated as a security for the payment of rates, and created a kind of statutory tacit hypothec” in favour of the divisional council.  But, he added (at 863-4), the “security of tacit hypothec” lasts “so long, and only so long” as the Registrar’s duty continues – making plain that there was no question that the municipality’s claim did not survive transfer to the new owner.  See, too, page 865, where </w:t>
      </w:r>
      <w:proofErr w:type="spellStart"/>
      <w:r>
        <w:t>Maasdorp</w:t>
      </w:r>
      <w:proofErr w:type="spellEnd"/>
      <w:r>
        <w:t xml:space="preserve"> JP makes clear that calling the municipality’s right a “tacit hypothec” was just “an illustration” – and that a right constituting “something more than a mere prohibition to pass transfer, something more than a mere duty imposed on the Registrar” was “certainly not vested” in the local authority, since the right did not remain intact once the Registrar had allowed transfer to pass.  Maasdorp JP goes on to reject an argument akin to that urged in this case regarding transmissibility, pointing out that if the contention were correct “the hypothec which under the earlier Act would, under ordinary circumstances, have lasted only for twelve months, would now in respect of the rates due inside the municipalities endure for the period of prescription” – that could not have been the legislature’s contemplation.</w:t>
      </w:r>
    </w:p>
  </w:footnote>
  <w:footnote w:id="37">
    <w:p w:rsidR="0070352B" w:rsidRDefault="0070352B" w:rsidP="00C13548">
      <w:pPr>
        <w:pStyle w:val="FootnoteText1"/>
      </w:pPr>
      <w:r>
        <w:rPr>
          <w:rStyle w:val="FootnoteReference"/>
        </w:rPr>
        <w:footnoteRef/>
      </w:r>
      <w:r>
        <w:t xml:space="preserve"> The term, which is picked up in later cases, including </w:t>
      </w:r>
      <w:r>
        <w:rPr>
          <w:i/>
        </w:rPr>
        <w:t xml:space="preserve">BOE Bank v City of Tshwane Metropolitan Municipality </w:t>
      </w:r>
      <w:r w:rsidRPr="00FD18BD">
        <w:t>[2005] ZASCA 21</w:t>
      </w:r>
      <w:r>
        <w:t>;</w:t>
      </w:r>
      <w:r w:rsidRPr="00FD18BD">
        <w:t xml:space="preserve"> </w:t>
      </w:r>
      <w:r>
        <w:t xml:space="preserve">2005 (4) SA 336 (SCA) at para 7, appears to have originated in the first-instance judgment of Curlewis J in </w:t>
      </w:r>
      <w:r>
        <w:rPr>
          <w:i/>
        </w:rPr>
        <w:t xml:space="preserve">Cohen’s Trustees v Johannesburg Municipality </w:t>
      </w:r>
      <w:r>
        <w:t xml:space="preserve">1909 TH 134 (overruled in </w:t>
      </w:r>
      <w:r>
        <w:rPr>
          <w:i/>
        </w:rPr>
        <w:t>Johannesburg Municipality v Cohen’s Trustees</w:t>
      </w:r>
      <w:r>
        <w:t xml:space="preserve"> 1909 TS 811 </w:t>
      </w:r>
      <w:r w:rsidRPr="00D01418">
        <w:t>(</w:t>
      </w:r>
      <w:r w:rsidRPr="004221C0">
        <w:rPr>
          <w:i/>
        </w:rPr>
        <w:t>Cohen’s Trustees</w:t>
      </w:r>
      <w:r w:rsidRPr="00D01418">
        <w:t>)</w:t>
      </w:r>
      <w:r>
        <w:t xml:space="preserve">).  Curlewis J said that the effect of section 26 of Ordinance 43 of 1903 “is to give the council an embargo or hold on property in respect of which rates have been imposed – something not wholly in the nature of either a lien or a hypothec but </w:t>
      </w:r>
      <w:r w:rsidRPr="00D97520">
        <w:rPr>
          <w:i/>
        </w:rPr>
        <w:t>sui generis</w:t>
      </w:r>
      <w:r>
        <w:t xml:space="preserve">, whereby the council practically obtains a preference over other creditors”, words Greenberg J later echoed in </w:t>
      </w:r>
      <w:r>
        <w:rPr>
          <w:i/>
        </w:rPr>
        <w:t xml:space="preserve">Rabie N.O. v Rand Townships Registrar </w:t>
      </w:r>
      <w:r>
        <w:t xml:space="preserve">1926 TPD 286 at 292.  In </w:t>
      </w:r>
      <w:r w:rsidRPr="00FD18BD">
        <w:rPr>
          <w:i/>
        </w:rPr>
        <w:t>Cape Rural Council</w:t>
      </w:r>
      <w:r>
        <w:t xml:space="preserve"> above n 36 at 867, McGregor AJ refers to the certificate as a “statutory voucher”.</w:t>
      </w:r>
    </w:p>
  </w:footnote>
  <w:footnote w:id="38">
    <w:p w:rsidR="0070352B" w:rsidRDefault="0070352B" w:rsidP="00C13548">
      <w:pPr>
        <w:pStyle w:val="FootnoteText1"/>
      </w:pPr>
      <w:r>
        <w:rPr>
          <w:rStyle w:val="FootnoteReference"/>
        </w:rPr>
        <w:footnoteRef/>
      </w:r>
      <w:r>
        <w:t xml:space="preserve"> </w:t>
      </w:r>
      <w:r>
        <w:rPr>
          <w:i/>
        </w:rPr>
        <w:t>Cohen’s Trustees</w:t>
      </w:r>
      <w:r>
        <w:t xml:space="preserve"> above n 37 per Innes CJ; Solomon J and Bristowe J concurring.  Ordinance 43 of 1903 appears to be the first local government legislation outside the Cape that imposed an embargo on transfer until arrears were squared.  Because the case was about whether “rates imposed” included interest, the retrospective period for which the certificate had to be issued does not appear.  Section 26 provided</w:t>
      </w:r>
      <w:r w:rsidR="00425605">
        <w:t>:</w:t>
      </w:r>
    </w:p>
    <w:p w:rsidR="0070352B" w:rsidRDefault="0070352B" w:rsidP="00C13548">
      <w:pPr>
        <w:pStyle w:val="QUOTEINFOOTNOTE"/>
      </w:pPr>
      <w:r>
        <w:t>“No transfer or cession of any rateable property shall be passed before any Registrar of Deeds or Registrar of Mining Rights or other Government official until the receipt or certificate signed by the Town Clerk or other person authorised by the Council shall be produced to such official for payment of the rates imposed on such property.”</w:t>
      </w:r>
    </w:p>
    <w:p w:rsidR="0070352B" w:rsidRDefault="0070352B" w:rsidP="00C13548">
      <w:pPr>
        <w:pStyle w:val="FootnoteText1"/>
      </w:pPr>
      <w:r>
        <w:t>Unlike later ordinances, the 1903 Ordinance contains no separate provision limiting the retrospective period for which arrears had to be certified as paid.</w:t>
      </w:r>
    </w:p>
    <w:p w:rsidR="0070352B" w:rsidRDefault="0070352B" w:rsidP="00C13548">
      <w:pPr>
        <w:pStyle w:val="FootnoteText1"/>
      </w:pPr>
      <w:r>
        <w:t>Section 47 of Ordinance 9 of 1912 afforded municipalities a “privilege of preventing transfer” (</w:t>
      </w:r>
      <w:r>
        <w:rPr>
          <w:i/>
        </w:rPr>
        <w:t xml:space="preserve">Rabie N.O. </w:t>
      </w:r>
      <w:r>
        <w:t>above n 37 at 291 per Greenberg J) regarding unpaid rates arrears “for a period of two years immediately preceding the date of application for transfer”.  The terms of section 47(b) of Ordinance 9 of 1912 are set out below n 41.  By contrast with the 1903 Ordinance, the 1912 Ordinance was the first to limit the municipal debts in respect of which a veto could be exercised to only the amounts that accrued during the two years immediately preceding the date of application for a transfer (du Plessis above n 23 at 511).</w:t>
      </w:r>
    </w:p>
  </w:footnote>
  <w:footnote w:id="39">
    <w:p w:rsidR="0070352B" w:rsidRDefault="0070352B">
      <w:pPr>
        <w:pStyle w:val="FootnoteText"/>
      </w:pPr>
      <w:r>
        <w:rPr>
          <w:rStyle w:val="FootnoteReference"/>
        </w:rPr>
        <w:footnoteRef/>
      </w:r>
      <w:r>
        <w:t xml:space="preserve"> Section 118 is set out in full above n 2.</w:t>
      </w:r>
    </w:p>
  </w:footnote>
  <w:footnote w:id="40">
    <w:p w:rsidR="0070352B" w:rsidRDefault="0070352B" w:rsidP="00C13548">
      <w:pPr>
        <w:pStyle w:val="FootnoteText1"/>
      </w:pPr>
      <w:r>
        <w:rPr>
          <w:rStyle w:val="FootnoteReference"/>
        </w:rPr>
        <w:footnoteRef/>
      </w:r>
      <w:r>
        <w:t xml:space="preserve"> In </w:t>
      </w:r>
      <w:r>
        <w:rPr>
          <w:i/>
        </w:rPr>
        <w:t>Cohen’s Trustees</w:t>
      </w:r>
      <w:r>
        <w:t xml:space="preserve"> </w:t>
      </w:r>
      <w:r w:rsidRPr="00FD18BD">
        <w:t>above n 3</w:t>
      </w:r>
      <w:r>
        <w:t xml:space="preserve">7, Innes CJ (who at 817 calls it a “clearance certificate”) states at 817 that the result of the provision was “to create, in effect, a very real and extensive preference over the proceeds of rateable property realised in insolvency”.  Solomon J said at 821 that the effect of the embargo provision was that “the council obtains a species of lien upon all rateable property and </w:t>
      </w:r>
      <w:r w:rsidRPr="00AD1AE2">
        <w:rPr>
          <w:i/>
        </w:rPr>
        <w:t>in case of the insolvency of the owner secures a preference over other creditors</w:t>
      </w:r>
      <w:r>
        <w:t>”. (Emphasis added.).</w:t>
      </w:r>
    </w:p>
  </w:footnote>
  <w:footnote w:id="41">
    <w:p w:rsidR="0070352B" w:rsidRDefault="0070352B" w:rsidP="00C13548">
      <w:pPr>
        <w:pStyle w:val="FootnoteText1"/>
      </w:pPr>
      <w:r>
        <w:rPr>
          <w:rStyle w:val="FootnoteReference"/>
        </w:rPr>
        <w:footnoteRef/>
      </w:r>
      <w:r>
        <w:t xml:space="preserve"> </w:t>
      </w:r>
      <w:r>
        <w:rPr>
          <w:i/>
        </w:rPr>
        <w:t xml:space="preserve">Rabie N.O. </w:t>
      </w:r>
      <w:r>
        <w:t xml:space="preserve">above n 37 dealt with section 47(b) Ordinance 9 of 1912.  This provided: “No transfer of any premises within a municipality shall be passed or </w:t>
      </w:r>
      <w:proofErr w:type="gramStart"/>
      <w:r>
        <w:t>registered .</w:t>
      </w:r>
      <w:proofErr w:type="gramEnd"/>
      <w:r>
        <w:t xml:space="preserve"> . . until a written statement . . . signed and certified by the town clerk or other officer authorised . . . shall be produced . . . nor unless such statement shows </w:t>
      </w:r>
      <w:r w:rsidRPr="008E62D2">
        <w:t>(b)</w:t>
      </w:r>
      <w:r>
        <w:t xml:space="preserve"> that all charges, if any, for a period of two years immediately preceding the date of application for transfer due in respect of such premises on account of rates . . . have been paid to the council”.</w:t>
      </w:r>
    </w:p>
    <w:p w:rsidR="0070352B" w:rsidRDefault="0070352B" w:rsidP="00C13548">
      <w:pPr>
        <w:pStyle w:val="FootnoteText1"/>
      </w:pPr>
      <w:r>
        <w:t xml:space="preserve">Greenberg J, in giving the judgment of the Court (Curlewis JP and Gey van Pittius J concurring), says at 289 this was “similar to” the provision in </w:t>
      </w:r>
      <w:r>
        <w:rPr>
          <w:i/>
        </w:rPr>
        <w:t>Cohen’s Trustees</w:t>
      </w:r>
      <w:r>
        <w:t xml:space="preserve">.  At 290 he distinguishes </w:t>
      </w:r>
      <w:r>
        <w:rPr>
          <w:i/>
        </w:rPr>
        <w:t>Cohen’s Trustees</w:t>
      </w:r>
      <w:r>
        <w:t xml:space="preserve"> as dealing with interest and illustrating “only” the practical result of the provision; the decision did not show “that the section creates a lien in the strict legal sense”.  It was argued that the right enabled the municipality to prevent the owner from “exercising one of the privileges of dominium” viz the right to transfer” (and thus that it had to be preferent; and like a </w:t>
      </w:r>
      <w:r w:rsidRPr="00F6063A">
        <w:rPr>
          <w:i/>
        </w:rPr>
        <w:t>jus retentionis</w:t>
      </w:r>
      <w:r>
        <w:t>) (at 290).</w:t>
      </w:r>
    </w:p>
  </w:footnote>
  <w:footnote w:id="42">
    <w:p w:rsidR="0070352B" w:rsidRPr="00D86977" w:rsidRDefault="0070352B">
      <w:pPr>
        <w:pStyle w:val="FootnoteText"/>
      </w:pPr>
      <w:r>
        <w:rPr>
          <w:rStyle w:val="FootnoteReference"/>
        </w:rPr>
        <w:footnoteRef/>
      </w:r>
      <w:r>
        <w:t xml:space="preserve"> Id per Greenberg J at 292.  The difficulty in conceptualising and tagging the right the statute conferred on a municipality was further explored in </w:t>
      </w:r>
      <w:r>
        <w:rPr>
          <w:i/>
        </w:rPr>
        <w:t xml:space="preserve">Bloemfontein Town Council v Estate Holtzman </w:t>
      </w:r>
      <w:r>
        <w:t>1936 OPD 134 (</w:t>
      </w:r>
      <w:r w:rsidRPr="004221C0">
        <w:rPr>
          <w:i/>
        </w:rPr>
        <w:t>Holtzman</w:t>
      </w:r>
      <w:r>
        <w:t>), where Fischer J expressed at 141 “</w:t>
      </w:r>
      <w:r w:rsidRPr="00041BD6">
        <w:t>an obvious difficulty in affixing a label to or defining them</w:t>
      </w:r>
      <w:r>
        <w:t xml:space="preserve">”, noting that they “have been described as being in the nature of a lien and as securing a preference on insolvency” (he calls it at 140 “the restraint on transfer section”).  </w:t>
      </w:r>
      <w:r>
        <w:rPr>
          <w:i/>
        </w:rPr>
        <w:t xml:space="preserve">Holtzman </w:t>
      </w:r>
      <w:r>
        <w:t>held at 142 that the provision in issue there did create a preference in favour of the municipality.</w:t>
      </w:r>
    </w:p>
  </w:footnote>
  <w:footnote w:id="43">
    <w:p w:rsidR="0070352B" w:rsidRDefault="0070352B">
      <w:pPr>
        <w:pStyle w:val="FootnoteText"/>
      </w:pPr>
      <w:r>
        <w:rPr>
          <w:rStyle w:val="FootnoteReference"/>
        </w:rPr>
        <w:footnoteRef/>
      </w:r>
      <w:r w:rsidRPr="00F6063A">
        <w:rPr>
          <w:i/>
        </w:rPr>
        <w:t>Rabie</w:t>
      </w:r>
      <w:r>
        <w:t xml:space="preserve"> </w:t>
      </w:r>
      <w:r w:rsidRPr="008E62D2">
        <w:rPr>
          <w:i/>
        </w:rPr>
        <w:t>N.O.</w:t>
      </w:r>
      <w:r>
        <w:rPr>
          <w:i/>
        </w:rPr>
        <w:t xml:space="preserve"> </w:t>
      </w:r>
      <w:r>
        <w:t>above n 37 at 290-1 (“No matter how small the claim for rates or how valuable the property, as long as the rates were unpaid there could be no execution” by another creditor).  Other provincial statutes expressly conferred a preferent right on municipalities.  An instance is article 6 of Chapter 87 of the Law Book of the Orange Free State, which provided that “</w:t>
      </w:r>
      <w:r w:rsidRPr="000C7328">
        <w:rPr>
          <w:i/>
        </w:rPr>
        <w:t>verschuldigde erfpacht en dorpsbelastingen zyn preferent voor alle andere vorderingen of verbanden op de gronden of erven en daaropstaande gebouwen</w:t>
      </w:r>
      <w:r>
        <w:t xml:space="preserve">” (as quoted by Fischer J in </w:t>
      </w:r>
      <w:proofErr w:type="spellStart"/>
      <w:r>
        <w:rPr>
          <w:i/>
        </w:rPr>
        <w:t>Holtzman</w:t>
      </w:r>
      <w:proofErr w:type="spellEnd"/>
      <w:r>
        <w:rPr>
          <w:i/>
        </w:rPr>
        <w:t xml:space="preserve"> </w:t>
      </w:r>
      <w:r>
        <w:t xml:space="preserve">above n 42 at 139).  Counsel’s argument in </w:t>
      </w:r>
      <w:r>
        <w:rPr>
          <w:i/>
        </w:rPr>
        <w:t xml:space="preserve">Holtzman </w:t>
      </w:r>
      <w:r>
        <w:t>asserted that the “Transvaal has no legislation” like article 6 of Chapter 87.</w:t>
      </w:r>
    </w:p>
  </w:footnote>
  <w:footnote w:id="44">
    <w:p w:rsidR="0070352B" w:rsidRPr="00D37B0D" w:rsidRDefault="0070352B">
      <w:pPr>
        <w:pStyle w:val="FootnoteText"/>
      </w:pPr>
      <w:r>
        <w:rPr>
          <w:rStyle w:val="FootnoteReference"/>
        </w:rPr>
        <w:footnoteRef/>
      </w:r>
      <w:r>
        <w:t xml:space="preserve"> The cases are discussed in Brits above n 22 at 397-8.</w:t>
      </w:r>
    </w:p>
  </w:footnote>
  <w:footnote w:id="45">
    <w:p w:rsidR="0070352B" w:rsidRDefault="0070352B">
      <w:pPr>
        <w:pStyle w:val="FootnoteText"/>
      </w:pPr>
      <w:r>
        <w:rPr>
          <w:rStyle w:val="FootnoteReference"/>
        </w:rPr>
        <w:footnoteRef/>
      </w:r>
      <w:r>
        <w:t xml:space="preserve"> Id at </w:t>
      </w:r>
      <w:r w:rsidRPr="008E62D2">
        <w:t>399</w:t>
      </w:r>
      <w:r>
        <w:t>.</w:t>
      </w:r>
    </w:p>
  </w:footnote>
  <w:footnote w:id="46">
    <w:p w:rsidR="0070352B" w:rsidRPr="00623DA2" w:rsidRDefault="0070352B">
      <w:pPr>
        <w:pStyle w:val="FootnoteText"/>
      </w:pPr>
      <w:r>
        <w:rPr>
          <w:rStyle w:val="FootnoteReference"/>
        </w:rPr>
        <w:footnoteRef/>
      </w:r>
      <w:r>
        <w:t xml:space="preserve"> Ordinance 17 of </w:t>
      </w:r>
      <w:r w:rsidRPr="0073607D">
        <w:t>1939</w:t>
      </w:r>
      <w:r>
        <w:t xml:space="preserve">, which came into effect on 1 December 1939: see </w:t>
      </w:r>
      <w:r>
        <w:rPr>
          <w:i/>
        </w:rPr>
        <w:t xml:space="preserve">Pretoria Stadsraad v Geregsbode, Landdrosdistrik van Pretoria </w:t>
      </w:r>
      <w:r>
        <w:t>1959 (1) SA 609 (T) at 613C-D (</w:t>
      </w:r>
      <w:r w:rsidRPr="004221C0">
        <w:rPr>
          <w:i/>
        </w:rPr>
        <w:t>Pretoria Stadsraad</w:t>
      </w:r>
      <w:r>
        <w:t xml:space="preserve">).  The </w:t>
      </w:r>
      <w:r>
        <w:rPr>
          <w:i/>
        </w:rPr>
        <w:t>Pretoria Stadsraad</w:t>
      </w:r>
      <w:r>
        <w:t xml:space="preserve"> decision, as well as </w:t>
      </w:r>
      <w:r>
        <w:rPr>
          <w:i/>
        </w:rPr>
        <w:t xml:space="preserve">Stadsraad van Pretoria v Letabakop Farming Operations (Pty) Ltd </w:t>
      </w:r>
      <w:r>
        <w:t>1981 (4) SA 911 (T), gave effect to the preference the 1939 Ordinance enacted.  Ackermann J in the latter case (O’Donovan J concurring) at 918C noted the “far-reaching effects” (</w:t>
      </w:r>
      <w:r>
        <w:rPr>
          <w:i/>
        </w:rPr>
        <w:t>verreikende gevolge</w:t>
      </w:r>
      <w:r>
        <w:t>) of the enactment of the Ordinance on the rights of registered mortgagees, whose claims had to bow before the municipality’s, because it had the power to embargo transfer.</w:t>
      </w:r>
    </w:p>
  </w:footnote>
  <w:footnote w:id="47">
    <w:p w:rsidR="0070352B" w:rsidRDefault="0070352B" w:rsidP="003A700B">
      <w:pPr>
        <w:pStyle w:val="FootnoteText"/>
      </w:pPr>
      <w:r>
        <w:rPr>
          <w:rStyle w:val="FootnoteReference"/>
        </w:rPr>
        <w:footnoteRef/>
      </w:r>
      <w:r>
        <w:t xml:space="preserve"> S</w:t>
      </w:r>
      <w:r w:rsidRPr="00AB54FF">
        <w:t>ection</w:t>
      </w:r>
      <w:r>
        <w:t xml:space="preserve"> 50</w:t>
      </w:r>
      <w:r w:rsidRPr="00AB54FF">
        <w:t>(2)(a)</w:t>
      </w:r>
      <w:r>
        <w:t xml:space="preserve"> of the Ordinance.</w:t>
      </w:r>
    </w:p>
  </w:footnote>
  <w:footnote w:id="48">
    <w:p w:rsidR="0070352B" w:rsidRDefault="0070352B">
      <w:pPr>
        <w:pStyle w:val="FootnoteText"/>
      </w:pPr>
      <w:r>
        <w:rPr>
          <w:rStyle w:val="FootnoteReference"/>
        </w:rPr>
        <w:footnoteRef/>
      </w:r>
      <w:r>
        <w:t xml:space="preserve"> The Ordinance was amended by section 47 of Ordinance 11 of 1977.  This extended the period from two to three years.  It also changed the text of the charge provision from “charge upon the premises” to “charge upon the land”.  The new section 50(3) read:</w:t>
      </w:r>
    </w:p>
    <w:p w:rsidR="0070352B" w:rsidRDefault="0070352B" w:rsidP="007238BA">
      <w:pPr>
        <w:pStyle w:val="QUOTEINFOOTNOTE"/>
      </w:pPr>
      <w:r>
        <w:t>“Any amount due in terms of paragraph (a), (b), (c) or (d) of subsection (1) shall be a charge upon the land or right in land in respect of which such amount is owing and shall, subject to the provisions of section 142(6), be preferent to any mortgage bond registered against such land or right in land subsequent to the coming into operation of this Ordinance.”</w:t>
      </w:r>
    </w:p>
  </w:footnote>
  <w:footnote w:id="49">
    <w:p w:rsidR="0070352B" w:rsidRPr="00F61D4C" w:rsidRDefault="0070352B" w:rsidP="00F61D4C">
      <w:pPr>
        <w:pStyle w:val="FootnoteText"/>
      </w:pPr>
      <w:r>
        <w:rPr>
          <w:rStyle w:val="FootnoteReference"/>
        </w:rPr>
        <w:footnoteRef/>
      </w:r>
      <w:r>
        <w:t xml:space="preserve"> Du Plessis above n 23 at 570 calls section 50(1) of the 1939 Ordinance “the normative </w:t>
      </w:r>
      <w:proofErr w:type="gramStart"/>
      <w:r>
        <w:rPr>
          <w:i/>
        </w:rPr>
        <w:t>fons</w:t>
      </w:r>
      <w:proofErr w:type="gramEnd"/>
      <w:r>
        <w:rPr>
          <w:i/>
        </w:rPr>
        <w:t xml:space="preserve"> et origo</w:t>
      </w:r>
      <w:r>
        <w:t>” of the veto.</w:t>
      </w:r>
    </w:p>
  </w:footnote>
  <w:footnote w:id="50">
    <w:p w:rsidR="0070352B" w:rsidRDefault="0070352B" w:rsidP="00C13548">
      <w:pPr>
        <w:pStyle w:val="FootnoteText1"/>
      </w:pPr>
      <w:r>
        <w:rPr>
          <w:rStyle w:val="FootnoteReference"/>
        </w:rPr>
        <w:footnoteRef/>
      </w:r>
      <w:r>
        <w:t xml:space="preserve"> The imposition of the preference was not retrospective: the provision operated only “</w:t>
      </w:r>
      <w:r w:rsidRPr="00DF50C9">
        <w:t>subsequent to the coming i</w:t>
      </w:r>
      <w:r>
        <w:t>nto operation of this Ordinance”.</w:t>
      </w:r>
    </w:p>
  </w:footnote>
  <w:footnote w:id="51">
    <w:p w:rsidR="0070352B" w:rsidRDefault="0070352B" w:rsidP="00C13548">
      <w:pPr>
        <w:pStyle w:val="FootnoteText1"/>
      </w:pPr>
      <w:r>
        <w:rPr>
          <w:rStyle w:val="FootnoteReference"/>
        </w:rPr>
        <w:footnoteRef/>
      </w:r>
      <w:r>
        <w:t xml:space="preserve"> Brits “Why the security provision in section 118(3) of the Local Government: Municipal Systems Act 32 of 2000 is not enforceable against successors in title” (2017) </w:t>
      </w:r>
      <w:r w:rsidRPr="00041BD6">
        <w:t>28</w:t>
      </w:r>
      <w:r>
        <w:t xml:space="preserve"> </w:t>
      </w:r>
      <w:r w:rsidRPr="000F2BE0">
        <w:rPr>
          <w:i/>
        </w:rPr>
        <w:t xml:space="preserve">Stell </w:t>
      </w:r>
      <w:r>
        <w:rPr>
          <w:i/>
        </w:rPr>
        <w:t>L</w:t>
      </w:r>
      <w:r w:rsidRPr="000F2BE0">
        <w:rPr>
          <w:i/>
        </w:rPr>
        <w:t>R</w:t>
      </w:r>
      <w:r>
        <w:t xml:space="preserve"> 47 at 50 points to the differences between section 118(3) and its predecessors.</w:t>
      </w:r>
    </w:p>
  </w:footnote>
  <w:footnote w:id="52">
    <w:p w:rsidR="0070352B" w:rsidRDefault="0070352B" w:rsidP="00C13548">
      <w:pPr>
        <w:pStyle w:val="FootnoteText1"/>
      </w:pPr>
      <w:r>
        <w:rPr>
          <w:rStyle w:val="FootnoteReference"/>
        </w:rPr>
        <w:footnoteRef/>
      </w:r>
      <w:r>
        <w:t xml:space="preserve"> </w:t>
      </w:r>
      <w:r w:rsidRPr="00DE4CB8">
        <w:t>When enacted, section 50(1)(b) of Ordinance 17 of 1939 required that the certificate cover “all charges, if any, for a period of two years immediately preceding the date of application for transfer”.  Section 47 of Ordinance 11 of 1977 later amended the period to read “three years”.</w:t>
      </w:r>
      <w:r>
        <w:t xml:space="preserve">  See above n 48.</w:t>
      </w:r>
    </w:p>
  </w:footnote>
  <w:footnote w:id="53">
    <w:p w:rsidR="0070352B" w:rsidRDefault="0070352B" w:rsidP="00C13548">
      <w:pPr>
        <w:pStyle w:val="FootnoteText1"/>
      </w:pPr>
      <w:r>
        <w:rPr>
          <w:rStyle w:val="FootnoteReference"/>
        </w:rPr>
        <w:footnoteRef/>
      </w:r>
      <w:r>
        <w:t xml:space="preserve"> Section 168 of the </w:t>
      </w:r>
      <w:r w:rsidRPr="008F6BE6">
        <w:t>N</w:t>
      </w:r>
      <w:r>
        <w:t>atal</w:t>
      </w:r>
      <w:r w:rsidRPr="008F6BE6">
        <w:t xml:space="preserve"> Local</w:t>
      </w:r>
      <w:r>
        <w:t xml:space="preserve"> Authorities Ordinance 25 of 197</w:t>
      </w:r>
      <w:r w:rsidRPr="008F6BE6">
        <w:t>4</w:t>
      </w:r>
      <w:r>
        <w:t xml:space="preserve"> was similarly circumscribed in its effect.  It provided</w:t>
      </w:r>
      <w:r w:rsidRPr="008F6BE6">
        <w:t xml:space="preserve"> that rates “shall be a charge upon the property the subject thereof </w:t>
      </w:r>
      <w:r w:rsidRPr="00435EBA">
        <w:rPr>
          <w:i/>
        </w:rPr>
        <w:t>and shall be payable by the owner</w:t>
      </w:r>
      <w:r w:rsidRPr="008F6BE6">
        <w:t xml:space="preserve"> of such property”</w:t>
      </w:r>
      <w:r>
        <w:t xml:space="preserve">. (Emphasis added.).  Section 175 of the same Ordinance conferred a power of embargo on local authorities.  The Natal Ordinance was </w:t>
      </w:r>
      <w:r w:rsidRPr="004259E3">
        <w:t>repealed by s</w:t>
      </w:r>
      <w:r>
        <w:t>ection</w:t>
      </w:r>
      <w:r w:rsidRPr="004259E3">
        <w:t xml:space="preserve"> 95 of Act 6 of 2004</w:t>
      </w:r>
      <w:r>
        <w:t xml:space="preserve">, which </w:t>
      </w:r>
      <w:r w:rsidRPr="004259E3">
        <w:t>repealed Part 6 (sec</w:t>
      </w:r>
      <w:r>
        <w:t>tions </w:t>
      </w:r>
      <w:r w:rsidRPr="004259E3">
        <w:t>148-75) of Chapter X</w:t>
      </w:r>
      <w:r>
        <w:t xml:space="preserve"> of the Ordinance.</w:t>
      </w:r>
    </w:p>
    <w:p w:rsidR="0070352B" w:rsidRDefault="0070352B" w:rsidP="00C13548">
      <w:pPr>
        <w:pStyle w:val="FootnoteText1"/>
      </w:pPr>
      <w:r>
        <w:t xml:space="preserve">Section 119 of the Orange Free State Local Government Ordinance 8 of 1962 provided only an embargo or veto power, but no hypothec.  See, too, sections 88 and 96 of the Cape Municipal Ordinance.  </w:t>
      </w:r>
      <w:proofErr w:type="gramStart"/>
      <w:r>
        <w:t>(Du Plessis above n 23 at 511.)</w:t>
      </w:r>
      <w:proofErr w:type="gramEnd"/>
    </w:p>
  </w:footnote>
  <w:footnote w:id="54">
    <w:p w:rsidR="0070352B" w:rsidRPr="009355C3" w:rsidRDefault="0070352B">
      <w:pPr>
        <w:pStyle w:val="FootnoteText"/>
      </w:pPr>
      <w:r>
        <w:rPr>
          <w:rStyle w:val="FootnoteReference"/>
        </w:rPr>
        <w:footnoteRef/>
      </w:r>
      <w:r>
        <w:t xml:space="preserve"> The history of the provision is set out in du Plessis above n 23 at 509-12.</w:t>
      </w:r>
    </w:p>
  </w:footnote>
  <w:footnote w:id="55">
    <w:p w:rsidR="0070352B" w:rsidRPr="00CB0D98" w:rsidRDefault="0070352B">
      <w:pPr>
        <w:pStyle w:val="FootnoteText"/>
      </w:pPr>
      <w:r>
        <w:rPr>
          <w:rStyle w:val="FootnoteReference"/>
        </w:rPr>
        <w:footnoteRef/>
      </w:r>
      <w:r>
        <w:t xml:space="preserve"> The statutory predecessors of section 118 are set out in </w:t>
      </w:r>
      <w:r w:rsidRPr="00D52782">
        <w:rPr>
          <w:i/>
        </w:rPr>
        <w:t>Kaplan</w:t>
      </w:r>
      <w:r>
        <w:t xml:space="preserve"> above n 28 at paras 14-22.</w:t>
      </w:r>
    </w:p>
  </w:footnote>
  <w:footnote w:id="56">
    <w:p w:rsidR="0070352B" w:rsidRDefault="0070352B">
      <w:pPr>
        <w:pStyle w:val="FootnoteText"/>
      </w:pPr>
      <w:r>
        <w:rPr>
          <w:rStyle w:val="FootnoteReference"/>
        </w:rPr>
        <w:footnoteRef/>
      </w:r>
      <w:r>
        <w:t xml:space="preserve"> The Supreme Court of Appeal rebuffed attempts to create a link between subsections (1) and (2) by importing a two-year limit into section 118(3) in both </w:t>
      </w:r>
      <w:r w:rsidRPr="00773655">
        <w:rPr>
          <w:i/>
          <w:szCs w:val="26"/>
        </w:rPr>
        <w:t xml:space="preserve">BOE Bank </w:t>
      </w:r>
      <w:r w:rsidRPr="00D52782">
        <w:rPr>
          <w:szCs w:val="26"/>
        </w:rPr>
        <w:t>above n 37</w:t>
      </w:r>
      <w:r>
        <w:rPr>
          <w:szCs w:val="26"/>
        </w:rPr>
        <w:t xml:space="preserve"> and </w:t>
      </w:r>
      <w:r>
        <w:rPr>
          <w:i/>
        </w:rPr>
        <w:t xml:space="preserve">Kaplan </w:t>
      </w:r>
      <w:r w:rsidRPr="00D52782">
        <w:t xml:space="preserve">above n </w:t>
      </w:r>
      <w:r>
        <w:t>28.</w:t>
      </w:r>
    </w:p>
  </w:footnote>
  <w:footnote w:id="57">
    <w:p w:rsidR="0070352B" w:rsidRDefault="0070352B" w:rsidP="009A5043">
      <w:pPr>
        <w:pStyle w:val="FootnoteText"/>
      </w:pPr>
      <w:r>
        <w:rPr>
          <w:rStyle w:val="FootnoteReference"/>
        </w:rPr>
        <w:footnoteRef/>
      </w:r>
      <w:r>
        <w:t xml:space="preserve"> </w:t>
      </w:r>
      <w:proofErr w:type="gramStart"/>
      <w:r w:rsidRPr="00773655">
        <w:rPr>
          <w:i/>
          <w:szCs w:val="26"/>
        </w:rPr>
        <w:t xml:space="preserve">BOE Bank </w:t>
      </w:r>
      <w:r w:rsidRPr="00D52782">
        <w:rPr>
          <w:szCs w:val="26"/>
        </w:rPr>
        <w:t>above n 37 at</w:t>
      </w:r>
      <w:r>
        <w:rPr>
          <w:szCs w:val="26"/>
        </w:rPr>
        <w:t xml:space="preserve"> para 7.</w:t>
      </w:r>
      <w:proofErr w:type="gramEnd"/>
    </w:p>
  </w:footnote>
  <w:footnote w:id="58">
    <w:p w:rsidR="0070352B" w:rsidRDefault="0070352B" w:rsidP="00D97AEE">
      <w:pPr>
        <w:pStyle w:val="FootnoteText"/>
      </w:pPr>
      <w:r>
        <w:rPr>
          <w:rStyle w:val="FootnoteReference"/>
        </w:rPr>
        <w:footnoteRef/>
      </w:r>
      <w:r>
        <w:t xml:space="preserve"> Instancing the omission of the two-year time limit in section 118(3), du Plessis above n 23 at 528 considers section 118, though “substantially similar to most of its predecessors in apartheid era provincial ordinances”, to be “actually . . . more of an encroachment on property rights than most of its predecessors”.</w:t>
      </w:r>
    </w:p>
  </w:footnote>
  <w:footnote w:id="59">
    <w:p w:rsidR="0070352B" w:rsidRDefault="0070352B" w:rsidP="00C13548">
      <w:pPr>
        <w:pStyle w:val="FootnoteText1"/>
      </w:pPr>
      <w:r>
        <w:rPr>
          <w:rStyle w:val="FootnoteReference"/>
        </w:rPr>
        <w:footnoteRef/>
      </w:r>
      <w:r>
        <w:t xml:space="preserve"> </w:t>
      </w:r>
      <w:r w:rsidRPr="00FC54CB">
        <w:t xml:space="preserve"> </w:t>
      </w:r>
      <w:r w:rsidRPr="00026D3E">
        <w:rPr>
          <w:color w:val="000000" w:themeColor="text1"/>
        </w:rPr>
        <w:t>This is thirty years for “any debt in respect of any taxation imposed or levied by or under any law” (section</w:t>
      </w:r>
      <w:r>
        <w:rPr>
          <w:color w:val="000000" w:themeColor="text1"/>
        </w:rPr>
        <w:t> </w:t>
      </w:r>
      <w:r w:rsidRPr="00026D3E">
        <w:rPr>
          <w:color w:val="000000" w:themeColor="text1"/>
        </w:rPr>
        <w:t xml:space="preserve">11(a)(iii) of the Prescription Act 68 of 1969), which appears to include municipal rates and, possibly, sewer and refuse charges (see </w:t>
      </w:r>
      <w:r w:rsidRPr="00026D3E">
        <w:rPr>
          <w:rStyle w:val="Emphasis"/>
          <w:b w:val="0"/>
          <w:i/>
          <w:color w:val="000000" w:themeColor="text1"/>
        </w:rPr>
        <w:t>Alberts</w:t>
      </w:r>
      <w:r w:rsidRPr="00026D3E">
        <w:rPr>
          <w:rStyle w:val="st1"/>
          <w:i/>
          <w:color w:val="000000" w:themeColor="text1"/>
        </w:rPr>
        <w:t xml:space="preserve"> v Roodepoort Maraisburg Municipality</w:t>
      </w:r>
      <w:r w:rsidRPr="00026D3E">
        <w:rPr>
          <w:rStyle w:val="st1"/>
          <w:color w:val="000000" w:themeColor="text1"/>
        </w:rPr>
        <w:t xml:space="preserve"> </w:t>
      </w:r>
      <w:r w:rsidRPr="00026D3E">
        <w:rPr>
          <w:rStyle w:val="Emphasis"/>
          <w:b w:val="0"/>
          <w:color w:val="000000" w:themeColor="text1"/>
        </w:rPr>
        <w:t xml:space="preserve">1921 TPD 133; </w:t>
      </w:r>
      <w:r w:rsidRPr="00026D3E">
        <w:rPr>
          <w:rStyle w:val="st1"/>
          <w:i/>
          <w:color w:val="000000" w:themeColor="text1"/>
        </w:rPr>
        <w:t xml:space="preserve">City of Johannesburg v </w:t>
      </w:r>
      <w:r w:rsidRPr="00026D3E">
        <w:rPr>
          <w:rStyle w:val="Emphasis"/>
          <w:b w:val="0"/>
          <w:i/>
          <w:color w:val="000000" w:themeColor="text1"/>
        </w:rPr>
        <w:t>Renzon</w:t>
      </w:r>
      <w:r w:rsidRPr="00026D3E">
        <w:rPr>
          <w:rStyle w:val="st1"/>
          <w:i/>
          <w:color w:val="000000" w:themeColor="text1"/>
        </w:rPr>
        <w:t xml:space="preserve"> and </w:t>
      </w:r>
      <w:r w:rsidRPr="00026D3E">
        <w:rPr>
          <w:rStyle w:val="Emphasis"/>
          <w:b w:val="0"/>
          <w:i/>
          <w:color w:val="000000" w:themeColor="text1"/>
        </w:rPr>
        <w:t>Sons</w:t>
      </w:r>
      <w:r w:rsidRPr="00026D3E">
        <w:rPr>
          <w:rStyle w:val="st1"/>
          <w:i/>
          <w:color w:val="000000" w:themeColor="text1"/>
        </w:rPr>
        <w:t xml:space="preserve"> (Pty) Ltd</w:t>
      </w:r>
      <w:r w:rsidRPr="00026D3E">
        <w:rPr>
          <w:rStyle w:val="st1"/>
          <w:color w:val="000000" w:themeColor="text1"/>
        </w:rPr>
        <w:t xml:space="preserve"> </w:t>
      </w:r>
      <w:r w:rsidRPr="00026D3E">
        <w:rPr>
          <w:rStyle w:val="Emphasis"/>
          <w:b w:val="0"/>
          <w:color w:val="000000" w:themeColor="text1"/>
        </w:rPr>
        <w:t>2010</w:t>
      </w:r>
      <w:r w:rsidRPr="00026D3E">
        <w:rPr>
          <w:rStyle w:val="st1"/>
          <w:color w:val="000000" w:themeColor="text1"/>
        </w:rPr>
        <w:t xml:space="preserve"> (</w:t>
      </w:r>
      <w:r w:rsidRPr="00026D3E">
        <w:rPr>
          <w:rStyle w:val="Emphasis"/>
          <w:b w:val="0"/>
          <w:color w:val="000000" w:themeColor="text1"/>
        </w:rPr>
        <w:t>1</w:t>
      </w:r>
      <w:r w:rsidRPr="00026D3E">
        <w:rPr>
          <w:rStyle w:val="st1"/>
          <w:color w:val="000000" w:themeColor="text1"/>
        </w:rPr>
        <w:t xml:space="preserve">) </w:t>
      </w:r>
      <w:r w:rsidRPr="00026D3E">
        <w:rPr>
          <w:rStyle w:val="Emphasis"/>
          <w:b w:val="0"/>
          <w:color w:val="000000" w:themeColor="text1"/>
        </w:rPr>
        <w:t>SA</w:t>
      </w:r>
      <w:r w:rsidRPr="00026D3E">
        <w:rPr>
          <w:rStyle w:val="st1"/>
          <w:color w:val="000000" w:themeColor="text1"/>
        </w:rPr>
        <w:t xml:space="preserve"> 216 (</w:t>
      </w:r>
      <w:r w:rsidRPr="00026D3E">
        <w:rPr>
          <w:rStyle w:val="Emphasis"/>
          <w:b w:val="0"/>
          <w:color w:val="000000" w:themeColor="text1"/>
        </w:rPr>
        <w:t>W</w:t>
      </w:r>
      <w:r w:rsidRPr="00026D3E">
        <w:rPr>
          <w:color w:val="000000" w:themeColor="text1"/>
        </w:rPr>
        <w:t>)) and three years in respect of electricity and water charges (section 11(d) of th</w:t>
      </w:r>
      <w:r>
        <w:rPr>
          <w:color w:val="000000" w:themeColor="text1"/>
        </w:rPr>
        <w:t>at</w:t>
      </w:r>
      <w:r w:rsidRPr="00026D3E">
        <w:rPr>
          <w:color w:val="000000" w:themeColor="text1"/>
        </w:rPr>
        <w:t xml:space="preserve"> Act).</w:t>
      </w:r>
    </w:p>
  </w:footnote>
  <w:footnote w:id="60">
    <w:p w:rsidR="0070352B" w:rsidRDefault="0070352B">
      <w:pPr>
        <w:pStyle w:val="FootnoteText"/>
      </w:pPr>
      <w:r>
        <w:rPr>
          <w:rStyle w:val="FootnoteReference"/>
        </w:rPr>
        <w:footnoteRef/>
      </w:r>
      <w:r>
        <w:t xml:space="preserve"> Discussed but rejected by Brits, “The statutory security right in section 118(3) of the Local Government: Municipal Systems Act 32 of 2000 – does it survive transfer of the land?” (2014) 25 </w:t>
      </w:r>
      <w:r w:rsidRPr="000F2BE0">
        <w:rPr>
          <w:i/>
        </w:rPr>
        <w:t xml:space="preserve">Stell </w:t>
      </w:r>
      <w:r>
        <w:rPr>
          <w:i/>
        </w:rPr>
        <w:t>L</w:t>
      </w:r>
      <w:r w:rsidRPr="000F2BE0">
        <w:rPr>
          <w:i/>
        </w:rPr>
        <w:t>R</w:t>
      </w:r>
      <w:r>
        <w:t xml:space="preserve"> 536 at 542-3.</w:t>
      </w:r>
    </w:p>
  </w:footnote>
  <w:footnote w:id="61">
    <w:p w:rsidR="0070352B" w:rsidRPr="00C76647" w:rsidRDefault="0070352B">
      <w:pPr>
        <w:pStyle w:val="FootnoteText"/>
      </w:pPr>
      <w:r>
        <w:rPr>
          <w:rStyle w:val="FootnoteReference"/>
        </w:rPr>
        <w:footnoteRef/>
      </w:r>
      <w:r>
        <w:t xml:space="preserve"> It has been said, rightly, that the decisions of this Court indicate that the Constitution “requires a fundamental shift from abstract, rights-based, to contextual, non-hierarchical thinking about property rights”: Van der Walt </w:t>
      </w:r>
      <w:r w:rsidRPr="00F87D0E">
        <w:rPr>
          <w:i/>
        </w:rPr>
        <w:t>Constitutional Property Law</w:t>
      </w:r>
      <w:r w:rsidRPr="00041BD6">
        <w:t>,</w:t>
      </w:r>
      <w:r>
        <w:t xml:space="preserve"> 3 </w:t>
      </w:r>
      <w:proofErr w:type="spellStart"/>
      <w:proofErr w:type="gramStart"/>
      <w:r>
        <w:t>ed</w:t>
      </w:r>
      <w:proofErr w:type="spellEnd"/>
      <w:proofErr w:type="gramEnd"/>
      <w:r>
        <w:t xml:space="preserve"> (</w:t>
      </w:r>
      <w:proofErr w:type="spellStart"/>
      <w:r>
        <w:t>Juta</w:t>
      </w:r>
      <w:proofErr w:type="spellEnd"/>
      <w:r>
        <w:t xml:space="preserve"> &amp; Co Ltd, Cape Town 2011) at 521.  See, most recently, </w:t>
      </w:r>
      <w:r w:rsidRPr="00252D2C">
        <w:rPr>
          <w:i/>
        </w:rPr>
        <w:t>Daniels v Scribante</w:t>
      </w:r>
      <w:r w:rsidRPr="00D72D67">
        <w:t xml:space="preserve"> [2017] ZACC 13</w:t>
      </w:r>
      <w:r>
        <w:t>,</w:t>
      </w:r>
      <w:r w:rsidRPr="00D72D67">
        <w:t xml:space="preserve"> </w:t>
      </w:r>
      <w:r w:rsidRPr="00A24EA8">
        <w:t>2017 (4) SA 341 (CC); 2017 (8) BCLR 949 (CC)</w:t>
      </w:r>
      <w:r>
        <w:t>.</w:t>
      </w:r>
    </w:p>
  </w:footnote>
  <w:footnote w:id="62">
    <w:p w:rsidR="0070352B" w:rsidRDefault="0070352B">
      <w:pPr>
        <w:pStyle w:val="FootnoteText"/>
      </w:pPr>
      <w:r>
        <w:rPr>
          <w:rStyle w:val="FootnoteReference"/>
        </w:rPr>
        <w:footnoteRef/>
      </w:r>
      <w:r>
        <w:t xml:space="preserve"> When a statute employs concepts and phrases familiar to the common law or previous statutes, the presumption that legislation is enacted against the background of the common law setting in which it takes effect (expressed as “the legislator is presumed to know the common law”) operates.  Du Plessis and de Ville, </w:t>
      </w:r>
      <w:r>
        <w:rPr>
          <w:i/>
        </w:rPr>
        <w:t xml:space="preserve">Constitutional and Statutory Interpretation </w:t>
      </w:r>
      <w:r>
        <w:t>(</w:t>
      </w:r>
      <w:proofErr w:type="spellStart"/>
      <w:r>
        <w:t>Interdoc</w:t>
      </w:r>
      <w:proofErr w:type="spellEnd"/>
      <w:r>
        <w:t xml:space="preserve"> Consultants, Johannesburg 2000) is a useful practical aid to meaning.</w:t>
      </w:r>
    </w:p>
  </w:footnote>
  <w:footnote w:id="63">
    <w:p w:rsidR="0070352B" w:rsidRPr="00252D8D" w:rsidRDefault="0070352B">
      <w:pPr>
        <w:pStyle w:val="FootnoteText"/>
      </w:pPr>
      <w:r>
        <w:rPr>
          <w:rStyle w:val="FootnoteReference"/>
        </w:rPr>
        <w:footnoteRef/>
      </w:r>
      <w:r>
        <w:t xml:space="preserve"> Nor is there any magic in calling the charge a “hypothec”.  Both words convey a right of security realisable against property, as opposed to a personal claim only against the debtor.  </w:t>
      </w:r>
      <w:proofErr w:type="spellStart"/>
      <w:r>
        <w:t>Sohm</w:t>
      </w:r>
      <w:proofErr w:type="spellEnd"/>
      <w:r>
        <w:t xml:space="preserve"> in </w:t>
      </w:r>
      <w:proofErr w:type="spellStart"/>
      <w:r w:rsidRPr="0044210E">
        <w:rPr>
          <w:i/>
        </w:rPr>
        <w:t>Sohm’s</w:t>
      </w:r>
      <w:proofErr w:type="spellEnd"/>
      <w:r w:rsidRPr="0044210E">
        <w:rPr>
          <w:i/>
        </w:rPr>
        <w:t xml:space="preserve"> Institutes of Roman Law</w:t>
      </w:r>
      <w:r>
        <w:t xml:space="preserve"> 3 ed (</w:t>
      </w:r>
      <w:r w:rsidRPr="0010450E">
        <w:t>OUP, Cape Town, 1907</w:t>
      </w:r>
      <w:r>
        <w:t xml:space="preserve">) at 354 claims that the hypothec or real right of security “was borrowed, both in name and in substance, from Greek law”, but Thomas in </w:t>
      </w:r>
      <w:r>
        <w:rPr>
          <w:i/>
        </w:rPr>
        <w:t xml:space="preserve">Textbook of Roman Law </w:t>
      </w:r>
      <w:r>
        <w:t>(</w:t>
      </w:r>
      <w:r w:rsidRPr="0010450E">
        <w:t>North-Holland Publishing Company, Amsterdam/New York/Oxford</w:t>
      </w:r>
      <w:r>
        <w:t>, 1976) at 332 bluntly asserts the opposite: the institution, “despite its Greek name, was of Roman origin”.</w:t>
      </w:r>
    </w:p>
  </w:footnote>
  <w:footnote w:id="64">
    <w:p w:rsidR="0070352B" w:rsidRPr="002A103D" w:rsidRDefault="0070352B">
      <w:pPr>
        <w:pStyle w:val="FootnoteText"/>
      </w:pPr>
      <w:r>
        <w:rPr>
          <w:rStyle w:val="FootnoteReference"/>
        </w:rPr>
        <w:footnoteRef/>
      </w:r>
      <w:r>
        <w:t xml:space="preserve"> See </w:t>
      </w:r>
      <w:r>
        <w:rPr>
          <w:i/>
        </w:rPr>
        <w:t xml:space="preserve">Irwin v Davies </w:t>
      </w:r>
      <w:r>
        <w:t xml:space="preserve">1937 CPD 442 at 447.  There, Davis J held that a “first charge” meant that assets were so bound that the debt owed “is to come out of them in priority to any other debts”, and quoted </w:t>
      </w:r>
      <w:r w:rsidRPr="00C90375">
        <w:rPr>
          <w:i/>
        </w:rPr>
        <w:t>Sweet’s Law Dictionary</w:t>
      </w:r>
      <w:r>
        <w:t xml:space="preserve"> to the effect that a charge on property signifies that the property is security for the payment of a debt or the performance of an obligation.</w:t>
      </w:r>
    </w:p>
  </w:footnote>
  <w:footnote w:id="65">
    <w:p w:rsidR="0070352B" w:rsidRDefault="0070352B">
      <w:pPr>
        <w:pStyle w:val="FootnoteText"/>
      </w:pPr>
      <w:r>
        <w:rPr>
          <w:rStyle w:val="FootnoteReference"/>
        </w:rPr>
        <w:footnoteRef/>
      </w:r>
      <w:r>
        <w:t xml:space="preserve"> </w:t>
      </w:r>
      <w:r w:rsidRPr="00E86D78">
        <w:rPr>
          <w:i/>
        </w:rPr>
        <w:t>Kaplan</w:t>
      </w:r>
      <w:r>
        <w:t xml:space="preserve"> above n 28 at para 26.</w:t>
      </w:r>
    </w:p>
  </w:footnote>
  <w:footnote w:id="66">
    <w:p w:rsidR="0070352B" w:rsidRDefault="0070352B">
      <w:pPr>
        <w:pStyle w:val="FootnoteText"/>
      </w:pPr>
      <w:r>
        <w:rPr>
          <w:rStyle w:val="FootnoteReference"/>
        </w:rPr>
        <w:footnoteRef/>
      </w:r>
      <w:r>
        <w:t xml:space="preserve"> </w:t>
      </w:r>
      <w:r w:rsidRPr="00457452">
        <w:t xml:space="preserve">Joubert et al (eds) </w:t>
      </w:r>
      <w:r w:rsidRPr="00457452">
        <w:rPr>
          <w:i/>
        </w:rPr>
        <w:t>LAWSA</w:t>
      </w:r>
      <w:r w:rsidRPr="00457452">
        <w:t xml:space="preserve"> vol 7 at 198.</w:t>
      </w:r>
    </w:p>
  </w:footnote>
  <w:footnote w:id="67">
    <w:p w:rsidR="0070352B" w:rsidRDefault="0070352B">
      <w:pPr>
        <w:pStyle w:val="FootnoteText"/>
      </w:pPr>
      <w:r>
        <w:rPr>
          <w:rStyle w:val="FootnoteReference"/>
        </w:rPr>
        <w:footnoteRef/>
      </w:r>
      <w:r>
        <w:t xml:space="preserve"> According to Thomas above n 63 at 333:</w:t>
      </w:r>
    </w:p>
    <w:p w:rsidR="0070352B" w:rsidRPr="001B7646" w:rsidRDefault="0070352B" w:rsidP="00504004">
      <w:pPr>
        <w:pStyle w:val="QUOTEINFOOTNOTE"/>
      </w:pPr>
      <w:r>
        <w:t xml:space="preserve">“Each successive creditor had to be informed of the number and value of the charge incurred before his own or the debtor would be guilty of the criminal offence of </w:t>
      </w:r>
      <w:r w:rsidRPr="00712823">
        <w:rPr>
          <w:i/>
        </w:rPr>
        <w:t>stellionatus</w:t>
      </w:r>
      <w:r>
        <w:t xml:space="preserve">, swindling.  If encumbrances exceeded the value of the thing, when it became necessary to realise, then, apart from privileged hypothecs and, in later law, those registered with the authorities or effected before three witnesses, the rule was the earlier in time prevailed: </w:t>
      </w:r>
      <w:r w:rsidRPr="00712823">
        <w:rPr>
          <w:i/>
        </w:rPr>
        <w:t>qui prior est in tempore potior est iure</w:t>
      </w:r>
      <w:r>
        <w:t>.”</w:t>
      </w:r>
    </w:p>
  </w:footnote>
  <w:footnote w:id="68">
    <w:p w:rsidR="0070352B" w:rsidRDefault="0070352B">
      <w:pPr>
        <w:pStyle w:val="FootnoteText"/>
      </w:pPr>
      <w:r>
        <w:rPr>
          <w:rStyle w:val="FootnoteReference"/>
        </w:rPr>
        <w:footnoteRef/>
      </w:r>
      <w:r>
        <w:t xml:space="preserve"> See V</w:t>
      </w:r>
      <w:r w:rsidRPr="002F09A5">
        <w:t xml:space="preserve">an der Merwe </w:t>
      </w:r>
      <w:r w:rsidRPr="002F09A5">
        <w:rPr>
          <w:i/>
        </w:rPr>
        <w:t xml:space="preserve">Sakereg </w:t>
      </w:r>
      <w:r>
        <w:t>(</w:t>
      </w:r>
      <w:r w:rsidRPr="00457452">
        <w:t>Butterworths</w:t>
      </w:r>
      <w:r>
        <w:t>, 1989) at 609.</w:t>
      </w:r>
    </w:p>
  </w:footnote>
  <w:footnote w:id="69">
    <w:p w:rsidR="0070352B" w:rsidRPr="003E2EC0" w:rsidRDefault="0070352B">
      <w:pPr>
        <w:pStyle w:val="FootnoteText"/>
      </w:pPr>
      <w:r>
        <w:rPr>
          <w:rStyle w:val="FootnoteReference"/>
        </w:rPr>
        <w:footnoteRef/>
      </w:r>
      <w:r>
        <w:t xml:space="preserve"> </w:t>
      </w:r>
      <w:proofErr w:type="spellStart"/>
      <w:proofErr w:type="gramStart"/>
      <w:r>
        <w:t>Voet</w:t>
      </w:r>
      <w:proofErr w:type="spellEnd"/>
      <w:r>
        <w:t xml:space="preserve"> </w:t>
      </w:r>
      <w:r>
        <w:rPr>
          <w:i/>
        </w:rPr>
        <w:t>Commentary on the Pandects</w:t>
      </w:r>
      <w:r>
        <w:t xml:space="preserve"> Book 20, Title 1, Section 13 (Gane’s translation, Butterworth &amp; Co. (Africa) Ltd, Durban 1956) page 488.</w:t>
      </w:r>
      <w:proofErr w:type="gramEnd"/>
      <w:r>
        <w:t xml:space="preserve"> </w:t>
      </w:r>
    </w:p>
  </w:footnote>
  <w:footnote w:id="70">
    <w:p w:rsidR="0070352B" w:rsidRDefault="0070352B">
      <w:pPr>
        <w:pStyle w:val="FootnoteText"/>
      </w:pPr>
      <w:r>
        <w:rPr>
          <w:rStyle w:val="FootnoteReference"/>
        </w:rPr>
        <w:footnoteRef/>
      </w:r>
      <w:r>
        <w:t xml:space="preserve"> The Latin is “</w:t>
      </w:r>
      <w:r w:rsidRPr="00041BD6">
        <w:rPr>
          <w:i/>
        </w:rPr>
        <w:t>effectus hypothecae specialis in immobilibus solemniter secundum modum superius descriptum constitutae in eo consistit, quod res ipsas afficiat, deinceps transituras cum suo onere in quemvis possessorem</w:t>
      </w:r>
      <w:r>
        <w:t>” (the effect of a special hypothec constituted over immovables with the proper and necessary formalities [</w:t>
      </w:r>
      <w:r w:rsidRPr="000C7328">
        <w:rPr>
          <w:i/>
        </w:rPr>
        <w:t>solemniter</w:t>
      </w:r>
      <w:r>
        <w:t>] in accordance with the process described above lies in this, that it will impress upon the very things themselves, so that thereafter they will pass to any possessor with their very own burden).</w:t>
      </w:r>
    </w:p>
  </w:footnote>
  <w:footnote w:id="71">
    <w:p w:rsidR="0070352B" w:rsidRDefault="0070352B">
      <w:pPr>
        <w:pStyle w:val="FootnoteText"/>
      </w:pPr>
      <w:r>
        <w:rPr>
          <w:rStyle w:val="FootnoteReference"/>
        </w:rPr>
        <w:footnoteRef/>
      </w:r>
      <w:r>
        <w:t xml:space="preserve"> See Voet 20.1.9-12.  The requirement of formality was cemented a century and a half before Voet wrote, in a </w:t>
      </w:r>
      <w:r w:rsidRPr="00712823">
        <w:rPr>
          <w:i/>
        </w:rPr>
        <w:t>Placa</w:t>
      </w:r>
      <w:r>
        <w:rPr>
          <w:i/>
        </w:rPr>
        <w:t>e</w:t>
      </w:r>
      <w:r w:rsidRPr="00712823">
        <w:rPr>
          <w:i/>
        </w:rPr>
        <w:t>t</w:t>
      </w:r>
      <w:r>
        <w:t xml:space="preserve"> the Emperor Charles V issued on 15 May 1529.  This required that every sale or hypothecation (grant of right of security) of land, houses or other immovable property had to take place before a judge.  See </w:t>
      </w:r>
      <w:r w:rsidRPr="00041BD6">
        <w:t xml:space="preserve">Jones </w:t>
      </w:r>
      <w:r w:rsidRPr="00041BD6">
        <w:rPr>
          <w:i/>
        </w:rPr>
        <w:t>Conveyancing in South Africa</w:t>
      </w:r>
      <w:r w:rsidRPr="00041BD6">
        <w:t>, 4</w:t>
      </w:r>
      <w:r w:rsidRPr="00041BD6">
        <w:rPr>
          <w:i/>
        </w:rPr>
        <w:t xml:space="preserve"> </w:t>
      </w:r>
      <w:proofErr w:type="spellStart"/>
      <w:proofErr w:type="gramStart"/>
      <w:r w:rsidRPr="00041BD6">
        <w:t>ed</w:t>
      </w:r>
      <w:proofErr w:type="spellEnd"/>
      <w:proofErr w:type="gramEnd"/>
      <w:r w:rsidRPr="00041BD6">
        <w:t xml:space="preserve"> (</w:t>
      </w:r>
      <w:proofErr w:type="spellStart"/>
      <w:r w:rsidRPr="00041BD6">
        <w:t>Juta</w:t>
      </w:r>
      <w:proofErr w:type="spellEnd"/>
      <w:r w:rsidRPr="00041BD6">
        <w:t xml:space="preserve"> &amp; Company Limited, Cape Town 1991) at 3</w:t>
      </w:r>
      <w:r>
        <w:t xml:space="preserve">. </w:t>
      </w:r>
    </w:p>
  </w:footnote>
  <w:footnote w:id="72">
    <w:p w:rsidR="0070352B" w:rsidRDefault="0070352B">
      <w:pPr>
        <w:pStyle w:val="FootnoteText"/>
      </w:pPr>
      <w:r>
        <w:rPr>
          <w:rStyle w:val="FootnoteReference"/>
        </w:rPr>
        <w:footnoteRef/>
      </w:r>
      <w:r>
        <w:t xml:space="preserve"> See the discussion in Voet 20.1.10ff.</w:t>
      </w:r>
    </w:p>
  </w:footnote>
  <w:footnote w:id="73">
    <w:p w:rsidR="0070352B" w:rsidRDefault="0070352B">
      <w:pPr>
        <w:pStyle w:val="FootnoteText"/>
      </w:pPr>
      <w:r>
        <w:rPr>
          <w:rStyle w:val="FootnoteReference"/>
        </w:rPr>
        <w:footnoteRef/>
      </w:r>
      <w:r>
        <w:rPr>
          <w:i/>
        </w:rPr>
        <w:t xml:space="preserve">Harris v Trustee of Buissine </w:t>
      </w:r>
      <w:r>
        <w:t>(1828-1849) 2 Menz 105 at 107-8.</w:t>
      </w:r>
    </w:p>
  </w:footnote>
  <w:footnote w:id="74">
    <w:p w:rsidR="0070352B" w:rsidRDefault="0070352B">
      <w:pPr>
        <w:pStyle w:val="FootnoteText"/>
      </w:pPr>
      <w:r>
        <w:rPr>
          <w:rStyle w:val="FootnoteReference"/>
        </w:rPr>
        <w:footnoteRef/>
      </w:r>
      <w:r>
        <w:t xml:space="preserve"> </w:t>
      </w:r>
      <w:r>
        <w:rPr>
          <w:i/>
        </w:rPr>
        <w:t>Lucas’s Trustee v Ismail and Ayob</w:t>
      </w:r>
      <w:r>
        <w:t xml:space="preserve"> 1905 TS 239.</w:t>
      </w:r>
    </w:p>
  </w:footnote>
  <w:footnote w:id="75">
    <w:p w:rsidR="0070352B" w:rsidRDefault="0070352B">
      <w:pPr>
        <w:pStyle w:val="FootnoteText"/>
      </w:pPr>
      <w:r>
        <w:rPr>
          <w:rStyle w:val="FootnoteReference"/>
        </w:rPr>
        <w:footnoteRef/>
      </w:r>
      <w:r>
        <w:t xml:space="preserve"> Id at 242.</w:t>
      </w:r>
    </w:p>
  </w:footnote>
  <w:footnote w:id="76">
    <w:p w:rsidR="0070352B" w:rsidRPr="002F09A5" w:rsidRDefault="0070352B" w:rsidP="00EA0AEE">
      <w:pPr>
        <w:pStyle w:val="FootnoteText1"/>
      </w:pPr>
      <w:r w:rsidRPr="002F09A5">
        <w:rPr>
          <w:rStyle w:val="FootnoteReference"/>
        </w:rPr>
        <w:footnoteRef/>
      </w:r>
      <w:r w:rsidRPr="002F09A5">
        <w:t xml:space="preserve"> </w:t>
      </w:r>
      <w:r w:rsidRPr="00EA0AEE">
        <w:t>Maasdorp</w:t>
      </w:r>
      <w:r>
        <w:t xml:space="preserve"> “The law of mortgage” (1901) 18 </w:t>
      </w:r>
      <w:r w:rsidRPr="00DE4CB8">
        <w:rPr>
          <w:i/>
        </w:rPr>
        <w:t>SALJ</w:t>
      </w:r>
      <w:r>
        <w:t xml:space="preserve"> 233 at 240.</w:t>
      </w:r>
    </w:p>
  </w:footnote>
  <w:footnote w:id="77">
    <w:p w:rsidR="0070352B" w:rsidRDefault="0070352B">
      <w:pPr>
        <w:pStyle w:val="FootnoteText"/>
      </w:pPr>
      <w:r>
        <w:rPr>
          <w:rStyle w:val="FootnoteReference"/>
        </w:rPr>
        <w:footnoteRef/>
      </w:r>
      <w:r>
        <w:t xml:space="preserve"> Jones above n 71 at 3-13; </w:t>
      </w:r>
      <w:r w:rsidRPr="00466B6F">
        <w:t>Carey</w:t>
      </w:r>
      <w:r>
        <w:t xml:space="preserve"> Miller and Pope </w:t>
      </w:r>
      <w:r>
        <w:rPr>
          <w:i/>
        </w:rPr>
        <w:t xml:space="preserve">Land Title in South Africa </w:t>
      </w:r>
      <w:r w:rsidRPr="00743230">
        <w:t xml:space="preserve">(Juta &amp; Co Ltd, Kenwyn </w:t>
      </w:r>
      <w:r>
        <w:t xml:space="preserve">2000) at 45-8.  Jones explains (at page 3) that: “The history of colonization and expansion northwards determined the underlying principles of our system of registration”, which originated with the </w:t>
      </w:r>
      <w:proofErr w:type="spellStart"/>
      <w:r w:rsidRPr="002F2A3C">
        <w:rPr>
          <w:i/>
        </w:rPr>
        <w:t>Placaet</w:t>
      </w:r>
      <w:proofErr w:type="spellEnd"/>
      <w:r>
        <w:t xml:space="preserve"> of 1529.</w:t>
      </w:r>
    </w:p>
  </w:footnote>
  <w:footnote w:id="78">
    <w:p w:rsidR="0070352B" w:rsidRDefault="0070352B">
      <w:pPr>
        <w:pStyle w:val="FootnoteText"/>
      </w:pPr>
      <w:r>
        <w:rPr>
          <w:rStyle w:val="FootnoteReference"/>
        </w:rPr>
        <w:footnoteRef/>
      </w:r>
      <w:r>
        <w:t xml:space="preserve"> Seemingly from 1882, when formal land registers began to be maintained in the Cape: Jones above n 71 at 3-4.</w:t>
      </w:r>
    </w:p>
  </w:footnote>
  <w:footnote w:id="79">
    <w:p w:rsidR="0070352B" w:rsidRDefault="0070352B" w:rsidP="00C13548">
      <w:pPr>
        <w:pStyle w:val="FootnoteText1"/>
      </w:pPr>
      <w:r>
        <w:rPr>
          <w:rStyle w:val="FootnoteReference"/>
        </w:rPr>
        <w:footnoteRef/>
      </w:r>
      <w:r>
        <w:t xml:space="preserve"> Under the Deeds Registries Act 47 of 1937, which, for the first time, formalised and systematised the national system of registration of title: see </w:t>
      </w:r>
      <w:r w:rsidRPr="00466B6F">
        <w:t>Carey</w:t>
      </w:r>
      <w:r>
        <w:t xml:space="preserve"> Miller above n 77 at 47 and Jones above n 71 at 6 and 14-31.</w:t>
      </w:r>
    </w:p>
  </w:footnote>
  <w:footnote w:id="80">
    <w:p w:rsidR="0070352B" w:rsidRDefault="0070352B">
      <w:pPr>
        <w:pStyle w:val="FootnoteText"/>
      </w:pPr>
      <w:r>
        <w:rPr>
          <w:rStyle w:val="FootnoteReference"/>
        </w:rPr>
        <w:footnoteRef/>
      </w:r>
      <w:r>
        <w:t xml:space="preserve"> 15 of</w:t>
      </w:r>
      <w:r w:rsidRPr="00AB54FF">
        <w:t xml:space="preserve"> 2002</w:t>
      </w:r>
      <w:r>
        <w:t>.</w:t>
      </w:r>
    </w:p>
  </w:footnote>
  <w:footnote w:id="81">
    <w:p w:rsidR="0070352B" w:rsidRDefault="0070352B" w:rsidP="00743230">
      <w:pPr>
        <w:pStyle w:val="FootnoteText"/>
      </w:pPr>
      <w:r>
        <w:rPr>
          <w:rStyle w:val="FootnoteReference"/>
        </w:rPr>
        <w:footnoteRef/>
      </w:r>
      <w:r>
        <w:t xml:space="preserve"> </w:t>
      </w:r>
      <w:r w:rsidRPr="00AB54FF">
        <w:t>Section</w:t>
      </w:r>
      <w:r>
        <w:t> 31(2).</w:t>
      </w:r>
    </w:p>
  </w:footnote>
  <w:footnote w:id="82">
    <w:p w:rsidR="0070352B" w:rsidRDefault="0070352B">
      <w:pPr>
        <w:pStyle w:val="FootnoteText"/>
      </w:pPr>
      <w:r>
        <w:rPr>
          <w:rStyle w:val="FootnoteReference"/>
        </w:rPr>
        <w:footnoteRef/>
      </w:r>
      <w:r>
        <w:t xml:space="preserve"> </w:t>
      </w:r>
      <w:r w:rsidRPr="00150B13">
        <w:t>Section 31(3)</w:t>
      </w:r>
      <w:r>
        <w:t>.</w:t>
      </w:r>
    </w:p>
  </w:footnote>
  <w:footnote w:id="83">
    <w:p w:rsidR="0070352B" w:rsidRDefault="0070352B" w:rsidP="00C13548">
      <w:pPr>
        <w:pStyle w:val="FootnoteText1"/>
      </w:pPr>
      <w:r>
        <w:rPr>
          <w:rStyle w:val="FootnoteReference"/>
        </w:rPr>
        <w:footnoteRef/>
      </w:r>
      <w:r>
        <w:t xml:space="preserve"> In this way, the issues create an illuminating perspective on </w:t>
      </w:r>
      <w:r>
        <w:rPr>
          <w:i/>
        </w:rPr>
        <w:t>Municipality of Mossel Bay v Holloway’s Trustee</w:t>
      </w:r>
      <w:r>
        <w:t xml:space="preserve"> (1884-1885) 3 SC 50.  There, the municipality contended that its claim for rates, although not preferent, was “a burden running with the land”.  The Court there </w:t>
      </w:r>
      <w:r w:rsidRPr="00E85E74">
        <w:t>held</w:t>
      </w:r>
      <w:r>
        <w:t xml:space="preserve"> that “if there is no preference there is no right </w:t>
      </w:r>
      <w:r w:rsidRPr="00041BD6">
        <w:rPr>
          <w:i/>
        </w:rPr>
        <w:t>in rem</w:t>
      </w:r>
      <w:r>
        <w:t>”.  We hold here that conferment of a statutory preference upon a creditor is not, in itself, to burden the land.  Registration or its equivalent is, in addition, required.</w:t>
      </w:r>
    </w:p>
  </w:footnote>
  <w:footnote w:id="84">
    <w:p w:rsidR="0070352B" w:rsidRPr="00A36524" w:rsidRDefault="0070352B" w:rsidP="002F39FE">
      <w:pPr>
        <w:pStyle w:val="FootnoteText"/>
      </w:pPr>
      <w:r>
        <w:rPr>
          <w:rStyle w:val="FootnoteReference"/>
        </w:rPr>
        <w:footnoteRef/>
      </w:r>
      <w:r>
        <w:t xml:space="preserve"> See section 50(4) read with section 51(1) of the Deeds Registries Act above n 79.</w:t>
      </w:r>
    </w:p>
  </w:footnote>
  <w:footnote w:id="85">
    <w:p w:rsidR="0070352B" w:rsidRDefault="0070352B">
      <w:pPr>
        <w:pStyle w:val="FootnoteText"/>
      </w:pPr>
      <w:r>
        <w:rPr>
          <w:rStyle w:val="FootnoteReference"/>
        </w:rPr>
        <w:footnoteRef/>
      </w:r>
      <w:r>
        <w:t xml:space="preserve"> Sonnekus and Schlemmer “Covering bonds, the accessorial principle and remedies founded in equity – not self-evident bedfellows” 2015 </w:t>
      </w:r>
      <w:r>
        <w:rPr>
          <w:i/>
        </w:rPr>
        <w:t xml:space="preserve">SALJ </w:t>
      </w:r>
      <w:r>
        <w:t>340 at 353:</w:t>
      </w:r>
    </w:p>
    <w:p w:rsidR="0070352B" w:rsidRDefault="0070352B">
      <w:pPr>
        <w:pStyle w:val="QUOTEINFOOTNOTE"/>
      </w:pPr>
      <w:r>
        <w:t>“The only justification for the preferential position enjoyed by a secured creditor is to be found in the fact that not only the amount involved in the existing debt secured by the bond is published to enable all potential creditors to calculate the creditworthiness of the debtor as potential credit seeker after deducting the potentially existing liabilities from the known assets, but the specific immovable asset encumbered for this liability is also identified.”</w:t>
      </w:r>
    </w:p>
  </w:footnote>
  <w:footnote w:id="86">
    <w:p w:rsidR="0070352B" w:rsidRDefault="0070352B">
      <w:pPr>
        <w:pStyle w:val="FootnoteText"/>
      </w:pPr>
      <w:r>
        <w:rPr>
          <w:rStyle w:val="FootnoteReference"/>
        </w:rPr>
        <w:footnoteRef/>
      </w:r>
      <w:r>
        <w:t xml:space="preserve"> Section 39(2) of the Constitution provides:</w:t>
      </w:r>
    </w:p>
    <w:p w:rsidR="0070352B" w:rsidRDefault="0070352B" w:rsidP="00C13548">
      <w:pPr>
        <w:pStyle w:val="QUOTEINFOOTNOTE"/>
      </w:pPr>
      <w:r>
        <w:t>“When interpreting any legislation, and when developing the common law or customary law, every court, tribunal or forum must promote the spirit, purport and objects of the Bill of Rights.”</w:t>
      </w:r>
    </w:p>
  </w:footnote>
  <w:footnote w:id="87">
    <w:p w:rsidR="0070352B" w:rsidRDefault="0070352B">
      <w:pPr>
        <w:pStyle w:val="FootnoteText"/>
      </w:pPr>
      <w:r>
        <w:rPr>
          <w:rStyle w:val="FootnoteReference"/>
        </w:rPr>
        <w:footnoteRef/>
      </w:r>
      <w:r>
        <w:rPr>
          <w:i/>
        </w:rPr>
        <w:t xml:space="preserve"> </w:t>
      </w:r>
      <w:r w:rsidRPr="00EB3BDD">
        <w:rPr>
          <w:i/>
        </w:rPr>
        <w:t>Investigating Directorate: Serious Economic Offences v Hyundai Motor Distributors (Pty) Ltd</w:t>
      </w:r>
      <w:r w:rsidRPr="00EB3BDD">
        <w:t xml:space="preserve"> </w:t>
      </w:r>
      <w:r>
        <w:t xml:space="preserve">[2000] ZACC 12; </w:t>
      </w:r>
      <w:r w:rsidRPr="00EB3BDD">
        <w:t>2001 (1) SA 545 (CC)</w:t>
      </w:r>
      <w:r>
        <w:t>;</w:t>
      </w:r>
      <w:r w:rsidRPr="00AF132B">
        <w:t xml:space="preserve"> </w:t>
      </w:r>
      <w:r>
        <w:t>2000 (10) BCLR 1079 (CC)</w:t>
      </w:r>
      <w:r w:rsidRPr="00A24EA8">
        <w:rPr>
          <w:i/>
        </w:rPr>
        <w:t xml:space="preserve"> </w:t>
      </w:r>
      <w:r w:rsidRPr="00A24EA8">
        <w:t>(</w:t>
      </w:r>
      <w:r w:rsidRPr="004221C0">
        <w:rPr>
          <w:i/>
        </w:rPr>
        <w:t>Hyundai</w:t>
      </w:r>
      <w:r w:rsidRPr="00A24EA8">
        <w:t>)</w:t>
      </w:r>
      <w:r>
        <w:t xml:space="preserve"> at paras 21-4 and </w:t>
      </w:r>
      <w:r w:rsidRPr="00C13548">
        <w:rPr>
          <w:i/>
        </w:rPr>
        <w:t>Chagi v Special Investigating Unit</w:t>
      </w:r>
      <w:r>
        <w:t xml:space="preserve"> [2008] ZACC 22; </w:t>
      </w:r>
      <w:r w:rsidRPr="00250CBD">
        <w:t>2009 (2) SA 1 (CC)</w:t>
      </w:r>
      <w:r>
        <w:t>; 2009 (3) BCLR 227 (CC) at para 14.</w:t>
      </w:r>
    </w:p>
  </w:footnote>
  <w:footnote w:id="88">
    <w:p w:rsidR="0070352B" w:rsidRDefault="0070352B">
      <w:pPr>
        <w:pStyle w:val="FootnoteText"/>
      </w:pPr>
      <w:r>
        <w:rPr>
          <w:rStyle w:val="FootnoteReference"/>
        </w:rPr>
        <w:footnoteRef/>
      </w:r>
      <w:r>
        <w:t xml:space="preserve"> </w:t>
      </w:r>
      <w:r>
        <w:rPr>
          <w:i/>
        </w:rPr>
        <w:t>Hyu</w:t>
      </w:r>
      <w:r w:rsidRPr="004221C0">
        <w:rPr>
          <w:i/>
        </w:rPr>
        <w:t>ndai</w:t>
      </w:r>
      <w:r>
        <w:t xml:space="preserve"> id at para 21.</w:t>
      </w:r>
    </w:p>
  </w:footnote>
  <w:footnote w:id="89">
    <w:p w:rsidR="0070352B" w:rsidRDefault="0070352B" w:rsidP="005228F9">
      <w:pPr>
        <w:pStyle w:val="FootnoteText"/>
      </w:pPr>
      <w:r>
        <w:rPr>
          <w:rStyle w:val="FootnoteReference"/>
        </w:rPr>
        <w:footnoteRef/>
      </w:r>
      <w:r>
        <w:t xml:space="preserve"> See </w:t>
      </w:r>
      <w:r w:rsidRPr="001A3761">
        <w:rPr>
          <w:i/>
        </w:rPr>
        <w:t>University of Stellenbosch Legal Aid Clinic v Minister of Justice and Correctional Services; Association of Debt Recovery Agents NPC v University of Stellenbosch Legal Aid Clinic; Mavava Trading 279 (Pty) Ltd v University of Stellenbosch Legal Aid Clinic</w:t>
      </w:r>
      <w:r w:rsidRPr="008D5D70">
        <w:t xml:space="preserve"> [</w:t>
      </w:r>
      <w:r>
        <w:t>2016] ZACC 32; 2016 (6) SA 596 (CC)</w:t>
      </w:r>
      <w:r w:rsidRPr="008D5D70">
        <w:t>; 2016 (12) BCLR 1535 (CC) at para 135</w:t>
      </w:r>
      <w:r>
        <w:t xml:space="preserve"> </w:t>
      </w:r>
      <w:r w:rsidRPr="004221C0">
        <w:t>where Cameron J said</w:t>
      </w:r>
      <w:r w:rsidRPr="000C7328">
        <w:t>:</w:t>
      </w:r>
    </w:p>
    <w:p w:rsidR="0070352B" w:rsidRDefault="0070352B" w:rsidP="00A7784B">
      <w:pPr>
        <w:pStyle w:val="QUOTEINFOOTNOTE"/>
      </w:pPr>
      <w:r w:rsidRPr="008B4760">
        <w:t>“</w:t>
      </w:r>
      <w:r w:rsidRPr="003A492C">
        <w:t xml:space="preserve">Since </w:t>
      </w:r>
      <w:r w:rsidRPr="003A492C">
        <w:rPr>
          <w:i/>
          <w:iCs/>
        </w:rPr>
        <w:t>Hyundai</w:t>
      </w:r>
      <w:r w:rsidRPr="003A492C">
        <w:t>, it has been gold-plate doctrine in this Court that judges must embrace interpretations of legislation that fall within constitutional bounds over those that do not, provided that the interpretation can be reasonably ascribed to the section.  Where a legislative provision is reasonably capable of a meaning that places it within constitutional bounds, it should be preserved.”</w:t>
      </w:r>
    </w:p>
  </w:footnote>
  <w:footnote w:id="90">
    <w:p w:rsidR="0070352B" w:rsidRDefault="0070352B">
      <w:pPr>
        <w:pStyle w:val="FootnoteText"/>
      </w:pPr>
      <w:r>
        <w:rPr>
          <w:rStyle w:val="FootnoteReference"/>
        </w:rPr>
        <w:footnoteRef/>
      </w:r>
      <w:r>
        <w:t xml:space="preserve"> Section 27 of the Constitution.  Section 73(1) of the Act provides:</w:t>
      </w:r>
    </w:p>
    <w:p w:rsidR="0070352B" w:rsidRDefault="0070352B" w:rsidP="00C13548">
      <w:pPr>
        <w:pStyle w:val="QUOTEINFOOTNOTE"/>
        <w:rPr>
          <w:szCs w:val="20"/>
        </w:rPr>
      </w:pPr>
      <w:r>
        <w:t>“</w:t>
      </w:r>
      <w:r>
        <w:rPr>
          <w:color w:val="000000"/>
        </w:rPr>
        <w:t>A municipality must give effect to the provisions of the Constitution and</w:t>
      </w:r>
      <w:r>
        <w:rPr>
          <w:szCs w:val="20"/>
        </w:rPr>
        <w:t>—</w:t>
      </w:r>
    </w:p>
    <w:p w:rsidR="0070352B" w:rsidRDefault="0070352B" w:rsidP="00C13548">
      <w:pPr>
        <w:pStyle w:val="QUOTEINFOOTNOTE"/>
        <w:numPr>
          <w:ilvl w:val="0"/>
          <w:numId w:val="33"/>
        </w:numPr>
        <w:rPr>
          <w:color w:val="000000"/>
        </w:rPr>
      </w:pPr>
      <w:r>
        <w:rPr>
          <w:color w:val="000000"/>
        </w:rPr>
        <w:t>give priority to the basic needs of the local community;</w:t>
      </w:r>
    </w:p>
    <w:p w:rsidR="0070352B" w:rsidRPr="00C13548" w:rsidRDefault="0070352B" w:rsidP="00C13548">
      <w:pPr>
        <w:pStyle w:val="QUOTEINFOOTNOTE"/>
        <w:numPr>
          <w:ilvl w:val="0"/>
          <w:numId w:val="33"/>
        </w:numPr>
      </w:pPr>
      <w:r>
        <w:t>promote the development of the local community; and</w:t>
      </w:r>
    </w:p>
    <w:p w:rsidR="0070352B" w:rsidRDefault="0070352B" w:rsidP="00C13548">
      <w:pPr>
        <w:pStyle w:val="QUOTEINFOOTNOTE"/>
        <w:numPr>
          <w:ilvl w:val="0"/>
          <w:numId w:val="33"/>
        </w:numPr>
      </w:pPr>
      <w:r>
        <w:rPr>
          <w:color w:val="000000"/>
        </w:rPr>
        <w:t>ensure that all members of the local community have access to at least the minimum level of basic municipal services.”</w:t>
      </w:r>
    </w:p>
  </w:footnote>
  <w:footnote w:id="91">
    <w:p w:rsidR="0070352B" w:rsidRDefault="0070352B">
      <w:pPr>
        <w:pStyle w:val="FootnoteText"/>
      </w:pPr>
      <w:r>
        <w:rPr>
          <w:rStyle w:val="FootnoteReference"/>
        </w:rPr>
        <w:footnoteRef/>
      </w:r>
      <w:r>
        <w:t xml:space="preserve"> Section 5(1)(c) and (d) of the Act provide:</w:t>
      </w:r>
    </w:p>
    <w:p w:rsidR="0070352B" w:rsidRDefault="0070352B" w:rsidP="00C13548">
      <w:pPr>
        <w:pStyle w:val="QUOTEINFOOTNOTE"/>
        <w:rPr>
          <w:szCs w:val="20"/>
        </w:rPr>
      </w:pPr>
      <w:r>
        <w:rPr>
          <w:color w:val="000000"/>
        </w:rPr>
        <w:t>“Members of the local community have the right</w:t>
      </w:r>
      <w:r>
        <w:rPr>
          <w:szCs w:val="20"/>
        </w:rPr>
        <w:t>—</w:t>
      </w:r>
    </w:p>
    <w:p w:rsidR="0070352B" w:rsidRDefault="0070352B" w:rsidP="00C13548">
      <w:pPr>
        <w:pStyle w:val="FootnoteText1"/>
      </w:pPr>
      <w:r>
        <w:tab/>
        <w:t>. . .</w:t>
      </w:r>
    </w:p>
    <w:p w:rsidR="0070352B" w:rsidRDefault="0070352B" w:rsidP="00C13548">
      <w:pPr>
        <w:pStyle w:val="QUOTEINFOOTNOTE"/>
        <w:ind w:left="1185" w:hanging="465"/>
      </w:pPr>
      <w:r>
        <w:t>(c)</w:t>
      </w:r>
      <w:r>
        <w:tab/>
      </w:r>
      <w:r w:rsidRPr="00FB571F">
        <w:t>to be informed of decisions of the municipal council, or another political structure or any political office bearer of the municipality, affecting their rights, property and reasonable expectations;</w:t>
      </w:r>
      <w:r>
        <w:t xml:space="preserve"> and</w:t>
      </w:r>
    </w:p>
    <w:p w:rsidR="0070352B" w:rsidRDefault="0070352B" w:rsidP="00C13548">
      <w:pPr>
        <w:pStyle w:val="QUOTEINFOOTNOTE"/>
        <w:numPr>
          <w:ilvl w:val="0"/>
          <w:numId w:val="33"/>
        </w:numPr>
      </w:pPr>
      <w:r w:rsidRPr="00C13548">
        <w:t>to</w:t>
      </w:r>
      <w:r>
        <w:rPr>
          <w:color w:val="000000"/>
        </w:rPr>
        <w:t xml:space="preserve"> regular disclosure of the state of affairs of the municipality, including its finances.”</w:t>
      </w:r>
    </w:p>
  </w:footnote>
  <w:footnote w:id="92">
    <w:p w:rsidR="0070352B" w:rsidRDefault="0070352B" w:rsidP="00C13548">
      <w:pPr>
        <w:pStyle w:val="FootnoteText1"/>
      </w:pPr>
      <w:r>
        <w:rPr>
          <w:rStyle w:val="FootnoteReference"/>
        </w:rPr>
        <w:footnoteRef/>
      </w:r>
      <w:r>
        <w:t xml:space="preserve"> Compare </w:t>
      </w:r>
      <w:r w:rsidRPr="00252D2C">
        <w:rPr>
          <w:i/>
        </w:rPr>
        <w:t>Mkontwana v Nelson Mandela Metropolitan Municipality</w:t>
      </w:r>
      <w:r w:rsidRPr="00252D2C">
        <w:t xml:space="preserve"> [2004] ZACC 9; 2005 (1) SA 530 (CC); 2005 (2) BCLR 150 (CC) </w:t>
      </w:r>
      <w:r>
        <w:t>(</w:t>
      </w:r>
      <w:r w:rsidRPr="00041BD6">
        <w:rPr>
          <w:i/>
        </w:rPr>
        <w:t>Mkontwana</w:t>
      </w:r>
      <w:r>
        <w:t>)</w:t>
      </w:r>
      <w:r w:rsidRPr="00AB54FF">
        <w:t xml:space="preserve"> </w:t>
      </w:r>
      <w:r>
        <w:t xml:space="preserve">at </w:t>
      </w:r>
      <w:r w:rsidRPr="00AB54FF">
        <w:t>para</w:t>
      </w:r>
      <w:r>
        <w:t xml:space="preserve"> 67 (municipalities’ duty under section 118(1) to provide accounts to owner where others occupy the property).</w:t>
      </w:r>
    </w:p>
  </w:footnote>
  <w:footnote w:id="93">
    <w:p w:rsidR="0070352B" w:rsidRDefault="0070352B" w:rsidP="00C13548">
      <w:pPr>
        <w:pStyle w:val="FootnoteText1"/>
      </w:pPr>
      <w:r>
        <w:rPr>
          <w:rStyle w:val="FootnoteReference"/>
        </w:rPr>
        <w:footnoteRef/>
      </w:r>
      <w:r>
        <w:t xml:space="preserve"> The Supreme Court of Appeal held in </w:t>
      </w:r>
      <w:r w:rsidRPr="00252D2C">
        <w:rPr>
          <w:i/>
        </w:rPr>
        <w:t>City of Cape Town v Real People Housing (Pty) Ltd</w:t>
      </w:r>
      <w:r w:rsidRPr="00252D2C">
        <w:t xml:space="preserve"> [2009] ZASCA 159; [2010] 2 All SA 305 (SCA); 2010 (5) SA 196 (SCA)</w:t>
      </w:r>
      <w:r>
        <w:t xml:space="preserve"> at paras 10-4, applying </w:t>
      </w:r>
      <w:r w:rsidRPr="00743230">
        <w:rPr>
          <w:i/>
        </w:rPr>
        <w:t>Mkontwana</w:t>
      </w:r>
      <w:r>
        <w:t xml:space="preserve"> id at para 45, that section 118(1) does not empower a municipality to refuse clearance until </w:t>
      </w:r>
      <w:r w:rsidRPr="00252D2C">
        <w:t xml:space="preserve">all </w:t>
      </w:r>
      <w:r>
        <w:t>historical debts are paid – but only those arising in the preceding two years.</w:t>
      </w:r>
    </w:p>
  </w:footnote>
  <w:footnote w:id="94">
    <w:p w:rsidR="0070352B" w:rsidRPr="009B3A82" w:rsidRDefault="0070352B">
      <w:pPr>
        <w:pStyle w:val="FootnoteText"/>
      </w:pPr>
      <w:r>
        <w:rPr>
          <w:rStyle w:val="FootnoteReference"/>
        </w:rPr>
        <w:footnoteRef/>
      </w:r>
      <w:r>
        <w:t xml:space="preserve"> </w:t>
      </w:r>
      <w:r w:rsidRPr="00252D2C">
        <w:rPr>
          <w:i/>
        </w:rPr>
        <w:t>City of Johannesburg Metropolitan Municipality v Blue Moonlight Properties 39 (Pty) Ltd</w:t>
      </w:r>
      <w:r w:rsidRPr="00252D2C">
        <w:t xml:space="preserve"> [2011] ZACC 33; 2012 (2) SA 104 (CC)</w:t>
      </w:r>
      <w:r w:rsidRPr="00AB54FF">
        <w:t xml:space="preserve">; </w:t>
      </w:r>
      <w:r w:rsidRPr="00252D2C">
        <w:t xml:space="preserve">2012 (2) BCLR 150 (CC); </w:t>
      </w:r>
      <w:r w:rsidRPr="00252D2C">
        <w:rPr>
          <w:i/>
        </w:rPr>
        <w:t xml:space="preserve">City of Tshwane Metropolitan Municipality v Link Africa (Pty) Ltd </w:t>
      </w:r>
      <w:r w:rsidRPr="00252D2C">
        <w:t>[2015] ZACC 29; 2015 (6) SA 440 (CC); 2015 (11) BCLR 1265 (CC)</w:t>
      </w:r>
      <w:r>
        <w:t xml:space="preserve"> and </w:t>
      </w:r>
      <w:r w:rsidRPr="00252D2C">
        <w:rPr>
          <w:i/>
        </w:rPr>
        <w:t>Daniels</w:t>
      </w:r>
      <w:r>
        <w:rPr>
          <w:i/>
        </w:rPr>
        <w:t xml:space="preserve"> </w:t>
      </w:r>
      <w:r w:rsidRPr="00DE4497">
        <w:t>above n 61</w:t>
      </w:r>
      <w:r>
        <w:t>.</w:t>
      </w:r>
    </w:p>
  </w:footnote>
  <w:footnote w:id="95">
    <w:p w:rsidR="0070352B" w:rsidRDefault="0070352B">
      <w:pPr>
        <w:pStyle w:val="FootnoteText"/>
      </w:pPr>
      <w:r>
        <w:rPr>
          <w:rStyle w:val="FootnoteReference"/>
        </w:rPr>
        <w:footnoteRef/>
      </w:r>
      <w:r>
        <w:t xml:space="preserve"> Section 96(a) of the Act.</w:t>
      </w:r>
    </w:p>
  </w:footnote>
  <w:footnote w:id="96">
    <w:p w:rsidR="0070352B" w:rsidRDefault="0070352B" w:rsidP="00041BD6">
      <w:pPr>
        <w:pStyle w:val="FootnoteText"/>
      </w:pPr>
      <w:r>
        <w:rPr>
          <w:rStyle w:val="FootnoteReference"/>
        </w:rPr>
        <w:footnoteRef/>
      </w:r>
      <w:r>
        <w:t xml:space="preserve"> Section </w:t>
      </w:r>
      <w:r w:rsidRPr="00AB54FF">
        <w:t>96</w:t>
      </w:r>
      <w:r>
        <w:t>(b)</w:t>
      </w:r>
      <w:r w:rsidRPr="00AB54FF">
        <w:t xml:space="preserve"> </w:t>
      </w:r>
      <w:r>
        <w:t xml:space="preserve">of the Act.  Section </w:t>
      </w:r>
      <w:r w:rsidRPr="00AB54FF">
        <w:t>102</w:t>
      </w:r>
      <w:r>
        <w:t>(1)(c) likewise empowers a municipality to “implement any of the debt collection and credit control measures provided for in this Chapter in relation to any arrears on any of the accounts” of persons liable for payments to the Municipality.</w:t>
      </w:r>
    </w:p>
    <w:p w:rsidR="0070352B" w:rsidRDefault="0070352B" w:rsidP="00C13548">
      <w:pPr>
        <w:pStyle w:val="FootnoteText1"/>
      </w:pPr>
      <w:r>
        <w:t>The Chapter of the statute to which section 102(1)(c) refers is Chapter 9, titled “Credit Control and Debt Collection”, in which section 96 also falls.  Section 118 by contrast falls in Chapter 11, “Legal Matters”.</w:t>
      </w:r>
    </w:p>
  </w:footnote>
  <w:footnote w:id="97">
    <w:p w:rsidR="0070352B" w:rsidRDefault="0070352B">
      <w:pPr>
        <w:pStyle w:val="FootnoteText"/>
      </w:pPr>
      <w:r>
        <w:rPr>
          <w:rStyle w:val="FootnoteReference"/>
        </w:rPr>
        <w:footnoteRef/>
      </w:r>
      <w:r>
        <w:t xml:space="preserve"> </w:t>
      </w:r>
      <w:r w:rsidRPr="00DE4497">
        <w:rPr>
          <w:i/>
        </w:rPr>
        <w:t xml:space="preserve">Mkontwana </w:t>
      </w:r>
      <w:r w:rsidRPr="00DE4497">
        <w:t>above n 92</w:t>
      </w:r>
      <w:r w:rsidRPr="00DE4497">
        <w:rPr>
          <w:i/>
        </w:rPr>
        <w:t xml:space="preserve"> </w:t>
      </w:r>
      <w:r w:rsidRPr="00DE4497">
        <w:t>at para 47.</w:t>
      </w:r>
    </w:p>
  </w:footnote>
  <w:footnote w:id="98">
    <w:p w:rsidR="0070352B" w:rsidRDefault="0070352B">
      <w:pPr>
        <w:pStyle w:val="FootnoteText"/>
      </w:pPr>
      <w:r>
        <w:rPr>
          <w:rStyle w:val="FootnoteReference"/>
        </w:rPr>
        <w:footnoteRef/>
      </w:r>
      <w:r>
        <w:t xml:space="preserve"> Id at para 62.</w:t>
      </w:r>
    </w:p>
  </w:footnote>
  <w:footnote w:id="99">
    <w:p w:rsidR="0070352B" w:rsidRDefault="0070352B" w:rsidP="00C13548">
      <w:pPr>
        <w:pStyle w:val="FootnoteText1"/>
      </w:pPr>
      <w:r>
        <w:rPr>
          <w:rStyle w:val="FootnoteReference"/>
        </w:rPr>
        <w:footnoteRef/>
      </w:r>
      <w:r>
        <w:t xml:space="preserve"> Yekiso J would therefore appear to have been correct at first instance in </w:t>
      </w:r>
      <w:r w:rsidRPr="00C70198">
        <w:rPr>
          <w:i/>
        </w:rPr>
        <w:t>Real People Housing (Pty) Ltd v City of Cape Town</w:t>
      </w:r>
      <w:r w:rsidRPr="00C70198">
        <w:t xml:space="preserve"> 2010 (1) SA 411 (C)</w:t>
      </w:r>
      <w:r>
        <w:t xml:space="preserve"> at para 34 when he said:</w:t>
      </w:r>
    </w:p>
    <w:p w:rsidR="0070352B" w:rsidRDefault="0070352B" w:rsidP="00C13548">
      <w:pPr>
        <w:pStyle w:val="QUOTEINFOOTNOTE"/>
      </w:pPr>
      <w:r>
        <w:t>“</w:t>
      </w:r>
      <w:r w:rsidRPr="00C70198">
        <w:t xml:space="preserve">The municipality still retains a right </w:t>
      </w:r>
      <w:r>
        <w:t xml:space="preserve">[post-transfer] </w:t>
      </w:r>
      <w:r w:rsidRPr="00C70198">
        <w:t>to proceed against the previous owner by way of an action to recover the balance outstanding, and may even take appropriate steps to attach the proceeds of sale of the property as security for payment of the balance outstanding, to be paid once the process of alienating shall have been completed</w:t>
      </w:r>
      <w:r>
        <w:t>.”</w:t>
      </w:r>
    </w:p>
  </w:footnote>
  <w:footnote w:id="100">
    <w:p w:rsidR="0070352B" w:rsidRDefault="0070352B">
      <w:pPr>
        <w:pStyle w:val="FootnoteText"/>
      </w:pPr>
      <w:r>
        <w:rPr>
          <w:rStyle w:val="FootnoteReference"/>
        </w:rPr>
        <w:footnoteRef/>
      </w:r>
      <w:r>
        <w:t xml:space="preserve"> O’Regan J noted in </w:t>
      </w:r>
      <w:r>
        <w:rPr>
          <w:i/>
        </w:rPr>
        <w:t xml:space="preserve">Mkontwana </w:t>
      </w:r>
      <w:r w:rsidRPr="00DE4497">
        <w:t>above n 92</w:t>
      </w:r>
      <w:r>
        <w:t xml:space="preserve"> at para 106, more than a dozen years ago, that “[i]t is clear from the record before us that expanding municipal debt is a significant nation-wide problem”.  It takes no stretch of judicial notice to know that things have got worse since then.  Delport “The implications of section 118(3) of the Local Government: Municipal Systems Act 32 of 2000 for purchasers of immovable property” (2015) 78 </w:t>
      </w:r>
      <w:r>
        <w:rPr>
          <w:i/>
        </w:rPr>
        <w:t>THRHR</w:t>
      </w:r>
      <w:r>
        <w:t xml:space="preserve"> 219 at 220 records that in September 2014 the Department of Cooperative Governance and Traditional Affairs reported to a parliamentary portfolio committee that by the end of June 2014 municipalities were collectively owed R94.02 billion for arrear rates and municipal services fees – up R7 billion from one year before.</w:t>
      </w:r>
    </w:p>
    <w:p w:rsidR="0070352B" w:rsidRPr="00327FF7" w:rsidRDefault="0070352B">
      <w:pPr>
        <w:pStyle w:val="FootnoteText"/>
      </w:pPr>
      <w:r>
        <w:t xml:space="preserve">The argument </w:t>
      </w:r>
      <w:r w:rsidR="00546BE3">
        <w:t xml:space="preserve">about </w:t>
      </w:r>
      <w:r>
        <w:t xml:space="preserve">inefficiency is not new.  So far back as </w:t>
      </w:r>
      <w:r>
        <w:rPr>
          <w:i/>
        </w:rPr>
        <w:t>Cohen’s Trustees</w:t>
      </w:r>
      <w:r>
        <w:t xml:space="preserve"> above n 37 at 818-9, where the question was whether “rates” included interest, Innes CJ recorded that it was argued “that the machinery created by this section afforded an inducement to the council not to collect its rates”.</w:t>
      </w:r>
    </w:p>
  </w:footnote>
  <w:footnote w:id="101">
    <w:p w:rsidR="0070352B" w:rsidRDefault="0070352B">
      <w:pPr>
        <w:pStyle w:val="FootnoteText"/>
      </w:pPr>
      <w:r>
        <w:rPr>
          <w:rStyle w:val="FootnoteReference"/>
        </w:rPr>
        <w:footnoteRef/>
      </w:r>
      <w:r>
        <w:t xml:space="preserve"> </w:t>
      </w:r>
      <w:r w:rsidRPr="00593CF0">
        <w:rPr>
          <w:i/>
        </w:rPr>
        <w:t>Mkontwana</w:t>
      </w:r>
      <w:r w:rsidRPr="00AB54FF">
        <w:t xml:space="preserve"> </w:t>
      </w:r>
      <w:r>
        <w:t xml:space="preserve">above n 92 at </w:t>
      </w:r>
      <w:r w:rsidRPr="00AB54FF">
        <w:t xml:space="preserve">para 124 (whether municipalities carry out their constitutional obligations with due diligence cannot “have any direct bearing” on </w:t>
      </w:r>
      <w:r>
        <w:t xml:space="preserve">the question of </w:t>
      </w:r>
      <w:r w:rsidRPr="00AB54FF">
        <w:t>constitutionality)</w:t>
      </w:r>
      <w:r>
        <w:t>.</w:t>
      </w:r>
    </w:p>
  </w:footnote>
  <w:footnote w:id="102">
    <w:p w:rsidR="0070352B" w:rsidRPr="0086568F" w:rsidRDefault="0070352B">
      <w:pPr>
        <w:pStyle w:val="FootnoteText"/>
      </w:pPr>
      <w:r>
        <w:rPr>
          <w:rStyle w:val="FootnoteReference"/>
        </w:rPr>
        <w:footnoteRef/>
      </w:r>
      <w:r>
        <w:t xml:space="preserve"> </w:t>
      </w:r>
      <w:r>
        <w:rPr>
          <w:i/>
        </w:rPr>
        <w:t xml:space="preserve">Mkontwana </w:t>
      </w:r>
      <w:r w:rsidRPr="00DE4497">
        <w:t>above n 92</w:t>
      </w:r>
      <w:r>
        <w:rPr>
          <w:i/>
        </w:rPr>
        <w:t xml:space="preserve"> </w:t>
      </w:r>
      <w:r w:rsidRPr="00C13548">
        <w:t>at</w:t>
      </w:r>
      <w:r>
        <w:rPr>
          <w:i/>
        </w:rPr>
        <w:t xml:space="preserve"> </w:t>
      </w:r>
      <w:r>
        <w:t xml:space="preserve">para 38 (regular payments of consumption charges “contribute to the effective discharge by municipalities of their constitutionally mandated functions”).  Van der Walt “Retreating from the FNB arbitrariness test already?” 2005 </w:t>
      </w:r>
      <w:r>
        <w:rPr>
          <w:i/>
        </w:rPr>
        <w:t xml:space="preserve">SALJ </w:t>
      </w:r>
      <w:r>
        <w:t xml:space="preserve">75 at 82 pithily says, discussing </w:t>
      </w:r>
      <w:proofErr w:type="spellStart"/>
      <w:r w:rsidRPr="00190E4B">
        <w:rPr>
          <w:i/>
        </w:rPr>
        <w:t>Mkontwana</w:t>
      </w:r>
      <w:proofErr w:type="spellEnd"/>
      <w:r>
        <w:t xml:space="preserve"> that the decision licensed “deprivation for fiscal efficiency purposes”.</w:t>
      </w:r>
    </w:p>
  </w:footnote>
  <w:footnote w:id="103">
    <w:p w:rsidR="0070352B" w:rsidRDefault="0070352B">
      <w:pPr>
        <w:pStyle w:val="FootnoteText"/>
      </w:pPr>
      <w:r>
        <w:rPr>
          <w:rStyle w:val="FootnoteReference"/>
        </w:rPr>
        <w:footnoteRef/>
      </w:r>
      <w:r>
        <w:t xml:space="preserve"> </w:t>
      </w:r>
      <w:proofErr w:type="gramStart"/>
      <w:r w:rsidRPr="00AB54FF">
        <w:t>Section 25(1)</w:t>
      </w:r>
      <w:r>
        <w:t xml:space="preserve"> of the Constitution.</w:t>
      </w:r>
      <w:proofErr w:type="gramEnd"/>
    </w:p>
  </w:footnote>
  <w:footnote w:id="104">
    <w:p w:rsidR="0070352B" w:rsidRDefault="0070352B">
      <w:pPr>
        <w:pStyle w:val="FootnoteText"/>
      </w:pPr>
      <w:r>
        <w:rPr>
          <w:rStyle w:val="FootnoteReference"/>
        </w:rPr>
        <w:footnoteRef/>
      </w:r>
      <w:r>
        <w:t xml:space="preserve"> On the position of mortgagees, see </w:t>
      </w:r>
      <w:r>
        <w:rPr>
          <w:i/>
        </w:rPr>
        <w:t xml:space="preserve">Stadsraad van Pretoria v Letabakop Farming Operations (Pty) Ltd </w:t>
      </w:r>
      <w:r>
        <w:t>1981 (4) SA 911 (T), du Plessis above n 23 at 523, Brits, above n 51 at 64-6.</w:t>
      </w:r>
    </w:p>
  </w:footnote>
  <w:footnote w:id="105">
    <w:p w:rsidR="0070352B" w:rsidRDefault="0070352B">
      <w:pPr>
        <w:pStyle w:val="FootnoteText"/>
      </w:pPr>
      <w:r>
        <w:rPr>
          <w:rStyle w:val="FootnoteReference"/>
        </w:rPr>
        <w:footnoteRef/>
      </w:r>
      <w:r>
        <w:t xml:space="preserve"> BASA’s arguments were confined to the interests of the new owner’s mortgagees, and did not cover the interests of the old owner’s bond-holders.</w:t>
      </w:r>
    </w:p>
  </w:footnote>
  <w:footnote w:id="106">
    <w:p w:rsidR="0070352B" w:rsidRPr="006C3C5E" w:rsidRDefault="0070352B">
      <w:pPr>
        <w:pStyle w:val="FootnoteText"/>
      </w:pPr>
      <w:r>
        <w:rPr>
          <w:rStyle w:val="FootnoteReference"/>
        </w:rPr>
        <w:footnoteRef/>
      </w:r>
      <w:r>
        <w:t xml:space="preserve"> </w:t>
      </w:r>
      <w:r>
        <w:rPr>
          <w:i/>
        </w:rPr>
        <w:t xml:space="preserve">South African Diamond Producers Organisation v Minister of Minerals and Energy and others </w:t>
      </w:r>
      <w:r w:rsidRPr="007A6002">
        <w:t xml:space="preserve">[2017] ZACC 26 </w:t>
      </w:r>
      <w:r>
        <w:t>(</w:t>
      </w:r>
      <w:r w:rsidRPr="004221C0">
        <w:rPr>
          <w:i/>
        </w:rPr>
        <w:t>Diamond Producers</w:t>
      </w:r>
      <w:r>
        <w:t>)</w:t>
      </w:r>
      <w:r>
        <w:rPr>
          <w:i/>
        </w:rPr>
        <w:t xml:space="preserve"> </w:t>
      </w:r>
      <w:r>
        <w:t xml:space="preserve">at para 47, applying </w:t>
      </w:r>
      <w:r>
        <w:rPr>
          <w:i/>
        </w:rPr>
        <w:t xml:space="preserve">First National Bank of South Africa Ltd t/a Wesbank v Commissioner, South African Revenue Services </w:t>
      </w:r>
      <w:r w:rsidRPr="007A6002">
        <w:t>[2002] ZACC 5; 2002 (4) SA 768</w:t>
      </w:r>
      <w:r>
        <w:t xml:space="preserve"> (CC)</w:t>
      </w:r>
      <w:r w:rsidRPr="007A6002">
        <w:t>; 2002 (7) BCLR 702</w:t>
      </w:r>
      <w:r>
        <w:t xml:space="preserve"> (CC)</w:t>
      </w:r>
      <w:r w:rsidRPr="00AB54FF">
        <w:t xml:space="preserve"> </w:t>
      </w:r>
      <w:r>
        <w:t>(</w:t>
      </w:r>
      <w:r w:rsidRPr="00BA794B">
        <w:rPr>
          <w:i/>
        </w:rPr>
        <w:t>FNB</w:t>
      </w:r>
      <w:r w:rsidRPr="00BA794B">
        <w:t>)</w:t>
      </w:r>
      <w:r>
        <w:t xml:space="preserve"> at </w:t>
      </w:r>
      <w:r w:rsidRPr="00AB54FF">
        <w:t>para 57</w:t>
      </w:r>
      <w:r>
        <w:t xml:space="preserve">; </w:t>
      </w:r>
      <w:r>
        <w:rPr>
          <w:i/>
        </w:rPr>
        <w:t>Mkontwana</w:t>
      </w:r>
      <w:r>
        <w:t xml:space="preserve"> above n 92 at para 32; </w:t>
      </w:r>
      <w:r w:rsidRPr="00CF11B8">
        <w:rPr>
          <w:i/>
        </w:rPr>
        <w:t>Offit Enterprises (Pty) Ltd v Coega Development Corporation (Pty) Ltd</w:t>
      </w:r>
      <w:r>
        <w:t xml:space="preserve"> </w:t>
      </w:r>
      <w:r w:rsidRPr="007A6002">
        <w:t>[2010</w:t>
      </w:r>
      <w:r>
        <w:t>] ZACC 20; 2011 (1) SA 293 (CC)</w:t>
      </w:r>
      <w:r w:rsidRPr="007A6002">
        <w:t>; 2011 (2) BCLR 189 (CC)</w:t>
      </w:r>
      <w:r>
        <w:t xml:space="preserve"> (</w:t>
      </w:r>
      <w:r w:rsidRPr="00BA794B">
        <w:rPr>
          <w:i/>
        </w:rPr>
        <w:t>Offit</w:t>
      </w:r>
      <w:r w:rsidRPr="00BA794B">
        <w:t>)</w:t>
      </w:r>
      <w:r>
        <w:t xml:space="preserve"> at paras 41-4; </w:t>
      </w:r>
      <w:r>
        <w:rPr>
          <w:i/>
          <w:iCs/>
          <w:szCs w:val="20"/>
        </w:rPr>
        <w:t xml:space="preserve">Shoprite Checkers (Pty) Ltd v MEC for Economic Development, Eastern Cape </w:t>
      </w:r>
      <w:r>
        <w:rPr>
          <w:szCs w:val="20"/>
        </w:rPr>
        <w:t xml:space="preserve">[2015] ZACC 23; 2015 (6) SA 125 (CC); 2015 (9) BCLR 1052 (CC) </w:t>
      </w:r>
      <w:r>
        <w:t xml:space="preserve">at </w:t>
      </w:r>
      <w:r w:rsidRPr="000F1E3B">
        <w:t>para 73</w:t>
      </w:r>
      <w:r>
        <w:t xml:space="preserve">.  Compare </w:t>
      </w:r>
      <w:r w:rsidRPr="005B0DDF">
        <w:rPr>
          <w:i/>
        </w:rPr>
        <w:t>Reflect</w:t>
      </w:r>
      <w:r>
        <w:rPr>
          <w:i/>
        </w:rPr>
        <w:t>-</w:t>
      </w:r>
      <w:r w:rsidRPr="005B0DDF">
        <w:rPr>
          <w:i/>
        </w:rPr>
        <w:t>All</w:t>
      </w:r>
      <w:r>
        <w:rPr>
          <w:i/>
        </w:rPr>
        <w:t xml:space="preserve"> 1025 CC v MEC for Public Transport, Roads and Works, Gauteng Provincial Government </w:t>
      </w:r>
      <w:r w:rsidRPr="007A6002">
        <w:t>[2009</w:t>
      </w:r>
      <w:r>
        <w:t>] ZACC 24; 2009 (6) SA 391 (CC)</w:t>
      </w:r>
      <w:r w:rsidRPr="007A6002">
        <w:t>; 2010 (1) BCLR 61 (CC)</w:t>
      </w:r>
      <w:r>
        <w:t xml:space="preserve"> (applying the “substantial interference” test).</w:t>
      </w:r>
    </w:p>
  </w:footnote>
  <w:footnote w:id="107">
    <w:p w:rsidR="0070352B" w:rsidRDefault="0070352B">
      <w:pPr>
        <w:pStyle w:val="FootnoteText"/>
      </w:pPr>
      <w:r>
        <w:rPr>
          <w:rStyle w:val="FootnoteReference"/>
        </w:rPr>
        <w:footnoteRef/>
      </w:r>
      <w:r>
        <w:t xml:space="preserve"> The parties at times spoke of “subtraction” and at times of “deprivation”.  These are not equivalent.  See </w:t>
      </w:r>
      <w:r>
        <w:rPr>
          <w:i/>
        </w:rPr>
        <w:t xml:space="preserve">Diamond Producers </w:t>
      </w:r>
      <w:r w:rsidRPr="00BA794B">
        <w:t>above n 10</w:t>
      </w:r>
      <w:r>
        <w:t>6 at para 49.</w:t>
      </w:r>
    </w:p>
  </w:footnote>
  <w:footnote w:id="108">
    <w:p w:rsidR="0070352B" w:rsidRPr="00D97ED8" w:rsidRDefault="0070352B">
      <w:pPr>
        <w:pStyle w:val="FootnoteText"/>
      </w:pPr>
      <w:r>
        <w:rPr>
          <w:rStyle w:val="FootnoteReference"/>
        </w:rPr>
        <w:footnoteRef/>
      </w:r>
      <w:r>
        <w:t xml:space="preserve"> </w:t>
      </w:r>
      <w:r>
        <w:rPr>
          <w:i/>
        </w:rPr>
        <w:t xml:space="preserve">Mkontwana </w:t>
      </w:r>
      <w:r w:rsidRPr="00BA794B">
        <w:t xml:space="preserve">above n </w:t>
      </w:r>
      <w:r>
        <w:t>92</w:t>
      </w:r>
      <w:r>
        <w:rPr>
          <w:i/>
        </w:rPr>
        <w:t xml:space="preserve"> </w:t>
      </w:r>
      <w:r>
        <w:t>restricted responsibility for debts incurred by others on the property to the two years preceding application for transfer.  The present point is that the debts lawfully due from the previous owner did not constitute a subtraction of ownership.</w:t>
      </w:r>
    </w:p>
  </w:footnote>
  <w:footnote w:id="109">
    <w:p w:rsidR="0070352B" w:rsidRDefault="0070352B" w:rsidP="002A37ED">
      <w:pPr>
        <w:pStyle w:val="FootnoteText"/>
      </w:pPr>
      <w:r>
        <w:rPr>
          <w:rStyle w:val="FootnoteReference"/>
        </w:rPr>
        <w:footnoteRef/>
      </w:r>
      <w:r>
        <w:t xml:space="preserve"> It is in any event unjust to construe the deprivation or subtraction or attenuation of dominium as occurring before the sale transaction because the purchaser buys what is visible on either the land itself or its title as registered in the deeds office and is ignorant of, with no means of knowing about, historical debt.  So, to say that debts subtracted from that title are known to the transferee is plainly unjust.</w:t>
      </w:r>
    </w:p>
  </w:footnote>
  <w:footnote w:id="110">
    <w:p w:rsidR="0070352B" w:rsidRDefault="0070352B">
      <w:pPr>
        <w:pStyle w:val="FootnoteText"/>
      </w:pPr>
      <w:r>
        <w:rPr>
          <w:rStyle w:val="FootnoteReference"/>
        </w:rPr>
        <w:footnoteRef/>
      </w:r>
      <w:r>
        <w:t xml:space="preserve"> In any event, to argue that the new owner does not receive the property free of any encumbrances, as the municipalities and the Minister did, begs the question whether the debt survives transfer.  It is to this question that the consideration whether </w:t>
      </w:r>
      <w:r w:rsidRPr="000F1E3B">
        <w:t>deprivation is just is directed</w:t>
      </w:r>
      <w:r>
        <w:t>.</w:t>
      </w:r>
    </w:p>
  </w:footnote>
  <w:footnote w:id="111">
    <w:p w:rsidR="0070352B" w:rsidRDefault="0070352B">
      <w:pPr>
        <w:pStyle w:val="FootnoteText"/>
      </w:pPr>
      <w:r>
        <w:rPr>
          <w:rStyle w:val="FootnoteReference"/>
        </w:rPr>
        <w:footnoteRef/>
      </w:r>
      <w:r>
        <w:t xml:space="preserve"> </w:t>
      </w:r>
      <w:r w:rsidRPr="00AC6F55">
        <w:rPr>
          <w:i/>
        </w:rPr>
        <w:t>Mkontwana</w:t>
      </w:r>
      <w:r>
        <w:t xml:space="preserve"> above n 92 at </w:t>
      </w:r>
      <w:r w:rsidRPr="00AB54FF">
        <w:t>para 40</w:t>
      </w:r>
      <w:r>
        <w:t>.</w:t>
      </w:r>
    </w:p>
  </w:footnote>
  <w:footnote w:id="112">
    <w:p w:rsidR="0070352B" w:rsidRDefault="0070352B">
      <w:pPr>
        <w:pStyle w:val="FootnoteText"/>
      </w:pPr>
      <w:r>
        <w:rPr>
          <w:rStyle w:val="FootnoteReference"/>
        </w:rPr>
        <w:footnoteRef/>
      </w:r>
      <w:r>
        <w:t xml:space="preserve"> Yacoob J in </w:t>
      </w:r>
      <w:r w:rsidRPr="00BA794B">
        <w:rPr>
          <w:i/>
        </w:rPr>
        <w:t>Mkontwana</w:t>
      </w:r>
      <w:r>
        <w:t xml:space="preserve"> above n 92 at para 40, said:</w:t>
      </w:r>
    </w:p>
    <w:p w:rsidR="0070352B" w:rsidRDefault="0070352B" w:rsidP="00C13548">
      <w:pPr>
        <w:pStyle w:val="QUOTEINFOOTNOTE"/>
      </w:pPr>
      <w:r>
        <w:t>“It cannot be accepted that electricity and water are merely consumed at the property.  These amenities are supplied to the property, accessed and consumed by the occupier on the property and are enjoyed by the occupier as part and parcel of the enjoyment of the occupation of the property.”</w:t>
      </w:r>
    </w:p>
  </w:footnote>
  <w:footnote w:id="113">
    <w:p w:rsidR="0070352B" w:rsidRDefault="0070352B">
      <w:pPr>
        <w:pStyle w:val="FootnoteText"/>
      </w:pPr>
      <w:r>
        <w:rPr>
          <w:rStyle w:val="FootnoteReference"/>
        </w:rPr>
        <w:footnoteRef/>
      </w:r>
      <w:r>
        <w:t xml:space="preserve"> Yacoob J</w:t>
      </w:r>
      <w:r w:rsidRPr="000F1E3B">
        <w:t xml:space="preserve"> </w:t>
      </w:r>
      <w:r>
        <w:t xml:space="preserve">in </w:t>
      </w:r>
      <w:r w:rsidRPr="00BA794B">
        <w:rPr>
          <w:i/>
        </w:rPr>
        <w:t>Mkontwana</w:t>
      </w:r>
      <w:r>
        <w:t xml:space="preserve"> above n 92 at para 40, continued:</w:t>
      </w:r>
    </w:p>
    <w:p w:rsidR="0070352B" w:rsidRDefault="0070352B" w:rsidP="00C13548">
      <w:pPr>
        <w:pStyle w:val="QUOTEINFOOTNOTE"/>
      </w:pPr>
      <w:r>
        <w:t>“What is more, the supply of electricity and water to a property ordinarily increases its value; the consumption of electricity and water enhances its use and enjoyment.  Indeed, the consumption of electricity and water by the occupier is integral to the use and enjoyment of the affected property and to its inherent worth.”</w:t>
      </w:r>
    </w:p>
  </w:footnote>
  <w:footnote w:id="114">
    <w:p w:rsidR="0070352B" w:rsidRDefault="0070352B" w:rsidP="00AC6F55">
      <w:pPr>
        <w:pStyle w:val="FootnoteText1"/>
      </w:pPr>
      <w:r>
        <w:rPr>
          <w:rStyle w:val="FootnoteReference"/>
        </w:rPr>
        <w:footnoteRef/>
      </w:r>
      <w:r>
        <w:t xml:space="preserve"> </w:t>
      </w:r>
      <w:r w:rsidRPr="00AC6F55">
        <w:rPr>
          <w:i/>
        </w:rPr>
        <w:t>FNB</w:t>
      </w:r>
      <w:r>
        <w:t xml:space="preserve"> above n 106.</w:t>
      </w:r>
    </w:p>
  </w:footnote>
  <w:footnote w:id="115">
    <w:p w:rsidR="0070352B" w:rsidRDefault="0070352B">
      <w:pPr>
        <w:pStyle w:val="FootnoteText"/>
      </w:pPr>
      <w:r>
        <w:rPr>
          <w:rStyle w:val="FootnoteReference"/>
        </w:rPr>
        <w:footnoteRef/>
      </w:r>
      <w:r>
        <w:t xml:space="preserve"> </w:t>
      </w:r>
      <w:r w:rsidRPr="000F1E3B">
        <w:rPr>
          <w:i/>
        </w:rPr>
        <w:t>Mkontwana</w:t>
      </w:r>
      <w:r>
        <w:t xml:space="preserve"> a</w:t>
      </w:r>
      <w:r w:rsidRPr="009023D9">
        <w:t>bove n 92.</w:t>
      </w:r>
    </w:p>
  </w:footnote>
  <w:footnote w:id="116">
    <w:p w:rsidR="0070352B" w:rsidRDefault="0070352B">
      <w:pPr>
        <w:pStyle w:val="FootnoteText"/>
      </w:pPr>
      <w:r>
        <w:rPr>
          <w:rStyle w:val="FootnoteReference"/>
        </w:rPr>
        <w:footnoteRef/>
      </w:r>
      <w:r>
        <w:t xml:space="preserve"> </w:t>
      </w:r>
      <w:r w:rsidRPr="00AC6F55">
        <w:rPr>
          <w:i/>
        </w:rPr>
        <w:t>FNB</w:t>
      </w:r>
      <w:r>
        <w:t xml:space="preserve"> above n 106 at para 4 succinctly summarises the statutory powers at issue.</w:t>
      </w:r>
    </w:p>
  </w:footnote>
  <w:footnote w:id="117">
    <w:p w:rsidR="0070352B" w:rsidRDefault="0070352B">
      <w:pPr>
        <w:pStyle w:val="FootnoteText"/>
      </w:pPr>
      <w:r>
        <w:rPr>
          <w:rStyle w:val="FootnoteReference"/>
        </w:rPr>
        <w:footnoteRef/>
      </w:r>
      <w:r>
        <w:t xml:space="preserve"> Id at para 31.  Compare </w:t>
      </w:r>
      <w:r w:rsidRPr="00AA24FB">
        <w:rPr>
          <w:i/>
        </w:rPr>
        <w:t>Mkontwana</w:t>
      </w:r>
      <w:r w:rsidRPr="00AA24FB">
        <w:t xml:space="preserve"> </w:t>
      </w:r>
      <w:r>
        <w:t xml:space="preserve">above n 92 at </w:t>
      </w:r>
      <w:r w:rsidRPr="00AA24FB">
        <w:t>para 38 (the purpose of placing the risk of non-payment of municipal consumption charges on the owner of property is “important, laudable and has the potential to encourage regular payments of consumption charges”)</w:t>
      </w:r>
      <w:r>
        <w:t>.</w:t>
      </w:r>
    </w:p>
  </w:footnote>
  <w:footnote w:id="118">
    <w:p w:rsidR="0070352B" w:rsidRDefault="0070352B">
      <w:pPr>
        <w:pStyle w:val="FootnoteText"/>
      </w:pPr>
      <w:r>
        <w:rPr>
          <w:rStyle w:val="FootnoteReference"/>
        </w:rPr>
        <w:footnoteRef/>
      </w:r>
      <w:r>
        <w:t xml:space="preserve"> </w:t>
      </w:r>
      <w:r w:rsidRPr="00D940C1">
        <w:rPr>
          <w:i/>
        </w:rPr>
        <w:t>FNB</w:t>
      </w:r>
      <w:r>
        <w:t xml:space="preserve"> above n 106 at paras 107-</w:t>
      </w:r>
      <w:r w:rsidRPr="00AB54FF">
        <w:t>8</w:t>
      </w:r>
      <w:r>
        <w:t>.</w:t>
      </w:r>
    </w:p>
  </w:footnote>
  <w:footnote w:id="119">
    <w:p w:rsidR="0070352B" w:rsidRPr="00D940C1" w:rsidRDefault="0070352B">
      <w:pPr>
        <w:pStyle w:val="FootnoteText"/>
        <w:rPr>
          <w:i/>
        </w:rPr>
      </w:pPr>
      <w:r>
        <w:rPr>
          <w:rStyle w:val="FootnoteReference"/>
        </w:rPr>
        <w:footnoteRef/>
      </w:r>
      <w:r>
        <w:t xml:space="preserve"> </w:t>
      </w:r>
      <w:r>
        <w:rPr>
          <w:i/>
        </w:rPr>
        <w:t xml:space="preserve">Mkontwana </w:t>
      </w:r>
      <w:r>
        <w:t>above n 92 at p</w:t>
      </w:r>
      <w:r w:rsidRPr="00AB54FF">
        <w:t>aras 38-43, 45, 51-60</w:t>
      </w:r>
      <w:r>
        <w:t xml:space="preserve"> </w:t>
      </w:r>
      <w:r w:rsidRPr="00AB54FF">
        <w:t>and 99</w:t>
      </w:r>
      <w:r>
        <w:t>.</w:t>
      </w:r>
    </w:p>
  </w:footnote>
  <w:footnote w:id="120">
    <w:p w:rsidR="0070352B" w:rsidRPr="00505678" w:rsidRDefault="0070352B">
      <w:pPr>
        <w:pStyle w:val="FootnoteText"/>
      </w:pPr>
      <w:r>
        <w:rPr>
          <w:rStyle w:val="FootnoteReference"/>
        </w:rPr>
        <w:footnoteRef/>
      </w:r>
      <w:r>
        <w:t xml:space="preserve"> </w:t>
      </w:r>
      <w:r w:rsidRPr="00EA7EE8">
        <w:t>Id</w:t>
      </w:r>
      <w:r>
        <w:rPr>
          <w:i/>
        </w:rPr>
        <w:t xml:space="preserve"> </w:t>
      </w:r>
      <w:r w:rsidRPr="00EA7EE8">
        <w:t>at</w:t>
      </w:r>
      <w:r>
        <w:rPr>
          <w:i/>
        </w:rPr>
        <w:t xml:space="preserve"> </w:t>
      </w:r>
      <w:r>
        <w:t>para 45: “The deprivation lasts for two years only”.</w:t>
      </w:r>
    </w:p>
  </w:footnote>
  <w:footnote w:id="121">
    <w:p w:rsidR="0070352B" w:rsidRDefault="0070352B" w:rsidP="00EA7EE8">
      <w:pPr>
        <w:pStyle w:val="FootnoteText1"/>
      </w:pPr>
      <w:r>
        <w:rPr>
          <w:rStyle w:val="FootnoteReference"/>
        </w:rPr>
        <w:footnoteRef/>
      </w:r>
      <w:r>
        <w:t xml:space="preserve"> </w:t>
      </w:r>
      <w:r w:rsidRPr="00EA7EE8">
        <w:t xml:space="preserve">Compare </w:t>
      </w:r>
      <w:r w:rsidRPr="00EA7EE8">
        <w:rPr>
          <w:i/>
        </w:rPr>
        <w:t>Tshwane City v Mitchell</w:t>
      </w:r>
      <w:r w:rsidRPr="00EA7EE8">
        <w:t xml:space="preserve"> [2016] ZASCA 1; 2016 (3) SA 231 (SCA), where a sale in execution was in issue; the dissenting judgment of Zondi JA found that in those circumstances the charge did not survive transfer.</w:t>
      </w:r>
    </w:p>
  </w:footnote>
  <w:footnote w:id="122">
    <w:p w:rsidR="0070352B" w:rsidRDefault="0070352B">
      <w:pPr>
        <w:pStyle w:val="FootnoteText"/>
      </w:pPr>
      <w:r>
        <w:rPr>
          <w:rStyle w:val="FootnoteReference"/>
        </w:rPr>
        <w:footnoteRef/>
      </w:r>
      <w:r>
        <w:t xml:space="preserve"> </w:t>
      </w:r>
      <w:r w:rsidRPr="00E63648">
        <w:rPr>
          <w:i/>
        </w:rPr>
        <w:t>FNB</w:t>
      </w:r>
      <w:r>
        <w:t xml:space="preserve"> above n 106 at para 110.</w:t>
      </w:r>
    </w:p>
  </w:footnote>
  <w:footnote w:id="123">
    <w:p w:rsidR="0070352B" w:rsidRPr="00E63648" w:rsidRDefault="0070352B">
      <w:pPr>
        <w:pStyle w:val="FootnoteText"/>
      </w:pPr>
      <w:r>
        <w:rPr>
          <w:rStyle w:val="FootnoteReference"/>
        </w:rPr>
        <w:footnoteRef/>
      </w:r>
      <w:r>
        <w:t xml:space="preserve"> See Brits above n 51 at</w:t>
      </w:r>
      <w:r w:rsidRPr="009023D9">
        <w:t xml:space="preserve"> 410-3</w:t>
      </w:r>
      <w:r>
        <w:t xml:space="preserve"> (contending for an interpretive resolution of the constitutionally offensive impact of transmissibility).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767" w:rsidRDefault="0048176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767" w:rsidRDefault="0048176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1767" w:rsidRDefault="0048176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52B" w:rsidRDefault="0070352B" w:rsidP="000F7521">
    <w:pPr>
      <w:pStyle w:val="Header"/>
      <w:tabs>
        <w:tab w:val="clear" w:pos="4680"/>
        <w:tab w:val="clear" w:pos="9360"/>
        <w:tab w:val="right" w:pos="9072"/>
      </w:tabs>
      <w:jc w:val="right"/>
    </w:pPr>
    <w:r>
      <w:t>CAMERON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52B" w:rsidRDefault="0070352B"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813A0EFA"/>
    <w:lvl w:ilvl="0" w:tplc="EE6063C2">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themeColor="text1"/>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2D5356"/>
    <w:multiLevelType w:val="hybridMultilevel"/>
    <w:tmpl w:val="1646FC9E"/>
    <w:lvl w:ilvl="0" w:tplc="E724ED3E">
      <w:start w:val="1"/>
      <w:numFmt w:val="lowerLetter"/>
      <w:lvlText w:val="(%1)"/>
      <w:lvlJc w:val="left"/>
      <w:pPr>
        <w:ind w:left="1185" w:hanging="465"/>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1F006B0E"/>
    <w:multiLevelType w:val="hybridMultilevel"/>
    <w:tmpl w:val="B1E66C18"/>
    <w:lvl w:ilvl="0" w:tplc="174C140E">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222B765E"/>
    <w:multiLevelType w:val="hybridMultilevel"/>
    <w:tmpl w:val="5980D71C"/>
    <w:lvl w:ilvl="0" w:tplc="85DA802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2D4F761F"/>
    <w:multiLevelType w:val="hybridMultilevel"/>
    <w:tmpl w:val="6BE47F74"/>
    <w:lvl w:ilvl="0" w:tplc="E7E258A0">
      <w:start w:val="1"/>
      <w:numFmt w:val="lowerLetter"/>
      <w:lvlText w:val="(%1)"/>
      <w:lvlJc w:val="left"/>
      <w:pPr>
        <w:ind w:left="-1680" w:hanging="360"/>
      </w:pPr>
      <w:rPr>
        <w:rFonts w:ascii="Times New Roman" w:eastAsia="Calibri" w:hAnsi="Times New Roman" w:cs="Times New Roman"/>
      </w:rPr>
    </w:lvl>
    <w:lvl w:ilvl="1" w:tplc="1C090019" w:tentative="1">
      <w:start w:val="1"/>
      <w:numFmt w:val="lowerLetter"/>
      <w:lvlText w:val="%2."/>
      <w:lvlJc w:val="left"/>
      <w:pPr>
        <w:ind w:left="-960" w:hanging="360"/>
      </w:pPr>
    </w:lvl>
    <w:lvl w:ilvl="2" w:tplc="1C09001B" w:tentative="1">
      <w:start w:val="1"/>
      <w:numFmt w:val="lowerRoman"/>
      <w:lvlText w:val="%3."/>
      <w:lvlJc w:val="right"/>
      <w:pPr>
        <w:ind w:left="-240" w:hanging="180"/>
      </w:pPr>
    </w:lvl>
    <w:lvl w:ilvl="3" w:tplc="1C09000F" w:tentative="1">
      <w:start w:val="1"/>
      <w:numFmt w:val="decimal"/>
      <w:lvlText w:val="%4."/>
      <w:lvlJc w:val="left"/>
      <w:pPr>
        <w:ind w:left="480" w:hanging="360"/>
      </w:pPr>
    </w:lvl>
    <w:lvl w:ilvl="4" w:tplc="1C090019" w:tentative="1">
      <w:start w:val="1"/>
      <w:numFmt w:val="lowerLetter"/>
      <w:lvlText w:val="%5."/>
      <w:lvlJc w:val="left"/>
      <w:pPr>
        <w:ind w:left="1200" w:hanging="360"/>
      </w:pPr>
    </w:lvl>
    <w:lvl w:ilvl="5" w:tplc="1C09001B" w:tentative="1">
      <w:start w:val="1"/>
      <w:numFmt w:val="lowerRoman"/>
      <w:lvlText w:val="%6."/>
      <w:lvlJc w:val="right"/>
      <w:pPr>
        <w:ind w:left="1920" w:hanging="180"/>
      </w:pPr>
    </w:lvl>
    <w:lvl w:ilvl="6" w:tplc="1C09000F" w:tentative="1">
      <w:start w:val="1"/>
      <w:numFmt w:val="decimal"/>
      <w:lvlText w:val="%7."/>
      <w:lvlJc w:val="left"/>
      <w:pPr>
        <w:ind w:left="2640" w:hanging="360"/>
      </w:pPr>
    </w:lvl>
    <w:lvl w:ilvl="7" w:tplc="1C090019" w:tentative="1">
      <w:start w:val="1"/>
      <w:numFmt w:val="lowerLetter"/>
      <w:lvlText w:val="%8."/>
      <w:lvlJc w:val="left"/>
      <w:pPr>
        <w:ind w:left="3360" w:hanging="360"/>
      </w:pPr>
    </w:lvl>
    <w:lvl w:ilvl="8" w:tplc="1C09001B" w:tentative="1">
      <w:start w:val="1"/>
      <w:numFmt w:val="lowerRoman"/>
      <w:lvlText w:val="%9."/>
      <w:lvlJc w:val="right"/>
      <w:pPr>
        <w:ind w:left="4080" w:hanging="180"/>
      </w:pPr>
    </w:lvl>
  </w:abstractNum>
  <w:abstractNum w:abstractNumId="6">
    <w:nsid w:val="310D0431"/>
    <w:multiLevelType w:val="hybridMultilevel"/>
    <w:tmpl w:val="70CA53A6"/>
    <w:lvl w:ilvl="0" w:tplc="7020FEF4">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nsid w:val="335804D7"/>
    <w:multiLevelType w:val="hybridMultilevel"/>
    <w:tmpl w:val="A67682F2"/>
    <w:lvl w:ilvl="0" w:tplc="5A5ABAB8">
      <w:start w:val="1"/>
      <w:numFmt w:val="lowerLetter"/>
      <w:lvlText w:val="(%1)"/>
      <w:lvlJc w:val="left"/>
      <w:pPr>
        <w:ind w:left="1920" w:hanging="360"/>
      </w:pPr>
      <w:rPr>
        <w:rFonts w:hint="default"/>
      </w:rPr>
    </w:lvl>
    <w:lvl w:ilvl="1" w:tplc="1C090019" w:tentative="1">
      <w:start w:val="1"/>
      <w:numFmt w:val="lowerLetter"/>
      <w:lvlText w:val="%2."/>
      <w:lvlJc w:val="left"/>
      <w:pPr>
        <w:ind w:left="2640" w:hanging="360"/>
      </w:pPr>
    </w:lvl>
    <w:lvl w:ilvl="2" w:tplc="1C09001B" w:tentative="1">
      <w:start w:val="1"/>
      <w:numFmt w:val="lowerRoman"/>
      <w:lvlText w:val="%3."/>
      <w:lvlJc w:val="right"/>
      <w:pPr>
        <w:ind w:left="3360" w:hanging="180"/>
      </w:pPr>
    </w:lvl>
    <w:lvl w:ilvl="3" w:tplc="1C09000F" w:tentative="1">
      <w:start w:val="1"/>
      <w:numFmt w:val="decimal"/>
      <w:lvlText w:val="%4."/>
      <w:lvlJc w:val="left"/>
      <w:pPr>
        <w:ind w:left="4080" w:hanging="360"/>
      </w:pPr>
    </w:lvl>
    <w:lvl w:ilvl="4" w:tplc="1C090019" w:tentative="1">
      <w:start w:val="1"/>
      <w:numFmt w:val="lowerLetter"/>
      <w:lvlText w:val="%5."/>
      <w:lvlJc w:val="left"/>
      <w:pPr>
        <w:ind w:left="4800" w:hanging="360"/>
      </w:pPr>
    </w:lvl>
    <w:lvl w:ilvl="5" w:tplc="1C09001B" w:tentative="1">
      <w:start w:val="1"/>
      <w:numFmt w:val="lowerRoman"/>
      <w:lvlText w:val="%6."/>
      <w:lvlJc w:val="right"/>
      <w:pPr>
        <w:ind w:left="5520" w:hanging="180"/>
      </w:pPr>
    </w:lvl>
    <w:lvl w:ilvl="6" w:tplc="1C09000F" w:tentative="1">
      <w:start w:val="1"/>
      <w:numFmt w:val="decimal"/>
      <w:lvlText w:val="%7."/>
      <w:lvlJc w:val="left"/>
      <w:pPr>
        <w:ind w:left="6240" w:hanging="360"/>
      </w:pPr>
    </w:lvl>
    <w:lvl w:ilvl="7" w:tplc="1C090019" w:tentative="1">
      <w:start w:val="1"/>
      <w:numFmt w:val="lowerLetter"/>
      <w:lvlText w:val="%8."/>
      <w:lvlJc w:val="left"/>
      <w:pPr>
        <w:ind w:left="6960" w:hanging="360"/>
      </w:pPr>
    </w:lvl>
    <w:lvl w:ilvl="8" w:tplc="1C09001B" w:tentative="1">
      <w:start w:val="1"/>
      <w:numFmt w:val="lowerRoman"/>
      <w:lvlText w:val="%9."/>
      <w:lvlJc w:val="right"/>
      <w:pPr>
        <w:ind w:left="7680" w:hanging="180"/>
      </w:pPr>
    </w:lvl>
  </w:abstractNum>
  <w:abstractNum w:abstractNumId="8">
    <w:nsid w:val="33BC62D8"/>
    <w:multiLevelType w:val="hybridMultilevel"/>
    <w:tmpl w:val="43940FA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9">
    <w:nsid w:val="3515314A"/>
    <w:multiLevelType w:val="hybridMultilevel"/>
    <w:tmpl w:val="B8BC7C40"/>
    <w:lvl w:ilvl="0" w:tplc="155E100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39371FA6"/>
    <w:multiLevelType w:val="hybridMultilevel"/>
    <w:tmpl w:val="FD125E06"/>
    <w:lvl w:ilvl="0" w:tplc="C3B45F9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nsid w:val="3A1321AE"/>
    <w:multiLevelType w:val="hybridMultilevel"/>
    <w:tmpl w:val="03ECDF42"/>
    <w:lvl w:ilvl="0" w:tplc="9F2CCDB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45842EFA"/>
    <w:multiLevelType w:val="hybridMultilevel"/>
    <w:tmpl w:val="A67682F2"/>
    <w:lvl w:ilvl="0" w:tplc="5A5ABAB8">
      <w:start w:val="1"/>
      <w:numFmt w:val="lowerLetter"/>
      <w:lvlText w:val="(%1)"/>
      <w:lvlJc w:val="left"/>
      <w:pPr>
        <w:ind w:left="2520" w:hanging="36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3">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46434E7C"/>
    <w:multiLevelType w:val="hybridMultilevel"/>
    <w:tmpl w:val="C780FF24"/>
    <w:lvl w:ilvl="0" w:tplc="D908C60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nsid w:val="477221DA"/>
    <w:multiLevelType w:val="hybridMultilevel"/>
    <w:tmpl w:val="A67682F2"/>
    <w:lvl w:ilvl="0" w:tplc="5A5ABAB8">
      <w:start w:val="1"/>
      <w:numFmt w:val="lowerLetter"/>
      <w:lvlText w:val="(%1)"/>
      <w:lvlJc w:val="left"/>
      <w:pPr>
        <w:ind w:left="1920" w:hanging="360"/>
      </w:pPr>
      <w:rPr>
        <w:rFonts w:hint="default"/>
      </w:rPr>
    </w:lvl>
    <w:lvl w:ilvl="1" w:tplc="1C090019" w:tentative="1">
      <w:start w:val="1"/>
      <w:numFmt w:val="lowerLetter"/>
      <w:lvlText w:val="%2."/>
      <w:lvlJc w:val="left"/>
      <w:pPr>
        <w:ind w:left="2640" w:hanging="360"/>
      </w:pPr>
    </w:lvl>
    <w:lvl w:ilvl="2" w:tplc="1C09001B" w:tentative="1">
      <w:start w:val="1"/>
      <w:numFmt w:val="lowerRoman"/>
      <w:lvlText w:val="%3."/>
      <w:lvlJc w:val="right"/>
      <w:pPr>
        <w:ind w:left="3360" w:hanging="180"/>
      </w:pPr>
    </w:lvl>
    <w:lvl w:ilvl="3" w:tplc="1C09000F" w:tentative="1">
      <w:start w:val="1"/>
      <w:numFmt w:val="decimal"/>
      <w:lvlText w:val="%4."/>
      <w:lvlJc w:val="left"/>
      <w:pPr>
        <w:ind w:left="4080" w:hanging="360"/>
      </w:pPr>
    </w:lvl>
    <w:lvl w:ilvl="4" w:tplc="1C090019" w:tentative="1">
      <w:start w:val="1"/>
      <w:numFmt w:val="lowerLetter"/>
      <w:lvlText w:val="%5."/>
      <w:lvlJc w:val="left"/>
      <w:pPr>
        <w:ind w:left="4800" w:hanging="360"/>
      </w:pPr>
    </w:lvl>
    <w:lvl w:ilvl="5" w:tplc="1C09001B" w:tentative="1">
      <w:start w:val="1"/>
      <w:numFmt w:val="lowerRoman"/>
      <w:lvlText w:val="%6."/>
      <w:lvlJc w:val="right"/>
      <w:pPr>
        <w:ind w:left="5520" w:hanging="180"/>
      </w:pPr>
    </w:lvl>
    <w:lvl w:ilvl="6" w:tplc="1C09000F" w:tentative="1">
      <w:start w:val="1"/>
      <w:numFmt w:val="decimal"/>
      <w:lvlText w:val="%7."/>
      <w:lvlJc w:val="left"/>
      <w:pPr>
        <w:ind w:left="6240" w:hanging="360"/>
      </w:pPr>
    </w:lvl>
    <w:lvl w:ilvl="7" w:tplc="1C090019" w:tentative="1">
      <w:start w:val="1"/>
      <w:numFmt w:val="lowerLetter"/>
      <w:lvlText w:val="%8."/>
      <w:lvlJc w:val="left"/>
      <w:pPr>
        <w:ind w:left="6960" w:hanging="360"/>
      </w:pPr>
    </w:lvl>
    <w:lvl w:ilvl="8" w:tplc="1C09001B" w:tentative="1">
      <w:start w:val="1"/>
      <w:numFmt w:val="lowerRoman"/>
      <w:lvlText w:val="%9."/>
      <w:lvlJc w:val="right"/>
      <w:pPr>
        <w:ind w:left="7680" w:hanging="180"/>
      </w:pPr>
    </w:lvl>
  </w:abstractNum>
  <w:abstractNum w:abstractNumId="16">
    <w:nsid w:val="4B1075C6"/>
    <w:multiLevelType w:val="hybridMultilevel"/>
    <w:tmpl w:val="B8BC7C40"/>
    <w:lvl w:ilvl="0" w:tplc="155E100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nsid w:val="5C53358D"/>
    <w:multiLevelType w:val="hybridMultilevel"/>
    <w:tmpl w:val="A67682F2"/>
    <w:lvl w:ilvl="0" w:tplc="5A5ABAB8">
      <w:start w:val="1"/>
      <w:numFmt w:val="lowerLetter"/>
      <w:lvlText w:val="(%1)"/>
      <w:lvlJc w:val="left"/>
      <w:pPr>
        <w:ind w:left="1920" w:hanging="360"/>
      </w:pPr>
      <w:rPr>
        <w:rFonts w:hint="default"/>
      </w:rPr>
    </w:lvl>
    <w:lvl w:ilvl="1" w:tplc="1C090019" w:tentative="1">
      <w:start w:val="1"/>
      <w:numFmt w:val="lowerLetter"/>
      <w:lvlText w:val="%2."/>
      <w:lvlJc w:val="left"/>
      <w:pPr>
        <w:ind w:left="2640" w:hanging="360"/>
      </w:pPr>
    </w:lvl>
    <w:lvl w:ilvl="2" w:tplc="1C09001B" w:tentative="1">
      <w:start w:val="1"/>
      <w:numFmt w:val="lowerRoman"/>
      <w:lvlText w:val="%3."/>
      <w:lvlJc w:val="right"/>
      <w:pPr>
        <w:ind w:left="3360" w:hanging="180"/>
      </w:pPr>
    </w:lvl>
    <w:lvl w:ilvl="3" w:tplc="1C09000F" w:tentative="1">
      <w:start w:val="1"/>
      <w:numFmt w:val="decimal"/>
      <w:lvlText w:val="%4."/>
      <w:lvlJc w:val="left"/>
      <w:pPr>
        <w:ind w:left="4080" w:hanging="360"/>
      </w:pPr>
    </w:lvl>
    <w:lvl w:ilvl="4" w:tplc="1C090019" w:tentative="1">
      <w:start w:val="1"/>
      <w:numFmt w:val="lowerLetter"/>
      <w:lvlText w:val="%5."/>
      <w:lvlJc w:val="left"/>
      <w:pPr>
        <w:ind w:left="4800" w:hanging="360"/>
      </w:pPr>
    </w:lvl>
    <w:lvl w:ilvl="5" w:tplc="1C09001B" w:tentative="1">
      <w:start w:val="1"/>
      <w:numFmt w:val="lowerRoman"/>
      <w:lvlText w:val="%6."/>
      <w:lvlJc w:val="right"/>
      <w:pPr>
        <w:ind w:left="5520" w:hanging="180"/>
      </w:pPr>
    </w:lvl>
    <w:lvl w:ilvl="6" w:tplc="1C09000F" w:tentative="1">
      <w:start w:val="1"/>
      <w:numFmt w:val="decimal"/>
      <w:lvlText w:val="%7."/>
      <w:lvlJc w:val="left"/>
      <w:pPr>
        <w:ind w:left="6240" w:hanging="360"/>
      </w:pPr>
    </w:lvl>
    <w:lvl w:ilvl="7" w:tplc="1C090019" w:tentative="1">
      <w:start w:val="1"/>
      <w:numFmt w:val="lowerLetter"/>
      <w:lvlText w:val="%8."/>
      <w:lvlJc w:val="left"/>
      <w:pPr>
        <w:ind w:left="6960" w:hanging="360"/>
      </w:pPr>
    </w:lvl>
    <w:lvl w:ilvl="8" w:tplc="1C09001B" w:tentative="1">
      <w:start w:val="1"/>
      <w:numFmt w:val="lowerRoman"/>
      <w:lvlText w:val="%9."/>
      <w:lvlJc w:val="right"/>
      <w:pPr>
        <w:ind w:left="7680" w:hanging="180"/>
      </w:pPr>
    </w:lvl>
  </w:abstractNum>
  <w:abstractNum w:abstractNumId="18">
    <w:nsid w:val="5DA421DC"/>
    <w:multiLevelType w:val="hybridMultilevel"/>
    <w:tmpl w:val="A67682F2"/>
    <w:lvl w:ilvl="0" w:tplc="5A5ABAB8">
      <w:start w:val="1"/>
      <w:numFmt w:val="lowerLetter"/>
      <w:lvlText w:val="(%1)"/>
      <w:lvlJc w:val="left"/>
      <w:pPr>
        <w:ind w:left="1920" w:hanging="360"/>
      </w:pPr>
      <w:rPr>
        <w:rFonts w:hint="default"/>
      </w:rPr>
    </w:lvl>
    <w:lvl w:ilvl="1" w:tplc="1C090019" w:tentative="1">
      <w:start w:val="1"/>
      <w:numFmt w:val="lowerLetter"/>
      <w:lvlText w:val="%2."/>
      <w:lvlJc w:val="left"/>
      <w:pPr>
        <w:ind w:left="2640" w:hanging="360"/>
      </w:pPr>
    </w:lvl>
    <w:lvl w:ilvl="2" w:tplc="1C09001B" w:tentative="1">
      <w:start w:val="1"/>
      <w:numFmt w:val="lowerRoman"/>
      <w:lvlText w:val="%3."/>
      <w:lvlJc w:val="right"/>
      <w:pPr>
        <w:ind w:left="3360" w:hanging="180"/>
      </w:pPr>
    </w:lvl>
    <w:lvl w:ilvl="3" w:tplc="1C09000F" w:tentative="1">
      <w:start w:val="1"/>
      <w:numFmt w:val="decimal"/>
      <w:lvlText w:val="%4."/>
      <w:lvlJc w:val="left"/>
      <w:pPr>
        <w:ind w:left="4080" w:hanging="360"/>
      </w:pPr>
    </w:lvl>
    <w:lvl w:ilvl="4" w:tplc="1C090019" w:tentative="1">
      <w:start w:val="1"/>
      <w:numFmt w:val="lowerLetter"/>
      <w:lvlText w:val="%5."/>
      <w:lvlJc w:val="left"/>
      <w:pPr>
        <w:ind w:left="4800" w:hanging="360"/>
      </w:pPr>
    </w:lvl>
    <w:lvl w:ilvl="5" w:tplc="1C09001B" w:tentative="1">
      <w:start w:val="1"/>
      <w:numFmt w:val="lowerRoman"/>
      <w:lvlText w:val="%6."/>
      <w:lvlJc w:val="right"/>
      <w:pPr>
        <w:ind w:left="5520" w:hanging="180"/>
      </w:pPr>
    </w:lvl>
    <w:lvl w:ilvl="6" w:tplc="1C09000F" w:tentative="1">
      <w:start w:val="1"/>
      <w:numFmt w:val="decimal"/>
      <w:lvlText w:val="%7."/>
      <w:lvlJc w:val="left"/>
      <w:pPr>
        <w:ind w:left="6240" w:hanging="360"/>
      </w:pPr>
    </w:lvl>
    <w:lvl w:ilvl="7" w:tplc="1C090019" w:tentative="1">
      <w:start w:val="1"/>
      <w:numFmt w:val="lowerLetter"/>
      <w:lvlText w:val="%8."/>
      <w:lvlJc w:val="left"/>
      <w:pPr>
        <w:ind w:left="6960" w:hanging="360"/>
      </w:pPr>
    </w:lvl>
    <w:lvl w:ilvl="8" w:tplc="1C09001B" w:tentative="1">
      <w:start w:val="1"/>
      <w:numFmt w:val="lowerRoman"/>
      <w:lvlText w:val="%9."/>
      <w:lvlJc w:val="right"/>
      <w:pPr>
        <w:ind w:left="7680" w:hanging="180"/>
      </w:pPr>
    </w:lvl>
  </w:abstractNum>
  <w:abstractNum w:abstractNumId="19">
    <w:nsid w:val="5F13137D"/>
    <w:multiLevelType w:val="hybridMultilevel"/>
    <w:tmpl w:val="902A007A"/>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0">
    <w:nsid w:val="625C40BD"/>
    <w:multiLevelType w:val="hybridMultilevel"/>
    <w:tmpl w:val="93209F6C"/>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21">
    <w:nsid w:val="6A65796F"/>
    <w:multiLevelType w:val="hybridMultilevel"/>
    <w:tmpl w:val="0B90FC88"/>
    <w:lvl w:ilvl="0" w:tplc="4C2A4CA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2">
    <w:nsid w:val="72434F8C"/>
    <w:multiLevelType w:val="hybridMultilevel"/>
    <w:tmpl w:val="A67682F2"/>
    <w:lvl w:ilvl="0" w:tplc="5A5ABAB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74010F53"/>
    <w:multiLevelType w:val="hybridMultilevel"/>
    <w:tmpl w:val="4582D9B4"/>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abstractNumId w:val="0"/>
  </w:num>
  <w:num w:numId="2">
    <w:abstractNumId w:val="13"/>
  </w:num>
  <w:num w:numId="3">
    <w:abstractNumId w:val="13"/>
  </w:num>
  <w:num w:numId="4">
    <w:abstractNumId w:val="13"/>
  </w:num>
  <w:num w:numId="5">
    <w:abstractNumId w:val="13"/>
  </w:num>
  <w:num w:numId="6">
    <w:abstractNumId w:val="13"/>
  </w:num>
  <w:num w:numId="7">
    <w:abstractNumId w:val="13"/>
  </w:num>
  <w:num w:numId="8">
    <w:abstractNumId w:val="13"/>
  </w:num>
  <w:num w:numId="9">
    <w:abstractNumId w:val="13"/>
  </w:num>
  <w:num w:numId="10">
    <w:abstractNumId w:val="13"/>
  </w:num>
  <w:num w:numId="11">
    <w:abstractNumId w:val="2"/>
  </w:num>
  <w:num w:numId="12">
    <w:abstractNumId w:val="2"/>
    <w:lvlOverride w:ilvl="0">
      <w:startOverride w:val="1"/>
    </w:lvlOverride>
  </w:num>
  <w:num w:numId="13">
    <w:abstractNumId w:val="0"/>
  </w:num>
  <w:num w:numId="14">
    <w:abstractNumId w:val="8"/>
  </w:num>
  <w:num w:numId="15">
    <w:abstractNumId w:val="11"/>
  </w:num>
  <w:num w:numId="16">
    <w:abstractNumId w:val="3"/>
  </w:num>
  <w:num w:numId="17">
    <w:abstractNumId w:val="6"/>
  </w:num>
  <w:num w:numId="18">
    <w:abstractNumId w:val="23"/>
  </w:num>
  <w:num w:numId="19">
    <w:abstractNumId w:val="20"/>
  </w:num>
  <w:num w:numId="20">
    <w:abstractNumId w:val="4"/>
  </w:num>
  <w:num w:numId="21">
    <w:abstractNumId w:val="19"/>
  </w:num>
  <w:num w:numId="22">
    <w:abstractNumId w:val="16"/>
  </w:num>
  <w:num w:numId="23">
    <w:abstractNumId w:val="14"/>
  </w:num>
  <w:num w:numId="24">
    <w:abstractNumId w:val="10"/>
  </w:num>
  <w:num w:numId="25">
    <w:abstractNumId w:val="18"/>
  </w:num>
  <w:num w:numId="26">
    <w:abstractNumId w:val="12"/>
  </w:num>
  <w:num w:numId="27">
    <w:abstractNumId w:val="17"/>
  </w:num>
  <w:num w:numId="28">
    <w:abstractNumId w:val="15"/>
  </w:num>
  <w:num w:numId="29">
    <w:abstractNumId w:val="5"/>
  </w:num>
  <w:num w:numId="30">
    <w:abstractNumId w:val="7"/>
  </w:num>
  <w:num w:numId="31">
    <w:abstractNumId w:val="21"/>
  </w:num>
  <w:num w:numId="32">
    <w:abstractNumId w:val="22"/>
  </w:num>
  <w:num w:numId="33">
    <w:abstractNumId w:val="1"/>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2E2"/>
    <w:rsid w:val="00003278"/>
    <w:rsid w:val="000032C9"/>
    <w:rsid w:val="00003C49"/>
    <w:rsid w:val="00004F33"/>
    <w:rsid w:val="00005415"/>
    <w:rsid w:val="0000792E"/>
    <w:rsid w:val="00011E07"/>
    <w:rsid w:val="00015F87"/>
    <w:rsid w:val="00016C3B"/>
    <w:rsid w:val="00021B45"/>
    <w:rsid w:val="00023362"/>
    <w:rsid w:val="0002382A"/>
    <w:rsid w:val="00023BB9"/>
    <w:rsid w:val="00026D3E"/>
    <w:rsid w:val="00030679"/>
    <w:rsid w:val="00030B10"/>
    <w:rsid w:val="00031B65"/>
    <w:rsid w:val="0003222E"/>
    <w:rsid w:val="00032F28"/>
    <w:rsid w:val="0003332C"/>
    <w:rsid w:val="0003374F"/>
    <w:rsid w:val="00033F33"/>
    <w:rsid w:val="000350C8"/>
    <w:rsid w:val="00036661"/>
    <w:rsid w:val="000412F8"/>
    <w:rsid w:val="00041BD6"/>
    <w:rsid w:val="00050AB9"/>
    <w:rsid w:val="000516A9"/>
    <w:rsid w:val="0005242B"/>
    <w:rsid w:val="00052BDE"/>
    <w:rsid w:val="00052C4D"/>
    <w:rsid w:val="0005416C"/>
    <w:rsid w:val="00055C56"/>
    <w:rsid w:val="00056DAB"/>
    <w:rsid w:val="000570BC"/>
    <w:rsid w:val="00061B62"/>
    <w:rsid w:val="00062A1F"/>
    <w:rsid w:val="00066AC6"/>
    <w:rsid w:val="000704F2"/>
    <w:rsid w:val="000705B9"/>
    <w:rsid w:val="00070D5E"/>
    <w:rsid w:val="00073E80"/>
    <w:rsid w:val="00075F7F"/>
    <w:rsid w:val="00077438"/>
    <w:rsid w:val="00081DE9"/>
    <w:rsid w:val="00082027"/>
    <w:rsid w:val="000827F9"/>
    <w:rsid w:val="00083077"/>
    <w:rsid w:val="0008371B"/>
    <w:rsid w:val="000858C8"/>
    <w:rsid w:val="00086B5B"/>
    <w:rsid w:val="00090563"/>
    <w:rsid w:val="00091531"/>
    <w:rsid w:val="00094E20"/>
    <w:rsid w:val="00095A15"/>
    <w:rsid w:val="00096A1C"/>
    <w:rsid w:val="000A0FC9"/>
    <w:rsid w:val="000A154B"/>
    <w:rsid w:val="000A1996"/>
    <w:rsid w:val="000A1C6F"/>
    <w:rsid w:val="000A2F1C"/>
    <w:rsid w:val="000A70DC"/>
    <w:rsid w:val="000B0C92"/>
    <w:rsid w:val="000B139E"/>
    <w:rsid w:val="000B177D"/>
    <w:rsid w:val="000B22E6"/>
    <w:rsid w:val="000B2FA4"/>
    <w:rsid w:val="000B59D0"/>
    <w:rsid w:val="000B6E6B"/>
    <w:rsid w:val="000B701A"/>
    <w:rsid w:val="000C1B89"/>
    <w:rsid w:val="000C330A"/>
    <w:rsid w:val="000C38CF"/>
    <w:rsid w:val="000C4712"/>
    <w:rsid w:val="000C7328"/>
    <w:rsid w:val="000D1F44"/>
    <w:rsid w:val="000D2719"/>
    <w:rsid w:val="000D2C23"/>
    <w:rsid w:val="000D3562"/>
    <w:rsid w:val="000E1DCF"/>
    <w:rsid w:val="000E66E6"/>
    <w:rsid w:val="000E673B"/>
    <w:rsid w:val="000E6E6E"/>
    <w:rsid w:val="000F009E"/>
    <w:rsid w:val="000F14A6"/>
    <w:rsid w:val="000F1C74"/>
    <w:rsid w:val="000F1E3B"/>
    <w:rsid w:val="000F2873"/>
    <w:rsid w:val="000F2BE0"/>
    <w:rsid w:val="000F3006"/>
    <w:rsid w:val="000F46CA"/>
    <w:rsid w:val="000F5553"/>
    <w:rsid w:val="000F7521"/>
    <w:rsid w:val="001016AC"/>
    <w:rsid w:val="00102FA9"/>
    <w:rsid w:val="0010450E"/>
    <w:rsid w:val="00105765"/>
    <w:rsid w:val="00105951"/>
    <w:rsid w:val="001129D9"/>
    <w:rsid w:val="00112F32"/>
    <w:rsid w:val="00114D38"/>
    <w:rsid w:val="00115C06"/>
    <w:rsid w:val="00116D99"/>
    <w:rsid w:val="00117E64"/>
    <w:rsid w:val="0012245C"/>
    <w:rsid w:val="001241A7"/>
    <w:rsid w:val="001338C6"/>
    <w:rsid w:val="00136D65"/>
    <w:rsid w:val="001426C1"/>
    <w:rsid w:val="00143216"/>
    <w:rsid w:val="00143F64"/>
    <w:rsid w:val="001445A5"/>
    <w:rsid w:val="001460CF"/>
    <w:rsid w:val="00150D80"/>
    <w:rsid w:val="0015549D"/>
    <w:rsid w:val="00155EF9"/>
    <w:rsid w:val="0015618D"/>
    <w:rsid w:val="00156F7C"/>
    <w:rsid w:val="001573B6"/>
    <w:rsid w:val="0015774C"/>
    <w:rsid w:val="001611B1"/>
    <w:rsid w:val="00161580"/>
    <w:rsid w:val="00165792"/>
    <w:rsid w:val="0017229C"/>
    <w:rsid w:val="00174981"/>
    <w:rsid w:val="0017783E"/>
    <w:rsid w:val="001801EA"/>
    <w:rsid w:val="00181F70"/>
    <w:rsid w:val="00183FC9"/>
    <w:rsid w:val="001855AD"/>
    <w:rsid w:val="00185784"/>
    <w:rsid w:val="00185D97"/>
    <w:rsid w:val="00185FEB"/>
    <w:rsid w:val="0018699A"/>
    <w:rsid w:val="0018705D"/>
    <w:rsid w:val="0018725D"/>
    <w:rsid w:val="00190E4B"/>
    <w:rsid w:val="001927E9"/>
    <w:rsid w:val="00192E7B"/>
    <w:rsid w:val="00194B9C"/>
    <w:rsid w:val="00197B7B"/>
    <w:rsid w:val="001A10D2"/>
    <w:rsid w:val="001A2F3C"/>
    <w:rsid w:val="001A5226"/>
    <w:rsid w:val="001A6DC1"/>
    <w:rsid w:val="001A71BD"/>
    <w:rsid w:val="001A7F87"/>
    <w:rsid w:val="001B0B62"/>
    <w:rsid w:val="001B4C29"/>
    <w:rsid w:val="001B6ABE"/>
    <w:rsid w:val="001B7646"/>
    <w:rsid w:val="001C0310"/>
    <w:rsid w:val="001C050A"/>
    <w:rsid w:val="001C0E40"/>
    <w:rsid w:val="001C0F39"/>
    <w:rsid w:val="001C1425"/>
    <w:rsid w:val="001C316B"/>
    <w:rsid w:val="001C3873"/>
    <w:rsid w:val="001C7CAC"/>
    <w:rsid w:val="001D1693"/>
    <w:rsid w:val="001D1AF5"/>
    <w:rsid w:val="001D1BC5"/>
    <w:rsid w:val="001D1C0C"/>
    <w:rsid w:val="001D2330"/>
    <w:rsid w:val="001D2D48"/>
    <w:rsid w:val="001D31D7"/>
    <w:rsid w:val="001D34A8"/>
    <w:rsid w:val="001D5384"/>
    <w:rsid w:val="001D5745"/>
    <w:rsid w:val="001D6B44"/>
    <w:rsid w:val="001E0834"/>
    <w:rsid w:val="001E1F11"/>
    <w:rsid w:val="001E2777"/>
    <w:rsid w:val="001E3580"/>
    <w:rsid w:val="001E6933"/>
    <w:rsid w:val="001E76D7"/>
    <w:rsid w:val="001F057D"/>
    <w:rsid w:val="001F2FD1"/>
    <w:rsid w:val="001F3803"/>
    <w:rsid w:val="001F53E6"/>
    <w:rsid w:val="001F7110"/>
    <w:rsid w:val="002022C5"/>
    <w:rsid w:val="00204D79"/>
    <w:rsid w:val="00212392"/>
    <w:rsid w:val="00212948"/>
    <w:rsid w:val="00212F4C"/>
    <w:rsid w:val="00216F98"/>
    <w:rsid w:val="002208F2"/>
    <w:rsid w:val="00223257"/>
    <w:rsid w:val="00223B39"/>
    <w:rsid w:val="00223CC8"/>
    <w:rsid w:val="00225D22"/>
    <w:rsid w:val="00230EE2"/>
    <w:rsid w:val="0023204A"/>
    <w:rsid w:val="00232B8F"/>
    <w:rsid w:val="00234233"/>
    <w:rsid w:val="00236F9A"/>
    <w:rsid w:val="00237ECF"/>
    <w:rsid w:val="0024089C"/>
    <w:rsid w:val="00242823"/>
    <w:rsid w:val="0024534D"/>
    <w:rsid w:val="00246F07"/>
    <w:rsid w:val="0024725F"/>
    <w:rsid w:val="0025134C"/>
    <w:rsid w:val="0025196F"/>
    <w:rsid w:val="00251BAF"/>
    <w:rsid w:val="00251C84"/>
    <w:rsid w:val="00252B61"/>
    <w:rsid w:val="00252D2C"/>
    <w:rsid w:val="00252D47"/>
    <w:rsid w:val="00252D8D"/>
    <w:rsid w:val="00255E4C"/>
    <w:rsid w:val="00256716"/>
    <w:rsid w:val="00257335"/>
    <w:rsid w:val="00261B72"/>
    <w:rsid w:val="00261FA0"/>
    <w:rsid w:val="0026771E"/>
    <w:rsid w:val="002759D6"/>
    <w:rsid w:val="00276A40"/>
    <w:rsid w:val="002802E2"/>
    <w:rsid w:val="0028133F"/>
    <w:rsid w:val="00284220"/>
    <w:rsid w:val="0028647F"/>
    <w:rsid w:val="00287753"/>
    <w:rsid w:val="002904CE"/>
    <w:rsid w:val="00291577"/>
    <w:rsid w:val="00293E7A"/>
    <w:rsid w:val="002946AD"/>
    <w:rsid w:val="00294F17"/>
    <w:rsid w:val="00295C91"/>
    <w:rsid w:val="002A07C7"/>
    <w:rsid w:val="002A103D"/>
    <w:rsid w:val="002A28FB"/>
    <w:rsid w:val="002A37ED"/>
    <w:rsid w:val="002A4373"/>
    <w:rsid w:val="002A58B9"/>
    <w:rsid w:val="002A7F27"/>
    <w:rsid w:val="002B103A"/>
    <w:rsid w:val="002B10B3"/>
    <w:rsid w:val="002B2DB6"/>
    <w:rsid w:val="002B3D78"/>
    <w:rsid w:val="002B5F1C"/>
    <w:rsid w:val="002C186B"/>
    <w:rsid w:val="002C3559"/>
    <w:rsid w:val="002C41AD"/>
    <w:rsid w:val="002C4325"/>
    <w:rsid w:val="002C43D8"/>
    <w:rsid w:val="002C5001"/>
    <w:rsid w:val="002C530E"/>
    <w:rsid w:val="002C56D4"/>
    <w:rsid w:val="002C5F97"/>
    <w:rsid w:val="002C6AAC"/>
    <w:rsid w:val="002C7AC5"/>
    <w:rsid w:val="002D0ABE"/>
    <w:rsid w:val="002D1442"/>
    <w:rsid w:val="002D1FD9"/>
    <w:rsid w:val="002D32AC"/>
    <w:rsid w:val="002D370A"/>
    <w:rsid w:val="002D4C88"/>
    <w:rsid w:val="002D5BD7"/>
    <w:rsid w:val="002D6E04"/>
    <w:rsid w:val="002D7289"/>
    <w:rsid w:val="002D740E"/>
    <w:rsid w:val="002E086B"/>
    <w:rsid w:val="002E0EB4"/>
    <w:rsid w:val="002E15FA"/>
    <w:rsid w:val="002E1AA1"/>
    <w:rsid w:val="002E4857"/>
    <w:rsid w:val="002E52A0"/>
    <w:rsid w:val="002E6A6B"/>
    <w:rsid w:val="002E6BEC"/>
    <w:rsid w:val="002E6D7B"/>
    <w:rsid w:val="002F27B3"/>
    <w:rsid w:val="002F2A3C"/>
    <w:rsid w:val="002F39FE"/>
    <w:rsid w:val="002F422A"/>
    <w:rsid w:val="002F4B94"/>
    <w:rsid w:val="002F667B"/>
    <w:rsid w:val="002F6A17"/>
    <w:rsid w:val="003017FE"/>
    <w:rsid w:val="0030562A"/>
    <w:rsid w:val="00307D52"/>
    <w:rsid w:val="00313EC2"/>
    <w:rsid w:val="00315EC5"/>
    <w:rsid w:val="003171BA"/>
    <w:rsid w:val="00317E21"/>
    <w:rsid w:val="003221AD"/>
    <w:rsid w:val="0032436F"/>
    <w:rsid w:val="00326649"/>
    <w:rsid w:val="00326A5B"/>
    <w:rsid w:val="00327FF7"/>
    <w:rsid w:val="00331955"/>
    <w:rsid w:val="0033694A"/>
    <w:rsid w:val="00341131"/>
    <w:rsid w:val="003421C5"/>
    <w:rsid w:val="003429EB"/>
    <w:rsid w:val="003433CF"/>
    <w:rsid w:val="003462AC"/>
    <w:rsid w:val="00346927"/>
    <w:rsid w:val="0034702B"/>
    <w:rsid w:val="0034791F"/>
    <w:rsid w:val="003505A4"/>
    <w:rsid w:val="0035103A"/>
    <w:rsid w:val="003541BC"/>
    <w:rsid w:val="0035509C"/>
    <w:rsid w:val="003644DF"/>
    <w:rsid w:val="003651AF"/>
    <w:rsid w:val="00365250"/>
    <w:rsid w:val="00365660"/>
    <w:rsid w:val="00366550"/>
    <w:rsid w:val="00366B14"/>
    <w:rsid w:val="003678B1"/>
    <w:rsid w:val="003718DE"/>
    <w:rsid w:val="00371C45"/>
    <w:rsid w:val="00371ED3"/>
    <w:rsid w:val="00381E96"/>
    <w:rsid w:val="00382901"/>
    <w:rsid w:val="003837F4"/>
    <w:rsid w:val="00385E48"/>
    <w:rsid w:val="00386F56"/>
    <w:rsid w:val="00386FCB"/>
    <w:rsid w:val="00387C7A"/>
    <w:rsid w:val="00391951"/>
    <w:rsid w:val="00392FD3"/>
    <w:rsid w:val="00397BBB"/>
    <w:rsid w:val="003A0FD9"/>
    <w:rsid w:val="003A18CF"/>
    <w:rsid w:val="003A3C4A"/>
    <w:rsid w:val="003A3D0A"/>
    <w:rsid w:val="003A3E5C"/>
    <w:rsid w:val="003A46D8"/>
    <w:rsid w:val="003A526B"/>
    <w:rsid w:val="003A5369"/>
    <w:rsid w:val="003A67C0"/>
    <w:rsid w:val="003A700B"/>
    <w:rsid w:val="003B0C6C"/>
    <w:rsid w:val="003B10D2"/>
    <w:rsid w:val="003B12C2"/>
    <w:rsid w:val="003B3029"/>
    <w:rsid w:val="003C19CE"/>
    <w:rsid w:val="003C3340"/>
    <w:rsid w:val="003C55F4"/>
    <w:rsid w:val="003C5CF6"/>
    <w:rsid w:val="003C7884"/>
    <w:rsid w:val="003C7B6C"/>
    <w:rsid w:val="003D0CC0"/>
    <w:rsid w:val="003D5D91"/>
    <w:rsid w:val="003D79FB"/>
    <w:rsid w:val="003E093A"/>
    <w:rsid w:val="003E2EC0"/>
    <w:rsid w:val="003E320A"/>
    <w:rsid w:val="003E327D"/>
    <w:rsid w:val="003E3722"/>
    <w:rsid w:val="003E71C9"/>
    <w:rsid w:val="003F2DFA"/>
    <w:rsid w:val="004026B9"/>
    <w:rsid w:val="00403A61"/>
    <w:rsid w:val="00403D48"/>
    <w:rsid w:val="004071D3"/>
    <w:rsid w:val="004110F6"/>
    <w:rsid w:val="004139D5"/>
    <w:rsid w:val="00415308"/>
    <w:rsid w:val="00415C26"/>
    <w:rsid w:val="0041740C"/>
    <w:rsid w:val="004210AA"/>
    <w:rsid w:val="004221C0"/>
    <w:rsid w:val="004255C1"/>
    <w:rsid w:val="00425605"/>
    <w:rsid w:val="004259E3"/>
    <w:rsid w:val="00425D22"/>
    <w:rsid w:val="00430D59"/>
    <w:rsid w:val="00432ABF"/>
    <w:rsid w:val="00433539"/>
    <w:rsid w:val="004353A3"/>
    <w:rsid w:val="00436549"/>
    <w:rsid w:val="0044210E"/>
    <w:rsid w:val="00442473"/>
    <w:rsid w:val="0044276A"/>
    <w:rsid w:val="0044313C"/>
    <w:rsid w:val="004450B3"/>
    <w:rsid w:val="0044789D"/>
    <w:rsid w:val="00450542"/>
    <w:rsid w:val="004509A9"/>
    <w:rsid w:val="00453E34"/>
    <w:rsid w:val="00453F68"/>
    <w:rsid w:val="00455A4B"/>
    <w:rsid w:val="004566AB"/>
    <w:rsid w:val="00457452"/>
    <w:rsid w:val="0046182E"/>
    <w:rsid w:val="004620BF"/>
    <w:rsid w:val="00462C28"/>
    <w:rsid w:val="00463C03"/>
    <w:rsid w:val="00466B6F"/>
    <w:rsid w:val="00466EDA"/>
    <w:rsid w:val="004678D5"/>
    <w:rsid w:val="0047082A"/>
    <w:rsid w:val="00472055"/>
    <w:rsid w:val="00474701"/>
    <w:rsid w:val="0047546D"/>
    <w:rsid w:val="0048011B"/>
    <w:rsid w:val="00480273"/>
    <w:rsid w:val="00480B29"/>
    <w:rsid w:val="004811C8"/>
    <w:rsid w:val="00481767"/>
    <w:rsid w:val="00482475"/>
    <w:rsid w:val="00484B05"/>
    <w:rsid w:val="00486A96"/>
    <w:rsid w:val="00490EB1"/>
    <w:rsid w:val="004941B2"/>
    <w:rsid w:val="00495071"/>
    <w:rsid w:val="0049630B"/>
    <w:rsid w:val="004A14DE"/>
    <w:rsid w:val="004A6B5A"/>
    <w:rsid w:val="004A794D"/>
    <w:rsid w:val="004A7FE8"/>
    <w:rsid w:val="004B1190"/>
    <w:rsid w:val="004B1461"/>
    <w:rsid w:val="004B3FA9"/>
    <w:rsid w:val="004C10C5"/>
    <w:rsid w:val="004C2199"/>
    <w:rsid w:val="004C30D8"/>
    <w:rsid w:val="004C6EC3"/>
    <w:rsid w:val="004C7588"/>
    <w:rsid w:val="004C79B7"/>
    <w:rsid w:val="004D02BA"/>
    <w:rsid w:val="004D33EC"/>
    <w:rsid w:val="004D3AD0"/>
    <w:rsid w:val="004D45FB"/>
    <w:rsid w:val="004D4CF0"/>
    <w:rsid w:val="004D58AC"/>
    <w:rsid w:val="004D7E62"/>
    <w:rsid w:val="004E00EA"/>
    <w:rsid w:val="004E07BC"/>
    <w:rsid w:val="004E1DD8"/>
    <w:rsid w:val="004E3677"/>
    <w:rsid w:val="004E7CE5"/>
    <w:rsid w:val="004F160A"/>
    <w:rsid w:val="004F6B75"/>
    <w:rsid w:val="004F7CD5"/>
    <w:rsid w:val="00503030"/>
    <w:rsid w:val="00503A59"/>
    <w:rsid w:val="00503CAB"/>
    <w:rsid w:val="00504004"/>
    <w:rsid w:val="005048C5"/>
    <w:rsid w:val="00505678"/>
    <w:rsid w:val="00505BF7"/>
    <w:rsid w:val="00506AA0"/>
    <w:rsid w:val="00507057"/>
    <w:rsid w:val="00512214"/>
    <w:rsid w:val="00513465"/>
    <w:rsid w:val="00520325"/>
    <w:rsid w:val="00520B29"/>
    <w:rsid w:val="005210E2"/>
    <w:rsid w:val="005221D0"/>
    <w:rsid w:val="005228F9"/>
    <w:rsid w:val="00526CE6"/>
    <w:rsid w:val="0052762B"/>
    <w:rsid w:val="005314E0"/>
    <w:rsid w:val="005319DB"/>
    <w:rsid w:val="00533037"/>
    <w:rsid w:val="00534495"/>
    <w:rsid w:val="00535E74"/>
    <w:rsid w:val="00540E42"/>
    <w:rsid w:val="00540E6E"/>
    <w:rsid w:val="00541429"/>
    <w:rsid w:val="00541C2A"/>
    <w:rsid w:val="00542F53"/>
    <w:rsid w:val="00543AAE"/>
    <w:rsid w:val="005459C2"/>
    <w:rsid w:val="00545E90"/>
    <w:rsid w:val="00546BE3"/>
    <w:rsid w:val="00547EF4"/>
    <w:rsid w:val="00553826"/>
    <w:rsid w:val="005616E2"/>
    <w:rsid w:val="005627D3"/>
    <w:rsid w:val="0056342E"/>
    <w:rsid w:val="00563903"/>
    <w:rsid w:val="00563A3B"/>
    <w:rsid w:val="00563C0C"/>
    <w:rsid w:val="00563D32"/>
    <w:rsid w:val="00563F69"/>
    <w:rsid w:val="0056600F"/>
    <w:rsid w:val="0056742C"/>
    <w:rsid w:val="005729F6"/>
    <w:rsid w:val="00574C55"/>
    <w:rsid w:val="00574E6E"/>
    <w:rsid w:val="00582CFD"/>
    <w:rsid w:val="0058307C"/>
    <w:rsid w:val="00590B22"/>
    <w:rsid w:val="00590E60"/>
    <w:rsid w:val="005923F5"/>
    <w:rsid w:val="00592978"/>
    <w:rsid w:val="00593112"/>
    <w:rsid w:val="0059444E"/>
    <w:rsid w:val="005A1A10"/>
    <w:rsid w:val="005B26F8"/>
    <w:rsid w:val="005B2C13"/>
    <w:rsid w:val="005B3F23"/>
    <w:rsid w:val="005C49B7"/>
    <w:rsid w:val="005C4BF2"/>
    <w:rsid w:val="005C4D9F"/>
    <w:rsid w:val="005C665C"/>
    <w:rsid w:val="005C6E05"/>
    <w:rsid w:val="005D1C16"/>
    <w:rsid w:val="005D1FF4"/>
    <w:rsid w:val="005D24B9"/>
    <w:rsid w:val="005D2581"/>
    <w:rsid w:val="005D27F5"/>
    <w:rsid w:val="005D3A27"/>
    <w:rsid w:val="005E07C7"/>
    <w:rsid w:val="005E21A0"/>
    <w:rsid w:val="005E29E9"/>
    <w:rsid w:val="005E34A0"/>
    <w:rsid w:val="005E4DBD"/>
    <w:rsid w:val="005E6846"/>
    <w:rsid w:val="005E710E"/>
    <w:rsid w:val="005F1BB5"/>
    <w:rsid w:val="005F1BBB"/>
    <w:rsid w:val="005F25A8"/>
    <w:rsid w:val="005F393F"/>
    <w:rsid w:val="005F71EF"/>
    <w:rsid w:val="005F752A"/>
    <w:rsid w:val="00600751"/>
    <w:rsid w:val="00601A88"/>
    <w:rsid w:val="00601ADD"/>
    <w:rsid w:val="006049DA"/>
    <w:rsid w:val="00604EF5"/>
    <w:rsid w:val="00612F1E"/>
    <w:rsid w:val="00616125"/>
    <w:rsid w:val="00616B1F"/>
    <w:rsid w:val="00620182"/>
    <w:rsid w:val="00621CAC"/>
    <w:rsid w:val="00623DA2"/>
    <w:rsid w:val="00625FD5"/>
    <w:rsid w:val="0062633F"/>
    <w:rsid w:val="00635F24"/>
    <w:rsid w:val="006404E9"/>
    <w:rsid w:val="0064150B"/>
    <w:rsid w:val="00643245"/>
    <w:rsid w:val="0064473A"/>
    <w:rsid w:val="00644CB6"/>
    <w:rsid w:val="0064652F"/>
    <w:rsid w:val="00647BCC"/>
    <w:rsid w:val="006520D8"/>
    <w:rsid w:val="00652D88"/>
    <w:rsid w:val="00655FEB"/>
    <w:rsid w:val="0065694B"/>
    <w:rsid w:val="00657B43"/>
    <w:rsid w:val="0066034C"/>
    <w:rsid w:val="00662D38"/>
    <w:rsid w:val="0067159E"/>
    <w:rsid w:val="006724E0"/>
    <w:rsid w:val="00674507"/>
    <w:rsid w:val="006748F3"/>
    <w:rsid w:val="0067616F"/>
    <w:rsid w:val="0067644D"/>
    <w:rsid w:val="00677059"/>
    <w:rsid w:val="0068002D"/>
    <w:rsid w:val="006811CB"/>
    <w:rsid w:val="00682FA4"/>
    <w:rsid w:val="00683DFE"/>
    <w:rsid w:val="0068667D"/>
    <w:rsid w:val="0068733F"/>
    <w:rsid w:val="006923EE"/>
    <w:rsid w:val="006927E8"/>
    <w:rsid w:val="00693E0A"/>
    <w:rsid w:val="006970CF"/>
    <w:rsid w:val="006A0A37"/>
    <w:rsid w:val="006A0EBD"/>
    <w:rsid w:val="006A153F"/>
    <w:rsid w:val="006A56A7"/>
    <w:rsid w:val="006A577E"/>
    <w:rsid w:val="006A5ADE"/>
    <w:rsid w:val="006A6304"/>
    <w:rsid w:val="006A79E3"/>
    <w:rsid w:val="006B295B"/>
    <w:rsid w:val="006C31BF"/>
    <w:rsid w:val="006C3C5E"/>
    <w:rsid w:val="006C4050"/>
    <w:rsid w:val="006C4BFF"/>
    <w:rsid w:val="006C71CE"/>
    <w:rsid w:val="006C75FE"/>
    <w:rsid w:val="006D21A9"/>
    <w:rsid w:val="006D355E"/>
    <w:rsid w:val="006D50B7"/>
    <w:rsid w:val="006D61B2"/>
    <w:rsid w:val="006D6E33"/>
    <w:rsid w:val="006D7CD9"/>
    <w:rsid w:val="006E01DC"/>
    <w:rsid w:val="006E072D"/>
    <w:rsid w:val="006E3711"/>
    <w:rsid w:val="006E4127"/>
    <w:rsid w:val="006E6B5B"/>
    <w:rsid w:val="006E6F70"/>
    <w:rsid w:val="006F682D"/>
    <w:rsid w:val="00700374"/>
    <w:rsid w:val="0070113C"/>
    <w:rsid w:val="00701713"/>
    <w:rsid w:val="00701CC9"/>
    <w:rsid w:val="0070352B"/>
    <w:rsid w:val="007037CE"/>
    <w:rsid w:val="007038B4"/>
    <w:rsid w:val="0070547E"/>
    <w:rsid w:val="00707C78"/>
    <w:rsid w:val="00712823"/>
    <w:rsid w:val="007208A2"/>
    <w:rsid w:val="00720A77"/>
    <w:rsid w:val="007217B1"/>
    <w:rsid w:val="00722807"/>
    <w:rsid w:val="007238BA"/>
    <w:rsid w:val="007257EC"/>
    <w:rsid w:val="00725C04"/>
    <w:rsid w:val="00730113"/>
    <w:rsid w:val="00732D4A"/>
    <w:rsid w:val="007339E8"/>
    <w:rsid w:val="007348F8"/>
    <w:rsid w:val="007358E0"/>
    <w:rsid w:val="00735D3D"/>
    <w:rsid w:val="007370A8"/>
    <w:rsid w:val="007410F3"/>
    <w:rsid w:val="007418A7"/>
    <w:rsid w:val="00742EB4"/>
    <w:rsid w:val="00743230"/>
    <w:rsid w:val="007459C4"/>
    <w:rsid w:val="0074753B"/>
    <w:rsid w:val="007505B3"/>
    <w:rsid w:val="00753B02"/>
    <w:rsid w:val="007552A6"/>
    <w:rsid w:val="007569E7"/>
    <w:rsid w:val="00761B54"/>
    <w:rsid w:val="00761C0F"/>
    <w:rsid w:val="00764E58"/>
    <w:rsid w:val="00765473"/>
    <w:rsid w:val="00765985"/>
    <w:rsid w:val="00765EA9"/>
    <w:rsid w:val="00766335"/>
    <w:rsid w:val="00772030"/>
    <w:rsid w:val="00773655"/>
    <w:rsid w:val="00774EC4"/>
    <w:rsid w:val="007762FB"/>
    <w:rsid w:val="00780D6C"/>
    <w:rsid w:val="007821B9"/>
    <w:rsid w:val="007833DF"/>
    <w:rsid w:val="00783C1C"/>
    <w:rsid w:val="00786933"/>
    <w:rsid w:val="007911A7"/>
    <w:rsid w:val="00793DBE"/>
    <w:rsid w:val="00793F89"/>
    <w:rsid w:val="00793FF5"/>
    <w:rsid w:val="007947C8"/>
    <w:rsid w:val="007968CE"/>
    <w:rsid w:val="007A1683"/>
    <w:rsid w:val="007A6002"/>
    <w:rsid w:val="007A72A5"/>
    <w:rsid w:val="007B1C28"/>
    <w:rsid w:val="007B2355"/>
    <w:rsid w:val="007B5814"/>
    <w:rsid w:val="007C10BC"/>
    <w:rsid w:val="007C2FC8"/>
    <w:rsid w:val="007C4840"/>
    <w:rsid w:val="007C4FB3"/>
    <w:rsid w:val="007C5693"/>
    <w:rsid w:val="007C632F"/>
    <w:rsid w:val="007C78DC"/>
    <w:rsid w:val="007D0BAA"/>
    <w:rsid w:val="007D4321"/>
    <w:rsid w:val="007D45D8"/>
    <w:rsid w:val="007D7ADD"/>
    <w:rsid w:val="007D7CB3"/>
    <w:rsid w:val="007E08EA"/>
    <w:rsid w:val="007E164E"/>
    <w:rsid w:val="007E3078"/>
    <w:rsid w:val="007E403C"/>
    <w:rsid w:val="007E5487"/>
    <w:rsid w:val="007E7039"/>
    <w:rsid w:val="007F7CAD"/>
    <w:rsid w:val="00800726"/>
    <w:rsid w:val="00801101"/>
    <w:rsid w:val="00802A63"/>
    <w:rsid w:val="00802CA1"/>
    <w:rsid w:val="008049D3"/>
    <w:rsid w:val="00805E6F"/>
    <w:rsid w:val="0080607B"/>
    <w:rsid w:val="00807A5D"/>
    <w:rsid w:val="008130B5"/>
    <w:rsid w:val="00814BE9"/>
    <w:rsid w:val="00815F5A"/>
    <w:rsid w:val="00816D95"/>
    <w:rsid w:val="008174ED"/>
    <w:rsid w:val="0082235D"/>
    <w:rsid w:val="008249E3"/>
    <w:rsid w:val="0082592F"/>
    <w:rsid w:val="00826D5A"/>
    <w:rsid w:val="008276ED"/>
    <w:rsid w:val="0083182B"/>
    <w:rsid w:val="0083322D"/>
    <w:rsid w:val="00834803"/>
    <w:rsid w:val="00840B50"/>
    <w:rsid w:val="00842678"/>
    <w:rsid w:val="00845CD1"/>
    <w:rsid w:val="00846136"/>
    <w:rsid w:val="00846797"/>
    <w:rsid w:val="00846BBB"/>
    <w:rsid w:val="0085173B"/>
    <w:rsid w:val="008518AB"/>
    <w:rsid w:val="00851D8D"/>
    <w:rsid w:val="00851EF2"/>
    <w:rsid w:val="008576D0"/>
    <w:rsid w:val="0086033B"/>
    <w:rsid w:val="008605DB"/>
    <w:rsid w:val="00860C4E"/>
    <w:rsid w:val="008623A7"/>
    <w:rsid w:val="00863293"/>
    <w:rsid w:val="0086568F"/>
    <w:rsid w:val="00866CD3"/>
    <w:rsid w:val="008707F6"/>
    <w:rsid w:val="00871FB4"/>
    <w:rsid w:val="0087217E"/>
    <w:rsid w:val="00875DC7"/>
    <w:rsid w:val="00883959"/>
    <w:rsid w:val="00884DAA"/>
    <w:rsid w:val="00893F46"/>
    <w:rsid w:val="00894563"/>
    <w:rsid w:val="008952BD"/>
    <w:rsid w:val="00897B62"/>
    <w:rsid w:val="008A085C"/>
    <w:rsid w:val="008A09BD"/>
    <w:rsid w:val="008A17B9"/>
    <w:rsid w:val="008A2ECB"/>
    <w:rsid w:val="008A5398"/>
    <w:rsid w:val="008A65D2"/>
    <w:rsid w:val="008A7F8D"/>
    <w:rsid w:val="008B14A4"/>
    <w:rsid w:val="008B1882"/>
    <w:rsid w:val="008B1EE3"/>
    <w:rsid w:val="008B250C"/>
    <w:rsid w:val="008B367B"/>
    <w:rsid w:val="008B3BD5"/>
    <w:rsid w:val="008B4C87"/>
    <w:rsid w:val="008B5268"/>
    <w:rsid w:val="008B5A72"/>
    <w:rsid w:val="008C067C"/>
    <w:rsid w:val="008C4B55"/>
    <w:rsid w:val="008C672B"/>
    <w:rsid w:val="008C727F"/>
    <w:rsid w:val="008C7422"/>
    <w:rsid w:val="008D1958"/>
    <w:rsid w:val="008D3494"/>
    <w:rsid w:val="008D34E2"/>
    <w:rsid w:val="008D36B6"/>
    <w:rsid w:val="008D3A1F"/>
    <w:rsid w:val="008D49F5"/>
    <w:rsid w:val="008D4D54"/>
    <w:rsid w:val="008D5322"/>
    <w:rsid w:val="008D677F"/>
    <w:rsid w:val="008E31EF"/>
    <w:rsid w:val="008E562C"/>
    <w:rsid w:val="008E59A3"/>
    <w:rsid w:val="008E62D2"/>
    <w:rsid w:val="008F1019"/>
    <w:rsid w:val="008F1377"/>
    <w:rsid w:val="008F1AED"/>
    <w:rsid w:val="008F1B92"/>
    <w:rsid w:val="008F2267"/>
    <w:rsid w:val="008F3435"/>
    <w:rsid w:val="008F38B3"/>
    <w:rsid w:val="008F684D"/>
    <w:rsid w:val="008F6B14"/>
    <w:rsid w:val="009023D9"/>
    <w:rsid w:val="009041FA"/>
    <w:rsid w:val="00907737"/>
    <w:rsid w:val="00907822"/>
    <w:rsid w:val="009113AA"/>
    <w:rsid w:val="00911782"/>
    <w:rsid w:val="00914C07"/>
    <w:rsid w:val="00915228"/>
    <w:rsid w:val="00915701"/>
    <w:rsid w:val="0091672E"/>
    <w:rsid w:val="00917C5E"/>
    <w:rsid w:val="00920EE9"/>
    <w:rsid w:val="0092105E"/>
    <w:rsid w:val="009252BA"/>
    <w:rsid w:val="0092771F"/>
    <w:rsid w:val="00933AE4"/>
    <w:rsid w:val="009355C3"/>
    <w:rsid w:val="00937742"/>
    <w:rsid w:val="009379B1"/>
    <w:rsid w:val="00940682"/>
    <w:rsid w:val="009408FC"/>
    <w:rsid w:val="00940A0D"/>
    <w:rsid w:val="00944036"/>
    <w:rsid w:val="00946B6F"/>
    <w:rsid w:val="00952171"/>
    <w:rsid w:val="009521EF"/>
    <w:rsid w:val="009559B5"/>
    <w:rsid w:val="00955E96"/>
    <w:rsid w:val="009560C8"/>
    <w:rsid w:val="009563B8"/>
    <w:rsid w:val="00960D4D"/>
    <w:rsid w:val="00961B84"/>
    <w:rsid w:val="009620D6"/>
    <w:rsid w:val="0096606A"/>
    <w:rsid w:val="009660E6"/>
    <w:rsid w:val="0097118E"/>
    <w:rsid w:val="00971310"/>
    <w:rsid w:val="009724DB"/>
    <w:rsid w:val="009730E3"/>
    <w:rsid w:val="00974810"/>
    <w:rsid w:val="00974A73"/>
    <w:rsid w:val="00974D6F"/>
    <w:rsid w:val="00976523"/>
    <w:rsid w:val="00980CB4"/>
    <w:rsid w:val="00981999"/>
    <w:rsid w:val="0098219B"/>
    <w:rsid w:val="00983F63"/>
    <w:rsid w:val="00985E84"/>
    <w:rsid w:val="00987555"/>
    <w:rsid w:val="009877E9"/>
    <w:rsid w:val="00987B57"/>
    <w:rsid w:val="0099348B"/>
    <w:rsid w:val="009A076F"/>
    <w:rsid w:val="009A5043"/>
    <w:rsid w:val="009B271C"/>
    <w:rsid w:val="009B27EE"/>
    <w:rsid w:val="009B3A82"/>
    <w:rsid w:val="009B6BE2"/>
    <w:rsid w:val="009B70BE"/>
    <w:rsid w:val="009C046B"/>
    <w:rsid w:val="009C0958"/>
    <w:rsid w:val="009C0AB0"/>
    <w:rsid w:val="009C1854"/>
    <w:rsid w:val="009C210E"/>
    <w:rsid w:val="009C3888"/>
    <w:rsid w:val="009D13F1"/>
    <w:rsid w:val="009D1A8E"/>
    <w:rsid w:val="009D1B28"/>
    <w:rsid w:val="009D2B0A"/>
    <w:rsid w:val="009D71CD"/>
    <w:rsid w:val="009E01A6"/>
    <w:rsid w:val="009E12A3"/>
    <w:rsid w:val="009E19E9"/>
    <w:rsid w:val="009E1F47"/>
    <w:rsid w:val="009E2F97"/>
    <w:rsid w:val="009E3331"/>
    <w:rsid w:val="009E39AE"/>
    <w:rsid w:val="009E44B9"/>
    <w:rsid w:val="009E7B46"/>
    <w:rsid w:val="009F4F9A"/>
    <w:rsid w:val="009F7CA5"/>
    <w:rsid w:val="00A0080C"/>
    <w:rsid w:val="00A0183C"/>
    <w:rsid w:val="00A030A4"/>
    <w:rsid w:val="00A0488D"/>
    <w:rsid w:val="00A069DD"/>
    <w:rsid w:val="00A07095"/>
    <w:rsid w:val="00A11124"/>
    <w:rsid w:val="00A11B89"/>
    <w:rsid w:val="00A13C08"/>
    <w:rsid w:val="00A140A8"/>
    <w:rsid w:val="00A1568B"/>
    <w:rsid w:val="00A17330"/>
    <w:rsid w:val="00A203C4"/>
    <w:rsid w:val="00A24B7F"/>
    <w:rsid w:val="00A24EA8"/>
    <w:rsid w:val="00A266B9"/>
    <w:rsid w:val="00A2776B"/>
    <w:rsid w:val="00A30518"/>
    <w:rsid w:val="00A311FC"/>
    <w:rsid w:val="00A35CE0"/>
    <w:rsid w:val="00A36524"/>
    <w:rsid w:val="00A36FFC"/>
    <w:rsid w:val="00A40677"/>
    <w:rsid w:val="00A4287A"/>
    <w:rsid w:val="00A47250"/>
    <w:rsid w:val="00A47B58"/>
    <w:rsid w:val="00A502AC"/>
    <w:rsid w:val="00A503E7"/>
    <w:rsid w:val="00A52F4D"/>
    <w:rsid w:val="00A57520"/>
    <w:rsid w:val="00A62E1F"/>
    <w:rsid w:val="00A6550F"/>
    <w:rsid w:val="00A65C20"/>
    <w:rsid w:val="00A667EB"/>
    <w:rsid w:val="00A70A1A"/>
    <w:rsid w:val="00A7784B"/>
    <w:rsid w:val="00A77E9C"/>
    <w:rsid w:val="00A802DC"/>
    <w:rsid w:val="00A81C1D"/>
    <w:rsid w:val="00A8225C"/>
    <w:rsid w:val="00A82619"/>
    <w:rsid w:val="00A90144"/>
    <w:rsid w:val="00A92AB9"/>
    <w:rsid w:val="00A93FC1"/>
    <w:rsid w:val="00A9476A"/>
    <w:rsid w:val="00A95107"/>
    <w:rsid w:val="00A959BA"/>
    <w:rsid w:val="00A97332"/>
    <w:rsid w:val="00AA24FB"/>
    <w:rsid w:val="00AA299C"/>
    <w:rsid w:val="00AA51C0"/>
    <w:rsid w:val="00AA5A26"/>
    <w:rsid w:val="00AA5C19"/>
    <w:rsid w:val="00AA5F12"/>
    <w:rsid w:val="00AA6755"/>
    <w:rsid w:val="00AA7784"/>
    <w:rsid w:val="00AB03E7"/>
    <w:rsid w:val="00AB059B"/>
    <w:rsid w:val="00AB2636"/>
    <w:rsid w:val="00AB2FAA"/>
    <w:rsid w:val="00AB3D93"/>
    <w:rsid w:val="00AB4923"/>
    <w:rsid w:val="00AB63AB"/>
    <w:rsid w:val="00AB74E7"/>
    <w:rsid w:val="00AB75B1"/>
    <w:rsid w:val="00AC0AFF"/>
    <w:rsid w:val="00AC126D"/>
    <w:rsid w:val="00AC12F5"/>
    <w:rsid w:val="00AC1A35"/>
    <w:rsid w:val="00AC433B"/>
    <w:rsid w:val="00AC46EE"/>
    <w:rsid w:val="00AC479F"/>
    <w:rsid w:val="00AC6F55"/>
    <w:rsid w:val="00AD1AE2"/>
    <w:rsid w:val="00AD2D1A"/>
    <w:rsid w:val="00AD3261"/>
    <w:rsid w:val="00AD35F4"/>
    <w:rsid w:val="00AD5D37"/>
    <w:rsid w:val="00AD605B"/>
    <w:rsid w:val="00AE1728"/>
    <w:rsid w:val="00AE200D"/>
    <w:rsid w:val="00AE45D1"/>
    <w:rsid w:val="00AE57C3"/>
    <w:rsid w:val="00AE7143"/>
    <w:rsid w:val="00AE7602"/>
    <w:rsid w:val="00AF0296"/>
    <w:rsid w:val="00AF07B6"/>
    <w:rsid w:val="00AF132B"/>
    <w:rsid w:val="00AF1A94"/>
    <w:rsid w:val="00AF5B55"/>
    <w:rsid w:val="00AF6121"/>
    <w:rsid w:val="00AF6918"/>
    <w:rsid w:val="00AF7AA9"/>
    <w:rsid w:val="00B016F8"/>
    <w:rsid w:val="00B0576A"/>
    <w:rsid w:val="00B06683"/>
    <w:rsid w:val="00B11453"/>
    <w:rsid w:val="00B116CA"/>
    <w:rsid w:val="00B11C90"/>
    <w:rsid w:val="00B137CE"/>
    <w:rsid w:val="00B25DFB"/>
    <w:rsid w:val="00B26F7B"/>
    <w:rsid w:val="00B3096E"/>
    <w:rsid w:val="00B30E56"/>
    <w:rsid w:val="00B312BC"/>
    <w:rsid w:val="00B31462"/>
    <w:rsid w:val="00B32AB4"/>
    <w:rsid w:val="00B32E3E"/>
    <w:rsid w:val="00B34346"/>
    <w:rsid w:val="00B34A48"/>
    <w:rsid w:val="00B377F3"/>
    <w:rsid w:val="00B37827"/>
    <w:rsid w:val="00B37A56"/>
    <w:rsid w:val="00B413F9"/>
    <w:rsid w:val="00B41A3E"/>
    <w:rsid w:val="00B41DBC"/>
    <w:rsid w:val="00B42029"/>
    <w:rsid w:val="00B44036"/>
    <w:rsid w:val="00B471EA"/>
    <w:rsid w:val="00B50005"/>
    <w:rsid w:val="00B53F94"/>
    <w:rsid w:val="00B5656C"/>
    <w:rsid w:val="00B6188C"/>
    <w:rsid w:val="00B63658"/>
    <w:rsid w:val="00B64ADD"/>
    <w:rsid w:val="00B6588F"/>
    <w:rsid w:val="00B67AFE"/>
    <w:rsid w:val="00B7017B"/>
    <w:rsid w:val="00B717DD"/>
    <w:rsid w:val="00B7224E"/>
    <w:rsid w:val="00B73080"/>
    <w:rsid w:val="00B74261"/>
    <w:rsid w:val="00B76C8B"/>
    <w:rsid w:val="00B77F85"/>
    <w:rsid w:val="00B81141"/>
    <w:rsid w:val="00B814DD"/>
    <w:rsid w:val="00B81F77"/>
    <w:rsid w:val="00B8590B"/>
    <w:rsid w:val="00B85CFE"/>
    <w:rsid w:val="00B87FC5"/>
    <w:rsid w:val="00B97ED9"/>
    <w:rsid w:val="00BA3BEF"/>
    <w:rsid w:val="00BA4020"/>
    <w:rsid w:val="00BA506B"/>
    <w:rsid w:val="00BA558A"/>
    <w:rsid w:val="00BA67E8"/>
    <w:rsid w:val="00BA794B"/>
    <w:rsid w:val="00BB0654"/>
    <w:rsid w:val="00BB312F"/>
    <w:rsid w:val="00BB36C9"/>
    <w:rsid w:val="00BB5A3A"/>
    <w:rsid w:val="00BB5C8C"/>
    <w:rsid w:val="00BB69DC"/>
    <w:rsid w:val="00BC231D"/>
    <w:rsid w:val="00BC2CAF"/>
    <w:rsid w:val="00BD0174"/>
    <w:rsid w:val="00BD1F5F"/>
    <w:rsid w:val="00BD344B"/>
    <w:rsid w:val="00BD4960"/>
    <w:rsid w:val="00BD5CC3"/>
    <w:rsid w:val="00BD6368"/>
    <w:rsid w:val="00BE02DB"/>
    <w:rsid w:val="00BE185F"/>
    <w:rsid w:val="00BE1F00"/>
    <w:rsid w:val="00BE216F"/>
    <w:rsid w:val="00BE3270"/>
    <w:rsid w:val="00BE4E37"/>
    <w:rsid w:val="00BE700A"/>
    <w:rsid w:val="00BF3824"/>
    <w:rsid w:val="00BF4FE6"/>
    <w:rsid w:val="00BF70A3"/>
    <w:rsid w:val="00BF770D"/>
    <w:rsid w:val="00C000CE"/>
    <w:rsid w:val="00C00BD5"/>
    <w:rsid w:val="00C01F07"/>
    <w:rsid w:val="00C038FF"/>
    <w:rsid w:val="00C066B6"/>
    <w:rsid w:val="00C0721A"/>
    <w:rsid w:val="00C10E4B"/>
    <w:rsid w:val="00C11F03"/>
    <w:rsid w:val="00C13548"/>
    <w:rsid w:val="00C13956"/>
    <w:rsid w:val="00C14F1B"/>
    <w:rsid w:val="00C16081"/>
    <w:rsid w:val="00C17B4D"/>
    <w:rsid w:val="00C2129A"/>
    <w:rsid w:val="00C22D9F"/>
    <w:rsid w:val="00C253CD"/>
    <w:rsid w:val="00C273BE"/>
    <w:rsid w:val="00C27BE1"/>
    <w:rsid w:val="00C27FB1"/>
    <w:rsid w:val="00C33A28"/>
    <w:rsid w:val="00C33BD0"/>
    <w:rsid w:val="00C34366"/>
    <w:rsid w:val="00C36317"/>
    <w:rsid w:val="00C36676"/>
    <w:rsid w:val="00C3686E"/>
    <w:rsid w:val="00C376AE"/>
    <w:rsid w:val="00C40099"/>
    <w:rsid w:val="00C40581"/>
    <w:rsid w:val="00C44207"/>
    <w:rsid w:val="00C46ED6"/>
    <w:rsid w:val="00C46FEC"/>
    <w:rsid w:val="00C47744"/>
    <w:rsid w:val="00C51413"/>
    <w:rsid w:val="00C54D8E"/>
    <w:rsid w:val="00C54F06"/>
    <w:rsid w:val="00C55F06"/>
    <w:rsid w:val="00C57147"/>
    <w:rsid w:val="00C57D65"/>
    <w:rsid w:val="00C6034D"/>
    <w:rsid w:val="00C607A0"/>
    <w:rsid w:val="00C62381"/>
    <w:rsid w:val="00C63EC7"/>
    <w:rsid w:val="00C6668C"/>
    <w:rsid w:val="00C66FF5"/>
    <w:rsid w:val="00C67D73"/>
    <w:rsid w:val="00C70198"/>
    <w:rsid w:val="00C720D0"/>
    <w:rsid w:val="00C7293E"/>
    <w:rsid w:val="00C739DB"/>
    <w:rsid w:val="00C74761"/>
    <w:rsid w:val="00C76647"/>
    <w:rsid w:val="00C7698B"/>
    <w:rsid w:val="00C77052"/>
    <w:rsid w:val="00C770AF"/>
    <w:rsid w:val="00C80DDD"/>
    <w:rsid w:val="00C82734"/>
    <w:rsid w:val="00C855F4"/>
    <w:rsid w:val="00C87C07"/>
    <w:rsid w:val="00C90375"/>
    <w:rsid w:val="00C90AA4"/>
    <w:rsid w:val="00C95461"/>
    <w:rsid w:val="00C95D7C"/>
    <w:rsid w:val="00C976A8"/>
    <w:rsid w:val="00C97999"/>
    <w:rsid w:val="00CA172B"/>
    <w:rsid w:val="00CA2C6E"/>
    <w:rsid w:val="00CA3BF8"/>
    <w:rsid w:val="00CA416D"/>
    <w:rsid w:val="00CA5E3D"/>
    <w:rsid w:val="00CA6ACC"/>
    <w:rsid w:val="00CA7D61"/>
    <w:rsid w:val="00CB074B"/>
    <w:rsid w:val="00CB0CB2"/>
    <w:rsid w:val="00CB0D98"/>
    <w:rsid w:val="00CB28ED"/>
    <w:rsid w:val="00CB3CB5"/>
    <w:rsid w:val="00CB63EA"/>
    <w:rsid w:val="00CC0CE7"/>
    <w:rsid w:val="00CC158D"/>
    <w:rsid w:val="00CC15E8"/>
    <w:rsid w:val="00CC301A"/>
    <w:rsid w:val="00CC38E6"/>
    <w:rsid w:val="00CC48EB"/>
    <w:rsid w:val="00CC6C56"/>
    <w:rsid w:val="00CC6FCA"/>
    <w:rsid w:val="00CD0968"/>
    <w:rsid w:val="00CD10A9"/>
    <w:rsid w:val="00CE16CD"/>
    <w:rsid w:val="00CE24AD"/>
    <w:rsid w:val="00CE5F9F"/>
    <w:rsid w:val="00CF0044"/>
    <w:rsid w:val="00CF1CF6"/>
    <w:rsid w:val="00D01080"/>
    <w:rsid w:val="00D01418"/>
    <w:rsid w:val="00D01E05"/>
    <w:rsid w:val="00D033C4"/>
    <w:rsid w:val="00D0364F"/>
    <w:rsid w:val="00D04879"/>
    <w:rsid w:val="00D04FD1"/>
    <w:rsid w:val="00D0552F"/>
    <w:rsid w:val="00D1132D"/>
    <w:rsid w:val="00D12C4F"/>
    <w:rsid w:val="00D13532"/>
    <w:rsid w:val="00D13846"/>
    <w:rsid w:val="00D14D34"/>
    <w:rsid w:val="00D14E3F"/>
    <w:rsid w:val="00D1734F"/>
    <w:rsid w:val="00D17530"/>
    <w:rsid w:val="00D20B22"/>
    <w:rsid w:val="00D21959"/>
    <w:rsid w:val="00D247B2"/>
    <w:rsid w:val="00D25BCC"/>
    <w:rsid w:val="00D27B93"/>
    <w:rsid w:val="00D27D1B"/>
    <w:rsid w:val="00D3070F"/>
    <w:rsid w:val="00D30DED"/>
    <w:rsid w:val="00D32716"/>
    <w:rsid w:val="00D33064"/>
    <w:rsid w:val="00D36890"/>
    <w:rsid w:val="00D3698D"/>
    <w:rsid w:val="00D37B0D"/>
    <w:rsid w:val="00D37C73"/>
    <w:rsid w:val="00D4041F"/>
    <w:rsid w:val="00D4295E"/>
    <w:rsid w:val="00D42F84"/>
    <w:rsid w:val="00D45E22"/>
    <w:rsid w:val="00D46E71"/>
    <w:rsid w:val="00D472B4"/>
    <w:rsid w:val="00D5046F"/>
    <w:rsid w:val="00D5098C"/>
    <w:rsid w:val="00D519BD"/>
    <w:rsid w:val="00D52782"/>
    <w:rsid w:val="00D57CAB"/>
    <w:rsid w:val="00D60464"/>
    <w:rsid w:val="00D72D67"/>
    <w:rsid w:val="00D74C28"/>
    <w:rsid w:val="00D75388"/>
    <w:rsid w:val="00D76A1F"/>
    <w:rsid w:val="00D76DF8"/>
    <w:rsid w:val="00D80739"/>
    <w:rsid w:val="00D819F7"/>
    <w:rsid w:val="00D81DE3"/>
    <w:rsid w:val="00D82821"/>
    <w:rsid w:val="00D85ED6"/>
    <w:rsid w:val="00D86977"/>
    <w:rsid w:val="00D8742D"/>
    <w:rsid w:val="00D91E83"/>
    <w:rsid w:val="00D937AC"/>
    <w:rsid w:val="00D940C1"/>
    <w:rsid w:val="00D97520"/>
    <w:rsid w:val="00D97AEE"/>
    <w:rsid w:val="00D97ED8"/>
    <w:rsid w:val="00DA00CB"/>
    <w:rsid w:val="00DA1A82"/>
    <w:rsid w:val="00DA3EF5"/>
    <w:rsid w:val="00DA7CDD"/>
    <w:rsid w:val="00DB21CB"/>
    <w:rsid w:val="00DB29B9"/>
    <w:rsid w:val="00DB2D23"/>
    <w:rsid w:val="00DB3839"/>
    <w:rsid w:val="00DB3FC8"/>
    <w:rsid w:val="00DB4070"/>
    <w:rsid w:val="00DB5E44"/>
    <w:rsid w:val="00DB7704"/>
    <w:rsid w:val="00DC0221"/>
    <w:rsid w:val="00DC5674"/>
    <w:rsid w:val="00DD0734"/>
    <w:rsid w:val="00DD698C"/>
    <w:rsid w:val="00DE04DA"/>
    <w:rsid w:val="00DE31DA"/>
    <w:rsid w:val="00DE400D"/>
    <w:rsid w:val="00DE4497"/>
    <w:rsid w:val="00DE4CB8"/>
    <w:rsid w:val="00DE6C8A"/>
    <w:rsid w:val="00DE6D2E"/>
    <w:rsid w:val="00DE7926"/>
    <w:rsid w:val="00DE7E61"/>
    <w:rsid w:val="00DF7F04"/>
    <w:rsid w:val="00E001D4"/>
    <w:rsid w:val="00E0488F"/>
    <w:rsid w:val="00E123C5"/>
    <w:rsid w:val="00E12CDE"/>
    <w:rsid w:val="00E12D4B"/>
    <w:rsid w:val="00E1593A"/>
    <w:rsid w:val="00E20FEE"/>
    <w:rsid w:val="00E210D3"/>
    <w:rsid w:val="00E21F8C"/>
    <w:rsid w:val="00E22712"/>
    <w:rsid w:val="00E230D7"/>
    <w:rsid w:val="00E253AE"/>
    <w:rsid w:val="00E27420"/>
    <w:rsid w:val="00E343D2"/>
    <w:rsid w:val="00E34AB6"/>
    <w:rsid w:val="00E35C88"/>
    <w:rsid w:val="00E37F0D"/>
    <w:rsid w:val="00E43E6D"/>
    <w:rsid w:val="00E45515"/>
    <w:rsid w:val="00E4607C"/>
    <w:rsid w:val="00E4636A"/>
    <w:rsid w:val="00E51128"/>
    <w:rsid w:val="00E521FC"/>
    <w:rsid w:val="00E548A5"/>
    <w:rsid w:val="00E60864"/>
    <w:rsid w:val="00E61D01"/>
    <w:rsid w:val="00E63648"/>
    <w:rsid w:val="00E638CF"/>
    <w:rsid w:val="00E63C65"/>
    <w:rsid w:val="00E6471F"/>
    <w:rsid w:val="00E64B83"/>
    <w:rsid w:val="00E70761"/>
    <w:rsid w:val="00E72E09"/>
    <w:rsid w:val="00E731E7"/>
    <w:rsid w:val="00E73B37"/>
    <w:rsid w:val="00E75247"/>
    <w:rsid w:val="00E76861"/>
    <w:rsid w:val="00E80A14"/>
    <w:rsid w:val="00E827DD"/>
    <w:rsid w:val="00E83B28"/>
    <w:rsid w:val="00E84E6B"/>
    <w:rsid w:val="00E85E74"/>
    <w:rsid w:val="00E86D78"/>
    <w:rsid w:val="00E93A1B"/>
    <w:rsid w:val="00E9601A"/>
    <w:rsid w:val="00E961A4"/>
    <w:rsid w:val="00E97CD1"/>
    <w:rsid w:val="00EA0128"/>
    <w:rsid w:val="00EA0AEE"/>
    <w:rsid w:val="00EA106D"/>
    <w:rsid w:val="00EA14D2"/>
    <w:rsid w:val="00EA3CE8"/>
    <w:rsid w:val="00EA5ABC"/>
    <w:rsid w:val="00EA620F"/>
    <w:rsid w:val="00EA6DBD"/>
    <w:rsid w:val="00EA7858"/>
    <w:rsid w:val="00EA7EE8"/>
    <w:rsid w:val="00EB06D1"/>
    <w:rsid w:val="00EB15BE"/>
    <w:rsid w:val="00EB2D99"/>
    <w:rsid w:val="00EB3362"/>
    <w:rsid w:val="00EB3BDD"/>
    <w:rsid w:val="00EC0FBD"/>
    <w:rsid w:val="00EC360E"/>
    <w:rsid w:val="00EC5D99"/>
    <w:rsid w:val="00EC5E14"/>
    <w:rsid w:val="00ED0FE3"/>
    <w:rsid w:val="00ED19EE"/>
    <w:rsid w:val="00ED222C"/>
    <w:rsid w:val="00ED2982"/>
    <w:rsid w:val="00ED510E"/>
    <w:rsid w:val="00ED5988"/>
    <w:rsid w:val="00ED6524"/>
    <w:rsid w:val="00EE385C"/>
    <w:rsid w:val="00EE57F3"/>
    <w:rsid w:val="00EE6BF5"/>
    <w:rsid w:val="00EE7F92"/>
    <w:rsid w:val="00EF0069"/>
    <w:rsid w:val="00EF207F"/>
    <w:rsid w:val="00EF4DE1"/>
    <w:rsid w:val="00EF5BE9"/>
    <w:rsid w:val="00EF6D5B"/>
    <w:rsid w:val="00EF6EE8"/>
    <w:rsid w:val="00F008DA"/>
    <w:rsid w:val="00F05D81"/>
    <w:rsid w:val="00F065CA"/>
    <w:rsid w:val="00F11031"/>
    <w:rsid w:val="00F116EA"/>
    <w:rsid w:val="00F11BE6"/>
    <w:rsid w:val="00F11F60"/>
    <w:rsid w:val="00F12F57"/>
    <w:rsid w:val="00F16185"/>
    <w:rsid w:val="00F17569"/>
    <w:rsid w:val="00F20326"/>
    <w:rsid w:val="00F21FD5"/>
    <w:rsid w:val="00F23245"/>
    <w:rsid w:val="00F23DE4"/>
    <w:rsid w:val="00F23FD3"/>
    <w:rsid w:val="00F245CE"/>
    <w:rsid w:val="00F27C06"/>
    <w:rsid w:val="00F300AD"/>
    <w:rsid w:val="00F33A9B"/>
    <w:rsid w:val="00F33AEA"/>
    <w:rsid w:val="00F367E0"/>
    <w:rsid w:val="00F368DF"/>
    <w:rsid w:val="00F43C2D"/>
    <w:rsid w:val="00F44521"/>
    <w:rsid w:val="00F45DC4"/>
    <w:rsid w:val="00F51A68"/>
    <w:rsid w:val="00F52C91"/>
    <w:rsid w:val="00F53D0E"/>
    <w:rsid w:val="00F549F8"/>
    <w:rsid w:val="00F5504C"/>
    <w:rsid w:val="00F57894"/>
    <w:rsid w:val="00F60151"/>
    <w:rsid w:val="00F602B0"/>
    <w:rsid w:val="00F6063A"/>
    <w:rsid w:val="00F6099D"/>
    <w:rsid w:val="00F61D4C"/>
    <w:rsid w:val="00F62FDC"/>
    <w:rsid w:val="00F65293"/>
    <w:rsid w:val="00F74BD6"/>
    <w:rsid w:val="00F74EE4"/>
    <w:rsid w:val="00F7684E"/>
    <w:rsid w:val="00F76D30"/>
    <w:rsid w:val="00F77C9A"/>
    <w:rsid w:val="00F8303E"/>
    <w:rsid w:val="00F83BD8"/>
    <w:rsid w:val="00F855DA"/>
    <w:rsid w:val="00F85C81"/>
    <w:rsid w:val="00F87D0E"/>
    <w:rsid w:val="00F9134D"/>
    <w:rsid w:val="00F93BC1"/>
    <w:rsid w:val="00F94FCE"/>
    <w:rsid w:val="00F97DCB"/>
    <w:rsid w:val="00FA2768"/>
    <w:rsid w:val="00FA28C3"/>
    <w:rsid w:val="00FA3289"/>
    <w:rsid w:val="00FA4AF6"/>
    <w:rsid w:val="00FB0C04"/>
    <w:rsid w:val="00FB30D7"/>
    <w:rsid w:val="00FB3C08"/>
    <w:rsid w:val="00FB571F"/>
    <w:rsid w:val="00FB5A3F"/>
    <w:rsid w:val="00FC1A95"/>
    <w:rsid w:val="00FC54CB"/>
    <w:rsid w:val="00FC5E88"/>
    <w:rsid w:val="00FC6ADB"/>
    <w:rsid w:val="00FC6FB9"/>
    <w:rsid w:val="00FC7358"/>
    <w:rsid w:val="00FC7529"/>
    <w:rsid w:val="00FD0F75"/>
    <w:rsid w:val="00FD18BD"/>
    <w:rsid w:val="00FD362A"/>
    <w:rsid w:val="00FD510D"/>
    <w:rsid w:val="00FD5783"/>
    <w:rsid w:val="00FD678A"/>
    <w:rsid w:val="00FE23AB"/>
    <w:rsid w:val="00FE2E68"/>
    <w:rsid w:val="00FE4185"/>
    <w:rsid w:val="00FE687F"/>
    <w:rsid w:val="00FE6B1B"/>
    <w:rsid w:val="00FF1147"/>
    <w:rsid w:val="00FF12A0"/>
    <w:rsid w:val="00FF2515"/>
    <w:rsid w:val="00FF4BB4"/>
    <w:rsid w:val="00FF7D48"/>
    <w:rsid w:val="00FF7E7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0012E2"/>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1E3580"/>
    <w:rPr>
      <w:color w:val="0000FF" w:themeColor="hyperlink"/>
      <w:u w:val="single"/>
    </w:rPr>
  </w:style>
  <w:style w:type="character" w:customStyle="1" w:styleId="Heading2Char">
    <w:name w:val="Heading 2 Char"/>
    <w:basedOn w:val="DefaultParagraphFont"/>
    <w:link w:val="Heading2"/>
    <w:uiPriority w:val="9"/>
    <w:semiHidden/>
    <w:rsid w:val="000012E2"/>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F16185"/>
    <w:rPr>
      <w:sz w:val="16"/>
      <w:szCs w:val="16"/>
    </w:rPr>
  </w:style>
  <w:style w:type="paragraph" w:styleId="CommentText">
    <w:name w:val="annotation text"/>
    <w:basedOn w:val="Normal"/>
    <w:link w:val="CommentTextChar"/>
    <w:uiPriority w:val="99"/>
    <w:semiHidden/>
    <w:unhideWhenUsed/>
    <w:rsid w:val="00F16185"/>
    <w:pPr>
      <w:spacing w:line="240" w:lineRule="auto"/>
    </w:pPr>
    <w:rPr>
      <w:sz w:val="20"/>
      <w:szCs w:val="20"/>
    </w:rPr>
  </w:style>
  <w:style w:type="character" w:customStyle="1" w:styleId="CommentTextChar">
    <w:name w:val="Comment Text Char"/>
    <w:basedOn w:val="DefaultParagraphFont"/>
    <w:link w:val="CommentText"/>
    <w:uiPriority w:val="99"/>
    <w:semiHidden/>
    <w:rsid w:val="00F1618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16185"/>
    <w:rPr>
      <w:b/>
      <w:bCs/>
    </w:rPr>
  </w:style>
  <w:style w:type="character" w:customStyle="1" w:styleId="CommentSubjectChar">
    <w:name w:val="Comment Subject Char"/>
    <w:basedOn w:val="CommentTextChar"/>
    <w:link w:val="CommentSubject"/>
    <w:uiPriority w:val="99"/>
    <w:semiHidden/>
    <w:rsid w:val="00F16185"/>
    <w:rPr>
      <w:rFonts w:ascii="Times New Roman" w:hAnsi="Times New Roman"/>
      <w:b/>
      <w:bCs/>
      <w:lang w:val="en-ZA"/>
    </w:rPr>
  </w:style>
  <w:style w:type="paragraph" w:styleId="Revision">
    <w:name w:val="Revision"/>
    <w:hidden/>
    <w:uiPriority w:val="99"/>
    <w:semiHidden/>
    <w:rsid w:val="00F16185"/>
    <w:rPr>
      <w:rFonts w:ascii="Times New Roman" w:hAnsi="Times New Roman"/>
      <w:sz w:val="26"/>
      <w:szCs w:val="22"/>
      <w:lang w:val="en-ZA"/>
    </w:rPr>
  </w:style>
  <w:style w:type="character" w:customStyle="1" w:styleId="apple-converted-space">
    <w:name w:val="apple-converted-space"/>
    <w:basedOn w:val="DefaultParagraphFont"/>
    <w:rsid w:val="00540E6E"/>
  </w:style>
  <w:style w:type="character" w:styleId="Emphasis">
    <w:name w:val="Emphasis"/>
    <w:basedOn w:val="DefaultParagraphFont"/>
    <w:uiPriority w:val="20"/>
    <w:qFormat/>
    <w:rsid w:val="000A70DC"/>
    <w:rPr>
      <w:b/>
      <w:bCs/>
      <w:i w:val="0"/>
      <w:iCs w:val="0"/>
    </w:rPr>
  </w:style>
  <w:style w:type="character" w:customStyle="1" w:styleId="st1">
    <w:name w:val="st1"/>
    <w:basedOn w:val="DefaultParagraphFont"/>
    <w:rsid w:val="000A70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0012E2"/>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1E3580"/>
    <w:rPr>
      <w:color w:val="0000FF" w:themeColor="hyperlink"/>
      <w:u w:val="single"/>
    </w:rPr>
  </w:style>
  <w:style w:type="character" w:customStyle="1" w:styleId="Heading2Char">
    <w:name w:val="Heading 2 Char"/>
    <w:basedOn w:val="DefaultParagraphFont"/>
    <w:link w:val="Heading2"/>
    <w:uiPriority w:val="9"/>
    <w:semiHidden/>
    <w:rsid w:val="000012E2"/>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F16185"/>
    <w:rPr>
      <w:sz w:val="16"/>
      <w:szCs w:val="16"/>
    </w:rPr>
  </w:style>
  <w:style w:type="paragraph" w:styleId="CommentText">
    <w:name w:val="annotation text"/>
    <w:basedOn w:val="Normal"/>
    <w:link w:val="CommentTextChar"/>
    <w:uiPriority w:val="99"/>
    <w:semiHidden/>
    <w:unhideWhenUsed/>
    <w:rsid w:val="00F16185"/>
    <w:pPr>
      <w:spacing w:line="240" w:lineRule="auto"/>
    </w:pPr>
    <w:rPr>
      <w:sz w:val="20"/>
      <w:szCs w:val="20"/>
    </w:rPr>
  </w:style>
  <w:style w:type="character" w:customStyle="1" w:styleId="CommentTextChar">
    <w:name w:val="Comment Text Char"/>
    <w:basedOn w:val="DefaultParagraphFont"/>
    <w:link w:val="CommentText"/>
    <w:uiPriority w:val="99"/>
    <w:semiHidden/>
    <w:rsid w:val="00F1618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16185"/>
    <w:rPr>
      <w:b/>
      <w:bCs/>
    </w:rPr>
  </w:style>
  <w:style w:type="character" w:customStyle="1" w:styleId="CommentSubjectChar">
    <w:name w:val="Comment Subject Char"/>
    <w:basedOn w:val="CommentTextChar"/>
    <w:link w:val="CommentSubject"/>
    <w:uiPriority w:val="99"/>
    <w:semiHidden/>
    <w:rsid w:val="00F16185"/>
    <w:rPr>
      <w:rFonts w:ascii="Times New Roman" w:hAnsi="Times New Roman"/>
      <w:b/>
      <w:bCs/>
      <w:lang w:val="en-ZA"/>
    </w:rPr>
  </w:style>
  <w:style w:type="paragraph" w:styleId="Revision">
    <w:name w:val="Revision"/>
    <w:hidden/>
    <w:uiPriority w:val="99"/>
    <w:semiHidden/>
    <w:rsid w:val="00F16185"/>
    <w:rPr>
      <w:rFonts w:ascii="Times New Roman" w:hAnsi="Times New Roman"/>
      <w:sz w:val="26"/>
      <w:szCs w:val="22"/>
      <w:lang w:val="en-ZA"/>
    </w:rPr>
  </w:style>
  <w:style w:type="character" w:customStyle="1" w:styleId="apple-converted-space">
    <w:name w:val="apple-converted-space"/>
    <w:basedOn w:val="DefaultParagraphFont"/>
    <w:rsid w:val="00540E6E"/>
  </w:style>
  <w:style w:type="character" w:styleId="Emphasis">
    <w:name w:val="Emphasis"/>
    <w:basedOn w:val="DefaultParagraphFont"/>
    <w:uiPriority w:val="20"/>
    <w:qFormat/>
    <w:rsid w:val="000A70DC"/>
    <w:rPr>
      <w:b/>
      <w:bCs/>
      <w:i w:val="0"/>
      <w:iCs w:val="0"/>
    </w:rPr>
  </w:style>
  <w:style w:type="character" w:customStyle="1" w:styleId="st1">
    <w:name w:val="st1"/>
    <w:basedOn w:val="DefaultParagraphFont"/>
    <w:rsid w:val="000A70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79550">
      <w:bodyDiv w:val="1"/>
      <w:marLeft w:val="0"/>
      <w:marRight w:val="0"/>
      <w:marTop w:val="0"/>
      <w:marBottom w:val="0"/>
      <w:divBdr>
        <w:top w:val="none" w:sz="0" w:space="0" w:color="auto"/>
        <w:left w:val="none" w:sz="0" w:space="0" w:color="auto"/>
        <w:bottom w:val="none" w:sz="0" w:space="0" w:color="auto"/>
        <w:right w:val="none" w:sz="0" w:space="0" w:color="auto"/>
      </w:divBdr>
    </w:div>
    <w:div w:id="108285662">
      <w:bodyDiv w:val="1"/>
      <w:marLeft w:val="0"/>
      <w:marRight w:val="0"/>
      <w:marTop w:val="0"/>
      <w:marBottom w:val="0"/>
      <w:divBdr>
        <w:top w:val="none" w:sz="0" w:space="0" w:color="auto"/>
        <w:left w:val="none" w:sz="0" w:space="0" w:color="auto"/>
        <w:bottom w:val="none" w:sz="0" w:space="0" w:color="auto"/>
        <w:right w:val="none" w:sz="0" w:space="0" w:color="auto"/>
      </w:divBdr>
      <w:divsChild>
        <w:div w:id="730425425">
          <w:marLeft w:val="0"/>
          <w:marRight w:val="0"/>
          <w:marTop w:val="0"/>
          <w:marBottom w:val="0"/>
          <w:divBdr>
            <w:top w:val="none" w:sz="0" w:space="0" w:color="auto"/>
            <w:left w:val="none" w:sz="0" w:space="0" w:color="auto"/>
            <w:bottom w:val="none" w:sz="0" w:space="0" w:color="auto"/>
            <w:right w:val="none" w:sz="0" w:space="0" w:color="auto"/>
          </w:divBdr>
          <w:divsChild>
            <w:div w:id="1501694537">
              <w:marLeft w:val="0"/>
              <w:marRight w:val="0"/>
              <w:marTop w:val="0"/>
              <w:marBottom w:val="0"/>
              <w:divBdr>
                <w:top w:val="none" w:sz="0" w:space="0" w:color="auto"/>
                <w:left w:val="none" w:sz="0" w:space="0" w:color="auto"/>
                <w:bottom w:val="none" w:sz="0" w:space="0" w:color="auto"/>
                <w:right w:val="none" w:sz="0" w:space="0" w:color="auto"/>
              </w:divBdr>
              <w:divsChild>
                <w:div w:id="855118201">
                  <w:marLeft w:val="0"/>
                  <w:marRight w:val="0"/>
                  <w:marTop w:val="0"/>
                  <w:marBottom w:val="0"/>
                  <w:divBdr>
                    <w:top w:val="none" w:sz="0" w:space="0" w:color="auto"/>
                    <w:left w:val="none" w:sz="0" w:space="0" w:color="auto"/>
                    <w:bottom w:val="none" w:sz="0" w:space="0" w:color="auto"/>
                    <w:right w:val="none" w:sz="0" w:space="0" w:color="auto"/>
                  </w:divBdr>
                  <w:divsChild>
                    <w:div w:id="1565096009">
                      <w:marLeft w:val="0"/>
                      <w:marRight w:val="0"/>
                      <w:marTop w:val="0"/>
                      <w:marBottom w:val="0"/>
                      <w:divBdr>
                        <w:top w:val="none" w:sz="0" w:space="0" w:color="auto"/>
                        <w:left w:val="none" w:sz="0" w:space="0" w:color="auto"/>
                        <w:bottom w:val="none" w:sz="0" w:space="0" w:color="auto"/>
                        <w:right w:val="none" w:sz="0" w:space="0" w:color="auto"/>
                      </w:divBdr>
                      <w:divsChild>
                        <w:div w:id="1149594754">
                          <w:marLeft w:val="0"/>
                          <w:marRight w:val="0"/>
                          <w:marTop w:val="0"/>
                          <w:marBottom w:val="0"/>
                          <w:divBdr>
                            <w:top w:val="none" w:sz="0" w:space="0" w:color="auto"/>
                            <w:left w:val="none" w:sz="0" w:space="0" w:color="auto"/>
                            <w:bottom w:val="none" w:sz="0" w:space="0" w:color="auto"/>
                            <w:right w:val="none" w:sz="0" w:space="0" w:color="auto"/>
                          </w:divBdr>
                          <w:divsChild>
                            <w:div w:id="1395197270">
                              <w:marLeft w:val="0"/>
                              <w:marRight w:val="0"/>
                              <w:marTop w:val="0"/>
                              <w:marBottom w:val="0"/>
                              <w:divBdr>
                                <w:top w:val="none" w:sz="0" w:space="0" w:color="auto"/>
                                <w:left w:val="none" w:sz="0" w:space="0" w:color="auto"/>
                                <w:bottom w:val="none" w:sz="0" w:space="0" w:color="auto"/>
                                <w:right w:val="none" w:sz="0" w:space="0" w:color="auto"/>
                              </w:divBdr>
                              <w:divsChild>
                                <w:div w:id="460613178">
                                  <w:marLeft w:val="0"/>
                                  <w:marRight w:val="0"/>
                                  <w:marTop w:val="0"/>
                                  <w:marBottom w:val="0"/>
                                  <w:divBdr>
                                    <w:top w:val="none" w:sz="0" w:space="0" w:color="auto"/>
                                    <w:left w:val="none" w:sz="0" w:space="0" w:color="auto"/>
                                    <w:bottom w:val="none" w:sz="0" w:space="0" w:color="auto"/>
                                    <w:right w:val="none" w:sz="0" w:space="0" w:color="auto"/>
                                  </w:divBdr>
                                  <w:divsChild>
                                    <w:div w:id="1731534020">
                                      <w:marLeft w:val="0"/>
                                      <w:marRight w:val="0"/>
                                      <w:marTop w:val="0"/>
                                      <w:marBottom w:val="0"/>
                                      <w:divBdr>
                                        <w:top w:val="none" w:sz="0" w:space="0" w:color="auto"/>
                                        <w:left w:val="none" w:sz="0" w:space="0" w:color="auto"/>
                                        <w:bottom w:val="none" w:sz="0" w:space="0" w:color="auto"/>
                                        <w:right w:val="none" w:sz="0" w:space="0" w:color="auto"/>
                                      </w:divBdr>
                                      <w:divsChild>
                                        <w:div w:id="660623805">
                                          <w:marLeft w:val="0"/>
                                          <w:marRight w:val="0"/>
                                          <w:marTop w:val="0"/>
                                          <w:marBottom w:val="0"/>
                                          <w:divBdr>
                                            <w:top w:val="none" w:sz="0" w:space="0" w:color="auto"/>
                                            <w:left w:val="none" w:sz="0" w:space="0" w:color="auto"/>
                                            <w:bottom w:val="none" w:sz="0" w:space="0" w:color="auto"/>
                                            <w:right w:val="none" w:sz="0" w:space="0" w:color="auto"/>
                                          </w:divBdr>
                                          <w:divsChild>
                                            <w:div w:id="439951817">
                                              <w:marLeft w:val="0"/>
                                              <w:marRight w:val="0"/>
                                              <w:marTop w:val="0"/>
                                              <w:marBottom w:val="0"/>
                                              <w:divBdr>
                                                <w:top w:val="none" w:sz="0" w:space="0" w:color="auto"/>
                                                <w:left w:val="none" w:sz="0" w:space="0" w:color="auto"/>
                                                <w:bottom w:val="none" w:sz="0" w:space="0" w:color="auto"/>
                                                <w:right w:val="none" w:sz="0" w:space="0" w:color="auto"/>
                                              </w:divBdr>
                                              <w:divsChild>
                                                <w:div w:id="40634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3085958">
      <w:bodyDiv w:val="1"/>
      <w:marLeft w:val="0"/>
      <w:marRight w:val="0"/>
      <w:marTop w:val="0"/>
      <w:marBottom w:val="0"/>
      <w:divBdr>
        <w:top w:val="none" w:sz="0" w:space="0" w:color="auto"/>
        <w:left w:val="none" w:sz="0" w:space="0" w:color="auto"/>
        <w:bottom w:val="none" w:sz="0" w:space="0" w:color="auto"/>
        <w:right w:val="none" w:sz="0" w:space="0" w:color="auto"/>
      </w:divBdr>
    </w:div>
    <w:div w:id="248272070">
      <w:bodyDiv w:val="1"/>
      <w:marLeft w:val="0"/>
      <w:marRight w:val="0"/>
      <w:marTop w:val="0"/>
      <w:marBottom w:val="0"/>
      <w:divBdr>
        <w:top w:val="none" w:sz="0" w:space="0" w:color="auto"/>
        <w:left w:val="none" w:sz="0" w:space="0" w:color="auto"/>
        <w:bottom w:val="none" w:sz="0" w:space="0" w:color="auto"/>
        <w:right w:val="none" w:sz="0" w:space="0" w:color="auto"/>
      </w:divBdr>
      <w:divsChild>
        <w:div w:id="114100055">
          <w:marLeft w:val="2"/>
          <w:marRight w:val="0"/>
          <w:marTop w:val="0"/>
          <w:marBottom w:val="0"/>
          <w:divBdr>
            <w:top w:val="none" w:sz="0" w:space="0" w:color="auto"/>
            <w:left w:val="none" w:sz="0" w:space="0" w:color="auto"/>
            <w:bottom w:val="none" w:sz="0" w:space="0" w:color="auto"/>
            <w:right w:val="none" w:sz="0" w:space="0" w:color="auto"/>
          </w:divBdr>
          <w:divsChild>
            <w:div w:id="932662604">
              <w:marLeft w:val="0"/>
              <w:marRight w:val="0"/>
              <w:marTop w:val="0"/>
              <w:marBottom w:val="0"/>
              <w:divBdr>
                <w:top w:val="none" w:sz="0" w:space="0" w:color="auto"/>
                <w:left w:val="none" w:sz="0" w:space="0" w:color="auto"/>
                <w:bottom w:val="none" w:sz="0" w:space="0" w:color="auto"/>
                <w:right w:val="none" w:sz="0" w:space="0" w:color="auto"/>
              </w:divBdr>
              <w:divsChild>
                <w:div w:id="1905874037">
                  <w:marLeft w:val="0"/>
                  <w:marRight w:val="0"/>
                  <w:marTop w:val="0"/>
                  <w:marBottom w:val="0"/>
                  <w:divBdr>
                    <w:top w:val="none" w:sz="0" w:space="0" w:color="auto"/>
                    <w:left w:val="none" w:sz="0" w:space="0" w:color="auto"/>
                    <w:bottom w:val="none" w:sz="0" w:space="0" w:color="auto"/>
                    <w:right w:val="none" w:sz="0" w:space="0" w:color="auto"/>
                  </w:divBdr>
                  <w:divsChild>
                    <w:div w:id="49620964">
                      <w:marLeft w:val="0"/>
                      <w:marRight w:val="0"/>
                      <w:marTop w:val="0"/>
                      <w:marBottom w:val="0"/>
                      <w:divBdr>
                        <w:top w:val="none" w:sz="0" w:space="0" w:color="auto"/>
                        <w:left w:val="none" w:sz="0" w:space="0" w:color="auto"/>
                        <w:bottom w:val="none" w:sz="0" w:space="0" w:color="auto"/>
                        <w:right w:val="none" w:sz="0" w:space="0" w:color="auto"/>
                      </w:divBdr>
                      <w:divsChild>
                        <w:div w:id="113015293">
                          <w:marLeft w:val="0"/>
                          <w:marRight w:val="0"/>
                          <w:marTop w:val="0"/>
                          <w:marBottom w:val="0"/>
                          <w:divBdr>
                            <w:top w:val="none" w:sz="0" w:space="0" w:color="auto"/>
                            <w:left w:val="none" w:sz="0" w:space="0" w:color="auto"/>
                            <w:bottom w:val="none" w:sz="0" w:space="0" w:color="auto"/>
                            <w:right w:val="none" w:sz="0" w:space="0" w:color="auto"/>
                          </w:divBdr>
                          <w:divsChild>
                            <w:div w:id="115850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6712979">
      <w:bodyDiv w:val="1"/>
      <w:marLeft w:val="0"/>
      <w:marRight w:val="0"/>
      <w:marTop w:val="0"/>
      <w:marBottom w:val="0"/>
      <w:divBdr>
        <w:top w:val="none" w:sz="0" w:space="0" w:color="auto"/>
        <w:left w:val="none" w:sz="0" w:space="0" w:color="auto"/>
        <w:bottom w:val="none" w:sz="0" w:space="0" w:color="auto"/>
        <w:right w:val="none" w:sz="0" w:space="0" w:color="auto"/>
      </w:divBdr>
    </w:div>
    <w:div w:id="326445401">
      <w:bodyDiv w:val="1"/>
      <w:marLeft w:val="0"/>
      <w:marRight w:val="0"/>
      <w:marTop w:val="0"/>
      <w:marBottom w:val="0"/>
      <w:divBdr>
        <w:top w:val="none" w:sz="0" w:space="0" w:color="auto"/>
        <w:left w:val="none" w:sz="0" w:space="0" w:color="auto"/>
        <w:bottom w:val="none" w:sz="0" w:space="0" w:color="auto"/>
        <w:right w:val="none" w:sz="0" w:space="0" w:color="auto"/>
      </w:divBdr>
    </w:div>
    <w:div w:id="733546945">
      <w:bodyDiv w:val="1"/>
      <w:marLeft w:val="0"/>
      <w:marRight w:val="0"/>
      <w:marTop w:val="0"/>
      <w:marBottom w:val="0"/>
      <w:divBdr>
        <w:top w:val="none" w:sz="0" w:space="0" w:color="auto"/>
        <w:left w:val="none" w:sz="0" w:space="0" w:color="auto"/>
        <w:bottom w:val="none" w:sz="0" w:space="0" w:color="auto"/>
        <w:right w:val="none" w:sz="0" w:space="0" w:color="auto"/>
      </w:divBdr>
    </w:div>
    <w:div w:id="955790824">
      <w:bodyDiv w:val="1"/>
      <w:marLeft w:val="0"/>
      <w:marRight w:val="0"/>
      <w:marTop w:val="0"/>
      <w:marBottom w:val="0"/>
      <w:divBdr>
        <w:top w:val="none" w:sz="0" w:space="0" w:color="auto"/>
        <w:left w:val="none" w:sz="0" w:space="0" w:color="auto"/>
        <w:bottom w:val="none" w:sz="0" w:space="0" w:color="auto"/>
        <w:right w:val="none" w:sz="0" w:space="0" w:color="auto"/>
      </w:divBdr>
    </w:div>
    <w:div w:id="989138070">
      <w:bodyDiv w:val="1"/>
      <w:marLeft w:val="0"/>
      <w:marRight w:val="0"/>
      <w:marTop w:val="0"/>
      <w:marBottom w:val="0"/>
      <w:divBdr>
        <w:top w:val="none" w:sz="0" w:space="0" w:color="auto"/>
        <w:left w:val="none" w:sz="0" w:space="0" w:color="auto"/>
        <w:bottom w:val="none" w:sz="0" w:space="0" w:color="auto"/>
        <w:right w:val="none" w:sz="0" w:space="0" w:color="auto"/>
      </w:divBdr>
    </w:div>
    <w:div w:id="1039937301">
      <w:bodyDiv w:val="1"/>
      <w:marLeft w:val="0"/>
      <w:marRight w:val="0"/>
      <w:marTop w:val="0"/>
      <w:marBottom w:val="0"/>
      <w:divBdr>
        <w:top w:val="none" w:sz="0" w:space="0" w:color="auto"/>
        <w:left w:val="none" w:sz="0" w:space="0" w:color="auto"/>
        <w:bottom w:val="none" w:sz="0" w:space="0" w:color="auto"/>
        <w:right w:val="none" w:sz="0" w:space="0" w:color="auto"/>
      </w:divBdr>
    </w:div>
    <w:div w:id="1184898077">
      <w:bodyDiv w:val="1"/>
      <w:marLeft w:val="0"/>
      <w:marRight w:val="0"/>
      <w:marTop w:val="0"/>
      <w:marBottom w:val="0"/>
      <w:divBdr>
        <w:top w:val="none" w:sz="0" w:space="0" w:color="auto"/>
        <w:left w:val="none" w:sz="0" w:space="0" w:color="auto"/>
        <w:bottom w:val="none" w:sz="0" w:space="0" w:color="auto"/>
        <w:right w:val="none" w:sz="0" w:space="0" w:color="auto"/>
      </w:divBdr>
    </w:div>
    <w:div w:id="1196308866">
      <w:bodyDiv w:val="1"/>
      <w:marLeft w:val="0"/>
      <w:marRight w:val="0"/>
      <w:marTop w:val="0"/>
      <w:marBottom w:val="0"/>
      <w:divBdr>
        <w:top w:val="none" w:sz="0" w:space="0" w:color="auto"/>
        <w:left w:val="none" w:sz="0" w:space="0" w:color="auto"/>
        <w:bottom w:val="none" w:sz="0" w:space="0" w:color="auto"/>
        <w:right w:val="none" w:sz="0" w:space="0" w:color="auto"/>
      </w:divBdr>
    </w:div>
    <w:div w:id="1214078982">
      <w:bodyDiv w:val="1"/>
      <w:marLeft w:val="0"/>
      <w:marRight w:val="0"/>
      <w:marTop w:val="0"/>
      <w:marBottom w:val="0"/>
      <w:divBdr>
        <w:top w:val="none" w:sz="0" w:space="0" w:color="auto"/>
        <w:left w:val="none" w:sz="0" w:space="0" w:color="auto"/>
        <w:bottom w:val="none" w:sz="0" w:space="0" w:color="auto"/>
        <w:right w:val="none" w:sz="0" w:space="0" w:color="auto"/>
      </w:divBdr>
    </w:div>
    <w:div w:id="1295214104">
      <w:bodyDiv w:val="1"/>
      <w:marLeft w:val="0"/>
      <w:marRight w:val="0"/>
      <w:marTop w:val="0"/>
      <w:marBottom w:val="0"/>
      <w:divBdr>
        <w:top w:val="none" w:sz="0" w:space="0" w:color="auto"/>
        <w:left w:val="none" w:sz="0" w:space="0" w:color="auto"/>
        <w:bottom w:val="none" w:sz="0" w:space="0" w:color="auto"/>
        <w:right w:val="none" w:sz="0" w:space="0" w:color="auto"/>
      </w:divBdr>
    </w:div>
    <w:div w:id="1345284352">
      <w:bodyDiv w:val="1"/>
      <w:marLeft w:val="0"/>
      <w:marRight w:val="0"/>
      <w:marTop w:val="0"/>
      <w:marBottom w:val="0"/>
      <w:divBdr>
        <w:top w:val="none" w:sz="0" w:space="0" w:color="auto"/>
        <w:left w:val="none" w:sz="0" w:space="0" w:color="auto"/>
        <w:bottom w:val="none" w:sz="0" w:space="0" w:color="auto"/>
        <w:right w:val="none" w:sz="0" w:space="0" w:color="auto"/>
      </w:divBdr>
      <w:divsChild>
        <w:div w:id="317685474">
          <w:marLeft w:val="2"/>
          <w:marRight w:val="0"/>
          <w:marTop w:val="0"/>
          <w:marBottom w:val="0"/>
          <w:divBdr>
            <w:top w:val="none" w:sz="0" w:space="0" w:color="auto"/>
            <w:left w:val="none" w:sz="0" w:space="0" w:color="auto"/>
            <w:bottom w:val="none" w:sz="0" w:space="0" w:color="auto"/>
            <w:right w:val="none" w:sz="0" w:space="0" w:color="auto"/>
          </w:divBdr>
          <w:divsChild>
            <w:div w:id="1911691780">
              <w:marLeft w:val="0"/>
              <w:marRight w:val="0"/>
              <w:marTop w:val="0"/>
              <w:marBottom w:val="0"/>
              <w:divBdr>
                <w:top w:val="none" w:sz="0" w:space="0" w:color="auto"/>
                <w:left w:val="none" w:sz="0" w:space="0" w:color="auto"/>
                <w:bottom w:val="none" w:sz="0" w:space="0" w:color="auto"/>
                <w:right w:val="none" w:sz="0" w:space="0" w:color="auto"/>
              </w:divBdr>
              <w:divsChild>
                <w:div w:id="1518229006">
                  <w:marLeft w:val="0"/>
                  <w:marRight w:val="0"/>
                  <w:marTop w:val="0"/>
                  <w:marBottom w:val="0"/>
                  <w:divBdr>
                    <w:top w:val="none" w:sz="0" w:space="0" w:color="auto"/>
                    <w:left w:val="none" w:sz="0" w:space="0" w:color="auto"/>
                    <w:bottom w:val="none" w:sz="0" w:space="0" w:color="auto"/>
                    <w:right w:val="none" w:sz="0" w:space="0" w:color="auto"/>
                  </w:divBdr>
                  <w:divsChild>
                    <w:div w:id="1233539180">
                      <w:marLeft w:val="0"/>
                      <w:marRight w:val="0"/>
                      <w:marTop w:val="0"/>
                      <w:marBottom w:val="0"/>
                      <w:divBdr>
                        <w:top w:val="none" w:sz="0" w:space="0" w:color="auto"/>
                        <w:left w:val="none" w:sz="0" w:space="0" w:color="auto"/>
                        <w:bottom w:val="none" w:sz="0" w:space="0" w:color="auto"/>
                        <w:right w:val="none" w:sz="0" w:space="0" w:color="auto"/>
                      </w:divBdr>
                      <w:divsChild>
                        <w:div w:id="77599697">
                          <w:marLeft w:val="0"/>
                          <w:marRight w:val="0"/>
                          <w:marTop w:val="0"/>
                          <w:marBottom w:val="0"/>
                          <w:divBdr>
                            <w:top w:val="none" w:sz="0" w:space="0" w:color="auto"/>
                            <w:left w:val="none" w:sz="0" w:space="0" w:color="auto"/>
                            <w:bottom w:val="none" w:sz="0" w:space="0" w:color="auto"/>
                            <w:right w:val="none" w:sz="0" w:space="0" w:color="auto"/>
                          </w:divBdr>
                          <w:divsChild>
                            <w:div w:id="94989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988586">
      <w:bodyDiv w:val="1"/>
      <w:marLeft w:val="0"/>
      <w:marRight w:val="0"/>
      <w:marTop w:val="0"/>
      <w:marBottom w:val="0"/>
      <w:divBdr>
        <w:top w:val="none" w:sz="0" w:space="0" w:color="auto"/>
        <w:left w:val="none" w:sz="0" w:space="0" w:color="auto"/>
        <w:bottom w:val="none" w:sz="0" w:space="0" w:color="auto"/>
        <w:right w:val="none" w:sz="0" w:space="0" w:color="auto"/>
      </w:divBdr>
      <w:divsChild>
        <w:div w:id="912395304">
          <w:marLeft w:val="2"/>
          <w:marRight w:val="0"/>
          <w:marTop w:val="0"/>
          <w:marBottom w:val="0"/>
          <w:divBdr>
            <w:top w:val="none" w:sz="0" w:space="0" w:color="auto"/>
            <w:left w:val="none" w:sz="0" w:space="0" w:color="auto"/>
            <w:bottom w:val="none" w:sz="0" w:space="0" w:color="auto"/>
            <w:right w:val="none" w:sz="0" w:space="0" w:color="auto"/>
          </w:divBdr>
          <w:divsChild>
            <w:div w:id="789932955">
              <w:marLeft w:val="0"/>
              <w:marRight w:val="0"/>
              <w:marTop w:val="0"/>
              <w:marBottom w:val="0"/>
              <w:divBdr>
                <w:top w:val="none" w:sz="0" w:space="0" w:color="auto"/>
                <w:left w:val="none" w:sz="0" w:space="0" w:color="auto"/>
                <w:bottom w:val="none" w:sz="0" w:space="0" w:color="auto"/>
                <w:right w:val="none" w:sz="0" w:space="0" w:color="auto"/>
              </w:divBdr>
              <w:divsChild>
                <w:div w:id="1490051240">
                  <w:marLeft w:val="0"/>
                  <w:marRight w:val="0"/>
                  <w:marTop w:val="0"/>
                  <w:marBottom w:val="0"/>
                  <w:divBdr>
                    <w:top w:val="none" w:sz="0" w:space="0" w:color="auto"/>
                    <w:left w:val="none" w:sz="0" w:space="0" w:color="auto"/>
                    <w:bottom w:val="none" w:sz="0" w:space="0" w:color="auto"/>
                    <w:right w:val="none" w:sz="0" w:space="0" w:color="auto"/>
                  </w:divBdr>
                  <w:divsChild>
                    <w:div w:id="128203799">
                      <w:marLeft w:val="0"/>
                      <w:marRight w:val="0"/>
                      <w:marTop w:val="0"/>
                      <w:marBottom w:val="0"/>
                      <w:divBdr>
                        <w:top w:val="none" w:sz="0" w:space="0" w:color="auto"/>
                        <w:left w:val="none" w:sz="0" w:space="0" w:color="auto"/>
                        <w:bottom w:val="none" w:sz="0" w:space="0" w:color="auto"/>
                        <w:right w:val="none" w:sz="0" w:space="0" w:color="auto"/>
                      </w:divBdr>
                      <w:divsChild>
                        <w:div w:id="1249074473">
                          <w:marLeft w:val="0"/>
                          <w:marRight w:val="0"/>
                          <w:marTop w:val="0"/>
                          <w:marBottom w:val="0"/>
                          <w:divBdr>
                            <w:top w:val="none" w:sz="0" w:space="0" w:color="auto"/>
                            <w:left w:val="none" w:sz="0" w:space="0" w:color="auto"/>
                            <w:bottom w:val="none" w:sz="0" w:space="0" w:color="auto"/>
                            <w:right w:val="none" w:sz="0" w:space="0" w:color="auto"/>
                          </w:divBdr>
                          <w:divsChild>
                            <w:div w:id="147667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9665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discover.sabinet.co.za/webx/access/netlaw/112_1991_upgrading_of_land_tenure_rights_act.htm" TargetMode="External"/><Relationship Id="rId1" Type="http://schemas.openxmlformats.org/officeDocument/2006/relationships/hyperlink" Target="http://discover.sabinet.co.za/webx/access/netlaw/24_1936_insolvency_ac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539419-E988-4F05-A3C6-0C82D5F33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7214</Words>
  <Characters>41124</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48242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2017-08-29T08:18:00Z</dcterms:created>
  <dcterms:modified xsi:type="dcterms:W3CDTF">2017-08-29T08:19:00Z</dcterms:modified>
</cp:coreProperties>
</file>