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Pr="002D078A" w:rsidRDefault="0003374F" w:rsidP="003A18CF">
      <w:pPr>
        <w:spacing w:line="240" w:lineRule="auto"/>
        <w:jc w:val="center"/>
        <w:outlineLvl w:val="0"/>
      </w:pPr>
      <w:r w:rsidRPr="002D078A">
        <w:rPr>
          <w:b/>
          <w:bCs/>
          <w:noProof/>
          <w:color w:val="1F497D"/>
          <w:lang w:eastAsia="en-ZA"/>
        </w:rPr>
        <w:drawing>
          <wp:inline distT="0" distB="0" distL="0" distR="0" wp14:anchorId="146F6682" wp14:editId="10BC37FC">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2D078A" w:rsidRDefault="003A18CF" w:rsidP="003A18CF">
      <w:pPr>
        <w:spacing w:line="240" w:lineRule="auto"/>
        <w:jc w:val="center"/>
        <w:outlineLvl w:val="0"/>
      </w:pPr>
    </w:p>
    <w:p w:rsidR="003A18CF" w:rsidRPr="002D078A" w:rsidRDefault="003A18CF" w:rsidP="003A18CF">
      <w:pPr>
        <w:spacing w:line="240" w:lineRule="auto"/>
        <w:jc w:val="center"/>
        <w:outlineLvl w:val="0"/>
        <w:rPr>
          <w:b/>
        </w:rPr>
      </w:pPr>
      <w:r w:rsidRPr="002D078A">
        <w:rPr>
          <w:b/>
        </w:rPr>
        <w:t>CONSTITUTIONAL COURT OF SOUTH AFRICA</w:t>
      </w:r>
    </w:p>
    <w:p w:rsidR="003A18CF" w:rsidRPr="002D078A" w:rsidRDefault="003A18CF" w:rsidP="003A18CF">
      <w:pPr>
        <w:spacing w:line="240" w:lineRule="auto"/>
      </w:pPr>
    </w:p>
    <w:p w:rsidR="003A18CF" w:rsidRPr="002D078A" w:rsidRDefault="003A18CF" w:rsidP="003A18CF">
      <w:pPr>
        <w:spacing w:line="240" w:lineRule="auto"/>
      </w:pPr>
    </w:p>
    <w:p w:rsidR="00C61D11" w:rsidRPr="0019703F" w:rsidRDefault="003A18CF" w:rsidP="00C61D11">
      <w:pPr>
        <w:tabs>
          <w:tab w:val="right" w:pos="9029"/>
        </w:tabs>
        <w:spacing w:line="240" w:lineRule="auto"/>
        <w:rPr>
          <w:szCs w:val="26"/>
        </w:rPr>
      </w:pPr>
      <w:r w:rsidRPr="002D078A">
        <w:tab/>
      </w:r>
      <w:r w:rsidR="0092415C">
        <w:rPr>
          <w:szCs w:val="26"/>
        </w:rPr>
        <w:t>Case CCT 315/16 and</w:t>
      </w:r>
      <w:r w:rsidR="00C61D11" w:rsidRPr="0019703F">
        <w:rPr>
          <w:szCs w:val="26"/>
        </w:rPr>
        <w:t xml:space="preserve"> CCT 193/17</w:t>
      </w:r>
    </w:p>
    <w:p w:rsidR="00C61D11" w:rsidRPr="0019703F" w:rsidRDefault="00C61D11" w:rsidP="00C61D11">
      <w:pPr>
        <w:tabs>
          <w:tab w:val="left" w:pos="8998"/>
        </w:tabs>
        <w:spacing w:line="240" w:lineRule="auto"/>
        <w:rPr>
          <w:szCs w:val="26"/>
        </w:rPr>
      </w:pPr>
    </w:p>
    <w:p w:rsidR="00C61D11" w:rsidRPr="0019703F" w:rsidRDefault="00C61D11" w:rsidP="00C61D11">
      <w:pPr>
        <w:tabs>
          <w:tab w:val="left" w:pos="8998"/>
        </w:tabs>
        <w:spacing w:line="240" w:lineRule="auto"/>
        <w:jc w:val="right"/>
        <w:rPr>
          <w:szCs w:val="26"/>
        </w:rPr>
      </w:pPr>
      <w:r w:rsidRPr="0019703F">
        <w:rPr>
          <w:szCs w:val="26"/>
        </w:rPr>
        <w:t>CCT 315/16</w:t>
      </w:r>
    </w:p>
    <w:p w:rsidR="00C61D11" w:rsidRPr="002D078A" w:rsidRDefault="00C61D11" w:rsidP="00C61D11">
      <w:pPr>
        <w:tabs>
          <w:tab w:val="left" w:pos="8998"/>
        </w:tabs>
        <w:spacing w:line="240" w:lineRule="auto"/>
        <w:rPr>
          <w:szCs w:val="26"/>
        </w:rPr>
      </w:pPr>
    </w:p>
    <w:p w:rsidR="00C61D11" w:rsidRPr="002D078A" w:rsidRDefault="00C61D11" w:rsidP="00C61D11">
      <w:pPr>
        <w:tabs>
          <w:tab w:val="left" w:pos="8998"/>
        </w:tabs>
        <w:spacing w:line="240" w:lineRule="auto"/>
        <w:rPr>
          <w:szCs w:val="26"/>
        </w:rPr>
      </w:pPr>
      <w:r w:rsidRPr="002D078A">
        <w:rPr>
          <w:szCs w:val="26"/>
        </w:rPr>
        <w:t>In the matter between:</w:t>
      </w:r>
    </w:p>
    <w:p w:rsidR="00C61D11" w:rsidRPr="002D078A" w:rsidRDefault="00C61D11" w:rsidP="00C61D11">
      <w:pPr>
        <w:tabs>
          <w:tab w:val="left" w:pos="8998"/>
        </w:tabs>
        <w:spacing w:line="240" w:lineRule="auto"/>
        <w:jc w:val="left"/>
        <w:rPr>
          <w:szCs w:val="26"/>
        </w:rPr>
      </w:pPr>
    </w:p>
    <w:p w:rsidR="00C61D11" w:rsidRPr="002D078A" w:rsidRDefault="00C61D11" w:rsidP="00C61D11">
      <w:pPr>
        <w:tabs>
          <w:tab w:val="left" w:pos="8998"/>
        </w:tabs>
        <w:spacing w:line="240" w:lineRule="auto"/>
        <w:rPr>
          <w:szCs w:val="26"/>
        </w:rPr>
      </w:pPr>
    </w:p>
    <w:p w:rsidR="00C61D11" w:rsidRDefault="00C61D11" w:rsidP="00C61D11">
      <w:pPr>
        <w:tabs>
          <w:tab w:val="right" w:pos="9029"/>
        </w:tabs>
        <w:spacing w:line="240" w:lineRule="auto"/>
        <w:rPr>
          <w:iCs/>
          <w:szCs w:val="26"/>
        </w:rPr>
      </w:pPr>
      <w:r w:rsidRPr="002D078A">
        <w:rPr>
          <w:b/>
          <w:iCs/>
          <w:szCs w:val="26"/>
        </w:rPr>
        <w:t>THE STATE</w:t>
      </w:r>
      <w:r w:rsidRPr="002D078A">
        <w:rPr>
          <w:b/>
          <w:iCs/>
          <w:szCs w:val="26"/>
        </w:rPr>
        <w:tab/>
      </w:r>
      <w:r w:rsidR="004C13D9">
        <w:rPr>
          <w:iCs/>
          <w:szCs w:val="26"/>
        </w:rPr>
        <w:t xml:space="preserve">First </w:t>
      </w:r>
      <w:r w:rsidRPr="002D078A">
        <w:rPr>
          <w:iCs/>
          <w:szCs w:val="26"/>
        </w:rPr>
        <w:t>Applicant</w:t>
      </w:r>
    </w:p>
    <w:p w:rsidR="004C13D9" w:rsidRDefault="004C13D9" w:rsidP="00C61D11">
      <w:pPr>
        <w:tabs>
          <w:tab w:val="right" w:pos="9029"/>
        </w:tabs>
        <w:spacing w:line="240" w:lineRule="auto"/>
        <w:rPr>
          <w:iCs/>
          <w:szCs w:val="26"/>
        </w:rPr>
      </w:pPr>
    </w:p>
    <w:p w:rsidR="004C13D9" w:rsidRPr="008C0E33" w:rsidRDefault="004C13D9" w:rsidP="00C61D11">
      <w:pPr>
        <w:tabs>
          <w:tab w:val="right" w:pos="9029"/>
        </w:tabs>
        <w:spacing w:line="240" w:lineRule="auto"/>
      </w:pPr>
      <w:r>
        <w:rPr>
          <w:b/>
          <w:iCs/>
          <w:szCs w:val="26"/>
        </w:rPr>
        <w:t>NATIONAL DIRECTOR OF PUBLIC PROSECUTIONS</w:t>
      </w:r>
      <w:r>
        <w:rPr>
          <w:b/>
          <w:iCs/>
          <w:szCs w:val="26"/>
        </w:rPr>
        <w:tab/>
      </w:r>
      <w:r>
        <w:rPr>
          <w:iCs/>
          <w:szCs w:val="26"/>
        </w:rPr>
        <w:t>Second Applicant</w:t>
      </w:r>
    </w:p>
    <w:p w:rsidR="00C61D11" w:rsidRPr="002D078A" w:rsidRDefault="00C61D11" w:rsidP="00C61D11">
      <w:pPr>
        <w:tabs>
          <w:tab w:val="right" w:pos="9029"/>
        </w:tabs>
        <w:spacing w:line="240" w:lineRule="auto"/>
        <w:rPr>
          <w:iCs/>
          <w:szCs w:val="26"/>
        </w:rPr>
      </w:pPr>
    </w:p>
    <w:p w:rsidR="00C61D11" w:rsidRPr="002D078A" w:rsidRDefault="00C61D11" w:rsidP="00C61D11">
      <w:pPr>
        <w:tabs>
          <w:tab w:val="right" w:pos="9029"/>
        </w:tabs>
        <w:spacing w:line="240" w:lineRule="auto"/>
        <w:rPr>
          <w:iCs/>
          <w:szCs w:val="26"/>
        </w:rPr>
      </w:pPr>
      <w:r w:rsidRPr="002D078A">
        <w:rPr>
          <w:iCs/>
          <w:szCs w:val="26"/>
        </w:rPr>
        <w:t>and</w:t>
      </w:r>
    </w:p>
    <w:p w:rsidR="00C61D11" w:rsidRPr="002D078A" w:rsidRDefault="00C61D11" w:rsidP="00C61D11">
      <w:pPr>
        <w:tabs>
          <w:tab w:val="right" w:pos="9029"/>
        </w:tabs>
        <w:spacing w:line="240" w:lineRule="auto"/>
        <w:rPr>
          <w:iCs/>
          <w:szCs w:val="26"/>
        </w:rPr>
      </w:pPr>
    </w:p>
    <w:p w:rsidR="00C61D11" w:rsidRPr="002D078A" w:rsidRDefault="00C61D11" w:rsidP="00C61D11">
      <w:pPr>
        <w:tabs>
          <w:tab w:val="right" w:pos="9029"/>
        </w:tabs>
        <w:spacing w:line="240" w:lineRule="auto"/>
        <w:rPr>
          <w:szCs w:val="26"/>
        </w:rPr>
      </w:pPr>
      <w:r w:rsidRPr="002D078A">
        <w:rPr>
          <w:b/>
          <w:iCs/>
          <w:szCs w:val="26"/>
        </w:rPr>
        <w:t>HENRY EMOMOTIMI OKAH</w:t>
      </w:r>
      <w:r w:rsidRPr="002D078A">
        <w:rPr>
          <w:b/>
          <w:szCs w:val="26"/>
        </w:rPr>
        <w:tab/>
      </w:r>
      <w:r w:rsidRPr="002D078A">
        <w:rPr>
          <w:szCs w:val="26"/>
        </w:rPr>
        <w:t>Respondent</w:t>
      </w:r>
    </w:p>
    <w:p w:rsidR="00C61D11" w:rsidRPr="002D078A" w:rsidRDefault="00C61D11" w:rsidP="00C61D11">
      <w:pPr>
        <w:spacing w:line="240" w:lineRule="auto"/>
        <w:rPr>
          <w:szCs w:val="26"/>
        </w:rPr>
      </w:pPr>
    </w:p>
    <w:p w:rsidR="00C61D11" w:rsidRPr="002D078A" w:rsidRDefault="00C61D11" w:rsidP="00C61D11">
      <w:pPr>
        <w:spacing w:line="240" w:lineRule="auto"/>
        <w:rPr>
          <w:szCs w:val="26"/>
        </w:rPr>
      </w:pPr>
    </w:p>
    <w:p w:rsidR="00C61D11" w:rsidRPr="0019703F" w:rsidRDefault="00C61D11" w:rsidP="00C61D11">
      <w:pPr>
        <w:tabs>
          <w:tab w:val="left" w:pos="8998"/>
        </w:tabs>
        <w:spacing w:line="240" w:lineRule="auto"/>
        <w:jc w:val="right"/>
        <w:rPr>
          <w:szCs w:val="26"/>
        </w:rPr>
      </w:pPr>
      <w:r w:rsidRPr="0019703F">
        <w:rPr>
          <w:szCs w:val="26"/>
        </w:rPr>
        <w:t>CCT 193/17</w:t>
      </w:r>
    </w:p>
    <w:p w:rsidR="00C61D11" w:rsidRPr="002D078A" w:rsidRDefault="00C61D11" w:rsidP="00C61D11">
      <w:pPr>
        <w:spacing w:line="240" w:lineRule="auto"/>
        <w:rPr>
          <w:szCs w:val="26"/>
        </w:rPr>
      </w:pPr>
    </w:p>
    <w:p w:rsidR="00C61D11" w:rsidRPr="002D078A" w:rsidRDefault="00C61D11" w:rsidP="00C61D11">
      <w:pPr>
        <w:spacing w:line="240" w:lineRule="auto"/>
        <w:rPr>
          <w:szCs w:val="26"/>
        </w:rPr>
      </w:pPr>
      <w:r w:rsidRPr="002D078A">
        <w:rPr>
          <w:szCs w:val="26"/>
        </w:rPr>
        <w:t>In the matter between:</w:t>
      </w:r>
    </w:p>
    <w:p w:rsidR="00C61D11" w:rsidRPr="002D078A" w:rsidRDefault="00C61D11" w:rsidP="00C61D11">
      <w:pPr>
        <w:spacing w:line="240" w:lineRule="auto"/>
        <w:rPr>
          <w:szCs w:val="26"/>
        </w:rPr>
      </w:pPr>
    </w:p>
    <w:p w:rsidR="00C61D11" w:rsidRPr="002D078A" w:rsidRDefault="00C61D11" w:rsidP="00C61D11">
      <w:pPr>
        <w:spacing w:line="240" w:lineRule="auto"/>
        <w:rPr>
          <w:szCs w:val="26"/>
        </w:rPr>
      </w:pPr>
    </w:p>
    <w:p w:rsidR="00C61D11" w:rsidRPr="002D078A" w:rsidRDefault="00C61D11" w:rsidP="00C61D11">
      <w:pPr>
        <w:tabs>
          <w:tab w:val="right" w:pos="9029"/>
        </w:tabs>
        <w:spacing w:line="240" w:lineRule="auto"/>
        <w:rPr>
          <w:szCs w:val="26"/>
        </w:rPr>
      </w:pPr>
      <w:r w:rsidRPr="002D078A">
        <w:rPr>
          <w:b/>
          <w:iCs/>
          <w:szCs w:val="26"/>
        </w:rPr>
        <w:t xml:space="preserve">HENRY EMOMOTIMI OKAH </w:t>
      </w:r>
      <w:r w:rsidRPr="002D078A">
        <w:rPr>
          <w:b/>
          <w:szCs w:val="26"/>
        </w:rPr>
        <w:tab/>
      </w:r>
      <w:r w:rsidRPr="002D078A">
        <w:rPr>
          <w:szCs w:val="26"/>
        </w:rPr>
        <w:t>Applicant</w:t>
      </w:r>
    </w:p>
    <w:p w:rsidR="00C61D11" w:rsidRPr="002D078A" w:rsidRDefault="00C61D11" w:rsidP="00C61D11">
      <w:pPr>
        <w:spacing w:line="240" w:lineRule="auto"/>
        <w:rPr>
          <w:szCs w:val="26"/>
        </w:rPr>
      </w:pPr>
    </w:p>
    <w:p w:rsidR="00C61D11" w:rsidRPr="002D078A" w:rsidRDefault="00C61D11" w:rsidP="00C61D11">
      <w:pPr>
        <w:spacing w:line="240" w:lineRule="auto"/>
        <w:rPr>
          <w:szCs w:val="26"/>
        </w:rPr>
      </w:pPr>
      <w:r w:rsidRPr="002D078A">
        <w:rPr>
          <w:szCs w:val="26"/>
        </w:rPr>
        <w:t>and</w:t>
      </w:r>
    </w:p>
    <w:p w:rsidR="00C61D11" w:rsidRPr="002D078A" w:rsidRDefault="00C61D11" w:rsidP="00C61D11">
      <w:pPr>
        <w:spacing w:line="240" w:lineRule="auto"/>
        <w:rPr>
          <w:szCs w:val="26"/>
        </w:rPr>
      </w:pPr>
    </w:p>
    <w:p w:rsidR="00C61D11" w:rsidRPr="002D078A" w:rsidRDefault="00C61D11" w:rsidP="00C61D11">
      <w:pPr>
        <w:tabs>
          <w:tab w:val="right" w:pos="9029"/>
        </w:tabs>
        <w:spacing w:line="240" w:lineRule="auto"/>
        <w:rPr>
          <w:szCs w:val="26"/>
        </w:rPr>
      </w:pPr>
      <w:r w:rsidRPr="002D078A">
        <w:rPr>
          <w:b/>
          <w:szCs w:val="26"/>
        </w:rPr>
        <w:t>THE STATE</w:t>
      </w:r>
      <w:r w:rsidRPr="002D078A">
        <w:rPr>
          <w:b/>
          <w:szCs w:val="26"/>
        </w:rPr>
        <w:tab/>
      </w:r>
      <w:r w:rsidRPr="002D078A">
        <w:rPr>
          <w:szCs w:val="26"/>
        </w:rPr>
        <w:t>Respondent</w:t>
      </w:r>
    </w:p>
    <w:p w:rsidR="00C61D11" w:rsidRPr="002D078A" w:rsidRDefault="00C61D11" w:rsidP="00C61D11">
      <w:pPr>
        <w:tabs>
          <w:tab w:val="right" w:pos="9029"/>
        </w:tabs>
        <w:spacing w:line="240" w:lineRule="auto"/>
        <w:rPr>
          <w:szCs w:val="26"/>
        </w:rPr>
      </w:pPr>
    </w:p>
    <w:p w:rsidR="00C61D11" w:rsidRPr="002D078A" w:rsidRDefault="00C61D11" w:rsidP="00C61D11">
      <w:pPr>
        <w:spacing w:line="240" w:lineRule="auto"/>
        <w:rPr>
          <w:szCs w:val="26"/>
        </w:rPr>
      </w:pPr>
      <w:r w:rsidRPr="002D078A">
        <w:rPr>
          <w:szCs w:val="26"/>
        </w:rPr>
        <w:t>and</w:t>
      </w:r>
    </w:p>
    <w:p w:rsidR="00C61D11" w:rsidRPr="002D078A" w:rsidRDefault="00C61D11" w:rsidP="00C61D11">
      <w:pPr>
        <w:tabs>
          <w:tab w:val="left" w:pos="8998"/>
        </w:tabs>
        <w:spacing w:line="240" w:lineRule="auto"/>
        <w:rPr>
          <w:szCs w:val="26"/>
        </w:rPr>
      </w:pPr>
    </w:p>
    <w:p w:rsidR="00C61D11" w:rsidRPr="002D078A" w:rsidRDefault="00C61D11" w:rsidP="00C61D11">
      <w:pPr>
        <w:tabs>
          <w:tab w:val="right" w:pos="9029"/>
        </w:tabs>
        <w:spacing w:line="240" w:lineRule="auto"/>
        <w:rPr>
          <w:szCs w:val="26"/>
        </w:rPr>
      </w:pPr>
      <w:r w:rsidRPr="002D078A">
        <w:rPr>
          <w:b/>
          <w:color w:val="000000" w:themeColor="text1"/>
        </w:rPr>
        <w:t>INSTITUTE FOR SECURITY STUDIES</w:t>
      </w:r>
      <w:r w:rsidRPr="002D078A">
        <w:rPr>
          <w:szCs w:val="26"/>
        </w:rPr>
        <w:tab/>
        <w:t>First Amicus Curiae</w:t>
      </w:r>
    </w:p>
    <w:p w:rsidR="00C61D11" w:rsidRPr="002D078A" w:rsidRDefault="00C61D11" w:rsidP="00C61D11">
      <w:pPr>
        <w:spacing w:line="240" w:lineRule="auto"/>
        <w:rPr>
          <w:szCs w:val="26"/>
        </w:rPr>
      </w:pPr>
    </w:p>
    <w:p w:rsidR="00C61D11" w:rsidRPr="002D078A" w:rsidRDefault="00C61D11" w:rsidP="00C61D11">
      <w:pPr>
        <w:spacing w:line="240" w:lineRule="auto"/>
        <w:rPr>
          <w:szCs w:val="26"/>
        </w:rPr>
      </w:pPr>
      <w:r w:rsidRPr="002D078A">
        <w:rPr>
          <w:szCs w:val="26"/>
        </w:rPr>
        <w:t>and</w:t>
      </w:r>
    </w:p>
    <w:p w:rsidR="00C61D11" w:rsidRPr="002D078A" w:rsidRDefault="00C61D11" w:rsidP="00C61D11">
      <w:pPr>
        <w:tabs>
          <w:tab w:val="left" w:pos="8998"/>
        </w:tabs>
        <w:spacing w:line="240" w:lineRule="auto"/>
        <w:rPr>
          <w:szCs w:val="26"/>
        </w:rPr>
      </w:pPr>
    </w:p>
    <w:p w:rsidR="00C61D11" w:rsidRPr="002D078A" w:rsidRDefault="00C61D11" w:rsidP="00C61D11">
      <w:pPr>
        <w:tabs>
          <w:tab w:val="right" w:pos="9029"/>
        </w:tabs>
        <w:spacing w:line="240" w:lineRule="auto"/>
        <w:rPr>
          <w:color w:val="000000" w:themeColor="text1"/>
        </w:rPr>
      </w:pPr>
      <w:r w:rsidRPr="002D078A">
        <w:rPr>
          <w:b/>
          <w:color w:val="000000" w:themeColor="text1"/>
        </w:rPr>
        <w:t>SOUTHERN AFRICA LITIGATION CENTRE</w:t>
      </w:r>
      <w:r w:rsidRPr="002D078A">
        <w:rPr>
          <w:color w:val="000000" w:themeColor="text1"/>
        </w:rPr>
        <w:tab/>
        <w:t>Second Amicus Curiae</w:t>
      </w:r>
    </w:p>
    <w:p w:rsidR="003A18CF" w:rsidRPr="002D078A" w:rsidRDefault="003A18CF" w:rsidP="00C61D11">
      <w:pPr>
        <w:tabs>
          <w:tab w:val="right" w:pos="9029"/>
        </w:tabs>
        <w:spacing w:line="240" w:lineRule="auto"/>
        <w:rPr>
          <w:szCs w:val="26"/>
        </w:rPr>
      </w:pPr>
    </w:p>
    <w:p w:rsidR="003A18CF" w:rsidRPr="002D078A" w:rsidRDefault="003A18CF" w:rsidP="003A18CF">
      <w:pPr>
        <w:spacing w:line="240" w:lineRule="auto"/>
      </w:pPr>
    </w:p>
    <w:p w:rsidR="003A18CF" w:rsidRPr="002D078A" w:rsidRDefault="003A18CF" w:rsidP="003A18CF">
      <w:pPr>
        <w:spacing w:line="240" w:lineRule="auto"/>
      </w:pPr>
    </w:p>
    <w:p w:rsidR="003A18CF" w:rsidRPr="002D078A" w:rsidRDefault="003A18CF" w:rsidP="003A18CF">
      <w:pPr>
        <w:spacing w:line="240" w:lineRule="auto"/>
        <w:ind w:left="2160" w:hanging="2160"/>
      </w:pPr>
      <w:r w:rsidRPr="002D078A">
        <w:rPr>
          <w:b/>
        </w:rPr>
        <w:t>Neutral citation:</w:t>
      </w:r>
      <w:r w:rsidRPr="002D078A">
        <w:tab/>
      </w:r>
      <w:r w:rsidR="009A0A12" w:rsidRPr="008C0E33">
        <w:rPr>
          <w:i/>
        </w:rPr>
        <w:t>S v Okah</w:t>
      </w:r>
      <w:r w:rsidR="009A0A12">
        <w:t xml:space="preserve"> </w:t>
      </w:r>
      <w:r w:rsidRPr="002D078A">
        <w:t>[</w:t>
      </w:r>
      <w:r w:rsidR="009A0A12">
        <w:t>2018</w:t>
      </w:r>
      <w:r w:rsidRPr="002D078A">
        <w:t xml:space="preserve">] ZACC </w:t>
      </w:r>
      <w:r w:rsidR="004139C0">
        <w:t>3</w:t>
      </w:r>
    </w:p>
    <w:p w:rsidR="003A18CF" w:rsidRPr="002D078A" w:rsidRDefault="003A18CF" w:rsidP="003A18CF">
      <w:pPr>
        <w:spacing w:line="240" w:lineRule="auto"/>
      </w:pPr>
    </w:p>
    <w:p w:rsidR="007410F3" w:rsidRPr="002D078A" w:rsidRDefault="003A18CF" w:rsidP="007410F3">
      <w:pPr>
        <w:pStyle w:val="BODYNON-NUMBERED"/>
        <w:spacing w:after="0"/>
        <w:ind w:left="2160" w:hanging="2160"/>
        <w:rPr>
          <w:szCs w:val="26"/>
        </w:rPr>
      </w:pPr>
      <w:r w:rsidRPr="002D078A">
        <w:rPr>
          <w:b/>
        </w:rPr>
        <w:t>Coram:</w:t>
      </w:r>
      <w:r w:rsidRPr="002D078A">
        <w:tab/>
      </w:r>
      <w:r w:rsidR="00C61D11" w:rsidRPr="002D078A">
        <w:t>Zondo ACJ</w:t>
      </w:r>
      <w:r w:rsidR="007410F3" w:rsidRPr="002D078A">
        <w:rPr>
          <w:szCs w:val="26"/>
        </w:rPr>
        <w:t xml:space="preserve">, </w:t>
      </w:r>
      <w:r w:rsidR="00C61D11" w:rsidRPr="002D078A">
        <w:rPr>
          <w:szCs w:val="26"/>
        </w:rPr>
        <w:t>Cameron J,</w:t>
      </w:r>
      <w:r w:rsidR="007410F3" w:rsidRPr="002D078A">
        <w:rPr>
          <w:szCs w:val="26"/>
        </w:rPr>
        <w:t xml:space="preserve"> Froneman J, Jafta J, </w:t>
      </w:r>
      <w:r w:rsidR="00E87E03">
        <w:rPr>
          <w:szCs w:val="26"/>
        </w:rPr>
        <w:t>Kathree</w:t>
      </w:r>
      <w:r w:rsidR="0048290A">
        <w:noBreakHyphen/>
      </w:r>
      <w:r w:rsidR="0048290A">
        <w:rPr>
          <w:szCs w:val="26"/>
        </w:rPr>
        <w:t>Setiloane </w:t>
      </w:r>
      <w:r w:rsidR="00C61D11" w:rsidRPr="002D078A">
        <w:rPr>
          <w:szCs w:val="26"/>
        </w:rPr>
        <w:t>AJ, Kollapen AJ, Madlanga J, Mhlantla J, Theron J</w:t>
      </w:r>
      <w:r w:rsidR="00C61D11" w:rsidRPr="004576C7">
        <w:rPr>
          <w:szCs w:val="26"/>
        </w:rPr>
        <w:t xml:space="preserve"> and Zondi AJ</w:t>
      </w:r>
    </w:p>
    <w:p w:rsidR="003A18CF" w:rsidRPr="002D078A" w:rsidRDefault="003A18CF" w:rsidP="003A18CF">
      <w:pPr>
        <w:spacing w:line="240" w:lineRule="auto"/>
        <w:ind w:left="2160" w:hanging="2160"/>
      </w:pPr>
    </w:p>
    <w:p w:rsidR="003A18CF" w:rsidRPr="002D078A" w:rsidRDefault="003A18CF" w:rsidP="003A18CF">
      <w:pPr>
        <w:spacing w:line="240" w:lineRule="auto"/>
      </w:pPr>
    </w:p>
    <w:p w:rsidR="00AE7143" w:rsidRPr="002D078A" w:rsidRDefault="009D3CC5" w:rsidP="00BC0510">
      <w:pPr>
        <w:spacing w:line="240" w:lineRule="auto"/>
        <w:ind w:left="2160" w:hanging="2160"/>
      </w:pPr>
      <w:r>
        <w:rPr>
          <w:b/>
        </w:rPr>
        <w:t>Judgment</w:t>
      </w:r>
      <w:r w:rsidR="00AE7143" w:rsidRPr="002D078A">
        <w:rPr>
          <w:b/>
        </w:rPr>
        <w:t>:</w:t>
      </w:r>
      <w:r w:rsidR="00AE7143" w:rsidRPr="002D078A">
        <w:tab/>
      </w:r>
      <w:r w:rsidR="00C61D11" w:rsidRPr="008C0E33">
        <w:t>Cameron J</w:t>
      </w:r>
      <w:r w:rsidR="00AE7143" w:rsidRPr="002C048A">
        <w:t xml:space="preserve"> (</w:t>
      </w:r>
      <w:r w:rsidR="00E478EB" w:rsidRPr="008C0E33">
        <w:t>unanimous</w:t>
      </w:r>
      <w:r w:rsidR="00E478EB" w:rsidRPr="002C048A">
        <w:t>)</w:t>
      </w:r>
    </w:p>
    <w:p w:rsidR="00AE7143" w:rsidRPr="002D078A" w:rsidRDefault="00AE7143" w:rsidP="003A18CF">
      <w:pPr>
        <w:spacing w:line="240" w:lineRule="auto"/>
      </w:pPr>
    </w:p>
    <w:p w:rsidR="003A18CF" w:rsidRPr="002D078A" w:rsidRDefault="003A18CF" w:rsidP="0044313C">
      <w:pPr>
        <w:spacing w:line="240" w:lineRule="auto"/>
        <w:ind w:left="2160" w:hanging="2160"/>
      </w:pPr>
      <w:r w:rsidRPr="002D078A">
        <w:rPr>
          <w:b/>
        </w:rPr>
        <w:t>Heard on:</w:t>
      </w:r>
      <w:r w:rsidRPr="002D078A">
        <w:tab/>
      </w:r>
      <w:r w:rsidR="00C61D11" w:rsidRPr="002D078A">
        <w:t>28 November 2017</w:t>
      </w:r>
    </w:p>
    <w:p w:rsidR="003A18CF" w:rsidRPr="002D078A" w:rsidRDefault="003A18CF" w:rsidP="0044313C">
      <w:pPr>
        <w:spacing w:line="240" w:lineRule="auto"/>
        <w:ind w:left="2160" w:hanging="2160"/>
      </w:pPr>
    </w:p>
    <w:p w:rsidR="003A18CF" w:rsidRPr="002D078A" w:rsidRDefault="003A18CF" w:rsidP="0044313C">
      <w:pPr>
        <w:spacing w:line="240" w:lineRule="auto"/>
        <w:ind w:left="2160" w:hanging="2160"/>
      </w:pPr>
      <w:r w:rsidRPr="002C048A">
        <w:rPr>
          <w:b/>
        </w:rPr>
        <w:t>Decided on:</w:t>
      </w:r>
      <w:r w:rsidRPr="002C048A">
        <w:tab/>
      </w:r>
      <w:r w:rsidR="002C048A" w:rsidRPr="002C048A">
        <w:t>23 February 2018</w:t>
      </w:r>
    </w:p>
    <w:p w:rsidR="004110F6" w:rsidRPr="002D078A" w:rsidRDefault="004110F6" w:rsidP="003A18CF">
      <w:pPr>
        <w:spacing w:line="240" w:lineRule="auto"/>
      </w:pPr>
    </w:p>
    <w:p w:rsidR="004D02BA" w:rsidRPr="002D078A" w:rsidRDefault="004D02BA" w:rsidP="004D02BA">
      <w:pPr>
        <w:spacing w:line="240" w:lineRule="auto"/>
        <w:ind w:left="2160" w:hanging="2160"/>
      </w:pPr>
      <w:r w:rsidRPr="002D078A">
        <w:rPr>
          <w:b/>
        </w:rPr>
        <w:t>Summary:</w:t>
      </w:r>
      <w:r w:rsidRPr="002D078A">
        <w:rPr>
          <w:b/>
        </w:rPr>
        <w:tab/>
      </w:r>
      <w:r w:rsidR="00617CAD">
        <w:t xml:space="preserve">Protection of Constitutional Democracy against Terrorist and Related Activities Act 33 of 2004 </w:t>
      </w:r>
      <w:r w:rsidR="006724E0" w:rsidRPr="002D078A">
        <w:t>—</w:t>
      </w:r>
      <w:r w:rsidRPr="002D078A">
        <w:t xml:space="preserve"> </w:t>
      </w:r>
      <w:r w:rsidR="00617CAD">
        <w:t xml:space="preserve">section 15(1) </w:t>
      </w:r>
      <w:r w:rsidR="006724E0" w:rsidRPr="002D078A">
        <w:t>—</w:t>
      </w:r>
      <w:r w:rsidRPr="002D078A">
        <w:t xml:space="preserve"> </w:t>
      </w:r>
      <w:r w:rsidR="00617CAD">
        <w:t>extra</w:t>
      </w:r>
      <w:r w:rsidR="00617CAD">
        <w:noBreakHyphen/>
        <w:t>territorial jurisdiction</w:t>
      </w:r>
      <w:r w:rsidRPr="002D078A">
        <w:t xml:space="preserve"> </w:t>
      </w:r>
      <w:r w:rsidR="006724E0" w:rsidRPr="002D078A">
        <w:t>—</w:t>
      </w:r>
      <w:r w:rsidRPr="002D078A">
        <w:t xml:space="preserve"> </w:t>
      </w:r>
      <w:r w:rsidR="00617CAD">
        <w:t>s</w:t>
      </w:r>
      <w:r w:rsidR="007C1AC2">
        <w:t>pecified offence</w:t>
      </w:r>
      <w:r w:rsidR="00617CAD">
        <w:t xml:space="preserve"> — South African courts have jurisdiction to try terrorist acts committed abroad, beyond the financing of terrorism</w:t>
      </w:r>
    </w:p>
    <w:p w:rsidR="004D02BA" w:rsidRPr="002D078A" w:rsidRDefault="004D02BA" w:rsidP="004D02BA">
      <w:pPr>
        <w:spacing w:line="240" w:lineRule="auto"/>
        <w:ind w:left="2160" w:hanging="2160"/>
      </w:pPr>
    </w:p>
    <w:p w:rsidR="004D02BA" w:rsidRDefault="00617CAD" w:rsidP="004D02BA">
      <w:pPr>
        <w:spacing w:line="240" w:lineRule="auto"/>
        <w:ind w:left="2160"/>
      </w:pPr>
      <w:r>
        <w:t xml:space="preserve">Protection of Constitutional Democracy against Terrorist and Related Activities Act 33 of 2004 </w:t>
      </w:r>
      <w:r w:rsidRPr="002D078A">
        <w:t xml:space="preserve">— </w:t>
      </w:r>
      <w:r>
        <w:t xml:space="preserve">section 1(4) </w:t>
      </w:r>
      <w:r w:rsidRPr="002D078A">
        <w:t xml:space="preserve">— </w:t>
      </w:r>
      <w:r>
        <w:t>exemption to the definition of terrorist activity — international humanitarian law — indiscriminate bombings violate international humanitarian law and do not qualify for exemption</w:t>
      </w:r>
    </w:p>
    <w:p w:rsidR="00617CAD" w:rsidRPr="002D078A" w:rsidRDefault="00617CAD" w:rsidP="00617CAD">
      <w:pPr>
        <w:spacing w:line="240" w:lineRule="auto"/>
        <w:rPr>
          <w:highlight w:val="yellow"/>
        </w:rPr>
      </w:pPr>
    </w:p>
    <w:p w:rsidR="00617CAD" w:rsidRDefault="00617CAD" w:rsidP="00617CAD">
      <w:pPr>
        <w:spacing w:line="240" w:lineRule="auto"/>
        <w:ind w:left="2160"/>
      </w:pPr>
      <w:r>
        <w:t xml:space="preserve">Criminal Procedure Act 51 of 1977 </w:t>
      </w:r>
      <w:r w:rsidRPr="002D078A">
        <w:t xml:space="preserve">— </w:t>
      </w:r>
      <w:r>
        <w:t xml:space="preserve">section 317 </w:t>
      </w:r>
      <w:r w:rsidRPr="002D078A">
        <w:t xml:space="preserve">— </w:t>
      </w:r>
      <w:r>
        <w:t>special entries — irregularities should be refused only when the application is in bad faith, frivolous or absurd, or because granting the application would amount to an abuse of court process</w:t>
      </w:r>
    </w:p>
    <w:p w:rsidR="004D02BA" w:rsidRPr="002D078A" w:rsidRDefault="004D02BA" w:rsidP="004D02BA">
      <w:pPr>
        <w:spacing w:line="240" w:lineRule="auto"/>
      </w:pPr>
    </w:p>
    <w:p w:rsidR="004D02BA" w:rsidRPr="002D078A" w:rsidRDefault="004D02BA" w:rsidP="004D02BA">
      <w:pPr>
        <w:spacing w:line="240" w:lineRule="auto"/>
      </w:pPr>
    </w:p>
    <w:p w:rsidR="004D02BA" w:rsidRPr="002D078A" w:rsidRDefault="004D02BA" w:rsidP="004D02BA">
      <w:pPr>
        <w:spacing w:line="240" w:lineRule="auto"/>
      </w:pPr>
    </w:p>
    <w:p w:rsidR="003A18CF" w:rsidRPr="002D078A" w:rsidRDefault="003A18CF" w:rsidP="003A18CF">
      <w:pPr>
        <w:keepNext/>
        <w:pBdr>
          <w:top w:val="single" w:sz="4" w:space="1" w:color="auto"/>
          <w:bottom w:val="single" w:sz="4" w:space="1" w:color="auto"/>
        </w:pBdr>
        <w:spacing w:line="240" w:lineRule="auto"/>
        <w:jc w:val="center"/>
      </w:pPr>
    </w:p>
    <w:p w:rsidR="003A18CF" w:rsidRPr="002D078A" w:rsidRDefault="003A18CF" w:rsidP="003A18CF">
      <w:pPr>
        <w:keepNext/>
        <w:pBdr>
          <w:top w:val="single" w:sz="4" w:space="1" w:color="auto"/>
          <w:bottom w:val="single" w:sz="4" w:space="1" w:color="auto"/>
        </w:pBdr>
        <w:spacing w:line="240" w:lineRule="auto"/>
        <w:jc w:val="center"/>
        <w:outlineLvl w:val="0"/>
        <w:rPr>
          <w:b/>
        </w:rPr>
      </w:pPr>
      <w:r w:rsidRPr="002D078A">
        <w:rPr>
          <w:b/>
        </w:rPr>
        <w:t>ORDER</w:t>
      </w:r>
    </w:p>
    <w:p w:rsidR="003A18CF" w:rsidRPr="002D078A" w:rsidRDefault="003A18CF" w:rsidP="003A18CF">
      <w:pPr>
        <w:pBdr>
          <w:top w:val="single" w:sz="4" w:space="1" w:color="auto"/>
          <w:bottom w:val="single" w:sz="4" w:space="1" w:color="auto"/>
        </w:pBdr>
        <w:spacing w:line="240" w:lineRule="auto"/>
        <w:jc w:val="center"/>
      </w:pPr>
    </w:p>
    <w:p w:rsidR="003A18CF" w:rsidRPr="002D078A" w:rsidRDefault="003A18CF" w:rsidP="003A18CF">
      <w:pPr>
        <w:spacing w:line="240" w:lineRule="auto"/>
      </w:pPr>
    </w:p>
    <w:p w:rsidR="003A18CF" w:rsidRPr="002D078A" w:rsidRDefault="003A18CF" w:rsidP="003A18CF">
      <w:pPr>
        <w:spacing w:line="240" w:lineRule="auto"/>
      </w:pPr>
    </w:p>
    <w:p w:rsidR="003A18CF" w:rsidRPr="002D078A" w:rsidRDefault="003A18CF" w:rsidP="00211397">
      <w:pPr>
        <w:pStyle w:val="JUDGMENTCONTINUED"/>
      </w:pPr>
      <w:r w:rsidRPr="002D078A">
        <w:t>On appeal</w:t>
      </w:r>
      <w:r w:rsidR="00F45DC4" w:rsidRPr="002D078A">
        <w:t xml:space="preserve"> from </w:t>
      </w:r>
      <w:r w:rsidR="00211397" w:rsidRPr="002D078A">
        <w:t>a judgment and order of the Supreme Court of Appeal:</w:t>
      </w:r>
    </w:p>
    <w:p w:rsidR="00AA2DDD" w:rsidRDefault="00AA2DDD" w:rsidP="00AA2DDD">
      <w:pPr>
        <w:pStyle w:val="ORDER"/>
        <w:numPr>
          <w:ilvl w:val="0"/>
          <w:numId w:val="22"/>
        </w:numPr>
      </w:pPr>
      <w:r w:rsidRPr="002D078A">
        <w:t xml:space="preserve">The </w:t>
      </w:r>
      <w:r w:rsidR="001C12B6">
        <w:t xml:space="preserve">application for </w:t>
      </w:r>
      <w:r w:rsidRPr="002D078A">
        <w:t>leave to appeal</w:t>
      </w:r>
      <w:r w:rsidR="001C12B6">
        <w:t xml:space="preserve"> by the State is granted</w:t>
      </w:r>
      <w:r w:rsidRPr="002D078A">
        <w:t>.</w:t>
      </w:r>
    </w:p>
    <w:p w:rsidR="00AA2DDD" w:rsidRPr="002D078A" w:rsidRDefault="00AA2DDD" w:rsidP="00AA2DDD">
      <w:pPr>
        <w:pStyle w:val="ORDER"/>
        <w:numPr>
          <w:ilvl w:val="0"/>
          <w:numId w:val="22"/>
        </w:numPr>
      </w:pPr>
      <w:r>
        <w:t>The appeal by the State is upheld.</w:t>
      </w:r>
    </w:p>
    <w:p w:rsidR="00AA2DDD" w:rsidRPr="002D078A" w:rsidRDefault="00AA2DDD" w:rsidP="00AA2DDD">
      <w:pPr>
        <w:pStyle w:val="ORDER"/>
        <w:numPr>
          <w:ilvl w:val="0"/>
          <w:numId w:val="22"/>
        </w:numPr>
      </w:pPr>
      <w:r w:rsidRPr="002D078A">
        <w:t xml:space="preserve">The order of the Supreme Court of Appeal upholding Mr Okah’s appeal is set aside and </w:t>
      </w:r>
      <w:r>
        <w:t>is substituted with</w:t>
      </w:r>
      <w:r w:rsidRPr="002D078A">
        <w:t>:</w:t>
      </w:r>
    </w:p>
    <w:p w:rsidR="00AA2DDD" w:rsidRPr="002D078A" w:rsidRDefault="00AA2DDD" w:rsidP="00AA2DDD">
      <w:pPr>
        <w:pStyle w:val="ORDER"/>
        <w:ind w:left="2160" w:firstLine="0"/>
      </w:pPr>
      <w:r w:rsidRPr="002D078A">
        <w:t>“The appeal is dismissed</w:t>
      </w:r>
      <w:r w:rsidR="00770F92">
        <w:t>.</w:t>
      </w:r>
      <w:r w:rsidRPr="002D078A">
        <w:t>”</w:t>
      </w:r>
    </w:p>
    <w:p w:rsidR="00756774" w:rsidRPr="000E1D74" w:rsidRDefault="000E1D74" w:rsidP="00AA2DDD">
      <w:pPr>
        <w:pStyle w:val="ORDER"/>
        <w:numPr>
          <w:ilvl w:val="0"/>
          <w:numId w:val="22"/>
        </w:numPr>
      </w:pPr>
      <w:r>
        <w:lastRenderedPageBreak/>
        <w:t xml:space="preserve">Mr Okah’s application for leave to appeal regarding exemption from prosecution under section 1(4) of </w:t>
      </w:r>
      <w:r w:rsidRPr="002D078A">
        <w:rPr>
          <w:color w:val="000000" w:themeColor="text1"/>
          <w:szCs w:val="26"/>
        </w:rPr>
        <w:t>the Protection of Constitutional Democracy against Terrorist and Related Activities Act</w:t>
      </w:r>
      <w:r>
        <w:rPr>
          <w:color w:val="000000" w:themeColor="text1"/>
          <w:szCs w:val="26"/>
        </w:rPr>
        <w:t xml:space="preserve"> is dismissed.</w:t>
      </w:r>
    </w:p>
    <w:p w:rsidR="00E26647" w:rsidRDefault="00AA2DDD" w:rsidP="00AA2DDD">
      <w:pPr>
        <w:pStyle w:val="ORDER"/>
        <w:numPr>
          <w:ilvl w:val="0"/>
          <w:numId w:val="22"/>
        </w:numPr>
      </w:pPr>
      <w:r w:rsidRPr="002D078A">
        <w:t xml:space="preserve">The </w:t>
      </w:r>
      <w:r w:rsidR="00BA3ED4">
        <w:t xml:space="preserve">portion of </w:t>
      </w:r>
      <w:r w:rsidR="000E1D74">
        <w:t>Mr Okah’s</w:t>
      </w:r>
      <w:r w:rsidR="00BA3ED4">
        <w:t xml:space="preserve"> </w:t>
      </w:r>
      <w:r w:rsidRPr="002D078A">
        <w:t xml:space="preserve">application for leave to appeal regarding the special entry on the </w:t>
      </w:r>
      <w:r>
        <w:t xml:space="preserve">High Court’s </w:t>
      </w:r>
      <w:r w:rsidRPr="002D078A">
        <w:t xml:space="preserve">failure to inform Mr Okah of his right </w:t>
      </w:r>
      <w:r w:rsidR="00043CF5">
        <w:t>to</w:t>
      </w:r>
      <w:r w:rsidRPr="002D078A">
        <w:t xml:space="preserve"> consular access under </w:t>
      </w:r>
      <w:r w:rsidR="003B2845">
        <w:t>A</w:t>
      </w:r>
      <w:r w:rsidRPr="002D078A">
        <w:t>rticle</w:t>
      </w:r>
      <w:r>
        <w:t> </w:t>
      </w:r>
      <w:r w:rsidRPr="002D078A">
        <w:t xml:space="preserve">7(3) of the International Convention for the Suppression of Terrorist Bombings </w:t>
      </w:r>
      <w:r>
        <w:t>is granted</w:t>
      </w:r>
      <w:r w:rsidR="00EC6C84">
        <w:t xml:space="preserve"> and the special entry is made</w:t>
      </w:r>
      <w:r>
        <w:t>.</w:t>
      </w:r>
    </w:p>
    <w:p w:rsidR="00AA2DDD" w:rsidRDefault="00E26647" w:rsidP="00AA2DDD">
      <w:pPr>
        <w:pStyle w:val="ORDER"/>
        <w:numPr>
          <w:ilvl w:val="0"/>
          <w:numId w:val="22"/>
        </w:numPr>
      </w:pPr>
      <w:r>
        <w:t>Mr Okah’s</w:t>
      </w:r>
      <w:r w:rsidR="00EC6C84">
        <w:t xml:space="preserve"> </w:t>
      </w:r>
      <w:r w:rsidR="00BA3ED4">
        <w:t xml:space="preserve">appeal </w:t>
      </w:r>
      <w:r w:rsidR="00597857">
        <w:t xml:space="preserve">against his entire conviction </w:t>
      </w:r>
      <w:r w:rsidR="00EC6C84">
        <w:t>on the basis of th</w:t>
      </w:r>
      <w:r w:rsidR="00BA3ED4">
        <w:t xml:space="preserve">is </w:t>
      </w:r>
      <w:r w:rsidR="00EC6C84">
        <w:t xml:space="preserve">special entry is </w:t>
      </w:r>
      <w:r w:rsidR="00BA3ED4">
        <w:t>dismissed.</w:t>
      </w:r>
    </w:p>
    <w:p w:rsidR="000E1D74" w:rsidRDefault="000E1D74" w:rsidP="00AA2DDD">
      <w:pPr>
        <w:pStyle w:val="ORDER"/>
        <w:numPr>
          <w:ilvl w:val="0"/>
          <w:numId w:val="22"/>
        </w:numPr>
      </w:pPr>
      <w:r>
        <w:t>The remaining portions of Mr Okah’s application for leave to appeal regarding the special entries are dismissed.</w:t>
      </w:r>
    </w:p>
    <w:p w:rsidR="00211397" w:rsidRPr="002D078A" w:rsidRDefault="00211397" w:rsidP="008C0E33">
      <w:pPr>
        <w:pStyle w:val="JUDGMENTCONTINUED"/>
        <w:spacing w:line="240" w:lineRule="auto"/>
      </w:pPr>
    </w:p>
    <w:p w:rsidR="000C438B" w:rsidRDefault="000C438B" w:rsidP="000C38CF">
      <w:pPr>
        <w:pStyle w:val="JUDGMENTCONTINUED"/>
        <w:sectPr w:rsidR="000C438B" w:rsidSect="000F7521">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440" w:right="1440" w:bottom="1440" w:left="1440" w:header="708" w:footer="708" w:gutter="0"/>
          <w:cols w:space="708"/>
          <w:titlePg/>
          <w:docGrid w:linePitch="360"/>
        </w:sectPr>
      </w:pPr>
    </w:p>
    <w:p w:rsidR="00CB0CB2" w:rsidRPr="002D078A" w:rsidRDefault="00CB0CB2" w:rsidP="000C38CF">
      <w:pPr>
        <w:pStyle w:val="JUDGMENTCONTINUED"/>
      </w:pPr>
    </w:p>
    <w:p w:rsidR="000704F2" w:rsidRPr="002D078A" w:rsidRDefault="000704F2" w:rsidP="00F245CE">
      <w:pPr>
        <w:keepNext/>
        <w:pBdr>
          <w:top w:val="single" w:sz="4" w:space="1" w:color="auto"/>
          <w:bottom w:val="single" w:sz="4" w:space="1" w:color="auto"/>
        </w:pBdr>
        <w:spacing w:line="240" w:lineRule="auto"/>
        <w:jc w:val="center"/>
      </w:pPr>
    </w:p>
    <w:p w:rsidR="00E4607C" w:rsidRPr="002D078A" w:rsidRDefault="00831A63" w:rsidP="00F245CE">
      <w:pPr>
        <w:keepNext/>
        <w:pBdr>
          <w:top w:val="single" w:sz="4" w:space="1" w:color="auto"/>
          <w:bottom w:val="single" w:sz="4" w:space="1" w:color="auto"/>
        </w:pBdr>
        <w:spacing w:line="240" w:lineRule="auto"/>
        <w:jc w:val="center"/>
        <w:outlineLvl w:val="0"/>
        <w:rPr>
          <w:b/>
        </w:rPr>
      </w:pPr>
      <w:r>
        <w:rPr>
          <w:b/>
        </w:rPr>
        <w:t>JUDGMENT</w:t>
      </w:r>
    </w:p>
    <w:p w:rsidR="000704F2" w:rsidRPr="002D078A" w:rsidRDefault="000704F2" w:rsidP="000704F2">
      <w:pPr>
        <w:pBdr>
          <w:top w:val="single" w:sz="4" w:space="1" w:color="auto"/>
          <w:bottom w:val="single" w:sz="4" w:space="1" w:color="auto"/>
        </w:pBdr>
        <w:spacing w:line="240" w:lineRule="auto"/>
        <w:jc w:val="center"/>
      </w:pPr>
    </w:p>
    <w:p w:rsidR="000704F2" w:rsidRPr="002D078A" w:rsidRDefault="000704F2" w:rsidP="000704F2">
      <w:pPr>
        <w:spacing w:line="240" w:lineRule="auto"/>
      </w:pPr>
    </w:p>
    <w:p w:rsidR="00F12F57" w:rsidRPr="002D078A" w:rsidRDefault="00F12F57" w:rsidP="000704F2">
      <w:pPr>
        <w:spacing w:line="240" w:lineRule="auto"/>
      </w:pPr>
    </w:p>
    <w:p w:rsidR="006E3711" w:rsidRPr="002D078A" w:rsidRDefault="006E3711" w:rsidP="000704F2">
      <w:pPr>
        <w:spacing w:line="240" w:lineRule="auto"/>
      </w:pPr>
    </w:p>
    <w:p w:rsidR="000704F2" w:rsidRPr="002D078A" w:rsidRDefault="00C61D11" w:rsidP="007B5814">
      <w:pPr>
        <w:pStyle w:val="BODYNON-NUMBERED"/>
        <w:spacing w:after="0"/>
        <w:rPr>
          <w:szCs w:val="26"/>
        </w:rPr>
      </w:pPr>
      <w:r w:rsidRPr="002D078A">
        <w:t>CAMERON</w:t>
      </w:r>
      <w:r w:rsidR="003644DF" w:rsidRPr="002D078A">
        <w:t> </w:t>
      </w:r>
      <w:r w:rsidR="00AE7602" w:rsidRPr="002D078A">
        <w:t>J</w:t>
      </w:r>
      <w:r w:rsidR="003644DF" w:rsidRPr="002D078A">
        <w:t xml:space="preserve"> (</w:t>
      </w:r>
      <w:r w:rsidR="00E769A1">
        <w:t xml:space="preserve">Zondo </w:t>
      </w:r>
      <w:r w:rsidR="001E70AB">
        <w:t>A</w:t>
      </w:r>
      <w:r w:rsidR="00E769A1">
        <w:t>CJ, Froneman J, Jafta J, Kathree-Setiloane AJ, Kollapen AJ, M</w:t>
      </w:r>
      <w:r w:rsidR="000921EA">
        <w:t>adlanga J, Mhlantla J, Theron J and</w:t>
      </w:r>
      <w:r w:rsidR="00E769A1">
        <w:t xml:space="preserve"> Zondi AJ </w:t>
      </w:r>
      <w:r w:rsidR="00C739DB" w:rsidRPr="002D078A">
        <w:t>concurring</w:t>
      </w:r>
      <w:r w:rsidR="003644DF" w:rsidRPr="002D078A">
        <w:t>)</w:t>
      </w:r>
      <w:r w:rsidR="00AE7602" w:rsidRPr="002D078A">
        <w:t>:</w:t>
      </w:r>
    </w:p>
    <w:p w:rsidR="00AE7602" w:rsidRDefault="00AE7602" w:rsidP="008C0E33">
      <w:pPr>
        <w:spacing w:line="240" w:lineRule="auto"/>
      </w:pPr>
    </w:p>
    <w:p w:rsidR="00A91DBD" w:rsidRPr="002D078A" w:rsidRDefault="00A91DBD" w:rsidP="000704F2">
      <w:pPr>
        <w:spacing w:line="240" w:lineRule="auto"/>
      </w:pPr>
    </w:p>
    <w:p w:rsidR="00220A77" w:rsidRPr="002D078A" w:rsidRDefault="00AD4C8B" w:rsidP="00220A77">
      <w:pPr>
        <w:pStyle w:val="HEADING"/>
        <w:rPr>
          <w:color w:val="000000" w:themeColor="text1"/>
          <w:szCs w:val="26"/>
        </w:rPr>
      </w:pPr>
      <w:r w:rsidRPr="002D078A">
        <w:rPr>
          <w:color w:val="000000" w:themeColor="text1"/>
          <w:szCs w:val="26"/>
        </w:rPr>
        <w:t>Introduction</w:t>
      </w:r>
    </w:p>
    <w:p w:rsidR="00AD4C8B" w:rsidRPr="002D078A" w:rsidRDefault="00AD4C8B" w:rsidP="00450C84">
      <w:pPr>
        <w:pStyle w:val="JUDGMENTNUMBERED"/>
        <w:numPr>
          <w:ilvl w:val="0"/>
          <w:numId w:val="14"/>
        </w:numPr>
        <w:ind w:left="0" w:firstLine="0"/>
        <w:rPr>
          <w:color w:val="000000" w:themeColor="text1"/>
          <w:szCs w:val="26"/>
        </w:rPr>
      </w:pPr>
      <w:r w:rsidRPr="002D078A">
        <w:rPr>
          <w:color w:val="000000" w:themeColor="text1"/>
          <w:szCs w:val="26"/>
        </w:rPr>
        <w:t xml:space="preserve">Mr Henry Emomotimi Okah, a citizen of Nigeria and a permanent resident of South Africa, was </w:t>
      </w:r>
      <w:r w:rsidR="00BE03B2" w:rsidRPr="002D078A">
        <w:rPr>
          <w:color w:val="000000" w:themeColor="text1"/>
          <w:szCs w:val="26"/>
        </w:rPr>
        <w:t>charged</w:t>
      </w:r>
      <w:r w:rsidRPr="002D078A">
        <w:rPr>
          <w:color w:val="000000" w:themeColor="text1"/>
          <w:szCs w:val="26"/>
        </w:rPr>
        <w:t xml:space="preserve"> </w:t>
      </w:r>
      <w:r w:rsidR="00654190" w:rsidRPr="002D078A">
        <w:rPr>
          <w:color w:val="000000" w:themeColor="text1"/>
          <w:szCs w:val="26"/>
        </w:rPr>
        <w:t xml:space="preserve">with </w:t>
      </w:r>
      <w:r w:rsidR="006B320A" w:rsidRPr="002D078A">
        <w:rPr>
          <w:color w:val="000000" w:themeColor="text1"/>
          <w:szCs w:val="26"/>
        </w:rPr>
        <w:t>13</w:t>
      </w:r>
      <w:r w:rsidR="00BE03B2" w:rsidRPr="002D078A">
        <w:rPr>
          <w:color w:val="000000" w:themeColor="text1"/>
          <w:szCs w:val="26"/>
        </w:rPr>
        <w:t xml:space="preserve"> counts</w:t>
      </w:r>
      <w:r w:rsidR="00A25C83" w:rsidRPr="002D078A">
        <w:rPr>
          <w:color w:val="000000" w:themeColor="text1"/>
          <w:szCs w:val="26"/>
        </w:rPr>
        <w:t xml:space="preserve"> relating to terrorism</w:t>
      </w:r>
      <w:r w:rsidRPr="002D078A">
        <w:rPr>
          <w:color w:val="000000" w:themeColor="text1"/>
          <w:szCs w:val="26"/>
        </w:rPr>
        <w:t xml:space="preserve"> under the Protection of Constitutional Democracy against Terro</w:t>
      </w:r>
      <w:r w:rsidR="00D64843" w:rsidRPr="002D078A">
        <w:rPr>
          <w:color w:val="000000" w:themeColor="text1"/>
          <w:szCs w:val="26"/>
        </w:rPr>
        <w:t>rist and Related Activities Act</w:t>
      </w:r>
      <w:r w:rsidR="00D64843" w:rsidRPr="002D078A">
        <w:rPr>
          <w:rStyle w:val="FootnoteReference"/>
        </w:rPr>
        <w:footnoteReference w:id="2"/>
      </w:r>
      <w:r w:rsidRPr="002D078A">
        <w:rPr>
          <w:color w:val="000000" w:themeColor="text1"/>
          <w:szCs w:val="26"/>
        </w:rPr>
        <w:t xml:space="preserve"> (Act).  Six </w:t>
      </w:r>
      <w:r w:rsidR="00BE03B2" w:rsidRPr="002D078A">
        <w:rPr>
          <w:color w:val="000000" w:themeColor="text1"/>
          <w:szCs w:val="26"/>
        </w:rPr>
        <w:t xml:space="preserve">counts </w:t>
      </w:r>
      <w:r w:rsidRPr="002D078A">
        <w:rPr>
          <w:color w:val="000000" w:themeColor="text1"/>
          <w:szCs w:val="26"/>
        </w:rPr>
        <w:t>arose from two car bombings detonated succe</w:t>
      </w:r>
      <w:r w:rsidR="00D64843" w:rsidRPr="002D078A">
        <w:rPr>
          <w:color w:val="000000" w:themeColor="text1"/>
          <w:szCs w:val="26"/>
        </w:rPr>
        <w:t>ssively in Warri, Nigeria on 15 </w:t>
      </w:r>
      <w:r w:rsidRPr="002D078A">
        <w:rPr>
          <w:color w:val="000000" w:themeColor="text1"/>
          <w:szCs w:val="26"/>
        </w:rPr>
        <w:t xml:space="preserve">March 2010.  Six additional </w:t>
      </w:r>
      <w:r w:rsidR="00BE03B2" w:rsidRPr="002D078A">
        <w:rPr>
          <w:color w:val="000000" w:themeColor="text1"/>
          <w:szCs w:val="26"/>
        </w:rPr>
        <w:t xml:space="preserve">counts </w:t>
      </w:r>
      <w:r w:rsidRPr="002D078A">
        <w:rPr>
          <w:color w:val="000000" w:themeColor="text1"/>
          <w:szCs w:val="26"/>
        </w:rPr>
        <w:t xml:space="preserve">related to a further double car bombing six months later in Abuja, Nigeria on 1 October 2010.  One person was killed in the Warri </w:t>
      </w:r>
      <w:r w:rsidRPr="002D078A">
        <w:rPr>
          <w:color w:val="000000" w:themeColor="text1"/>
          <w:szCs w:val="26"/>
        </w:rPr>
        <w:lastRenderedPageBreak/>
        <w:t xml:space="preserve">bombings, and </w:t>
      </w:r>
      <w:r w:rsidR="007210D9">
        <w:rPr>
          <w:color w:val="000000" w:themeColor="text1"/>
          <w:szCs w:val="26"/>
        </w:rPr>
        <w:t xml:space="preserve">at least </w:t>
      </w:r>
      <w:r w:rsidR="002020B9">
        <w:rPr>
          <w:color w:val="000000" w:themeColor="text1"/>
          <w:szCs w:val="26"/>
        </w:rPr>
        <w:t>eight</w:t>
      </w:r>
      <w:r w:rsidR="006B320A" w:rsidRPr="002D078A">
        <w:rPr>
          <w:color w:val="000000" w:themeColor="text1"/>
          <w:szCs w:val="26"/>
        </w:rPr>
        <w:t xml:space="preserve"> </w:t>
      </w:r>
      <w:r w:rsidRPr="002D078A">
        <w:rPr>
          <w:color w:val="000000" w:themeColor="text1"/>
          <w:szCs w:val="26"/>
        </w:rPr>
        <w:t>people were killed in the Abuja bombings.  Injuries and damage i</w:t>
      </w:r>
      <w:r w:rsidR="00D64843" w:rsidRPr="002D078A">
        <w:rPr>
          <w:color w:val="000000" w:themeColor="text1"/>
          <w:szCs w:val="26"/>
        </w:rPr>
        <w:t>n both bombings were extensive.</w:t>
      </w:r>
      <w:r w:rsidR="00D64843" w:rsidRPr="002D078A">
        <w:rPr>
          <w:rStyle w:val="FootnoteReference"/>
        </w:rPr>
        <w:footnoteReference w:id="3"/>
      </w:r>
    </w:p>
    <w:p w:rsidR="00AD4C8B" w:rsidRPr="008C0E33" w:rsidRDefault="00AD4C8B" w:rsidP="008C0E33">
      <w:pPr>
        <w:pStyle w:val="JUDGMENTCONTINUED"/>
      </w:pPr>
    </w:p>
    <w:p w:rsidR="00AD4C8B" w:rsidRPr="002D078A" w:rsidRDefault="00AD4C8B" w:rsidP="00450C84">
      <w:pPr>
        <w:pStyle w:val="JUDGMENTNUMBERED"/>
        <w:numPr>
          <w:ilvl w:val="0"/>
          <w:numId w:val="14"/>
        </w:numPr>
        <w:ind w:left="0" w:firstLine="0"/>
        <w:rPr>
          <w:color w:val="000000" w:themeColor="text1"/>
          <w:szCs w:val="26"/>
        </w:rPr>
      </w:pPr>
      <w:r w:rsidRPr="002D078A">
        <w:rPr>
          <w:color w:val="000000" w:themeColor="text1"/>
          <w:szCs w:val="26"/>
        </w:rPr>
        <w:t xml:space="preserve">In </w:t>
      </w:r>
      <w:r w:rsidR="00654190" w:rsidRPr="002D078A">
        <w:rPr>
          <w:color w:val="000000" w:themeColor="text1"/>
          <w:szCs w:val="26"/>
        </w:rPr>
        <w:t>the High Court of South Africa, Gauteng Local Division, Johannesburg (High Court)</w:t>
      </w:r>
      <w:r w:rsidRPr="002D078A">
        <w:rPr>
          <w:color w:val="000000" w:themeColor="text1"/>
          <w:szCs w:val="26"/>
        </w:rPr>
        <w:t>, the State established that Mr Okah masterminded and bankrolled both bombings</w:t>
      </w:r>
      <w:r w:rsidR="006B320A" w:rsidRPr="002D078A">
        <w:rPr>
          <w:color w:val="000000" w:themeColor="text1"/>
          <w:szCs w:val="26"/>
        </w:rPr>
        <w:t>.</w:t>
      </w:r>
      <w:r w:rsidR="00996AFE">
        <w:rPr>
          <w:rStyle w:val="FootnoteReference"/>
          <w:color w:val="000000" w:themeColor="text1"/>
          <w:szCs w:val="26"/>
        </w:rPr>
        <w:footnoteReference w:id="4"/>
      </w:r>
      <w:r w:rsidR="006B320A" w:rsidRPr="002D078A">
        <w:rPr>
          <w:color w:val="000000" w:themeColor="text1"/>
          <w:szCs w:val="26"/>
        </w:rPr>
        <w:t xml:space="preserve">  T</w:t>
      </w:r>
      <w:r w:rsidR="00BE03B2" w:rsidRPr="002D078A">
        <w:rPr>
          <w:color w:val="000000" w:themeColor="text1"/>
          <w:szCs w:val="26"/>
        </w:rPr>
        <w:t>he High Co</w:t>
      </w:r>
      <w:r w:rsidR="00A25C83" w:rsidRPr="002D078A">
        <w:rPr>
          <w:color w:val="000000" w:themeColor="text1"/>
          <w:szCs w:val="26"/>
        </w:rPr>
        <w:t xml:space="preserve">urt convicted him </w:t>
      </w:r>
      <w:r w:rsidR="006B320A" w:rsidRPr="002D078A">
        <w:rPr>
          <w:color w:val="000000" w:themeColor="text1"/>
          <w:szCs w:val="26"/>
        </w:rPr>
        <w:t>on</w:t>
      </w:r>
      <w:r w:rsidR="00A25C83" w:rsidRPr="002D078A">
        <w:rPr>
          <w:color w:val="000000" w:themeColor="text1"/>
          <w:szCs w:val="26"/>
        </w:rPr>
        <w:t xml:space="preserve"> all </w:t>
      </w:r>
      <w:r w:rsidR="006B320A" w:rsidRPr="002D078A">
        <w:rPr>
          <w:color w:val="000000" w:themeColor="text1"/>
          <w:szCs w:val="26"/>
        </w:rPr>
        <w:t>13</w:t>
      </w:r>
      <w:r w:rsidR="00BE03B2" w:rsidRPr="002D078A">
        <w:rPr>
          <w:color w:val="000000" w:themeColor="text1"/>
          <w:szCs w:val="26"/>
        </w:rPr>
        <w:t xml:space="preserve"> counts.</w:t>
      </w:r>
      <w:r w:rsidR="009E36AB">
        <w:rPr>
          <w:rStyle w:val="FootnoteReference"/>
          <w:color w:val="000000" w:themeColor="text1"/>
          <w:szCs w:val="26"/>
        </w:rPr>
        <w:footnoteReference w:id="5"/>
      </w:r>
      <w:r w:rsidR="00BE03B2" w:rsidRPr="002D078A">
        <w:rPr>
          <w:color w:val="000000" w:themeColor="text1"/>
          <w:szCs w:val="26"/>
        </w:rPr>
        <w:t xml:space="preserve">  </w:t>
      </w:r>
      <w:r w:rsidR="007B3A8F" w:rsidRPr="002D078A">
        <w:rPr>
          <w:color w:val="000000" w:themeColor="text1"/>
          <w:szCs w:val="26"/>
        </w:rPr>
        <w:t>However, because he was in South Africa when he planned and executed the Abuja bombings and in Nigeria at the time of the Warri bombings,</w:t>
      </w:r>
      <w:r w:rsidR="00E65B82">
        <w:rPr>
          <w:rStyle w:val="FootnoteReference"/>
          <w:color w:val="000000" w:themeColor="text1"/>
          <w:szCs w:val="26"/>
        </w:rPr>
        <w:footnoteReference w:id="6"/>
      </w:r>
      <w:r w:rsidR="007B3A8F" w:rsidRPr="002D078A">
        <w:rPr>
          <w:color w:val="000000" w:themeColor="text1"/>
          <w:szCs w:val="26"/>
        </w:rPr>
        <w:t xml:space="preserve"> the Supreme Court of Appeal overruled the High Court </w:t>
      </w:r>
      <w:r w:rsidR="00E05EFC">
        <w:rPr>
          <w:color w:val="000000" w:themeColor="text1"/>
          <w:szCs w:val="26"/>
        </w:rPr>
        <w:t xml:space="preserve">in part </w:t>
      </w:r>
      <w:r w:rsidR="007B3A8F" w:rsidRPr="002D078A">
        <w:rPr>
          <w:color w:val="000000" w:themeColor="text1"/>
          <w:szCs w:val="26"/>
        </w:rPr>
        <w:t>and acquitted Mr Ok</w:t>
      </w:r>
      <w:r w:rsidR="00E60BF3">
        <w:rPr>
          <w:color w:val="000000" w:themeColor="text1"/>
          <w:szCs w:val="26"/>
        </w:rPr>
        <w:t>ah on four of the Warri charges</w:t>
      </w:r>
      <w:r w:rsidR="00FE3400">
        <w:rPr>
          <w:rStyle w:val="FootnoteReference"/>
          <w:color w:val="000000" w:themeColor="text1"/>
          <w:szCs w:val="26"/>
        </w:rPr>
        <w:footnoteReference w:id="7"/>
      </w:r>
      <w:r w:rsidR="007B3A8F" w:rsidRPr="002D078A">
        <w:rPr>
          <w:color w:val="000000" w:themeColor="text1"/>
          <w:szCs w:val="26"/>
        </w:rPr>
        <w:t xml:space="preserve"> on </w:t>
      </w:r>
      <w:r w:rsidRPr="002D078A">
        <w:rPr>
          <w:color w:val="000000" w:themeColor="text1"/>
          <w:szCs w:val="26"/>
        </w:rPr>
        <w:t xml:space="preserve">the ground that the Act established only limited jurisdiction over acts </w:t>
      </w:r>
      <w:r w:rsidR="00D64843" w:rsidRPr="002D078A">
        <w:rPr>
          <w:color w:val="000000" w:themeColor="text1"/>
          <w:szCs w:val="26"/>
        </w:rPr>
        <w:t>committed outside South</w:t>
      </w:r>
      <w:r w:rsidR="007B3A8F" w:rsidRPr="002D078A">
        <w:rPr>
          <w:color w:val="000000" w:themeColor="text1"/>
          <w:szCs w:val="26"/>
        </w:rPr>
        <w:t> </w:t>
      </w:r>
      <w:r w:rsidR="00D64843" w:rsidRPr="002D078A">
        <w:rPr>
          <w:color w:val="000000" w:themeColor="text1"/>
          <w:szCs w:val="26"/>
        </w:rPr>
        <w:t>Africa.</w:t>
      </w:r>
      <w:r w:rsidR="00D64843" w:rsidRPr="002D078A">
        <w:rPr>
          <w:rStyle w:val="FootnoteReference"/>
        </w:rPr>
        <w:footnoteReference w:id="8"/>
      </w:r>
      <w:r w:rsidR="002461FE">
        <w:rPr>
          <w:color w:val="000000" w:themeColor="text1"/>
          <w:szCs w:val="26"/>
        </w:rPr>
        <w:t xml:space="preserve">  The result was that the Supreme Court of Appeal replaced the sentence of 24 years’ imprisonment the High Court imposed with a sentence of 20 years.</w:t>
      </w:r>
      <w:r w:rsidR="00F77B0B">
        <w:rPr>
          <w:rStyle w:val="FootnoteReference"/>
          <w:color w:val="000000" w:themeColor="text1"/>
          <w:szCs w:val="26"/>
        </w:rPr>
        <w:footnoteReference w:id="9"/>
      </w:r>
    </w:p>
    <w:p w:rsidR="00AD4C8B" w:rsidRPr="008C0E33" w:rsidRDefault="00AD4C8B" w:rsidP="008C0E33">
      <w:pPr>
        <w:pStyle w:val="JUDGMENTCONTINUED"/>
      </w:pPr>
    </w:p>
    <w:p w:rsidR="00AD4C8B" w:rsidRPr="002D078A" w:rsidRDefault="00AD4C8B" w:rsidP="00450C84">
      <w:pPr>
        <w:pStyle w:val="JUDGMENTNUMBERED"/>
        <w:numPr>
          <w:ilvl w:val="0"/>
          <w:numId w:val="14"/>
        </w:numPr>
        <w:ind w:left="0" w:firstLine="0"/>
        <w:rPr>
          <w:color w:val="000000" w:themeColor="text1"/>
          <w:szCs w:val="26"/>
        </w:rPr>
      </w:pPr>
      <w:r w:rsidRPr="002D078A">
        <w:rPr>
          <w:color w:val="000000" w:themeColor="text1"/>
          <w:szCs w:val="26"/>
        </w:rPr>
        <w:t xml:space="preserve">The State seeks to appeal against the </w:t>
      </w:r>
      <w:r w:rsidR="002B4617">
        <w:rPr>
          <w:color w:val="000000" w:themeColor="text1"/>
          <w:szCs w:val="26"/>
        </w:rPr>
        <w:t xml:space="preserve">conclusion </w:t>
      </w:r>
      <w:r w:rsidR="009A0A12">
        <w:rPr>
          <w:color w:val="000000" w:themeColor="text1"/>
          <w:szCs w:val="26"/>
        </w:rPr>
        <w:t xml:space="preserve">by the </w:t>
      </w:r>
      <w:r w:rsidRPr="002D078A">
        <w:rPr>
          <w:color w:val="000000" w:themeColor="text1"/>
          <w:szCs w:val="26"/>
        </w:rPr>
        <w:t>S</w:t>
      </w:r>
      <w:r w:rsidR="004D1CA0" w:rsidRPr="002D078A">
        <w:rPr>
          <w:color w:val="000000" w:themeColor="text1"/>
          <w:szCs w:val="26"/>
        </w:rPr>
        <w:t>upreme Court of Appeal</w:t>
      </w:r>
      <w:r w:rsidR="009A0A12">
        <w:rPr>
          <w:color w:val="000000" w:themeColor="text1"/>
          <w:szCs w:val="26"/>
        </w:rPr>
        <w:t xml:space="preserve"> </w:t>
      </w:r>
      <w:r w:rsidRPr="002D078A">
        <w:rPr>
          <w:color w:val="000000" w:themeColor="text1"/>
          <w:szCs w:val="26"/>
        </w:rPr>
        <w:t>that the Act has narrow jurisdictional reach</w:t>
      </w:r>
      <w:r w:rsidR="00954477">
        <w:rPr>
          <w:color w:val="000000" w:themeColor="text1"/>
          <w:szCs w:val="26"/>
        </w:rPr>
        <w:t>.  It thereby seeks</w:t>
      </w:r>
      <w:r w:rsidR="00A23332" w:rsidRPr="002D078A">
        <w:rPr>
          <w:color w:val="000000" w:themeColor="text1"/>
          <w:szCs w:val="26"/>
        </w:rPr>
        <w:t xml:space="preserve"> </w:t>
      </w:r>
      <w:r w:rsidRPr="002D078A">
        <w:rPr>
          <w:color w:val="000000" w:themeColor="text1"/>
          <w:szCs w:val="26"/>
        </w:rPr>
        <w:t>to reinstate Mr</w:t>
      </w:r>
      <w:r w:rsidR="007202EB">
        <w:rPr>
          <w:color w:val="000000" w:themeColor="text1"/>
          <w:szCs w:val="26"/>
        </w:rPr>
        <w:t> </w:t>
      </w:r>
      <w:r w:rsidRPr="002D078A">
        <w:rPr>
          <w:color w:val="000000" w:themeColor="text1"/>
          <w:szCs w:val="26"/>
        </w:rPr>
        <w:t>Okah’s conviction</w:t>
      </w:r>
      <w:r w:rsidR="00126CEA">
        <w:rPr>
          <w:color w:val="000000" w:themeColor="text1"/>
          <w:szCs w:val="26"/>
        </w:rPr>
        <w:t>s</w:t>
      </w:r>
      <w:r w:rsidRPr="002D078A">
        <w:rPr>
          <w:color w:val="000000" w:themeColor="text1"/>
          <w:szCs w:val="26"/>
        </w:rPr>
        <w:t xml:space="preserve"> on all </w:t>
      </w:r>
      <w:r w:rsidR="00954477">
        <w:rPr>
          <w:color w:val="000000" w:themeColor="text1"/>
          <w:szCs w:val="26"/>
        </w:rPr>
        <w:t xml:space="preserve">the </w:t>
      </w:r>
      <w:r w:rsidRPr="002D078A">
        <w:rPr>
          <w:color w:val="000000" w:themeColor="text1"/>
          <w:szCs w:val="26"/>
        </w:rPr>
        <w:t>Warri charges</w:t>
      </w:r>
      <w:r w:rsidR="00BB140C">
        <w:rPr>
          <w:color w:val="000000" w:themeColor="text1"/>
          <w:szCs w:val="26"/>
        </w:rPr>
        <w:t xml:space="preserve"> with consequent reinstatement of the sentence the High Court imposed</w:t>
      </w:r>
      <w:r w:rsidRPr="002D078A">
        <w:rPr>
          <w:color w:val="000000" w:themeColor="text1"/>
          <w:szCs w:val="26"/>
        </w:rPr>
        <w:t>.</w:t>
      </w:r>
      <w:r w:rsidR="00BB140C">
        <w:rPr>
          <w:rStyle w:val="FootnoteReference"/>
          <w:color w:val="000000" w:themeColor="text1"/>
          <w:szCs w:val="26"/>
        </w:rPr>
        <w:footnoteReference w:id="10"/>
      </w:r>
      <w:r w:rsidRPr="002D078A">
        <w:rPr>
          <w:color w:val="000000" w:themeColor="text1"/>
          <w:szCs w:val="26"/>
        </w:rPr>
        <w:t xml:space="preserve">  Shortly before this Court was due to hear the State’s a</w:t>
      </w:r>
      <w:r w:rsidR="00632775" w:rsidRPr="002D078A">
        <w:rPr>
          <w:color w:val="000000" w:themeColor="text1"/>
          <w:szCs w:val="26"/>
        </w:rPr>
        <w:t>pplication on 1 August 2017, Mr </w:t>
      </w:r>
      <w:r w:rsidRPr="002D078A">
        <w:rPr>
          <w:color w:val="000000" w:themeColor="text1"/>
          <w:szCs w:val="26"/>
        </w:rPr>
        <w:t xml:space="preserve">Okah himself sought leave to appeal on four issues.  These were the High Court’s refusal to exempt him from culpability for the </w:t>
      </w:r>
      <w:r w:rsidRPr="002D078A">
        <w:rPr>
          <w:color w:val="000000" w:themeColor="text1"/>
          <w:szCs w:val="26"/>
        </w:rPr>
        <w:lastRenderedPageBreak/>
        <w:t>bombings on the ba</w:t>
      </w:r>
      <w:r w:rsidR="00D64843" w:rsidRPr="002D078A">
        <w:rPr>
          <w:color w:val="000000" w:themeColor="text1"/>
          <w:szCs w:val="26"/>
        </w:rPr>
        <w:t>sis of section 1(4) of the Act,</w:t>
      </w:r>
      <w:r w:rsidR="00D64843" w:rsidRPr="002D078A">
        <w:rPr>
          <w:rStyle w:val="FootnoteReference"/>
        </w:rPr>
        <w:footnoteReference w:id="11"/>
      </w:r>
      <w:r w:rsidRPr="002D078A">
        <w:rPr>
          <w:color w:val="000000" w:themeColor="text1"/>
          <w:szCs w:val="26"/>
        </w:rPr>
        <w:t xml:space="preserve"> and its refusal to make three special entries on the record of the proceedings before it under section</w:t>
      </w:r>
      <w:r w:rsidR="00D64843" w:rsidRPr="002D078A">
        <w:rPr>
          <w:color w:val="000000" w:themeColor="text1"/>
          <w:szCs w:val="26"/>
        </w:rPr>
        <w:t xml:space="preserve"> 317 of</w:t>
      </w:r>
      <w:r w:rsidR="001944C5">
        <w:rPr>
          <w:color w:val="000000" w:themeColor="text1"/>
          <w:szCs w:val="26"/>
        </w:rPr>
        <w:t xml:space="preserve"> the</w:t>
      </w:r>
      <w:r w:rsidR="00D64843" w:rsidRPr="002D078A">
        <w:rPr>
          <w:color w:val="000000" w:themeColor="text1"/>
          <w:szCs w:val="26"/>
        </w:rPr>
        <w:t xml:space="preserve"> Criminal Procedure Act.</w:t>
      </w:r>
      <w:r w:rsidR="00D64843" w:rsidRPr="009178AA">
        <w:rPr>
          <w:rStyle w:val="FootnoteReference"/>
          <w:iCs/>
          <w:color w:val="000000" w:themeColor="text1"/>
          <w:szCs w:val="26"/>
        </w:rPr>
        <w:footnoteReference w:id="12"/>
      </w:r>
      <w:r w:rsidR="006E546C">
        <w:rPr>
          <w:color w:val="000000" w:themeColor="text1"/>
          <w:szCs w:val="26"/>
        </w:rPr>
        <w:t xml:space="preserve">  Mr </w:t>
      </w:r>
      <w:r w:rsidRPr="004576C7">
        <w:rPr>
          <w:color w:val="000000" w:themeColor="text1"/>
          <w:szCs w:val="26"/>
        </w:rPr>
        <w:t xml:space="preserve">Okah claimed that these omissions on the part of the </w:t>
      </w:r>
      <w:r w:rsidR="001944C5">
        <w:rPr>
          <w:color w:val="000000" w:themeColor="text1"/>
          <w:szCs w:val="26"/>
        </w:rPr>
        <w:t>trial</w:t>
      </w:r>
      <w:r w:rsidRPr="004576C7">
        <w:rPr>
          <w:color w:val="000000" w:themeColor="text1"/>
          <w:szCs w:val="26"/>
        </w:rPr>
        <w:t xml:space="preserve"> court rendered his trial unfair.</w:t>
      </w:r>
      <w:r w:rsidR="00126CEA">
        <w:rPr>
          <w:color w:val="000000" w:themeColor="text1"/>
          <w:szCs w:val="26"/>
        </w:rPr>
        <w:t xml:space="preserve">  As a result of Mr Okah’s application,</w:t>
      </w:r>
      <w:r w:rsidR="00F55D2E">
        <w:rPr>
          <w:color w:val="000000" w:themeColor="text1"/>
          <w:szCs w:val="26"/>
        </w:rPr>
        <w:t xml:space="preserve"> this Court consolidated the State’s and Mr Okah’s applications a</w:t>
      </w:r>
      <w:r w:rsidR="00BB140C">
        <w:rPr>
          <w:color w:val="000000" w:themeColor="text1"/>
          <w:szCs w:val="26"/>
        </w:rPr>
        <w:t>nd postponed the hearing from 1 </w:t>
      </w:r>
      <w:r w:rsidR="00F55D2E">
        <w:rPr>
          <w:color w:val="000000" w:themeColor="text1"/>
          <w:szCs w:val="26"/>
        </w:rPr>
        <w:t>August 2017 to 28 November 2017.</w:t>
      </w:r>
    </w:p>
    <w:p w:rsidR="00AD4C8B" w:rsidRPr="008C0E33" w:rsidRDefault="00AD4C8B" w:rsidP="008C0E33">
      <w:pPr>
        <w:pStyle w:val="JUDGMENTCONTINUED"/>
      </w:pPr>
    </w:p>
    <w:p w:rsidR="00AD4C8B" w:rsidRPr="002D078A" w:rsidRDefault="00AD4C8B" w:rsidP="00450C84">
      <w:pPr>
        <w:pStyle w:val="JUDGMENTNUMBERED"/>
        <w:numPr>
          <w:ilvl w:val="0"/>
          <w:numId w:val="14"/>
        </w:numPr>
        <w:ind w:left="0" w:firstLine="0"/>
        <w:rPr>
          <w:color w:val="000000" w:themeColor="text1"/>
          <w:szCs w:val="26"/>
        </w:rPr>
      </w:pPr>
      <w:r w:rsidRPr="002D078A">
        <w:rPr>
          <w:color w:val="000000" w:themeColor="text1"/>
          <w:szCs w:val="26"/>
        </w:rPr>
        <w:t>The issues in this Court are: first, whether South African courts have jurisdiction under section 15(1) of the Act to try</w:t>
      </w:r>
      <w:r w:rsidR="00C06010">
        <w:rPr>
          <w:color w:val="000000" w:themeColor="text1"/>
          <w:szCs w:val="26"/>
        </w:rPr>
        <w:t xml:space="preserve"> alleged offences </w:t>
      </w:r>
      <w:r w:rsidRPr="002D078A">
        <w:rPr>
          <w:color w:val="000000" w:themeColor="text1"/>
          <w:szCs w:val="26"/>
        </w:rPr>
        <w:t>– beyond the financing of an offence – that occurred outside South Africa; second, whether Mr</w:t>
      </w:r>
      <w:r w:rsidR="00940386">
        <w:rPr>
          <w:color w:val="000000" w:themeColor="text1"/>
          <w:szCs w:val="26"/>
        </w:rPr>
        <w:t> </w:t>
      </w:r>
      <w:r w:rsidRPr="002D078A">
        <w:rPr>
          <w:color w:val="000000" w:themeColor="text1"/>
          <w:szCs w:val="26"/>
        </w:rPr>
        <w:t>Okah qualifies for exemption under section 1(4) of the Act; and, third, whether the High Court wrongly refused to make three special entries on the record.</w:t>
      </w:r>
    </w:p>
    <w:p w:rsidR="00AD4C8B" w:rsidRPr="002D078A" w:rsidRDefault="00AD4C8B" w:rsidP="00AD4C8B">
      <w:pPr>
        <w:pStyle w:val="JUDGMENTCONTINUED"/>
      </w:pPr>
    </w:p>
    <w:p w:rsidR="00AD4C8B" w:rsidRPr="002D078A" w:rsidRDefault="00EC1C79" w:rsidP="00AD4C8B">
      <w:pPr>
        <w:pStyle w:val="HEADING"/>
      </w:pPr>
      <w:r>
        <w:t>Background</w:t>
      </w:r>
    </w:p>
    <w:p w:rsidR="00220A77" w:rsidRPr="002D078A" w:rsidRDefault="00220A77" w:rsidP="00220A77">
      <w:pPr>
        <w:pStyle w:val="JUDGMENTNUMBERED"/>
        <w:numPr>
          <w:ilvl w:val="0"/>
          <w:numId w:val="14"/>
        </w:numPr>
        <w:ind w:left="0" w:firstLine="0"/>
        <w:rPr>
          <w:color w:val="000000" w:themeColor="text1"/>
          <w:szCs w:val="26"/>
        </w:rPr>
      </w:pPr>
      <w:r w:rsidRPr="002D078A">
        <w:rPr>
          <w:color w:val="000000" w:themeColor="text1"/>
          <w:szCs w:val="26"/>
        </w:rPr>
        <w:t>The High Court found that Mr Okah – who did not testify in his own defence</w:t>
      </w:r>
      <w:r w:rsidR="007C5AF9">
        <w:rPr>
          <w:rStyle w:val="FootnoteReference"/>
          <w:color w:val="000000" w:themeColor="text1"/>
          <w:szCs w:val="26"/>
        </w:rPr>
        <w:footnoteReference w:id="13"/>
      </w:r>
      <w:r w:rsidR="00A203D1">
        <w:rPr>
          <w:color w:val="000000" w:themeColor="text1"/>
          <w:szCs w:val="26"/>
        </w:rPr>
        <w:t> </w:t>
      </w:r>
      <w:r w:rsidRPr="002D078A">
        <w:rPr>
          <w:color w:val="000000" w:themeColor="text1"/>
          <w:szCs w:val="26"/>
        </w:rPr>
        <w:t>–</w:t>
      </w:r>
      <w:r w:rsidR="00A203D1">
        <w:rPr>
          <w:color w:val="000000" w:themeColor="text1"/>
          <w:szCs w:val="26"/>
        </w:rPr>
        <w:t xml:space="preserve"> </w:t>
      </w:r>
      <w:r w:rsidRPr="002D078A">
        <w:rPr>
          <w:color w:val="000000" w:themeColor="text1"/>
          <w:szCs w:val="26"/>
        </w:rPr>
        <w:t xml:space="preserve">was the leader of the Movement for the Emancipation of the </w:t>
      </w:r>
      <w:r w:rsidRPr="002D078A">
        <w:rPr>
          <w:color w:val="000000" w:themeColor="text1"/>
          <w:szCs w:val="26"/>
        </w:rPr>
        <w:lastRenderedPageBreak/>
        <w:t>Niger</w:t>
      </w:r>
      <w:r w:rsidR="009569B0">
        <w:rPr>
          <w:color w:val="000000" w:themeColor="text1"/>
          <w:szCs w:val="26"/>
        </w:rPr>
        <w:t> </w:t>
      </w:r>
      <w:r w:rsidRPr="002D078A">
        <w:rPr>
          <w:color w:val="000000" w:themeColor="text1"/>
          <w:szCs w:val="26"/>
        </w:rPr>
        <w:t>Delta</w:t>
      </w:r>
      <w:r w:rsidR="009569B0">
        <w:rPr>
          <w:color w:val="000000" w:themeColor="text1"/>
          <w:szCs w:val="26"/>
        </w:rPr>
        <w:t> </w:t>
      </w:r>
      <w:r w:rsidRPr="002D078A">
        <w:rPr>
          <w:color w:val="000000" w:themeColor="text1"/>
          <w:szCs w:val="26"/>
        </w:rPr>
        <w:t>(MEND), an umbrella organisation of militant resistance groups in the southern states of Nigeria.</w:t>
      </w:r>
      <w:r w:rsidRPr="002D078A">
        <w:rPr>
          <w:color w:val="000000" w:themeColor="text1"/>
          <w:szCs w:val="26"/>
          <w:vertAlign w:val="superscript"/>
        </w:rPr>
        <w:footnoteReference w:id="14"/>
      </w:r>
      <w:r w:rsidRPr="002D078A">
        <w:rPr>
          <w:color w:val="000000" w:themeColor="text1"/>
          <w:szCs w:val="26"/>
        </w:rPr>
        <w:t xml:space="preserve">  MEND represents individuals who believe that the government of Nigeria, with the connivance of international oil companies, is generating vast sums of money from the oil extracted from the Niger Delta, while affording no benefit to the impoverished local inhabitants and simultaneously degrading their environment.</w:t>
      </w:r>
      <w:r w:rsidR="00230EE8" w:rsidRPr="002D078A">
        <w:rPr>
          <w:color w:val="000000" w:themeColor="text1"/>
          <w:szCs w:val="26"/>
          <w:vertAlign w:val="superscript"/>
        </w:rPr>
        <w:footnoteReference w:id="15"/>
      </w:r>
    </w:p>
    <w:p w:rsidR="00220A77" w:rsidRPr="008C0E33" w:rsidRDefault="00220A77" w:rsidP="008C0E33">
      <w:pPr>
        <w:pStyle w:val="JUDGMENTCONTINUED"/>
      </w:pPr>
    </w:p>
    <w:p w:rsidR="00220A77" w:rsidRPr="002D078A" w:rsidRDefault="00220A77" w:rsidP="00220A77">
      <w:pPr>
        <w:pStyle w:val="JUDGMENTNUMBERED"/>
        <w:numPr>
          <w:ilvl w:val="0"/>
          <w:numId w:val="14"/>
        </w:numPr>
        <w:ind w:left="0" w:firstLine="0"/>
        <w:rPr>
          <w:color w:val="000000" w:themeColor="text1"/>
          <w:szCs w:val="26"/>
        </w:rPr>
      </w:pPr>
      <w:r w:rsidRPr="002D078A">
        <w:rPr>
          <w:color w:val="000000" w:themeColor="text1"/>
          <w:szCs w:val="26"/>
        </w:rPr>
        <w:t xml:space="preserve">In 2007, Mr Okah was arrested and prosecuted by the </w:t>
      </w:r>
      <w:r w:rsidR="00807450">
        <w:rPr>
          <w:color w:val="000000" w:themeColor="text1"/>
          <w:szCs w:val="26"/>
        </w:rPr>
        <w:t xml:space="preserve">federal government of </w:t>
      </w:r>
      <w:r w:rsidRPr="002D078A">
        <w:rPr>
          <w:color w:val="000000" w:themeColor="text1"/>
          <w:szCs w:val="26"/>
        </w:rPr>
        <w:t>Nigeria on charges of treason and gun-running.</w:t>
      </w:r>
      <w:r w:rsidRPr="002D078A">
        <w:rPr>
          <w:color w:val="000000" w:themeColor="text1"/>
          <w:szCs w:val="26"/>
          <w:vertAlign w:val="superscript"/>
        </w:rPr>
        <w:footnoteReference w:id="16"/>
      </w:r>
      <w:r w:rsidRPr="002D078A">
        <w:rPr>
          <w:color w:val="000000" w:themeColor="text1"/>
          <w:szCs w:val="26"/>
        </w:rPr>
        <w:t xml:space="preserve">  However, in 2009, that government implemented an amnesty to restore peace in the Niger Delta.</w:t>
      </w:r>
      <w:r w:rsidRPr="002D078A">
        <w:rPr>
          <w:color w:val="000000" w:themeColor="text1"/>
          <w:szCs w:val="26"/>
          <w:vertAlign w:val="superscript"/>
        </w:rPr>
        <w:footnoteReference w:id="17"/>
      </w:r>
      <w:r w:rsidR="00C93710">
        <w:rPr>
          <w:color w:val="000000" w:themeColor="text1"/>
          <w:szCs w:val="26"/>
        </w:rPr>
        <w:t xml:space="preserve">  Mr </w:t>
      </w:r>
      <w:r w:rsidRPr="002D078A">
        <w:rPr>
          <w:color w:val="000000" w:themeColor="text1"/>
          <w:szCs w:val="26"/>
        </w:rPr>
        <w:t xml:space="preserve">Okah accepted the Nigerian government’s offer of amnesty and was </w:t>
      </w:r>
      <w:r w:rsidR="0027276B" w:rsidRPr="002D078A">
        <w:rPr>
          <w:color w:val="000000" w:themeColor="text1"/>
          <w:szCs w:val="26"/>
        </w:rPr>
        <w:t xml:space="preserve">later </w:t>
      </w:r>
      <w:r w:rsidRPr="002D078A">
        <w:rPr>
          <w:color w:val="000000" w:themeColor="text1"/>
          <w:szCs w:val="26"/>
        </w:rPr>
        <w:t>released.</w:t>
      </w:r>
      <w:r w:rsidRPr="002D078A">
        <w:rPr>
          <w:color w:val="000000" w:themeColor="text1"/>
          <w:szCs w:val="26"/>
          <w:vertAlign w:val="superscript"/>
        </w:rPr>
        <w:footnoteReference w:id="18"/>
      </w:r>
    </w:p>
    <w:p w:rsidR="00220A77" w:rsidRPr="009178AA" w:rsidRDefault="00220A77" w:rsidP="00220A77">
      <w:pPr>
        <w:pStyle w:val="JUDGMENTCONTINUED"/>
        <w:rPr>
          <w:color w:val="000000" w:themeColor="text1"/>
          <w:szCs w:val="26"/>
        </w:rPr>
      </w:pPr>
    </w:p>
    <w:p w:rsidR="00220A77" w:rsidRPr="009178AA" w:rsidRDefault="00220A77" w:rsidP="001704EF">
      <w:pPr>
        <w:pStyle w:val="HEADING"/>
        <w:ind w:firstLine="720"/>
      </w:pPr>
      <w:r w:rsidRPr="009178AA">
        <w:t>Warri bombings</w:t>
      </w:r>
    </w:p>
    <w:p w:rsidR="00220A77" w:rsidRPr="009178AA" w:rsidRDefault="00220A77" w:rsidP="00220A77">
      <w:pPr>
        <w:pStyle w:val="JUDGMENTNUMBERED"/>
        <w:numPr>
          <w:ilvl w:val="0"/>
          <w:numId w:val="14"/>
        </w:numPr>
        <w:ind w:left="0" w:firstLine="0"/>
        <w:rPr>
          <w:color w:val="000000" w:themeColor="text1"/>
          <w:szCs w:val="26"/>
        </w:rPr>
      </w:pPr>
      <w:r w:rsidRPr="004576C7">
        <w:rPr>
          <w:color w:val="000000" w:themeColor="text1"/>
          <w:szCs w:val="26"/>
        </w:rPr>
        <w:t>On 15 March 2010, following instructions from Mr Okah, two bombs were detonated</w:t>
      </w:r>
      <w:r w:rsidRPr="002D078A">
        <w:rPr>
          <w:color w:val="000000" w:themeColor="text1"/>
          <w:szCs w:val="26"/>
        </w:rPr>
        <w:t xml:space="preserve"> at Government House Annex in Warri.</w:t>
      </w:r>
      <w:r w:rsidRPr="002D078A">
        <w:rPr>
          <w:color w:val="000000" w:themeColor="text1"/>
          <w:szCs w:val="26"/>
          <w:vertAlign w:val="superscript"/>
        </w:rPr>
        <w:footnoteReference w:id="19"/>
      </w:r>
      <w:r w:rsidRPr="002D078A">
        <w:rPr>
          <w:color w:val="000000" w:themeColor="text1"/>
          <w:szCs w:val="26"/>
        </w:rPr>
        <w:t xml:space="preserve">  At the time, the Vanguard Newspaper was due to hold a </w:t>
      </w:r>
      <w:r w:rsidR="00EF4AF5" w:rsidRPr="002D078A">
        <w:rPr>
          <w:color w:val="000000" w:themeColor="text1"/>
          <w:szCs w:val="26"/>
        </w:rPr>
        <w:t>p</w:t>
      </w:r>
      <w:r w:rsidRPr="002D078A">
        <w:rPr>
          <w:color w:val="000000" w:themeColor="text1"/>
          <w:szCs w:val="26"/>
        </w:rPr>
        <w:t>ost</w:t>
      </w:r>
      <w:r w:rsidR="00EF4AF5" w:rsidRPr="002D078A">
        <w:rPr>
          <w:color w:val="000000" w:themeColor="text1"/>
          <w:szCs w:val="26"/>
        </w:rPr>
        <w:t>-a</w:t>
      </w:r>
      <w:r w:rsidRPr="002D078A">
        <w:rPr>
          <w:color w:val="000000" w:themeColor="text1"/>
          <w:szCs w:val="26"/>
        </w:rPr>
        <w:t xml:space="preserve">mnesty </w:t>
      </w:r>
      <w:r w:rsidR="00EF4AF5" w:rsidRPr="002D078A">
        <w:rPr>
          <w:color w:val="000000" w:themeColor="text1"/>
          <w:szCs w:val="26"/>
        </w:rPr>
        <w:t>d</w:t>
      </w:r>
      <w:r w:rsidRPr="002D078A">
        <w:rPr>
          <w:color w:val="000000" w:themeColor="text1"/>
          <w:szCs w:val="26"/>
        </w:rPr>
        <w:t>ialogue meeting</w:t>
      </w:r>
      <w:r w:rsidR="002A0D1B">
        <w:rPr>
          <w:color w:val="000000" w:themeColor="text1"/>
          <w:szCs w:val="26"/>
        </w:rPr>
        <w:t>.</w:t>
      </w:r>
      <w:r w:rsidR="00C90A49">
        <w:rPr>
          <w:rStyle w:val="FootnoteReference"/>
          <w:color w:val="000000" w:themeColor="text1"/>
          <w:szCs w:val="26"/>
        </w:rPr>
        <w:footnoteReference w:id="20"/>
      </w:r>
      <w:r w:rsidR="002A0D1B">
        <w:rPr>
          <w:color w:val="000000" w:themeColor="text1"/>
          <w:szCs w:val="26"/>
        </w:rPr>
        <w:t xml:space="preserve">  This was</w:t>
      </w:r>
      <w:r w:rsidR="002316B9" w:rsidRPr="002D078A">
        <w:rPr>
          <w:color w:val="000000" w:themeColor="text1"/>
          <w:szCs w:val="26"/>
        </w:rPr>
        <w:t xml:space="preserve"> attended by stakeholders in the Niger Delta region </w:t>
      </w:r>
      <w:r w:rsidRPr="002D078A">
        <w:rPr>
          <w:color w:val="000000" w:themeColor="text1"/>
          <w:szCs w:val="26"/>
        </w:rPr>
        <w:t>a</w:t>
      </w:r>
      <w:r w:rsidR="002A0D1B">
        <w:rPr>
          <w:color w:val="000000" w:themeColor="text1"/>
          <w:szCs w:val="26"/>
        </w:rPr>
        <w:t>s well as</w:t>
      </w:r>
      <w:r w:rsidRPr="002D078A">
        <w:rPr>
          <w:color w:val="000000" w:themeColor="text1"/>
          <w:szCs w:val="26"/>
        </w:rPr>
        <w:t xml:space="preserve"> dignitaries.</w:t>
      </w:r>
      <w:r w:rsidR="00C90A49">
        <w:rPr>
          <w:rStyle w:val="FootnoteReference"/>
          <w:color w:val="000000" w:themeColor="text1"/>
          <w:szCs w:val="26"/>
        </w:rPr>
        <w:footnoteReference w:id="21"/>
      </w:r>
      <w:r w:rsidRPr="002D078A">
        <w:rPr>
          <w:color w:val="000000" w:themeColor="text1"/>
          <w:szCs w:val="26"/>
        </w:rPr>
        <w:t xml:space="preserve">  One person died</w:t>
      </w:r>
      <w:r w:rsidR="002A0D1B">
        <w:rPr>
          <w:color w:val="000000" w:themeColor="text1"/>
          <w:szCs w:val="26"/>
        </w:rPr>
        <w:t xml:space="preserve"> in the bombing</w:t>
      </w:r>
      <w:r w:rsidRPr="002D078A">
        <w:rPr>
          <w:color w:val="000000" w:themeColor="text1"/>
          <w:szCs w:val="26"/>
        </w:rPr>
        <w:t>, and several others were injured.</w:t>
      </w:r>
      <w:r w:rsidRPr="002D078A">
        <w:rPr>
          <w:color w:val="000000" w:themeColor="text1"/>
          <w:szCs w:val="26"/>
          <w:vertAlign w:val="superscript"/>
        </w:rPr>
        <w:footnoteReference w:id="22"/>
      </w:r>
      <w:r w:rsidRPr="002D078A">
        <w:rPr>
          <w:color w:val="000000" w:themeColor="text1"/>
          <w:szCs w:val="26"/>
        </w:rPr>
        <w:t xml:space="preserve">  The Warri bombings were the subject of counts 1, 3, 5, 7, 9 and 11.</w:t>
      </w:r>
      <w:r w:rsidRPr="002D078A">
        <w:rPr>
          <w:color w:val="000000" w:themeColor="text1"/>
          <w:szCs w:val="26"/>
          <w:vertAlign w:val="superscript"/>
        </w:rPr>
        <w:footnoteReference w:id="23"/>
      </w:r>
      <w:r w:rsidRPr="002D078A">
        <w:rPr>
          <w:color w:val="000000" w:themeColor="text1"/>
          <w:szCs w:val="26"/>
        </w:rPr>
        <w:t xml:space="preserve">  Counts 9 and 11 related to the financing of the Warri bombings.</w:t>
      </w:r>
      <w:r w:rsidR="00C90A49">
        <w:rPr>
          <w:rStyle w:val="FootnoteReference"/>
          <w:color w:val="000000" w:themeColor="text1"/>
          <w:szCs w:val="26"/>
        </w:rPr>
        <w:footnoteReference w:id="24"/>
      </w:r>
      <w:r w:rsidRPr="002D078A">
        <w:rPr>
          <w:color w:val="000000" w:themeColor="text1"/>
          <w:szCs w:val="26"/>
        </w:rPr>
        <w:t xml:space="preserve">  The </w:t>
      </w:r>
      <w:r w:rsidR="004D1CA0" w:rsidRPr="002D078A">
        <w:rPr>
          <w:color w:val="000000" w:themeColor="text1"/>
          <w:szCs w:val="26"/>
        </w:rPr>
        <w:t xml:space="preserve">Supreme Court of Appeal </w:t>
      </w:r>
      <w:r w:rsidRPr="002D078A">
        <w:rPr>
          <w:color w:val="000000" w:themeColor="text1"/>
          <w:szCs w:val="26"/>
        </w:rPr>
        <w:t>upheld convictions on these two counts</w:t>
      </w:r>
      <w:r w:rsidR="00B72E64" w:rsidRPr="002D078A">
        <w:rPr>
          <w:color w:val="000000" w:themeColor="text1"/>
          <w:szCs w:val="26"/>
        </w:rPr>
        <w:t>,</w:t>
      </w:r>
      <w:r w:rsidR="003C5F3B">
        <w:rPr>
          <w:rStyle w:val="FootnoteReference"/>
          <w:color w:val="000000" w:themeColor="text1"/>
          <w:szCs w:val="26"/>
        </w:rPr>
        <w:footnoteReference w:id="25"/>
      </w:r>
      <w:r w:rsidR="00B72E64" w:rsidRPr="002D078A">
        <w:rPr>
          <w:color w:val="000000" w:themeColor="text1"/>
          <w:szCs w:val="26"/>
        </w:rPr>
        <w:t xml:space="preserve"> but dismissed counts 1, 3, 5 and 7</w:t>
      </w:r>
      <w:r w:rsidRPr="002D078A">
        <w:rPr>
          <w:color w:val="000000" w:themeColor="text1"/>
          <w:szCs w:val="26"/>
        </w:rPr>
        <w:t>.</w:t>
      </w:r>
      <w:r w:rsidR="00C90A49">
        <w:rPr>
          <w:rStyle w:val="FootnoteReference"/>
          <w:color w:val="000000" w:themeColor="text1"/>
          <w:szCs w:val="26"/>
        </w:rPr>
        <w:footnoteReference w:id="26"/>
      </w:r>
    </w:p>
    <w:p w:rsidR="00220A77" w:rsidRPr="009178AA" w:rsidRDefault="00220A77" w:rsidP="00220A77">
      <w:pPr>
        <w:pStyle w:val="JUDGMENTCONTINUED"/>
        <w:rPr>
          <w:color w:val="000000" w:themeColor="text1"/>
          <w:szCs w:val="26"/>
        </w:rPr>
      </w:pPr>
    </w:p>
    <w:p w:rsidR="00220A77" w:rsidRPr="002D078A" w:rsidRDefault="00220A77" w:rsidP="001704EF">
      <w:pPr>
        <w:pStyle w:val="HEADING"/>
        <w:ind w:firstLine="720"/>
      </w:pPr>
      <w:r w:rsidRPr="004576C7">
        <w:t>Abuja bombings</w:t>
      </w:r>
    </w:p>
    <w:p w:rsidR="00220A77" w:rsidRPr="002D078A" w:rsidRDefault="00220A77" w:rsidP="00220A77">
      <w:pPr>
        <w:pStyle w:val="JUDGMENTNUMBERED"/>
        <w:numPr>
          <w:ilvl w:val="0"/>
          <w:numId w:val="14"/>
        </w:numPr>
        <w:ind w:left="0" w:firstLine="0"/>
        <w:rPr>
          <w:color w:val="000000" w:themeColor="text1"/>
          <w:szCs w:val="26"/>
        </w:rPr>
      </w:pPr>
      <w:r w:rsidRPr="002D078A">
        <w:rPr>
          <w:color w:val="000000" w:themeColor="text1"/>
          <w:szCs w:val="26"/>
        </w:rPr>
        <w:t>On 1 October 2010, on the instruction of Mr Okah, two vehicles packed with hidden explosives were parked on a public road in close proximity to where the then</w:t>
      </w:r>
      <w:r w:rsidRPr="002D078A">
        <w:rPr>
          <w:color w:val="000000" w:themeColor="text1"/>
          <w:szCs w:val="26"/>
        </w:rPr>
        <w:noBreakHyphen/>
        <w:t>President of Nigeria, Dr Goodluck Jonathan, and other dignitaries were celebrating the country’s fiftieth independence anniversary.</w:t>
      </w:r>
      <w:r w:rsidRPr="002D078A">
        <w:rPr>
          <w:color w:val="000000" w:themeColor="text1"/>
          <w:szCs w:val="26"/>
          <w:vertAlign w:val="superscript"/>
        </w:rPr>
        <w:footnoteReference w:id="27"/>
      </w:r>
      <w:r w:rsidRPr="002D078A">
        <w:rPr>
          <w:color w:val="000000" w:themeColor="text1"/>
          <w:szCs w:val="26"/>
        </w:rPr>
        <w:t xml:space="preserve">  The bombs were successively detonated for maximum carnage.</w:t>
      </w:r>
      <w:r w:rsidRPr="002D078A">
        <w:rPr>
          <w:color w:val="000000" w:themeColor="text1"/>
          <w:szCs w:val="26"/>
          <w:vertAlign w:val="superscript"/>
        </w:rPr>
        <w:footnoteReference w:id="28"/>
      </w:r>
      <w:r w:rsidRPr="002D078A">
        <w:rPr>
          <w:color w:val="000000" w:themeColor="text1"/>
          <w:szCs w:val="26"/>
        </w:rPr>
        <w:t xml:space="preserve">  </w:t>
      </w:r>
      <w:r w:rsidR="003D7F86">
        <w:rPr>
          <w:color w:val="000000" w:themeColor="text1"/>
          <w:szCs w:val="26"/>
        </w:rPr>
        <w:t>Eight</w:t>
      </w:r>
      <w:r w:rsidR="003D7F86" w:rsidRPr="002D078A">
        <w:rPr>
          <w:color w:val="000000" w:themeColor="text1"/>
          <w:szCs w:val="26"/>
        </w:rPr>
        <w:t xml:space="preserve"> </w:t>
      </w:r>
      <w:r w:rsidRPr="002D078A">
        <w:rPr>
          <w:color w:val="000000" w:themeColor="text1"/>
          <w:szCs w:val="26"/>
        </w:rPr>
        <w:t>people died, and many others sustained serious injuries.</w:t>
      </w:r>
      <w:r w:rsidRPr="002D078A">
        <w:rPr>
          <w:color w:val="000000" w:themeColor="text1"/>
          <w:szCs w:val="26"/>
          <w:vertAlign w:val="superscript"/>
        </w:rPr>
        <w:footnoteReference w:id="29"/>
      </w:r>
      <w:r w:rsidRPr="002D078A">
        <w:rPr>
          <w:color w:val="000000" w:themeColor="text1"/>
          <w:szCs w:val="26"/>
        </w:rPr>
        <w:t xml:space="preserve">  The Abuja bombs accounted for counts 2, 4, 6, 8, 10 and 12.</w:t>
      </w:r>
      <w:r w:rsidRPr="002D078A">
        <w:rPr>
          <w:color w:val="000000" w:themeColor="text1"/>
          <w:szCs w:val="26"/>
          <w:vertAlign w:val="superscript"/>
        </w:rPr>
        <w:footnoteReference w:id="30"/>
      </w:r>
      <w:r w:rsidR="002316B9" w:rsidRPr="002D078A">
        <w:rPr>
          <w:color w:val="000000" w:themeColor="text1"/>
          <w:szCs w:val="26"/>
        </w:rPr>
        <w:t xml:space="preserve">  The Supreme Court of Appeal upheld convictions on all six counts.</w:t>
      </w:r>
      <w:r w:rsidR="00A73558">
        <w:rPr>
          <w:rStyle w:val="FootnoteReference"/>
          <w:color w:val="000000" w:themeColor="text1"/>
          <w:szCs w:val="26"/>
        </w:rPr>
        <w:footnoteReference w:id="31"/>
      </w:r>
    </w:p>
    <w:p w:rsidR="00220A77" w:rsidRPr="008C0E33" w:rsidRDefault="00220A77" w:rsidP="008C0E33">
      <w:pPr>
        <w:pStyle w:val="JUDGMENTCONTINUED"/>
      </w:pPr>
    </w:p>
    <w:p w:rsidR="00220A77" w:rsidRPr="002D078A" w:rsidRDefault="00220A77" w:rsidP="00220A77">
      <w:pPr>
        <w:pStyle w:val="HEADING"/>
      </w:pPr>
      <w:r w:rsidRPr="002D078A">
        <w:t>In the High Court</w:t>
      </w:r>
    </w:p>
    <w:p w:rsidR="00220A77" w:rsidRPr="00311B85" w:rsidRDefault="003D7EAD" w:rsidP="009178AA">
      <w:pPr>
        <w:pStyle w:val="HEADING"/>
        <w:ind w:firstLine="720"/>
      </w:pPr>
      <w:r w:rsidRPr="00311B85">
        <w:t>High Court</w:t>
      </w:r>
      <w:r w:rsidR="00220A77" w:rsidRPr="002D078A">
        <w:t xml:space="preserve"> judgment on the merits and section 1(4)</w:t>
      </w:r>
    </w:p>
    <w:p w:rsidR="00220A77" w:rsidRPr="004576C7" w:rsidRDefault="00220A77" w:rsidP="00220A77">
      <w:pPr>
        <w:pStyle w:val="JUDGMENTNUMBERED"/>
        <w:numPr>
          <w:ilvl w:val="0"/>
          <w:numId w:val="14"/>
        </w:numPr>
        <w:ind w:left="0" w:firstLine="0"/>
      </w:pPr>
      <w:r w:rsidRPr="002D078A">
        <w:rPr>
          <w:color w:val="000000" w:themeColor="text1"/>
          <w:szCs w:val="26"/>
        </w:rPr>
        <w:t>Aside from</w:t>
      </w:r>
      <w:r w:rsidR="00206A65" w:rsidRPr="002D078A">
        <w:rPr>
          <w:color w:val="000000" w:themeColor="text1"/>
          <w:szCs w:val="26"/>
        </w:rPr>
        <w:t xml:space="preserve"> challenging the </w:t>
      </w:r>
      <w:r w:rsidR="000B1A07" w:rsidRPr="002D078A">
        <w:rPr>
          <w:color w:val="000000" w:themeColor="text1"/>
          <w:szCs w:val="26"/>
        </w:rPr>
        <w:t>C</w:t>
      </w:r>
      <w:r w:rsidR="00206A65" w:rsidRPr="002D078A">
        <w:rPr>
          <w:color w:val="000000" w:themeColor="text1"/>
          <w:szCs w:val="26"/>
        </w:rPr>
        <w:t>ourt’s</w:t>
      </w:r>
      <w:r w:rsidRPr="002D078A">
        <w:rPr>
          <w:color w:val="000000" w:themeColor="text1"/>
          <w:szCs w:val="26"/>
        </w:rPr>
        <w:t xml:space="preserve"> jurisdiction, Mr Okah, at the close of his trial, invoked section 1(4) of the Act for the first time to exempt him from liability for the bombings.  The trial court held </w:t>
      </w:r>
      <w:r w:rsidR="00340DA4">
        <w:rPr>
          <w:color w:val="000000" w:themeColor="text1"/>
          <w:szCs w:val="26"/>
        </w:rPr>
        <w:t xml:space="preserve">that </w:t>
      </w:r>
      <w:r w:rsidR="001B3003">
        <w:rPr>
          <w:color w:val="000000" w:themeColor="text1"/>
          <w:szCs w:val="26"/>
        </w:rPr>
        <w:t xml:space="preserve">this </w:t>
      </w:r>
      <w:r w:rsidR="00340DA4">
        <w:rPr>
          <w:color w:val="000000" w:themeColor="text1"/>
          <w:szCs w:val="26"/>
        </w:rPr>
        <w:t>was</w:t>
      </w:r>
      <w:r w:rsidRPr="002D078A">
        <w:rPr>
          <w:color w:val="000000" w:themeColor="text1"/>
          <w:szCs w:val="26"/>
        </w:rPr>
        <w:t xml:space="preserve"> misplaced.</w:t>
      </w:r>
      <w:r w:rsidR="001D0A3F">
        <w:rPr>
          <w:rStyle w:val="FootnoteReference"/>
          <w:color w:val="000000" w:themeColor="text1"/>
          <w:szCs w:val="26"/>
        </w:rPr>
        <w:footnoteReference w:id="32"/>
      </w:r>
      <w:r w:rsidRPr="002D078A">
        <w:rPr>
          <w:color w:val="000000" w:themeColor="text1"/>
          <w:szCs w:val="26"/>
        </w:rPr>
        <w:t xml:space="preserve">  It found that, in the light of the government amnesty and Mr Okah’s own acceptance of it, “</w:t>
      </w:r>
      <w:r w:rsidRPr="002D078A">
        <w:t>no further armed struggle was legitimate</w:t>
      </w:r>
      <w:r w:rsidRPr="002D078A">
        <w:rPr>
          <w:color w:val="000000" w:themeColor="text1"/>
          <w:szCs w:val="26"/>
        </w:rPr>
        <w:t>”.</w:t>
      </w:r>
      <w:r w:rsidR="001D0A3F">
        <w:rPr>
          <w:rStyle w:val="FootnoteReference"/>
          <w:color w:val="000000" w:themeColor="text1"/>
          <w:szCs w:val="26"/>
        </w:rPr>
        <w:footnoteReference w:id="33"/>
      </w:r>
      <w:r w:rsidRPr="002D078A">
        <w:rPr>
          <w:color w:val="000000" w:themeColor="text1"/>
          <w:szCs w:val="26"/>
        </w:rPr>
        <w:t xml:space="preserve">  In any event</w:t>
      </w:r>
      <w:r w:rsidR="00F7507B">
        <w:rPr>
          <w:color w:val="000000" w:themeColor="text1"/>
          <w:szCs w:val="26"/>
        </w:rPr>
        <w:t>,</w:t>
      </w:r>
      <w:r w:rsidRPr="002D078A">
        <w:t xml:space="preserve"> Mr Okah had laid no basis for invoking section 1(4).</w:t>
      </w:r>
      <w:r w:rsidRPr="004576C7">
        <w:rPr>
          <w:rStyle w:val="FootnoteReference"/>
          <w:color w:val="000000" w:themeColor="text1"/>
          <w:szCs w:val="26"/>
        </w:rPr>
        <w:footnoteReference w:id="34"/>
      </w:r>
    </w:p>
    <w:p w:rsidR="00220A77" w:rsidRPr="002D078A" w:rsidRDefault="00220A77" w:rsidP="00220A77">
      <w:pPr>
        <w:pStyle w:val="JUDGMENTCONTINUED"/>
      </w:pPr>
    </w:p>
    <w:p w:rsidR="00220A77" w:rsidRPr="002D078A" w:rsidRDefault="001445E6" w:rsidP="009178AA">
      <w:pPr>
        <w:pStyle w:val="HEADING"/>
        <w:ind w:firstLine="720"/>
        <w:rPr>
          <w:i w:val="0"/>
        </w:rPr>
      </w:pPr>
      <w:r w:rsidRPr="00311B85">
        <w:lastRenderedPageBreak/>
        <w:t>High Court</w:t>
      </w:r>
      <w:r w:rsidR="00220A77" w:rsidRPr="002D078A">
        <w:t xml:space="preserve"> </w:t>
      </w:r>
      <w:r w:rsidR="004916A3">
        <w:t>judgment on the</w:t>
      </w:r>
      <w:r w:rsidR="004916A3" w:rsidRPr="002D078A">
        <w:t xml:space="preserve"> </w:t>
      </w:r>
      <w:r w:rsidR="00220A77" w:rsidRPr="002D078A">
        <w:t>special entries</w:t>
      </w:r>
    </w:p>
    <w:p w:rsidR="00220A77" w:rsidRPr="002D078A" w:rsidRDefault="00220A77" w:rsidP="00220A77">
      <w:pPr>
        <w:pStyle w:val="JUDGMENTNUMBERED"/>
      </w:pPr>
      <w:r w:rsidRPr="002D078A">
        <w:t xml:space="preserve">At the close of the trial, Mr Okah applied </w:t>
      </w:r>
      <w:r w:rsidR="006B39BE">
        <w:t>to</w:t>
      </w:r>
      <w:r w:rsidRPr="002D078A">
        <w:t xml:space="preserve"> the Court to make three special entries on its record regarding alleged irregularities in its proceedings.  The </w:t>
      </w:r>
      <w:r w:rsidR="00187C16">
        <w:t xml:space="preserve">alleged </w:t>
      </w:r>
      <w:r w:rsidRPr="002D078A">
        <w:t>irregularities were:</w:t>
      </w:r>
    </w:p>
    <w:p w:rsidR="00220A77" w:rsidRPr="002D078A" w:rsidRDefault="00220A77" w:rsidP="001704EF">
      <w:pPr>
        <w:pStyle w:val="JUDGMENTNUMBERED"/>
        <w:numPr>
          <w:ilvl w:val="0"/>
          <w:numId w:val="0"/>
        </w:numPr>
        <w:ind w:left="1440" w:hanging="720"/>
      </w:pPr>
      <w:r w:rsidRPr="002D078A">
        <w:t>(a)</w:t>
      </w:r>
      <w:r w:rsidRPr="002D078A">
        <w:tab/>
        <w:t xml:space="preserve">the presence </w:t>
      </w:r>
      <w:r w:rsidR="00DD23D8" w:rsidRPr="002D078A">
        <w:t xml:space="preserve">at </w:t>
      </w:r>
      <w:r w:rsidR="005139FB">
        <w:t xml:space="preserve">the </w:t>
      </w:r>
      <w:r w:rsidR="00DD23D8" w:rsidRPr="002D078A">
        <w:t xml:space="preserve">trial </w:t>
      </w:r>
      <w:r w:rsidRPr="002D078A">
        <w:t>of Mr Clifford Osagie, a barrister employed by the Nigeria</w:t>
      </w:r>
      <w:r w:rsidR="005460EA">
        <w:t xml:space="preserve">n State Security Services </w:t>
      </w:r>
      <w:r w:rsidRPr="002D078A">
        <w:t>as a prosecutor;</w:t>
      </w:r>
    </w:p>
    <w:p w:rsidR="00220A77" w:rsidRPr="002D078A" w:rsidRDefault="00220A77" w:rsidP="001704EF">
      <w:pPr>
        <w:pStyle w:val="JUDGMENTNUMBERED"/>
        <w:numPr>
          <w:ilvl w:val="0"/>
          <w:numId w:val="0"/>
        </w:numPr>
        <w:ind w:left="1440" w:hanging="720"/>
      </w:pPr>
      <w:r w:rsidRPr="002D078A">
        <w:t>(b)</w:t>
      </w:r>
      <w:r w:rsidRPr="002D078A">
        <w:tab/>
        <w:t xml:space="preserve">the State’s admitted failure to inform Mr Okah </w:t>
      </w:r>
      <w:r w:rsidR="005139FB">
        <w:t xml:space="preserve">of </w:t>
      </w:r>
      <w:r w:rsidRPr="002D078A">
        <w:t>his right to consular access under Article 7(3) of the International Convention for the Suppression of Terrorist Bombings</w:t>
      </w:r>
      <w:r w:rsidR="006E015F">
        <w:t xml:space="preserve">, </w:t>
      </w:r>
      <w:r w:rsidR="006E015F" w:rsidRPr="002D57EB">
        <w:t>15 December 1997</w:t>
      </w:r>
      <w:r w:rsidR="00767FD5">
        <w:t xml:space="preserve"> </w:t>
      </w:r>
      <w:r w:rsidR="00646DF1">
        <w:t>(Terrorist Bombings Convention)</w:t>
      </w:r>
      <w:r w:rsidRPr="002D078A">
        <w:t>; and</w:t>
      </w:r>
    </w:p>
    <w:p w:rsidR="00220A77" w:rsidRPr="002D078A" w:rsidRDefault="00220A77" w:rsidP="001704EF">
      <w:pPr>
        <w:pStyle w:val="JUDGMENTNUMBERED"/>
        <w:numPr>
          <w:ilvl w:val="0"/>
          <w:numId w:val="0"/>
        </w:numPr>
        <w:ind w:left="1440" w:hanging="720"/>
      </w:pPr>
      <w:r w:rsidRPr="002D078A">
        <w:t>(c)</w:t>
      </w:r>
      <w:r w:rsidRPr="002D078A">
        <w:tab/>
        <w:t>the trial court’s failure to issue a letter of request under section 2(1) of the International Co</w:t>
      </w:r>
      <w:r w:rsidR="006A7D69">
        <w:t>-</w:t>
      </w:r>
      <w:r w:rsidRPr="002D078A">
        <w:t>operation in Criminal Matters Act</w:t>
      </w:r>
      <w:r w:rsidRPr="004576C7">
        <w:rPr>
          <w:rStyle w:val="FootnoteReference"/>
        </w:rPr>
        <w:footnoteReference w:id="35"/>
      </w:r>
      <w:r w:rsidRPr="004576C7">
        <w:t xml:space="preserve"> to secure evidence from </w:t>
      </w:r>
      <w:r w:rsidR="00310431" w:rsidRPr="002D078A">
        <w:t xml:space="preserve">witnesses in proceedings </w:t>
      </w:r>
      <w:r w:rsidR="00D37251" w:rsidRPr="002D078A">
        <w:t xml:space="preserve">that took place </w:t>
      </w:r>
      <w:r w:rsidR="00310431" w:rsidRPr="002D078A">
        <w:t>in</w:t>
      </w:r>
      <w:r w:rsidRPr="002D078A">
        <w:t xml:space="preserve"> Nigeria.</w:t>
      </w:r>
      <w:r w:rsidR="00AC7ADA">
        <w:rPr>
          <w:rStyle w:val="FootnoteReference"/>
        </w:rPr>
        <w:footnoteReference w:id="36"/>
      </w:r>
    </w:p>
    <w:p w:rsidR="00220A77" w:rsidRPr="002D078A" w:rsidRDefault="00220A77" w:rsidP="00220A77">
      <w:pPr>
        <w:pStyle w:val="JUDGMENTCONTINUED"/>
      </w:pPr>
    </w:p>
    <w:p w:rsidR="00220A77" w:rsidRPr="002D078A" w:rsidRDefault="00220A77" w:rsidP="00220A77">
      <w:pPr>
        <w:pStyle w:val="JUDGMENTNUMBERED"/>
      </w:pPr>
      <w:r w:rsidRPr="002D078A">
        <w:t>The trial court refused the application.</w:t>
      </w:r>
      <w:r w:rsidR="00AC7ADA">
        <w:rPr>
          <w:rStyle w:val="FootnoteReference"/>
        </w:rPr>
        <w:footnoteReference w:id="37"/>
      </w:r>
      <w:r w:rsidRPr="002D078A">
        <w:t xml:space="preserve">  The </w:t>
      </w:r>
      <w:r w:rsidR="004D1CA0" w:rsidRPr="002D078A">
        <w:t xml:space="preserve">Supreme Court of Appeal </w:t>
      </w:r>
      <w:r w:rsidRPr="002D078A">
        <w:t>refused leave to appeal.  There the matter lay until, days before the initial set-down in this Court of the State’s challenge to Mr Okah’s acquittal on the Warri bombings, Mr</w:t>
      </w:r>
      <w:r w:rsidR="00D41C5B" w:rsidRPr="002D078A">
        <w:t> </w:t>
      </w:r>
      <w:r w:rsidRPr="002D078A">
        <w:t>Okah sought to revive the alleged irregularities.</w:t>
      </w:r>
    </w:p>
    <w:p w:rsidR="00220A77" w:rsidRPr="002D078A" w:rsidRDefault="00220A77" w:rsidP="00220A77">
      <w:pPr>
        <w:pStyle w:val="JUDGMENTCONTINUED"/>
        <w:rPr>
          <w:color w:val="000000" w:themeColor="text1"/>
          <w:szCs w:val="26"/>
        </w:rPr>
      </w:pPr>
    </w:p>
    <w:p w:rsidR="00220A77" w:rsidRPr="002D078A" w:rsidRDefault="00505C62" w:rsidP="00220A77">
      <w:pPr>
        <w:pStyle w:val="HEADING"/>
      </w:pPr>
      <w:r>
        <w:t xml:space="preserve">In the </w:t>
      </w:r>
      <w:bookmarkStart w:id="0" w:name="_GoBack"/>
      <w:bookmarkEnd w:id="0"/>
      <w:r w:rsidR="00220A77" w:rsidRPr="002D078A">
        <w:t>Supreme Court of Appeal</w:t>
      </w:r>
    </w:p>
    <w:p w:rsidR="00220A77" w:rsidRPr="002D7D3A" w:rsidRDefault="00220A77" w:rsidP="00220A77">
      <w:pPr>
        <w:pStyle w:val="JUDGMENTNUMBERED"/>
        <w:numPr>
          <w:ilvl w:val="0"/>
          <w:numId w:val="14"/>
        </w:numPr>
        <w:ind w:left="0" w:firstLine="0"/>
        <w:rPr>
          <w:color w:val="000000" w:themeColor="text1"/>
          <w:szCs w:val="26"/>
        </w:rPr>
      </w:pPr>
      <w:r w:rsidRPr="002D078A">
        <w:rPr>
          <w:color w:val="000000" w:themeColor="text1"/>
          <w:szCs w:val="26"/>
        </w:rPr>
        <w:t xml:space="preserve">The trial court granted Mr Okah leave to appeal against his convictions on counts 1 to 12 on only the narrow basis that the </w:t>
      </w:r>
      <w:r w:rsidR="00FA65F0" w:rsidRPr="002D078A">
        <w:rPr>
          <w:color w:val="000000" w:themeColor="text1"/>
          <w:szCs w:val="26"/>
        </w:rPr>
        <w:t>C</w:t>
      </w:r>
      <w:r w:rsidRPr="002D078A">
        <w:rPr>
          <w:color w:val="000000" w:themeColor="text1"/>
          <w:szCs w:val="26"/>
        </w:rPr>
        <w:t>ourt lacked jurisdiction because the acts were committed beyond South Africa’s borders.</w:t>
      </w:r>
      <w:r w:rsidRPr="002D078A">
        <w:rPr>
          <w:vertAlign w:val="superscript"/>
        </w:rPr>
        <w:footnoteReference w:id="38"/>
      </w:r>
      <w:r w:rsidRPr="002D078A">
        <w:rPr>
          <w:color w:val="000000" w:themeColor="text1"/>
          <w:szCs w:val="26"/>
        </w:rPr>
        <w:t xml:space="preserve">  Mr Okah’s counsel abandoned the attempt to invoke </w:t>
      </w:r>
      <w:r w:rsidRPr="002D7D3A">
        <w:rPr>
          <w:color w:val="000000" w:themeColor="text1"/>
          <w:szCs w:val="26"/>
        </w:rPr>
        <w:t xml:space="preserve">section 1(4) before the </w:t>
      </w:r>
      <w:r w:rsidR="004D1CA0" w:rsidRPr="002D7D3A">
        <w:rPr>
          <w:color w:val="000000" w:themeColor="text1"/>
          <w:szCs w:val="26"/>
        </w:rPr>
        <w:t>Supreme Court of Appeal</w:t>
      </w:r>
      <w:r w:rsidRPr="002D7D3A">
        <w:rPr>
          <w:color w:val="000000" w:themeColor="text1"/>
          <w:szCs w:val="26"/>
        </w:rPr>
        <w:t>.</w:t>
      </w:r>
    </w:p>
    <w:p w:rsidR="00220A77" w:rsidRPr="002D7D3A" w:rsidRDefault="00220A77" w:rsidP="00220A77">
      <w:pPr>
        <w:pStyle w:val="JUDGMENTCONTINUED"/>
      </w:pPr>
    </w:p>
    <w:p w:rsidR="00220A77" w:rsidRPr="002D078A" w:rsidRDefault="00220A77" w:rsidP="00220A77">
      <w:pPr>
        <w:pStyle w:val="JUDGMENTNUMBERED"/>
      </w:pPr>
      <w:r w:rsidRPr="002D7D3A">
        <w:t xml:space="preserve">The </w:t>
      </w:r>
      <w:r w:rsidR="004D1CA0" w:rsidRPr="002D7D3A">
        <w:t xml:space="preserve">Supreme Court of Appeal </w:t>
      </w:r>
      <w:r w:rsidR="00D277B5">
        <w:t xml:space="preserve">provided an overview of </w:t>
      </w:r>
      <w:r w:rsidRPr="002D7D3A">
        <w:t xml:space="preserve">our law relating to </w:t>
      </w:r>
      <w:r w:rsidR="00CE2504" w:rsidRPr="002D7D3A">
        <w:t xml:space="preserve">extra-territorial </w:t>
      </w:r>
      <w:r w:rsidRPr="002D7D3A">
        <w:t xml:space="preserve">jurisdiction </w:t>
      </w:r>
      <w:r w:rsidR="00BC384A">
        <w:t xml:space="preserve">preceding </w:t>
      </w:r>
      <w:r w:rsidR="00CE2504" w:rsidRPr="002D7D3A">
        <w:t>the Act</w:t>
      </w:r>
      <w:r w:rsidRPr="002D7D3A">
        <w:t>.</w:t>
      </w:r>
      <w:r w:rsidRPr="002D7D3A">
        <w:rPr>
          <w:rStyle w:val="FootnoteReference"/>
        </w:rPr>
        <w:footnoteReference w:id="39"/>
      </w:r>
      <w:r w:rsidRPr="002D7D3A">
        <w:t xml:space="preserve">  </w:t>
      </w:r>
      <w:r w:rsidR="00CE2504" w:rsidRPr="002D7D3A">
        <w:t xml:space="preserve">The Court noted that section 15(1) of the Act </w:t>
      </w:r>
      <w:r w:rsidR="00DE1CDC">
        <w:t xml:space="preserve">now constitutes </w:t>
      </w:r>
      <w:r w:rsidR="00CE2504" w:rsidRPr="002D7D3A">
        <w:t xml:space="preserve">the main </w:t>
      </w:r>
      <w:r w:rsidR="00DE1CDC">
        <w:t xml:space="preserve">basis </w:t>
      </w:r>
      <w:r w:rsidR="00CE2504" w:rsidRPr="002D7D3A">
        <w:t>of South African courts’ jurisdiction to try terrorism offences committed outside South Africa.</w:t>
      </w:r>
      <w:r w:rsidRPr="002D7D3A">
        <w:rPr>
          <w:rStyle w:val="FootnoteReference"/>
        </w:rPr>
        <w:footnoteReference w:id="40"/>
      </w:r>
      <w:r w:rsidRPr="002D7D3A">
        <w:t xml:space="preserve">  This </w:t>
      </w:r>
      <w:r w:rsidR="002D7D3A" w:rsidRPr="002D7D3A">
        <w:t xml:space="preserve">section </w:t>
      </w:r>
      <w:r w:rsidR="00705731">
        <w:t>confers extra</w:t>
      </w:r>
      <w:r w:rsidR="00705731">
        <w:noBreakHyphen/>
      </w:r>
      <w:r w:rsidRPr="002D7D3A">
        <w:t>territorial jurisdiction only in respect of a “specified offence” as defined.</w:t>
      </w:r>
      <w:r w:rsidRPr="002D7D3A">
        <w:rPr>
          <w:rStyle w:val="FootnoteReference"/>
        </w:rPr>
        <w:footnoteReference w:id="41"/>
      </w:r>
      <w:r w:rsidRPr="002D7D3A">
        <w:t xml:space="preserve">  Because each of the sections referred to in the introductory words to the definition deals specifically with financing</w:t>
      </w:r>
      <w:r w:rsidRPr="002D078A">
        <w:t xml:space="preserve"> terrorist acts,</w:t>
      </w:r>
      <w:r w:rsidR="008C2231">
        <w:rPr>
          <w:rStyle w:val="FootnoteReference"/>
        </w:rPr>
        <w:footnoteReference w:id="42"/>
      </w:r>
      <w:r w:rsidRPr="002D078A">
        <w:t xml:space="preserve"> the </w:t>
      </w:r>
      <w:r w:rsidR="00DE74F5" w:rsidRPr="002D078A">
        <w:t xml:space="preserve">Supreme Court of Appeal </w:t>
      </w:r>
      <w:r w:rsidRPr="002D078A">
        <w:t>interpreted a “specified offence” itself to include only offences of financing.</w:t>
      </w:r>
      <w:r w:rsidR="003633E2">
        <w:rPr>
          <w:rStyle w:val="FootnoteReference"/>
        </w:rPr>
        <w:footnoteReference w:id="43"/>
      </w:r>
    </w:p>
    <w:p w:rsidR="00220A77" w:rsidRPr="002D078A" w:rsidRDefault="00220A77" w:rsidP="008C0E33">
      <w:pPr>
        <w:pStyle w:val="JUDGMENTCONTINUED"/>
      </w:pPr>
    </w:p>
    <w:p w:rsidR="00220A77" w:rsidRPr="002D078A" w:rsidRDefault="00220A77" w:rsidP="00220A77">
      <w:pPr>
        <w:pStyle w:val="JUDGMENTNUMBERED"/>
      </w:pPr>
      <w:r w:rsidRPr="002D078A">
        <w:lastRenderedPageBreak/>
        <w:t xml:space="preserve">The </w:t>
      </w:r>
      <w:r w:rsidR="00DE74F5" w:rsidRPr="002D078A">
        <w:t xml:space="preserve">Supreme Court of Appeal </w:t>
      </w:r>
      <w:r w:rsidRPr="002D078A">
        <w:t>thus held that the South African courts “have extra</w:t>
      </w:r>
      <w:r w:rsidR="003E5651">
        <w:t>-</w:t>
      </w:r>
      <w:r w:rsidRPr="002D078A">
        <w:t>territorial jurisdiction in terms of section 15(1) of the Act only in relation to the crimes of the financing of the offences”</w:t>
      </w:r>
      <w:r w:rsidR="00DE1CDC">
        <w:t>.</w:t>
      </w:r>
      <w:r w:rsidRPr="002D078A">
        <w:rPr>
          <w:rStyle w:val="FootnoteReference"/>
        </w:rPr>
        <w:footnoteReference w:id="44"/>
      </w:r>
      <w:r w:rsidR="00DE1CDC">
        <w:t xml:space="preserve"> </w:t>
      </w:r>
      <w:r w:rsidR="00AC3E7B">
        <w:t xml:space="preserve"> </w:t>
      </w:r>
      <w:r w:rsidR="00DE1CDC">
        <w:t>On this limited reading</w:t>
      </w:r>
      <w:r w:rsidR="005C7FD4" w:rsidRPr="002D078A">
        <w:t>,</w:t>
      </w:r>
      <w:r w:rsidRPr="002D078A">
        <w:t xml:space="preserve"> </w:t>
      </w:r>
      <w:r w:rsidR="00DE1CDC">
        <w:t xml:space="preserve">the Court </w:t>
      </w:r>
      <w:r w:rsidRPr="002D078A">
        <w:t xml:space="preserve">overturned the Warri convictions.  The </w:t>
      </w:r>
      <w:r w:rsidR="00DE74F5" w:rsidRPr="002D078A">
        <w:t>Court</w:t>
      </w:r>
      <w:r w:rsidR="005C7FD4" w:rsidRPr="002D078A">
        <w:t>,</w:t>
      </w:r>
      <w:r w:rsidR="00DE74F5" w:rsidRPr="002D078A">
        <w:t xml:space="preserve"> </w:t>
      </w:r>
      <w:r w:rsidRPr="002D078A">
        <w:t>however</w:t>
      </w:r>
      <w:r w:rsidR="005C7FD4" w:rsidRPr="002D078A">
        <w:t>,</w:t>
      </w:r>
      <w:r w:rsidR="00C93710">
        <w:t xml:space="preserve"> confirmed Mr </w:t>
      </w:r>
      <w:r w:rsidRPr="002D078A">
        <w:t>Okah’s convictions on counts</w:t>
      </w:r>
      <w:r w:rsidR="005C7FD4" w:rsidRPr="002D078A">
        <w:t xml:space="preserve"> </w:t>
      </w:r>
      <w:r w:rsidRPr="002D078A">
        <w:t>2, 4, 6, 8, 10 and 12.  This was because he had orchestrated the Abuja bombings from within South Africa.</w:t>
      </w:r>
      <w:r w:rsidRPr="002D078A">
        <w:rPr>
          <w:vertAlign w:val="superscript"/>
        </w:rPr>
        <w:footnoteReference w:id="45"/>
      </w:r>
    </w:p>
    <w:p w:rsidR="00220A77" w:rsidRPr="00D30E2C" w:rsidRDefault="00220A77" w:rsidP="00D30E2C">
      <w:pPr>
        <w:pStyle w:val="JUDGMENTCONTINUED"/>
      </w:pPr>
    </w:p>
    <w:p w:rsidR="00220A77" w:rsidRPr="002D078A" w:rsidRDefault="00ED6A6A" w:rsidP="009070FD">
      <w:pPr>
        <w:pStyle w:val="HEADING"/>
      </w:pPr>
      <w:r w:rsidRPr="002D078A">
        <w:t>Friends of the Court (amici</w:t>
      </w:r>
      <w:r w:rsidR="00D277B5">
        <w:t xml:space="preserve"> curiae</w:t>
      </w:r>
      <w:r w:rsidRPr="002D078A">
        <w:t>)</w:t>
      </w:r>
    </w:p>
    <w:p w:rsidR="00220A77" w:rsidRPr="002D078A" w:rsidRDefault="00220A77" w:rsidP="00A661CD">
      <w:pPr>
        <w:pStyle w:val="JUDGMENTNUMBERED"/>
      </w:pPr>
      <w:r w:rsidRPr="002D078A">
        <w:t>Shortly before the hearing, th</w:t>
      </w:r>
      <w:r w:rsidR="008043A2">
        <w:t>is</w:t>
      </w:r>
      <w:r w:rsidRPr="002D078A">
        <w:t xml:space="preserve"> Court directed that the papers be brought to the attention of certain persons and organisations with expertise in international law.</w:t>
      </w:r>
      <w:r w:rsidRPr="002D078A">
        <w:rPr>
          <w:rStyle w:val="FootnoteReference"/>
        </w:rPr>
        <w:footnoteReference w:id="46"/>
      </w:r>
      <w:r w:rsidRPr="002D078A">
        <w:t xml:space="preserve">  In response, the Institute for Security Studies and the Southern Africa Litigation Centre applied for and were admi</w:t>
      </w:r>
      <w:r w:rsidR="006744D2">
        <w:t>tted</w:t>
      </w:r>
      <w:r w:rsidRPr="002D078A">
        <w:t xml:space="preserve"> as first and second amic</w:t>
      </w:r>
      <w:r w:rsidR="00ED6A6A" w:rsidRPr="002D078A">
        <w:t>i</w:t>
      </w:r>
      <w:r w:rsidRPr="002D078A">
        <w:t xml:space="preserve">.  Both assisted </w:t>
      </w:r>
      <w:r w:rsidR="002F4EB0">
        <w:t>this</w:t>
      </w:r>
      <w:r w:rsidRPr="002D078A">
        <w:t xml:space="preserve"> Court with written and oral submissions.  The amici made common cause with the State in regard to the interpretation of “specified offence” as well as</w:t>
      </w:r>
      <w:r w:rsidR="00585B61" w:rsidRPr="002D078A">
        <w:t>, given the facts</w:t>
      </w:r>
      <w:r w:rsidR="00585B61">
        <w:t>,</w:t>
      </w:r>
      <w:r w:rsidRPr="002D078A">
        <w:t xml:space="preserve"> the </w:t>
      </w:r>
      <w:r w:rsidR="00065CC6" w:rsidRPr="002D078A">
        <w:t>in</w:t>
      </w:r>
      <w:r w:rsidRPr="002D078A">
        <w:t>applicability</w:t>
      </w:r>
      <w:r w:rsidR="00065CC6" w:rsidRPr="002D078A">
        <w:t xml:space="preserve"> of section 1(4)</w:t>
      </w:r>
      <w:r w:rsidRPr="002D078A">
        <w:t xml:space="preserve"> under</w:t>
      </w:r>
      <w:r w:rsidR="00065CC6" w:rsidRPr="002D078A">
        <w:t xml:space="preserve"> international humanitarian law</w:t>
      </w:r>
      <w:r w:rsidRPr="002D078A">
        <w:t xml:space="preserve">.  </w:t>
      </w:r>
      <w:r w:rsidR="002F4EB0">
        <w:t>This</w:t>
      </w:r>
      <w:r w:rsidRPr="002D078A">
        <w:t xml:space="preserve"> Court is greatly </w:t>
      </w:r>
      <w:r w:rsidR="00FA589C" w:rsidRPr="002D078A">
        <w:t>indebted</w:t>
      </w:r>
      <w:r w:rsidR="009D65F9">
        <w:t xml:space="preserve"> to the amici</w:t>
      </w:r>
      <w:r w:rsidRPr="002D078A">
        <w:t>.</w:t>
      </w:r>
    </w:p>
    <w:p w:rsidR="00220A77" w:rsidRPr="008C0E33" w:rsidRDefault="00220A77" w:rsidP="008C0E33">
      <w:pPr>
        <w:pStyle w:val="JUDGMENTCONTINUED"/>
      </w:pPr>
    </w:p>
    <w:p w:rsidR="00220A77" w:rsidRPr="002D078A" w:rsidRDefault="00F021C2" w:rsidP="009070FD">
      <w:pPr>
        <w:pStyle w:val="HEADING"/>
        <w:rPr>
          <w:i w:val="0"/>
        </w:rPr>
      </w:pPr>
      <w:r>
        <w:t>L</w:t>
      </w:r>
      <w:r w:rsidR="00220A77" w:rsidRPr="002D078A">
        <w:t>eave to appeal</w:t>
      </w:r>
    </w:p>
    <w:p w:rsidR="00220A77" w:rsidRPr="002D078A" w:rsidRDefault="00C06A0B" w:rsidP="008C0E33">
      <w:pPr>
        <w:pStyle w:val="JUDGMENTNUMBERED"/>
        <w:spacing w:after="120"/>
      </w:pPr>
      <w:r>
        <w:t>Deciding</w:t>
      </w:r>
      <w:r w:rsidR="000A2166" w:rsidRPr="000A2166">
        <w:t xml:space="preserve"> </w:t>
      </w:r>
      <w:r w:rsidR="00220A77" w:rsidRPr="000A2166">
        <w:t>the</w:t>
      </w:r>
      <w:r>
        <w:t xml:space="preserve"> scope of</w:t>
      </w:r>
      <w:r w:rsidR="00220A77" w:rsidRPr="000A2166">
        <w:t xml:space="preserve"> jurisdiction</w:t>
      </w:r>
      <w:r w:rsidR="00E7110B" w:rsidRPr="000A2166">
        <w:t xml:space="preserve"> of South African courts</w:t>
      </w:r>
      <w:r>
        <w:t xml:space="preserve"> is a constitutional matter;</w:t>
      </w:r>
      <w:r w:rsidR="00220A77" w:rsidRPr="002D078A">
        <w:rPr>
          <w:rStyle w:val="FootnoteReference"/>
        </w:rPr>
        <w:footnoteReference w:id="47"/>
      </w:r>
      <w:r>
        <w:t xml:space="preserve"> therefore,</w:t>
      </w:r>
      <w:r w:rsidR="00220A77" w:rsidRPr="002D078A">
        <w:t xml:space="preserve"> this Court has jurisdiction.  It also became evident during argument that determining the South African courts’ jurisdiction under the Act relates to a number of pending prosecutions.  That question, which is clearly arguable, is thus </w:t>
      </w:r>
      <w:r w:rsidR="00220A77" w:rsidRPr="002D078A">
        <w:lastRenderedPageBreak/>
        <w:t>one of general public importance, which this Court ought to consider.</w:t>
      </w:r>
      <w:r w:rsidR="00220A77" w:rsidRPr="002D078A">
        <w:rPr>
          <w:rStyle w:val="FootnoteReference"/>
        </w:rPr>
        <w:footnoteReference w:id="48"/>
      </w:r>
      <w:r w:rsidR="00467210">
        <w:t xml:space="preserve">  Th</w:t>
      </w:r>
      <w:r w:rsidR="00817607">
        <w:t>is</w:t>
      </w:r>
      <w:r w:rsidR="00467210">
        <w:t xml:space="preserve"> Court thus also has general jurisdiction.</w:t>
      </w:r>
    </w:p>
    <w:p w:rsidR="00220A77" w:rsidRPr="002D078A" w:rsidRDefault="00220A77" w:rsidP="00220A77">
      <w:pPr>
        <w:pStyle w:val="JUDGMENTCONTINUED"/>
      </w:pPr>
    </w:p>
    <w:p w:rsidR="00220A77" w:rsidRPr="002D078A" w:rsidRDefault="00220A77" w:rsidP="00220A77">
      <w:pPr>
        <w:pStyle w:val="JUDGMENTNUMBERED"/>
      </w:pPr>
      <w:r w:rsidRPr="002D078A">
        <w:t xml:space="preserve">The ambit of section 1(4) of the Act is, likewise, a matter of general public importance, though whether the Court ought to </w:t>
      </w:r>
      <w:r w:rsidR="004165D4">
        <w:t>hear it in the form in which Mr </w:t>
      </w:r>
      <w:r w:rsidRPr="002D078A">
        <w:t>Okah raises it depends on the interests of justice</w:t>
      </w:r>
      <w:r w:rsidR="00DA00B4">
        <w:t>.</w:t>
      </w:r>
      <w:r w:rsidRPr="002D078A">
        <w:rPr>
          <w:rStyle w:val="FootnoteReference"/>
        </w:rPr>
        <w:footnoteReference w:id="49"/>
      </w:r>
      <w:r w:rsidR="00B977DF">
        <w:t xml:space="preserve">  I consider, later, whether Mr </w:t>
      </w:r>
      <w:r w:rsidRPr="002D078A">
        <w:t>Okah’s application for leave to appeal against the refusal of the special entries</w:t>
      </w:r>
      <w:r w:rsidR="00094EB6" w:rsidRPr="002D078A">
        <w:t xml:space="preserve"> should be granted</w:t>
      </w:r>
      <w:r w:rsidRPr="002D078A">
        <w:t>.</w:t>
      </w:r>
    </w:p>
    <w:p w:rsidR="0074715B" w:rsidRPr="009178AA" w:rsidRDefault="0074715B" w:rsidP="008C0E33">
      <w:pPr>
        <w:pStyle w:val="JUDGMENTCONTINUED"/>
      </w:pPr>
    </w:p>
    <w:p w:rsidR="0074715B" w:rsidRPr="009178AA" w:rsidRDefault="0074715B" w:rsidP="0074715B">
      <w:pPr>
        <w:pStyle w:val="HEADING"/>
      </w:pPr>
      <w:r w:rsidRPr="009178AA">
        <w:t xml:space="preserve">Extra-territorial jurisdiction under section 15(1) </w:t>
      </w:r>
      <w:r w:rsidR="00EA216D" w:rsidRPr="009178AA">
        <w:t>of the Act</w:t>
      </w:r>
    </w:p>
    <w:p w:rsidR="0074715B" w:rsidRPr="009178AA" w:rsidRDefault="0074715B" w:rsidP="0074715B">
      <w:pPr>
        <w:pStyle w:val="JUDGMENTNUMBERED"/>
      </w:pPr>
      <w:r w:rsidRPr="009178AA">
        <w:t xml:space="preserve">As the </w:t>
      </w:r>
      <w:r w:rsidR="00DE74F5" w:rsidRPr="004576C7">
        <w:t>Supreme Court of Appeal</w:t>
      </w:r>
      <w:r w:rsidR="002A7291">
        <w:t xml:space="preserve"> noted</w:t>
      </w:r>
      <w:r w:rsidRPr="009178AA">
        <w:t>, the primary question is the extent to which section 15 of the Act confers extra-territorial jurisdiction on our courts</w:t>
      </w:r>
      <w:r w:rsidR="004C653D">
        <w:t xml:space="preserve"> to try</w:t>
      </w:r>
      <w:r w:rsidR="00DF7D42">
        <w:t xml:space="preserve"> alleged offences </w:t>
      </w:r>
      <w:r w:rsidR="004C653D">
        <w:t>– beyond the financing of an offence – that occurred outside South Africa</w:t>
      </w:r>
      <w:r w:rsidRPr="009178AA">
        <w:t xml:space="preserve">. </w:t>
      </w:r>
      <w:r w:rsidR="00490751" w:rsidRPr="009178AA">
        <w:t xml:space="preserve"> </w:t>
      </w:r>
      <w:r w:rsidRPr="009178AA">
        <w:t>This, in turn, centres on what is meant by “specified offence”.</w:t>
      </w:r>
    </w:p>
    <w:p w:rsidR="0074715B" w:rsidRPr="009178AA" w:rsidRDefault="0074715B" w:rsidP="0074715B">
      <w:pPr>
        <w:pStyle w:val="JUDGMENTCONTINUED"/>
      </w:pPr>
    </w:p>
    <w:p w:rsidR="0074715B" w:rsidRPr="009178AA" w:rsidRDefault="0074715B" w:rsidP="0074715B">
      <w:pPr>
        <w:pStyle w:val="JUDGMENTNUMBERED"/>
      </w:pPr>
      <w:r w:rsidRPr="009178AA">
        <w:t xml:space="preserve">Section 15(1) confers jurisdiction over </w:t>
      </w:r>
      <w:r w:rsidR="005630CA">
        <w:t>“</w:t>
      </w:r>
      <w:r w:rsidRPr="009178AA">
        <w:t>specified offenc</w:t>
      </w:r>
      <w:r w:rsidR="001F511C">
        <w:t>es</w:t>
      </w:r>
      <w:r w:rsidR="005630CA">
        <w:t>”</w:t>
      </w:r>
      <w:r w:rsidR="001F511C">
        <w:t>, a term defined in section 1</w:t>
      </w:r>
      <w:r w:rsidR="00C74057">
        <w:t>(1)</w:t>
      </w:r>
      <w:r w:rsidR="001F511C">
        <w:t xml:space="preserve">.  That provision in turn </w:t>
      </w:r>
      <w:r w:rsidR="00825F32">
        <w:t>refers</w:t>
      </w:r>
      <w:r w:rsidRPr="009178AA">
        <w:t xml:space="preserve"> to </w:t>
      </w:r>
      <w:r w:rsidR="00736CA2">
        <w:t>six</w:t>
      </w:r>
      <w:r w:rsidR="00736CA2" w:rsidRPr="009178AA">
        <w:t xml:space="preserve"> </w:t>
      </w:r>
      <w:r w:rsidRPr="009178AA">
        <w:t xml:space="preserve">other sections: 2, </w:t>
      </w:r>
      <w:r w:rsidR="00C74057">
        <w:t xml:space="preserve">3, </w:t>
      </w:r>
      <w:r w:rsidRPr="009178AA">
        <w:t>4, 13</w:t>
      </w:r>
      <w:r w:rsidR="00825F32">
        <w:t>,</w:t>
      </w:r>
      <w:r w:rsidRPr="009178AA">
        <w:t xml:space="preserve"> 14 and 23. </w:t>
      </w:r>
      <w:r w:rsidR="00825F32">
        <w:t xml:space="preserve"> </w:t>
      </w:r>
      <w:r w:rsidR="00C93710">
        <w:t>Section </w:t>
      </w:r>
      <w:r w:rsidRPr="009178AA">
        <w:t>15(2) acts as a residual jurisdiction-granting clause.</w:t>
      </w:r>
      <w:r w:rsidR="00F479D0" w:rsidRPr="009178AA">
        <w:rPr>
          <w:rStyle w:val="FootnoteReference"/>
        </w:rPr>
        <w:footnoteReference w:id="50"/>
      </w:r>
      <w:r w:rsidRPr="009178AA">
        <w:t xml:space="preserve"> </w:t>
      </w:r>
      <w:r w:rsidR="004576C7">
        <w:t xml:space="preserve"> </w:t>
      </w:r>
      <w:r w:rsidRPr="009178AA">
        <w:t xml:space="preserve">It provides that any act </w:t>
      </w:r>
      <w:r w:rsidR="0027276B" w:rsidRPr="009178AA">
        <w:t xml:space="preserve">alleged to constitute </w:t>
      </w:r>
      <w:r w:rsidRPr="009178AA">
        <w:t>an offen</w:t>
      </w:r>
      <w:r w:rsidR="0027276B" w:rsidRPr="009178AA">
        <w:t>c</w:t>
      </w:r>
      <w:r w:rsidRPr="009178AA">
        <w:t xml:space="preserve">e </w:t>
      </w:r>
      <w:r w:rsidR="0027276B" w:rsidRPr="009178AA">
        <w:t xml:space="preserve">committed </w:t>
      </w:r>
      <w:r w:rsidRPr="009178AA">
        <w:t>by a per</w:t>
      </w:r>
      <w:r w:rsidR="00941754">
        <w:t>son not contemplated by section </w:t>
      </w:r>
      <w:r w:rsidRPr="009178AA">
        <w:t xml:space="preserve">15(1) may nonetheless be brought to justice in our courts so long as there is a </w:t>
      </w:r>
      <w:r w:rsidRPr="009178AA">
        <w:lastRenderedPageBreak/>
        <w:t xml:space="preserve">particular nexus between the act or person and South Africa.  The charges </w:t>
      </w:r>
      <w:r w:rsidR="002E3D6F" w:rsidRPr="009178AA">
        <w:t xml:space="preserve">that </w:t>
      </w:r>
      <w:r w:rsidRPr="009178AA">
        <w:t xml:space="preserve">are the subject of this appeal do not meet the </w:t>
      </w:r>
      <w:r w:rsidR="004460FA">
        <w:t xml:space="preserve">section </w:t>
      </w:r>
      <w:r w:rsidRPr="009178AA">
        <w:t>15(2) nexus</w:t>
      </w:r>
      <w:r w:rsidR="00D81947">
        <w:t xml:space="preserve"> </w:t>
      </w:r>
      <w:r w:rsidRPr="009178AA">
        <w:t>requirements.</w:t>
      </w:r>
    </w:p>
    <w:p w:rsidR="0074715B" w:rsidRPr="009178AA" w:rsidRDefault="0074715B" w:rsidP="0074715B">
      <w:pPr>
        <w:pStyle w:val="JUDGMENTCONTINUED"/>
      </w:pPr>
    </w:p>
    <w:p w:rsidR="009070FD" w:rsidRDefault="0074715B" w:rsidP="00B13ED0">
      <w:pPr>
        <w:pStyle w:val="JUDGMENTNUMBERED"/>
      </w:pPr>
      <w:r w:rsidRPr="009178AA">
        <w:t>Section 1</w:t>
      </w:r>
      <w:r w:rsidR="00397EA9">
        <w:t>(1)</w:t>
      </w:r>
      <w:r w:rsidRPr="009178AA">
        <w:t xml:space="preserve"> sets out the definitions of various terms used throughout the Act.</w:t>
      </w:r>
      <w:r w:rsidR="004460FA">
        <w:t xml:space="preserve"> </w:t>
      </w:r>
      <w:r w:rsidRPr="009178AA">
        <w:t xml:space="preserve"> Regarding the term at issue, it states:</w:t>
      </w:r>
    </w:p>
    <w:p w:rsidR="00B13ED0" w:rsidRPr="00B13ED0" w:rsidRDefault="00B13ED0" w:rsidP="00B13ED0">
      <w:pPr>
        <w:pStyle w:val="QUOTATION"/>
      </w:pPr>
    </w:p>
    <w:p w:rsidR="0074715B" w:rsidRPr="009178AA" w:rsidRDefault="0074715B" w:rsidP="008C0E33">
      <w:pPr>
        <w:pStyle w:val="QUOTATION"/>
        <w:spacing w:after="120"/>
      </w:pPr>
      <w:r w:rsidRPr="009178AA">
        <w:t>“‘</w:t>
      </w:r>
      <w:r w:rsidR="005F63F0">
        <w:t>[S]</w:t>
      </w:r>
      <w:r w:rsidRPr="009178AA">
        <w:t>pecified offence’, with reference to section 4, 14 (in so far as it relates to section</w:t>
      </w:r>
      <w:r w:rsidR="00D47828">
        <w:t> </w:t>
      </w:r>
      <w:r w:rsidRPr="009178AA">
        <w:t>4), and 23, means</w:t>
      </w:r>
      <w:r w:rsidR="004460FA">
        <w:t>—</w:t>
      </w:r>
    </w:p>
    <w:p w:rsidR="0074715B" w:rsidRPr="009178AA" w:rsidRDefault="0074715B" w:rsidP="008C0E33">
      <w:pPr>
        <w:pStyle w:val="QUOTATION"/>
        <w:spacing w:after="120"/>
        <w:ind w:left="2160" w:hanging="720"/>
      </w:pPr>
      <w:r w:rsidRPr="009178AA">
        <w:t>(a)</w:t>
      </w:r>
      <w:r w:rsidRPr="009178AA">
        <w:tab/>
        <w:t>the offence of terrorism referred to in section 2, an offence associated or connected with terrorist activities referred to in section 3, a Convention offence, or an offence referred to in section 13 or 14 (in so far as it relates to the aforementioned sections); or</w:t>
      </w:r>
    </w:p>
    <w:p w:rsidR="0074715B" w:rsidRDefault="0074715B" w:rsidP="0074715B">
      <w:pPr>
        <w:pStyle w:val="QUOTATION"/>
        <w:ind w:left="2160" w:hanging="720"/>
      </w:pPr>
      <w:r w:rsidRPr="009178AA">
        <w:t>(b)</w:t>
      </w:r>
      <w:r w:rsidRPr="009178AA">
        <w:tab/>
        <w:t>any activity outside the Republic which constitutes an offence under the law of another state and which would have constituted an offence referred to in paragraph (a), had that activity taken place in the Republic</w:t>
      </w:r>
      <w:r w:rsidR="003C7E8E" w:rsidRPr="009178AA">
        <w:t>.”</w:t>
      </w:r>
    </w:p>
    <w:p w:rsidR="00D47828" w:rsidRPr="009178AA" w:rsidRDefault="00D47828" w:rsidP="009178AA">
      <w:pPr>
        <w:pStyle w:val="JUDGMENTCONTINUED"/>
      </w:pPr>
    </w:p>
    <w:p w:rsidR="0074715B" w:rsidRPr="009178AA" w:rsidRDefault="0074715B" w:rsidP="001704EF">
      <w:pPr>
        <w:pStyle w:val="JUDGMENTCONTINUED"/>
      </w:pPr>
      <w:r w:rsidRPr="009178AA">
        <w:t xml:space="preserve">The </w:t>
      </w:r>
      <w:r w:rsidR="00DE74F5" w:rsidRPr="004576C7">
        <w:t xml:space="preserve">Supreme Court of Appeal </w:t>
      </w:r>
      <w:r w:rsidRPr="009178AA">
        <w:t xml:space="preserve">concluded that the term “specified offence” means the financing of activities listed in paragraphs (a) or (b). </w:t>
      </w:r>
      <w:r w:rsidR="0012394D">
        <w:t xml:space="preserve"> </w:t>
      </w:r>
      <w:r w:rsidRPr="009178AA">
        <w:t xml:space="preserve">The core of its reasoning </w:t>
      </w:r>
      <w:r w:rsidR="001F511C">
        <w:t xml:space="preserve">proceeded from </w:t>
      </w:r>
      <w:r w:rsidRPr="009178AA">
        <w:t>the introductory words “with reference to section 4, 14 (in so far as it relates to section 4), and 23”.</w:t>
      </w:r>
    </w:p>
    <w:p w:rsidR="0074715B" w:rsidRPr="009178AA" w:rsidRDefault="0074715B" w:rsidP="008C0E33">
      <w:pPr>
        <w:pStyle w:val="JUDGMENTCONTINUED"/>
      </w:pPr>
    </w:p>
    <w:p w:rsidR="0074715B" w:rsidRPr="008C453E" w:rsidRDefault="0074715B" w:rsidP="0074715B">
      <w:pPr>
        <w:pStyle w:val="JUDGMENTNUMBERED"/>
      </w:pPr>
      <w:r w:rsidRPr="004576C7">
        <w:t xml:space="preserve">In ascribing this meaning, </w:t>
      </w:r>
      <w:r w:rsidRPr="008C453E">
        <w:t xml:space="preserve">the </w:t>
      </w:r>
      <w:r w:rsidR="00DE74F5" w:rsidRPr="008C453E">
        <w:t xml:space="preserve">Supreme Court of Appeal </w:t>
      </w:r>
      <w:r w:rsidRPr="008C453E">
        <w:t>did not undertake a grammatical or other analysis of the words “with reference to”.  It said only that the definition of “specified offence” was “qualified by” the introductory words.</w:t>
      </w:r>
      <w:r w:rsidRPr="008C453E">
        <w:rPr>
          <w:rStyle w:val="FootnoteReference"/>
        </w:rPr>
        <w:footnoteReference w:id="51"/>
      </w:r>
      <w:r w:rsidRPr="008C453E">
        <w:t xml:space="preserve">  Although not making this explicit, it appears to have taken the</w:t>
      </w:r>
      <w:r w:rsidR="009413C7" w:rsidRPr="008C453E">
        <w:t xml:space="preserve"> words</w:t>
      </w:r>
      <w:r w:rsidRPr="008C453E">
        <w:t xml:space="preserve"> to mean something like “co-extensively with” or “limited to” or “only to the extent of”.</w:t>
      </w:r>
    </w:p>
    <w:p w:rsidR="0074715B" w:rsidRPr="00284390" w:rsidRDefault="0074715B" w:rsidP="00284390">
      <w:pPr>
        <w:pStyle w:val="JUDGMENTCONTINUED"/>
      </w:pPr>
    </w:p>
    <w:p w:rsidR="0074715B" w:rsidRPr="008C453E" w:rsidRDefault="0074715B" w:rsidP="0074715B">
      <w:pPr>
        <w:pStyle w:val="JUDGMENTNUMBERED"/>
      </w:pPr>
      <w:r w:rsidRPr="008C453E">
        <w:t xml:space="preserve">But this seems wrong.  The usual meaning of “with reference to” is </w:t>
      </w:r>
      <w:r w:rsidR="005B5452" w:rsidRPr="008C453E">
        <w:t xml:space="preserve">not limiting.  </w:t>
      </w:r>
      <w:r w:rsidR="00491B06">
        <w:t xml:space="preserve">It </w:t>
      </w:r>
      <w:r w:rsidR="005B5452" w:rsidRPr="008C453E">
        <w:t xml:space="preserve">is </w:t>
      </w:r>
      <w:r w:rsidR="00491B06">
        <w:t xml:space="preserve">generally just </w:t>
      </w:r>
      <w:r w:rsidR="005B5452" w:rsidRPr="008C453E">
        <w:t xml:space="preserve">a neutral connective phrase, meaning </w:t>
      </w:r>
      <w:r w:rsidRPr="008C453E">
        <w:t xml:space="preserve">“in relation to” or </w:t>
      </w:r>
      <w:r w:rsidRPr="008C453E">
        <w:lastRenderedPageBreak/>
        <w:t xml:space="preserve">“alluding to” or “in connection with” or “having to do with”.  The </w:t>
      </w:r>
      <w:r w:rsidR="00491B06">
        <w:t xml:space="preserve">job it does is just to connect </w:t>
      </w:r>
      <w:r w:rsidRPr="008C453E">
        <w:t xml:space="preserve">one concept or subject with another.  It does not do </w:t>
      </w:r>
      <w:r w:rsidR="000609AD">
        <w:t xml:space="preserve">this </w:t>
      </w:r>
      <w:r w:rsidRPr="008C453E">
        <w:t>by limiting or constricting the former by allu</w:t>
      </w:r>
      <w:r w:rsidR="005B5452" w:rsidRPr="008C453E">
        <w:t>ding</w:t>
      </w:r>
      <w:r w:rsidRPr="008C453E">
        <w:t xml:space="preserve"> to the latter.</w:t>
      </w:r>
      <w:r w:rsidR="00720242">
        <w:rPr>
          <w:rStyle w:val="FootnoteReference"/>
        </w:rPr>
        <w:footnoteReference w:id="52"/>
      </w:r>
    </w:p>
    <w:p w:rsidR="0074715B" w:rsidRPr="008C453E" w:rsidRDefault="0074715B" w:rsidP="0074715B">
      <w:pPr>
        <w:pStyle w:val="JUDGMENTCONTINUED"/>
      </w:pPr>
    </w:p>
    <w:p w:rsidR="0074715B" w:rsidRPr="008C453E" w:rsidRDefault="0074715B" w:rsidP="0074715B">
      <w:pPr>
        <w:pStyle w:val="JUDGMENTNUMBERED"/>
      </w:pPr>
      <w:r w:rsidRPr="008C453E">
        <w:t>Th</w:t>
      </w:r>
      <w:r w:rsidR="00871C74" w:rsidRPr="008C453E">
        <w:t xml:space="preserve">at the usual meaning of </w:t>
      </w:r>
      <w:r w:rsidRPr="008C453E">
        <w:t xml:space="preserve">“with reference to” </w:t>
      </w:r>
      <w:r w:rsidR="00871C74" w:rsidRPr="008C453E">
        <w:t xml:space="preserve">is </w:t>
      </w:r>
      <w:r w:rsidR="00536D7D">
        <w:t xml:space="preserve">the right one </w:t>
      </w:r>
      <w:r w:rsidR="00A94040">
        <w:t xml:space="preserve">here </w:t>
      </w:r>
      <w:r w:rsidR="00871C74" w:rsidRPr="008C453E">
        <w:t xml:space="preserve">emerges from two textual indicators.  </w:t>
      </w:r>
      <w:r w:rsidRPr="008C453E">
        <w:t xml:space="preserve">First, </w:t>
      </w:r>
      <w:r w:rsidR="00871C74" w:rsidRPr="008C453E">
        <w:t xml:space="preserve">that meaning </w:t>
      </w:r>
      <w:r w:rsidRPr="008C453E">
        <w:t>make</w:t>
      </w:r>
      <w:r w:rsidR="00871C74" w:rsidRPr="008C453E">
        <w:t>s</w:t>
      </w:r>
      <w:r w:rsidRPr="008C453E">
        <w:t xml:space="preserve"> sense of the </w:t>
      </w:r>
      <w:r w:rsidR="00871C74" w:rsidRPr="008C453E">
        <w:t xml:space="preserve">many </w:t>
      </w:r>
      <w:r w:rsidRPr="008C453E">
        <w:t xml:space="preserve">other instances in which </w:t>
      </w:r>
      <w:r w:rsidR="00871C74" w:rsidRPr="008C453E">
        <w:t>the statute’s definitions provision</w:t>
      </w:r>
      <w:r w:rsidR="00882879" w:rsidRPr="008C453E">
        <w:t xml:space="preserve"> – </w:t>
      </w:r>
      <w:r w:rsidR="00871C74" w:rsidRPr="008C453E">
        <w:t>section 1</w:t>
      </w:r>
      <w:r w:rsidR="00882879" w:rsidRPr="008C453E">
        <w:t xml:space="preserve"> – </w:t>
      </w:r>
      <w:r w:rsidR="00871C74" w:rsidRPr="008C453E">
        <w:t xml:space="preserve">uses </w:t>
      </w:r>
      <w:r w:rsidRPr="008C453E">
        <w:t xml:space="preserve">“with reference to”. </w:t>
      </w:r>
      <w:r w:rsidR="00871C74" w:rsidRPr="008C453E">
        <w:t xml:space="preserve"> </w:t>
      </w:r>
      <w:r w:rsidRPr="008C453E">
        <w:t xml:space="preserve">Second, </w:t>
      </w:r>
      <w:r w:rsidR="00871C74" w:rsidRPr="008C453E">
        <w:t xml:space="preserve">and more dramatically, that meaning </w:t>
      </w:r>
      <w:r w:rsidRPr="008C453E">
        <w:t>avoids absurd constructions of section</w:t>
      </w:r>
      <w:r w:rsidR="00882879" w:rsidRPr="008C453E">
        <w:t>s</w:t>
      </w:r>
      <w:r w:rsidRPr="008C453E">
        <w:t xml:space="preserve"> 4, 14 and 23.</w:t>
      </w:r>
    </w:p>
    <w:p w:rsidR="0074715B" w:rsidRPr="008C453E" w:rsidRDefault="0074715B" w:rsidP="0074715B">
      <w:pPr>
        <w:pStyle w:val="JUDGMENTCONTINUED"/>
      </w:pPr>
    </w:p>
    <w:p w:rsidR="0074715B" w:rsidRPr="008C453E" w:rsidRDefault="0074715B" w:rsidP="0074715B">
      <w:pPr>
        <w:pStyle w:val="JUDGMENTNUMBERED"/>
      </w:pPr>
      <w:r w:rsidRPr="008C453E">
        <w:t xml:space="preserve">The term “with reference to” is used </w:t>
      </w:r>
      <w:r w:rsidR="00871C74" w:rsidRPr="008C453E">
        <w:t xml:space="preserve">no fewer than </w:t>
      </w:r>
      <w:r w:rsidRPr="008C453E">
        <w:t xml:space="preserve">17 times in the Act, all within the definitions section. </w:t>
      </w:r>
      <w:r w:rsidR="00882879" w:rsidRPr="008C453E">
        <w:t xml:space="preserve"> </w:t>
      </w:r>
      <w:r w:rsidRPr="008C453E">
        <w:t xml:space="preserve">Each time, “with reference to” is used to connect a particular term to </w:t>
      </w:r>
      <w:r w:rsidR="005F09C0">
        <w:t xml:space="preserve">textual locations </w:t>
      </w:r>
      <w:r w:rsidRPr="008C453E">
        <w:t xml:space="preserve">in which it is used later. </w:t>
      </w:r>
      <w:r w:rsidR="00871C74" w:rsidRPr="008C453E">
        <w:t xml:space="preserve"> </w:t>
      </w:r>
      <w:r w:rsidRPr="008C453E">
        <w:t xml:space="preserve">It either </w:t>
      </w:r>
      <w:r w:rsidR="00871C74" w:rsidRPr="008C453E">
        <w:t>alludes to provisions</w:t>
      </w:r>
      <w:r w:rsidRPr="008C453E">
        <w:t>, as is the case with “specified offence”</w:t>
      </w:r>
      <w:r w:rsidR="00871C74" w:rsidRPr="008C453E">
        <w:t>,</w:t>
      </w:r>
      <w:r w:rsidRPr="008C453E">
        <w:t xml:space="preserve"> or it </w:t>
      </w:r>
      <w:r w:rsidR="00871C74" w:rsidRPr="008C453E">
        <w:t xml:space="preserve">alludes to </w:t>
      </w:r>
      <w:r w:rsidRPr="008C453E">
        <w:t>other terms.</w:t>
      </w:r>
      <w:r w:rsidR="00450C84" w:rsidRPr="008C453E">
        <w:t xml:space="preserve"> </w:t>
      </w:r>
      <w:r w:rsidRPr="008C453E">
        <w:t xml:space="preserve"> For example:</w:t>
      </w:r>
    </w:p>
    <w:p w:rsidR="00882879" w:rsidRPr="008C453E" w:rsidRDefault="00882879" w:rsidP="009178AA">
      <w:pPr>
        <w:pStyle w:val="QUOTATION"/>
      </w:pPr>
    </w:p>
    <w:p w:rsidR="0074715B" w:rsidRPr="008C453E" w:rsidRDefault="0074715B" w:rsidP="0074715B">
      <w:pPr>
        <w:pStyle w:val="QUOTATION"/>
      </w:pPr>
      <w:r w:rsidRPr="008C453E">
        <w:t>“‘</w:t>
      </w:r>
      <w:r w:rsidR="005F63F0">
        <w:t>[I]</w:t>
      </w:r>
      <w:r w:rsidRPr="008C453E">
        <w:t>nfrastructure facility’, with reference to the definition of ‘terrorist activity’ in this section and section 5, means . . .”</w:t>
      </w:r>
    </w:p>
    <w:p w:rsidR="00882879" w:rsidRPr="008C453E" w:rsidRDefault="00882879" w:rsidP="009178AA">
      <w:pPr>
        <w:pStyle w:val="JUDGMENTCONTINUED"/>
      </w:pPr>
    </w:p>
    <w:p w:rsidR="00871C74" w:rsidRPr="008C453E" w:rsidRDefault="0074715B" w:rsidP="0074715B">
      <w:pPr>
        <w:pStyle w:val="JUDGMENTCONTINUED"/>
      </w:pPr>
      <w:r w:rsidRPr="008C453E">
        <w:t xml:space="preserve">In turn, the definition of </w:t>
      </w:r>
      <w:r w:rsidR="00871C74" w:rsidRPr="008C453E">
        <w:t>“</w:t>
      </w:r>
      <w:r w:rsidRPr="008C453E">
        <w:t>terrorist activity</w:t>
      </w:r>
      <w:r w:rsidR="00871C74" w:rsidRPr="008C453E">
        <w:t>”</w:t>
      </w:r>
      <w:r w:rsidRPr="008C453E">
        <w:t xml:space="preserve"> contains the term “infrastructure facility”.</w:t>
      </w:r>
      <w:r w:rsidR="00882879" w:rsidRPr="008C453E">
        <w:t xml:space="preserve"> </w:t>
      </w:r>
      <w:r w:rsidRPr="008C453E">
        <w:t xml:space="preserve"> The term “with reference to” has been included simply to assist readers in locating terms.</w:t>
      </w:r>
    </w:p>
    <w:p w:rsidR="00871C74" w:rsidRPr="008C453E" w:rsidRDefault="00871C74" w:rsidP="0074715B">
      <w:pPr>
        <w:pStyle w:val="JUDGMENTCONTINUED"/>
      </w:pPr>
    </w:p>
    <w:p w:rsidR="0074715B" w:rsidRPr="008C453E" w:rsidRDefault="005214E1" w:rsidP="005214E1">
      <w:pPr>
        <w:pStyle w:val="JUDGMENTNUMBERED"/>
      </w:pPr>
      <w:r w:rsidRPr="008C453E">
        <w:t xml:space="preserve">What complicates the issue before us </w:t>
      </w:r>
      <w:r w:rsidR="0074715B" w:rsidRPr="008C453E">
        <w:t xml:space="preserve">is that some terms, including the term “specified offence”, are used </w:t>
      </w:r>
      <w:r w:rsidRPr="008C453E">
        <w:t xml:space="preserve">beyond </w:t>
      </w:r>
      <w:r w:rsidR="0074715B" w:rsidRPr="008C453E">
        <w:t xml:space="preserve">the </w:t>
      </w:r>
      <w:r w:rsidRPr="008C453E">
        <w:t xml:space="preserve">provisions </w:t>
      </w:r>
      <w:r w:rsidR="00D25786">
        <w:t xml:space="preserve">that are </w:t>
      </w:r>
      <w:r w:rsidRPr="008C453E">
        <w:t>in fact alluded to</w:t>
      </w:r>
      <w:r w:rsidR="0074715B" w:rsidRPr="008C453E">
        <w:t>.</w:t>
      </w:r>
      <w:r w:rsidR="0074715B" w:rsidRPr="008C453E">
        <w:rPr>
          <w:rStyle w:val="FootnoteReference"/>
        </w:rPr>
        <w:footnoteReference w:id="53"/>
      </w:r>
      <w:r w:rsidR="0074715B" w:rsidRPr="008C453E">
        <w:t xml:space="preserve"> </w:t>
      </w:r>
      <w:r w:rsidR="00882879" w:rsidRPr="008C453E">
        <w:t xml:space="preserve"> </w:t>
      </w:r>
      <w:r w:rsidR="0074715B" w:rsidRPr="008C453E">
        <w:t xml:space="preserve">This, however, is the result of poor drafting. </w:t>
      </w:r>
      <w:r w:rsidR="006B09B3" w:rsidRPr="008C453E">
        <w:t xml:space="preserve"> </w:t>
      </w:r>
      <w:r w:rsidR="0074715B" w:rsidRPr="008C453E">
        <w:t xml:space="preserve">Both parties acknowledged that the </w:t>
      </w:r>
      <w:r w:rsidR="00ED0404">
        <w:t xml:space="preserve">statute </w:t>
      </w:r>
      <w:r w:rsidR="0074715B" w:rsidRPr="008C453E">
        <w:t xml:space="preserve">is </w:t>
      </w:r>
      <w:r w:rsidRPr="008C453E">
        <w:t xml:space="preserve">anything but </w:t>
      </w:r>
      <w:r w:rsidR="0074715B" w:rsidRPr="008C453E">
        <w:t>a paragon of</w:t>
      </w:r>
      <w:r w:rsidR="00815D91">
        <w:t xml:space="preserve"> clear or deft drafting</w:t>
      </w:r>
      <w:r w:rsidR="0074715B" w:rsidRPr="008C453E">
        <w:t>.</w:t>
      </w:r>
    </w:p>
    <w:p w:rsidR="0074715B" w:rsidRPr="008C453E" w:rsidRDefault="0074715B" w:rsidP="008C0E33">
      <w:pPr>
        <w:pStyle w:val="JUDGMENTCONTINUED"/>
      </w:pPr>
    </w:p>
    <w:p w:rsidR="00DF2461" w:rsidRPr="008C453E" w:rsidRDefault="0074715B" w:rsidP="0074715B">
      <w:pPr>
        <w:pStyle w:val="JUDGMENTNUMBERED"/>
      </w:pPr>
      <w:r w:rsidRPr="008C453E">
        <w:t xml:space="preserve">Aside from this, the </w:t>
      </w:r>
      <w:r w:rsidR="00DE74F5" w:rsidRPr="008C453E">
        <w:t>Supreme Court of Appeal</w:t>
      </w:r>
      <w:r w:rsidRPr="008C453E">
        <w:t>’s narrow interpretation creates a series of absurd</w:t>
      </w:r>
      <w:r w:rsidR="005214E1" w:rsidRPr="008C453E">
        <w:t>ities</w:t>
      </w:r>
      <w:r w:rsidRPr="008C453E">
        <w:t xml:space="preserve">. </w:t>
      </w:r>
      <w:r w:rsidR="006B09B3" w:rsidRPr="008C453E">
        <w:t xml:space="preserve"> </w:t>
      </w:r>
      <w:r w:rsidRPr="008C453E">
        <w:t xml:space="preserve">First, the effect of </w:t>
      </w:r>
      <w:r w:rsidR="00EE3468">
        <w:t xml:space="preserve">its </w:t>
      </w:r>
      <w:r w:rsidRPr="008C453E">
        <w:t xml:space="preserve">interpretation is to grant courts wide jurisdiction over terrorism-financing crimes, but </w:t>
      </w:r>
      <w:r w:rsidR="005214E1" w:rsidRPr="008C453E">
        <w:t xml:space="preserve">very </w:t>
      </w:r>
      <w:r w:rsidRPr="008C453E">
        <w:t>narrow jurisdiction over the crime of terrorism itself.</w:t>
      </w:r>
      <w:r w:rsidRPr="008C453E">
        <w:rPr>
          <w:rStyle w:val="FootnoteReference"/>
        </w:rPr>
        <w:footnoteReference w:id="54"/>
      </w:r>
      <w:r w:rsidRPr="008C453E">
        <w:t xml:space="preserve"> </w:t>
      </w:r>
      <w:r w:rsidR="005214E1" w:rsidRPr="008C453E">
        <w:t xml:space="preserve"> This </w:t>
      </w:r>
      <w:r w:rsidR="00EA70E5">
        <w:t xml:space="preserve">(in the words of counsel for the first amicus) </w:t>
      </w:r>
      <w:r w:rsidRPr="008C453E">
        <w:t xml:space="preserve">would create instances in which it would be possible to </w:t>
      </w:r>
      <w:r w:rsidR="000B2715">
        <w:t>“</w:t>
      </w:r>
      <w:r w:rsidRPr="008C453E">
        <w:t>prosecute the banker, but not the bomber</w:t>
      </w:r>
      <w:r w:rsidR="000B2715">
        <w:t>”</w:t>
      </w:r>
      <w:r w:rsidRPr="008C453E">
        <w:t>.</w:t>
      </w:r>
    </w:p>
    <w:p w:rsidR="00DF2461" w:rsidRPr="008C453E" w:rsidRDefault="00DF2461" w:rsidP="008C0E33">
      <w:pPr>
        <w:pStyle w:val="JUDGMENTCONTINUED"/>
      </w:pPr>
    </w:p>
    <w:p w:rsidR="0074715B" w:rsidRPr="008C453E" w:rsidRDefault="000B2715" w:rsidP="0074715B">
      <w:pPr>
        <w:pStyle w:val="JUDGMENTNUMBERED"/>
      </w:pPr>
      <w:r>
        <w:t xml:space="preserve">Absurdity </w:t>
      </w:r>
      <w:r w:rsidR="0074715B" w:rsidRPr="008C453E">
        <w:t>is also apparent in section 11</w:t>
      </w:r>
      <w:r w:rsidR="00DF2461" w:rsidRPr="008C453E">
        <w:t>.  This</w:t>
      </w:r>
      <w:r w:rsidR="00D97DC2">
        <w:t xml:space="preserve"> section</w:t>
      </w:r>
      <w:r w:rsidR="00DF2461" w:rsidRPr="008C453E">
        <w:t xml:space="preserve"> </w:t>
      </w:r>
      <w:r w:rsidR="0074715B" w:rsidRPr="008C453E">
        <w:t>makes it a crime to harbo</w:t>
      </w:r>
      <w:r w:rsidR="00DF2461" w:rsidRPr="008C453E">
        <w:t>u</w:t>
      </w:r>
      <w:r w:rsidR="0074715B" w:rsidRPr="008C453E">
        <w:t>r a person “who has committed a specified offence”</w:t>
      </w:r>
      <w:r w:rsidR="00041929" w:rsidRPr="008C453E">
        <w:t xml:space="preserve">. </w:t>
      </w:r>
      <w:r w:rsidR="0074715B" w:rsidRPr="008C453E">
        <w:t xml:space="preserve"> According to the </w:t>
      </w:r>
      <w:r w:rsidR="00DE74F5" w:rsidRPr="008C453E">
        <w:t>Supreme Court of Appeal</w:t>
      </w:r>
      <w:r w:rsidR="0074715B" w:rsidRPr="008C453E">
        <w:t>’s interpretation</w:t>
      </w:r>
      <w:r w:rsidR="00CA291C" w:rsidRPr="008C453E">
        <w:t xml:space="preserve"> of “specified offence”</w:t>
      </w:r>
      <w:r w:rsidR="0074715B" w:rsidRPr="008C453E">
        <w:t xml:space="preserve">, </w:t>
      </w:r>
      <w:r w:rsidR="00041929" w:rsidRPr="008C453E">
        <w:t xml:space="preserve">a court would have </w:t>
      </w:r>
      <w:r>
        <w:t xml:space="preserve">no </w:t>
      </w:r>
      <w:r w:rsidR="00041929" w:rsidRPr="008C453E">
        <w:t>jurisdiction to try someone for harbouring</w:t>
      </w:r>
      <w:r w:rsidR="0074715B" w:rsidRPr="008C453E">
        <w:t xml:space="preserve"> a terrorist, but </w:t>
      </w:r>
      <w:r w:rsidR="00041929" w:rsidRPr="008C453E">
        <w:t>it would have jurisdiction to try someone for</w:t>
      </w:r>
      <w:r w:rsidR="0074715B" w:rsidRPr="008C453E">
        <w:t xml:space="preserve"> harbour</w:t>
      </w:r>
      <w:r w:rsidR="00041929" w:rsidRPr="008C453E">
        <w:t>ing</w:t>
      </w:r>
      <w:r w:rsidR="0074715B" w:rsidRPr="008C453E">
        <w:t xml:space="preserve"> a terrorist-financier. </w:t>
      </w:r>
      <w:r w:rsidR="00041929" w:rsidRPr="008C453E">
        <w:t xml:space="preserve"> </w:t>
      </w:r>
      <w:r w:rsidR="003427E4">
        <w:t xml:space="preserve">That can’t </w:t>
      </w:r>
      <w:r w:rsidR="0074715B" w:rsidRPr="008C453E">
        <w:t>be.</w:t>
      </w:r>
    </w:p>
    <w:p w:rsidR="0074715B" w:rsidRPr="008C453E" w:rsidRDefault="0074715B" w:rsidP="0074715B">
      <w:pPr>
        <w:pStyle w:val="JUDGMENTCONTINUED"/>
      </w:pPr>
    </w:p>
    <w:p w:rsidR="0074715B" w:rsidRPr="008C453E" w:rsidRDefault="0074715B" w:rsidP="0074715B">
      <w:pPr>
        <w:pStyle w:val="JUDGMENTNUMBERED"/>
      </w:pPr>
      <w:r w:rsidRPr="008C453E">
        <w:t xml:space="preserve">Second, the </w:t>
      </w:r>
      <w:r w:rsidR="00DE74F5" w:rsidRPr="008C453E">
        <w:t>Supreme Court of Appeal</w:t>
      </w:r>
      <w:r w:rsidRPr="008C453E">
        <w:t xml:space="preserve">’s interpretation radically and absurdly restricts section 4. </w:t>
      </w:r>
      <w:r w:rsidR="00041929" w:rsidRPr="008C453E">
        <w:t xml:space="preserve"> </w:t>
      </w:r>
      <w:r w:rsidRPr="008C453E">
        <w:t>Section 4 is titled “Offences associated or connected with financing of specified offences”</w:t>
      </w:r>
      <w:r w:rsidR="00E46C4A" w:rsidRPr="008C453E">
        <w:t>.</w:t>
      </w:r>
      <w:r w:rsidRPr="008C453E">
        <w:t xml:space="preserve"> </w:t>
      </w:r>
      <w:r w:rsidR="00E46C4A" w:rsidRPr="008C453E">
        <w:t xml:space="preserve"> </w:t>
      </w:r>
      <w:r w:rsidRPr="008C453E">
        <w:t xml:space="preserve">It criminalises the acquisition, possession, use or provision of property intending that it be used </w:t>
      </w:r>
      <w:r w:rsidR="00631FBA" w:rsidRPr="008C453E">
        <w:t xml:space="preserve">– </w:t>
      </w:r>
      <w:r w:rsidRPr="008C453E">
        <w:t xml:space="preserve">or knowing or being obliged reasonably to know or suspect that the property will be used </w:t>
      </w:r>
      <w:r w:rsidR="00631FBA" w:rsidRPr="008C453E">
        <w:t xml:space="preserve">– </w:t>
      </w:r>
      <w:r w:rsidRPr="008C453E">
        <w:t>“to commit or facilitate the commission of a specified offence”.</w:t>
      </w:r>
      <w:r w:rsidRPr="008C453E">
        <w:rPr>
          <w:rStyle w:val="FootnoteReference"/>
        </w:rPr>
        <w:footnoteReference w:id="55"/>
      </w:r>
      <w:r w:rsidRPr="008C453E">
        <w:t xml:space="preserve">  If the definition of “specified offence” is </w:t>
      </w:r>
      <w:r w:rsidR="008B3266" w:rsidRPr="008C453E">
        <w:lastRenderedPageBreak/>
        <w:t xml:space="preserve">limited – </w:t>
      </w:r>
      <w:r w:rsidRPr="008C453E">
        <w:t>becaus</w:t>
      </w:r>
      <w:r w:rsidR="008B3266" w:rsidRPr="008C453E">
        <w:t xml:space="preserve">e of the reference to section 4 – </w:t>
      </w:r>
      <w:r w:rsidRPr="008C453E">
        <w:t xml:space="preserve">to mean </w:t>
      </w:r>
      <w:r w:rsidRPr="008C453E">
        <w:rPr>
          <w:i/>
        </w:rPr>
        <w:t>the financing of</w:t>
      </w:r>
      <w:r w:rsidRPr="008C453E">
        <w:t xml:space="preserve"> terrorism, then section 4 becomes “offences associated or connected with </w:t>
      </w:r>
      <w:r w:rsidRPr="008C453E">
        <w:rPr>
          <w:i/>
        </w:rPr>
        <w:t xml:space="preserve">financing the financing of </w:t>
      </w:r>
      <w:r w:rsidRPr="008C453E">
        <w:t xml:space="preserve">terrorism”.  </w:t>
      </w:r>
      <w:r w:rsidR="00E46C4A" w:rsidRPr="008C453E">
        <w:t>On th</w:t>
      </w:r>
      <w:r w:rsidR="006C4336" w:rsidRPr="008C453E">
        <w:t xml:space="preserve">e </w:t>
      </w:r>
      <w:r w:rsidR="00DE74F5" w:rsidRPr="008C453E">
        <w:t>Supreme Court of Appeal</w:t>
      </w:r>
      <w:r w:rsidR="006C4336" w:rsidRPr="008C453E">
        <w:t>’s reading</w:t>
      </w:r>
      <w:r w:rsidR="00E46C4A" w:rsidRPr="008C453E">
        <w:t>, i</w:t>
      </w:r>
      <w:r w:rsidRPr="008C453E">
        <w:t>nstead of cr</w:t>
      </w:r>
      <w:r w:rsidR="008B4FBC" w:rsidRPr="008C453E">
        <w:t>iminalising any use of property</w:t>
      </w:r>
      <w:r w:rsidRPr="008C453E">
        <w:t xml:space="preserve"> with the sp</w:t>
      </w:r>
      <w:r w:rsidR="008B4FBC" w:rsidRPr="008C453E">
        <w:t>ecified intention and knowledge</w:t>
      </w:r>
      <w:r w:rsidRPr="008C453E">
        <w:t xml:space="preserve"> </w:t>
      </w:r>
      <w:r w:rsidRPr="008C453E">
        <w:rPr>
          <w:i/>
        </w:rPr>
        <w:t>to commit any terrorist offence</w:t>
      </w:r>
      <w:r w:rsidRPr="008C453E">
        <w:t xml:space="preserve"> h</w:t>
      </w:r>
      <w:r w:rsidR="006C4336" w:rsidRPr="008C453E">
        <w:t>ere or abroad, section 4 would</w:t>
      </w:r>
      <w:r w:rsidRPr="008C453E">
        <w:t xml:space="preserve"> </w:t>
      </w:r>
      <w:r w:rsidR="008B4FBC" w:rsidRPr="008C453E">
        <w:t>criminalise only using property</w:t>
      </w:r>
      <w:r w:rsidRPr="008C453E">
        <w:t xml:space="preserve"> with the sp</w:t>
      </w:r>
      <w:r w:rsidR="008B4FBC" w:rsidRPr="008C453E">
        <w:t>ecified intention and knowledge</w:t>
      </w:r>
      <w:r w:rsidRPr="008C453E">
        <w:t xml:space="preserve"> </w:t>
      </w:r>
      <w:r w:rsidRPr="008C453E">
        <w:rPr>
          <w:i/>
        </w:rPr>
        <w:t>to finance terrorist activities</w:t>
      </w:r>
      <w:r w:rsidR="008B4FBC" w:rsidRPr="008C453E">
        <w:t>.</w:t>
      </w:r>
    </w:p>
    <w:p w:rsidR="0074715B" w:rsidRPr="008C453E" w:rsidRDefault="0074715B" w:rsidP="0074715B">
      <w:pPr>
        <w:pStyle w:val="JUDGMENTCONTINUED"/>
      </w:pPr>
    </w:p>
    <w:p w:rsidR="00B06DAD" w:rsidRDefault="0074715B" w:rsidP="0074715B">
      <w:pPr>
        <w:pStyle w:val="JUDGMENTNUMBERED"/>
      </w:pPr>
      <w:r w:rsidRPr="008C453E">
        <w:t xml:space="preserve">Third, the </w:t>
      </w:r>
      <w:r w:rsidR="001065E2" w:rsidRPr="008C453E">
        <w:t>Supreme Court of Appeal</w:t>
      </w:r>
      <w:r w:rsidR="00CA7BA8">
        <w:t>’s</w:t>
      </w:r>
      <w:r w:rsidRPr="008C453E">
        <w:t xml:space="preserve"> </w:t>
      </w:r>
      <w:r w:rsidR="00522752">
        <w:t xml:space="preserve">approach </w:t>
      </w:r>
      <w:r w:rsidRPr="008C453E">
        <w:t xml:space="preserve">fails to </w:t>
      </w:r>
      <w:r w:rsidR="006C4336" w:rsidRPr="008C453E">
        <w:t xml:space="preserve">explain </w:t>
      </w:r>
      <w:r w:rsidR="00D16186">
        <w:t>how section </w:t>
      </w:r>
      <w:r w:rsidRPr="008C453E">
        <w:t xml:space="preserve">23 </w:t>
      </w:r>
      <w:r w:rsidR="0017736B" w:rsidRPr="008C453E">
        <w:t xml:space="preserve">– which is one of the provisions </w:t>
      </w:r>
      <w:r w:rsidR="00B8607E">
        <w:t xml:space="preserve">implicated “with reference to” </w:t>
      </w:r>
      <w:r w:rsidR="0017736B" w:rsidRPr="008C453E">
        <w:t xml:space="preserve">– </w:t>
      </w:r>
      <w:r w:rsidRPr="008C453E">
        <w:t>could limit th</w:t>
      </w:r>
      <w:r w:rsidR="0017736B" w:rsidRPr="008C453E">
        <w:t xml:space="preserve">e definition of </w:t>
      </w:r>
      <w:r w:rsidR="00545666" w:rsidRPr="008C453E">
        <w:t xml:space="preserve">a </w:t>
      </w:r>
      <w:r w:rsidR="0017736B" w:rsidRPr="008C453E">
        <w:t>specified offenc</w:t>
      </w:r>
      <w:r w:rsidRPr="008C453E">
        <w:t xml:space="preserve">e. </w:t>
      </w:r>
      <w:r w:rsidR="008F6F7A" w:rsidRPr="008C453E">
        <w:t xml:space="preserve"> </w:t>
      </w:r>
      <w:r w:rsidRPr="008C453E">
        <w:t xml:space="preserve">Unlike sections 4 and 14, which define derivative crimes, section 23 </w:t>
      </w:r>
      <w:r w:rsidR="0017736B" w:rsidRPr="008C453E">
        <w:t xml:space="preserve">does not define criminal activity at all.  Instead, it </w:t>
      </w:r>
      <w:r w:rsidRPr="008C453E">
        <w:t xml:space="preserve">empowers a court to issue a freezing order. </w:t>
      </w:r>
      <w:r w:rsidR="0017736B" w:rsidRPr="008C453E">
        <w:t xml:space="preserve"> </w:t>
      </w:r>
      <w:r w:rsidRPr="008C453E">
        <w:t xml:space="preserve">A High Court may freeze property in respect of which </w:t>
      </w:r>
      <w:r w:rsidRPr="008C453E">
        <w:lastRenderedPageBreak/>
        <w:t xml:space="preserve">reasonable grounds exist for believing that it is owned or controlled by any entity that has committed a </w:t>
      </w:r>
      <w:r w:rsidR="005630CA">
        <w:t>“</w:t>
      </w:r>
      <w:r w:rsidRPr="008C453E">
        <w:t>specified offence”.</w:t>
      </w:r>
      <w:r w:rsidRPr="008C453E">
        <w:rPr>
          <w:rStyle w:val="FootnoteReference"/>
        </w:rPr>
        <w:footnoteReference w:id="56"/>
      </w:r>
      <w:r w:rsidRPr="008C453E">
        <w:t xml:space="preserve"> </w:t>
      </w:r>
      <w:r w:rsidR="0017736B" w:rsidRPr="008C453E">
        <w:t xml:space="preserve"> </w:t>
      </w:r>
    </w:p>
    <w:p w:rsidR="00B06DAD" w:rsidRDefault="00B06DAD" w:rsidP="008C0E33">
      <w:pPr>
        <w:pStyle w:val="JUDGMENTCONTINUED"/>
      </w:pPr>
    </w:p>
    <w:p w:rsidR="0074715B" w:rsidRPr="008C453E" w:rsidRDefault="0074715B" w:rsidP="0074715B">
      <w:pPr>
        <w:pStyle w:val="JUDGMENTNUMBERED"/>
      </w:pPr>
      <w:r w:rsidRPr="008C453E">
        <w:t xml:space="preserve">The </w:t>
      </w:r>
      <w:r w:rsidR="0097549E">
        <w:t xml:space="preserve">Supreme Court of Appeal’s </w:t>
      </w:r>
      <w:r w:rsidR="0017736B" w:rsidRPr="008C453E">
        <w:t xml:space="preserve">interpretation overlooks </w:t>
      </w:r>
      <w:r w:rsidR="005F3774">
        <w:t>the fact that section </w:t>
      </w:r>
      <w:r w:rsidRPr="008C453E">
        <w:t xml:space="preserve">23 is included in the list of provisions “with reference to” which “specified offence” is defined.  </w:t>
      </w:r>
      <w:r w:rsidR="00F12B63" w:rsidRPr="008C453E">
        <w:t xml:space="preserve">Instead, the </w:t>
      </w:r>
      <w:r w:rsidR="00DE74F5" w:rsidRPr="008C453E">
        <w:t xml:space="preserve">Court </w:t>
      </w:r>
      <w:r w:rsidR="00F12B63" w:rsidRPr="008C453E">
        <w:t xml:space="preserve">merely </w:t>
      </w:r>
      <w:r w:rsidR="007307C6" w:rsidRPr="008C453E">
        <w:t>said tersely,</w:t>
      </w:r>
      <w:r w:rsidRPr="008C453E">
        <w:t xml:space="preserve"> “</w:t>
      </w:r>
      <w:r w:rsidR="005E0264">
        <w:t>Section</w:t>
      </w:r>
      <w:r w:rsidRPr="008C453E">
        <w:t xml:space="preserve"> 23 deals with prohibition and freezing orders in respect of property believed to be owned or controlled by an entity which has committed a specified offence</w:t>
      </w:r>
      <w:r w:rsidR="008D7B72">
        <w:t xml:space="preserve"> and need not detain us further</w:t>
      </w:r>
      <w:r w:rsidRPr="008C453E">
        <w:t>”</w:t>
      </w:r>
      <w:r w:rsidR="008D7B72">
        <w:t>.</w:t>
      </w:r>
      <w:r w:rsidRPr="008C453E">
        <w:rPr>
          <w:rStyle w:val="FootnoteReference"/>
        </w:rPr>
        <w:footnoteReference w:id="57"/>
      </w:r>
      <w:r w:rsidRPr="008C453E">
        <w:t xml:space="preserve"> </w:t>
      </w:r>
      <w:r w:rsidR="007307C6" w:rsidRPr="008C453E">
        <w:t xml:space="preserve"> </w:t>
      </w:r>
      <w:r w:rsidRPr="008C453E">
        <w:t xml:space="preserve">Yet pausing at section 23 shows the weakness in the approach. </w:t>
      </w:r>
      <w:r w:rsidR="007307C6" w:rsidRPr="008C453E">
        <w:t xml:space="preserve"> </w:t>
      </w:r>
      <w:r w:rsidRPr="008C453E">
        <w:t xml:space="preserve">If “with reference to” means “limited by”, specified offences would be limited by a court’s discretionary ability to make freezing orders. </w:t>
      </w:r>
      <w:r w:rsidR="00F135EA" w:rsidRPr="008C453E">
        <w:t xml:space="preserve"> </w:t>
      </w:r>
      <w:r w:rsidRPr="008C453E">
        <w:t xml:space="preserve">This makes no sense. </w:t>
      </w:r>
      <w:r w:rsidR="00F135EA" w:rsidRPr="008C453E">
        <w:t xml:space="preserve"> </w:t>
      </w:r>
      <w:r w:rsidRPr="008C453E">
        <w:t>There is no possible bearing that the judicial power to make freezing orders can have on the ambit of the criminal offence sought to be defined.</w:t>
      </w:r>
      <w:r w:rsidRPr="008C453E">
        <w:rPr>
          <w:rStyle w:val="FootnoteReference"/>
        </w:rPr>
        <w:footnoteReference w:id="58"/>
      </w:r>
    </w:p>
    <w:p w:rsidR="0074715B" w:rsidRPr="008C453E" w:rsidRDefault="0074715B" w:rsidP="0074715B">
      <w:pPr>
        <w:pStyle w:val="JUDGMENTCONTINUED"/>
      </w:pPr>
    </w:p>
    <w:p w:rsidR="0074715B" w:rsidRPr="008C453E" w:rsidRDefault="0074715B" w:rsidP="0074715B">
      <w:pPr>
        <w:pStyle w:val="JUDGMENTNUMBERED"/>
      </w:pPr>
      <w:r w:rsidRPr="008C453E">
        <w:t xml:space="preserve">Fourth, </w:t>
      </w:r>
      <w:r w:rsidR="00D96A4F">
        <w:t>the Supreme Court of Appeal’s</w:t>
      </w:r>
      <w:r w:rsidR="009A456B">
        <w:t xml:space="preserve"> </w:t>
      </w:r>
      <w:r w:rsidRPr="008C453E">
        <w:t>interpretation</w:t>
      </w:r>
      <w:r w:rsidR="009A456B">
        <w:t xml:space="preserve"> riddles </w:t>
      </w:r>
      <w:r w:rsidRPr="008C453E">
        <w:t xml:space="preserve">the definition of “specified offence” itself with surplusage. </w:t>
      </w:r>
      <w:r w:rsidR="00F135EA" w:rsidRPr="008C453E">
        <w:t xml:space="preserve"> </w:t>
      </w:r>
      <w:r w:rsidRPr="008C453E">
        <w:t xml:space="preserve">Paragraph (a) of the definition provides </w:t>
      </w:r>
      <w:r w:rsidRPr="008C453E">
        <w:lastRenderedPageBreak/>
        <w:t>four categories of offences.</w:t>
      </w:r>
      <w:r w:rsidR="00937AB9" w:rsidRPr="008C453E">
        <w:rPr>
          <w:rStyle w:val="FootnoteReference"/>
        </w:rPr>
        <w:footnoteReference w:id="59"/>
      </w:r>
      <w:r w:rsidRPr="008C453E">
        <w:t xml:space="preserve"> </w:t>
      </w:r>
      <w:r w:rsidR="00212A6B" w:rsidRPr="008C453E">
        <w:t xml:space="preserve"> </w:t>
      </w:r>
      <w:r w:rsidRPr="008C453E">
        <w:t>The last of these is “an</w:t>
      </w:r>
      <w:r w:rsidR="006E1DCC">
        <w:t xml:space="preserve"> offence referred to in section </w:t>
      </w:r>
      <w:r w:rsidRPr="008C453E">
        <w:t xml:space="preserve">13 or 14 (in so far as it relates to the aforementioned sections)”. </w:t>
      </w:r>
      <w:r w:rsidR="00212A6B" w:rsidRPr="008C453E">
        <w:t xml:space="preserve"> </w:t>
      </w:r>
      <w:r w:rsidRPr="008C453E">
        <w:t>If the definition were already limited by “with reference to section . . . 14”</w:t>
      </w:r>
      <w:r w:rsidR="00F60F85">
        <w:t>,</w:t>
      </w:r>
      <w:r w:rsidRPr="008C453E">
        <w:t xml:space="preserve"> why would section 14 be repeated in paragraph (a)?</w:t>
      </w:r>
    </w:p>
    <w:p w:rsidR="0074715B" w:rsidRPr="008C453E" w:rsidRDefault="0074715B" w:rsidP="0074715B">
      <w:pPr>
        <w:pStyle w:val="JUDGMENTCONTINUED"/>
      </w:pPr>
    </w:p>
    <w:p w:rsidR="0074715B" w:rsidRPr="008C453E" w:rsidRDefault="0074715B" w:rsidP="0074715B">
      <w:pPr>
        <w:pStyle w:val="JUDGMENTNUMBERED"/>
      </w:pPr>
      <w:r w:rsidRPr="008C453E">
        <w:t>What is more, the definition of “specified offence” is closely integrated with the offence of terrorism that lies at the heart of the entire legislative scheme.</w:t>
      </w:r>
      <w:r w:rsidRPr="008C453E">
        <w:rPr>
          <w:rStyle w:val="FootnoteReference"/>
        </w:rPr>
        <w:footnoteReference w:id="60"/>
      </w:r>
      <w:r w:rsidR="00F12B63" w:rsidRPr="008C453E">
        <w:t xml:space="preserve">  Indeed,</w:t>
      </w:r>
      <w:r w:rsidRPr="008C453E">
        <w:t xml:space="preserve"> the definition reads: “specified offence . . . means the offen</w:t>
      </w:r>
      <w:r w:rsidR="00C9028A" w:rsidRPr="008C453E">
        <w:t>c</w:t>
      </w:r>
      <w:r w:rsidRPr="008C453E">
        <w:t xml:space="preserve">e of terrorism </w:t>
      </w:r>
      <w:r w:rsidR="003926C1" w:rsidRPr="008C453E">
        <w:t xml:space="preserve">referred to </w:t>
      </w:r>
      <w:r w:rsidRPr="008C453E">
        <w:t>in section 2”</w:t>
      </w:r>
      <w:r w:rsidR="003926C1" w:rsidRPr="008C453E">
        <w:t xml:space="preserve">. </w:t>
      </w:r>
      <w:r w:rsidRPr="008C453E">
        <w:t xml:space="preserve"> Section 2 provides that “any person who engages in a terrorist activity is guilty of the offence of terrorism”.  Terrorist activity is</w:t>
      </w:r>
      <w:r w:rsidR="003926C1" w:rsidRPr="008C453E">
        <w:t>,</w:t>
      </w:r>
      <w:r w:rsidRPr="008C453E">
        <w:t xml:space="preserve"> in turn</w:t>
      </w:r>
      <w:r w:rsidR="003926C1" w:rsidRPr="008C453E">
        <w:t>,</w:t>
      </w:r>
      <w:r w:rsidRPr="008C453E">
        <w:t xml:space="preserve"> widely defined in section 1.  In compacted form, it includes any act committed “in or outside the Republic” that creates specified deleterious </w:t>
      </w:r>
      <w:r w:rsidR="003926C1" w:rsidRPr="008C453E">
        <w:t>effects;</w:t>
      </w:r>
      <w:r w:rsidRPr="008C453E">
        <w:t xml:space="preserve"> is intended to cause certain effects</w:t>
      </w:r>
      <w:r w:rsidR="003926C1" w:rsidRPr="008C453E">
        <w:t>;</w:t>
      </w:r>
      <w:r w:rsidRPr="008C453E">
        <w:t xml:space="preserve"> and is committed “for the purpose of the advancement of an individual or collective political, religious, ideological or philosophical motive, objective, cause or undertaking”.</w:t>
      </w:r>
    </w:p>
    <w:p w:rsidR="0074715B" w:rsidRPr="008C453E" w:rsidRDefault="0074715B" w:rsidP="0074715B">
      <w:pPr>
        <w:pStyle w:val="JUDGMENTCONTINUED"/>
      </w:pPr>
    </w:p>
    <w:p w:rsidR="0074715B" w:rsidRPr="008C453E" w:rsidRDefault="0074715B" w:rsidP="0074715B">
      <w:pPr>
        <w:pStyle w:val="JUDGMENTNUMBERED"/>
      </w:pPr>
      <w:r w:rsidRPr="008C453E">
        <w:t xml:space="preserve">The Act here creates a carefully interconnecting web </w:t>
      </w:r>
      <w:r w:rsidR="00E163A5" w:rsidRPr="008C453E">
        <w:t xml:space="preserve">linking </w:t>
      </w:r>
      <w:r w:rsidRPr="008C453E">
        <w:t xml:space="preserve">the offence of terrorism in section 2, the definition of </w:t>
      </w:r>
      <w:r w:rsidR="003926C1" w:rsidRPr="008C453E">
        <w:t>terrorist activity in section 1</w:t>
      </w:r>
      <w:r w:rsidRPr="008C453E">
        <w:t xml:space="preserve"> and the conferral of extra-territorial jurisdiction in section 15.  The effect of the </w:t>
      </w:r>
      <w:r w:rsidR="00DE74F5" w:rsidRPr="008C453E">
        <w:t>Supreme Court of Appeal</w:t>
      </w:r>
      <w:r w:rsidR="003926C1" w:rsidRPr="008C453E">
        <w:t>’s</w:t>
      </w:r>
      <w:r w:rsidR="00DE74F5" w:rsidRPr="008C453E">
        <w:t xml:space="preserve"> </w:t>
      </w:r>
      <w:r w:rsidRPr="008C453E">
        <w:t xml:space="preserve">interpretation is </w:t>
      </w:r>
      <w:r w:rsidR="003545E8">
        <w:t xml:space="preserve">to </w:t>
      </w:r>
      <w:r w:rsidR="00344FDE">
        <w:t>unravel this structure</w:t>
      </w:r>
      <w:r w:rsidRPr="008C453E">
        <w:t>.  It makes “specified offence” a lame partner in the st</w:t>
      </w:r>
      <w:r w:rsidR="001B4A64" w:rsidRPr="008C453E">
        <w:t>atutory mechanism.  This</w:t>
      </w:r>
      <w:r w:rsidRPr="008C453E">
        <w:t xml:space="preserve"> </w:t>
      </w:r>
      <w:r w:rsidR="007B7B8E">
        <w:t xml:space="preserve">would disable </w:t>
      </w:r>
      <w:r w:rsidRPr="008C453E">
        <w:t>the functional utility of the entire statutory scheme.</w:t>
      </w:r>
    </w:p>
    <w:p w:rsidR="0074715B" w:rsidRPr="008C453E" w:rsidRDefault="0074715B" w:rsidP="0074715B">
      <w:pPr>
        <w:pStyle w:val="JUDGMENTCONTINUED"/>
      </w:pPr>
    </w:p>
    <w:p w:rsidR="0074715B" w:rsidRPr="008C453E" w:rsidRDefault="0074715B" w:rsidP="0074715B">
      <w:pPr>
        <w:pStyle w:val="JUDGMENTNUMBERED"/>
      </w:pPr>
      <w:r w:rsidRPr="008C453E">
        <w:t xml:space="preserve">On its own, the statutory scheme </w:t>
      </w:r>
      <w:r w:rsidR="00CE1693" w:rsidRPr="008C453E">
        <w:t xml:space="preserve">compels </w:t>
      </w:r>
      <w:r w:rsidRPr="008C453E">
        <w:t>a broad reading of section 15(1) and</w:t>
      </w:r>
      <w:r w:rsidR="001B4A64" w:rsidRPr="008C453E">
        <w:t>,</w:t>
      </w:r>
      <w:r w:rsidRPr="008C453E">
        <w:t xml:space="preserve"> </w:t>
      </w:r>
      <w:r w:rsidR="00CE1693" w:rsidRPr="008C453E">
        <w:t>hence</w:t>
      </w:r>
      <w:r w:rsidR="001B4A64" w:rsidRPr="008C453E">
        <w:t>,</w:t>
      </w:r>
      <w:r w:rsidR="00CE1693" w:rsidRPr="008C453E">
        <w:t xml:space="preserve"> </w:t>
      </w:r>
      <w:r w:rsidRPr="008C453E">
        <w:t xml:space="preserve">the </w:t>
      </w:r>
      <w:r w:rsidR="00CE1693" w:rsidRPr="008C453E">
        <w:t xml:space="preserve">conferral </w:t>
      </w:r>
      <w:r w:rsidRPr="008C453E">
        <w:t>of extra-territorial jurisdiction.</w:t>
      </w:r>
      <w:r w:rsidRPr="008C453E">
        <w:rPr>
          <w:rStyle w:val="FootnoteReference"/>
        </w:rPr>
        <w:footnoteReference w:id="61"/>
      </w:r>
      <w:r w:rsidRPr="008C453E">
        <w:t xml:space="preserve"> </w:t>
      </w:r>
      <w:r w:rsidR="001B4A64" w:rsidRPr="008C453E">
        <w:t xml:space="preserve"> </w:t>
      </w:r>
      <w:r w:rsidR="00CE1693" w:rsidRPr="008C453E">
        <w:t xml:space="preserve">Yet we are of course obliged by </w:t>
      </w:r>
      <w:r w:rsidR="00CE1693" w:rsidRPr="008C453E">
        <w:lastRenderedPageBreak/>
        <w:t xml:space="preserve">ordinary good sense and by the hermeneutic precepts articulated by </w:t>
      </w:r>
      <w:r w:rsidR="007B7B8E">
        <w:t xml:space="preserve">both </w:t>
      </w:r>
      <w:r w:rsidR="00CE1693" w:rsidRPr="008C453E">
        <w:t>this Court</w:t>
      </w:r>
      <w:r w:rsidR="007B7B8E">
        <w:t xml:space="preserve"> and the Supreme Court of Appeal</w:t>
      </w:r>
      <w:r w:rsidR="00CE1693" w:rsidRPr="008C453E">
        <w:t xml:space="preserve"> to take account of the </w:t>
      </w:r>
      <w:r w:rsidR="007B7B8E">
        <w:t xml:space="preserve">statute’s </w:t>
      </w:r>
      <w:r w:rsidR="00CE1693" w:rsidRPr="008C453E">
        <w:t>purpose.</w:t>
      </w:r>
      <w:r w:rsidR="00130C5C">
        <w:rPr>
          <w:rStyle w:val="FootnoteReference"/>
        </w:rPr>
        <w:footnoteReference w:id="62"/>
      </w:r>
      <w:r w:rsidR="00CE1693" w:rsidRPr="008C453E">
        <w:t xml:space="preserve">  Doing so</w:t>
      </w:r>
      <w:r w:rsidRPr="008C453E">
        <w:t xml:space="preserve"> </w:t>
      </w:r>
      <w:r w:rsidR="00604513" w:rsidRPr="008C453E">
        <w:t>likewise commands the broader interpretation</w:t>
      </w:r>
      <w:r w:rsidR="001B4A64" w:rsidRPr="008C453E">
        <w:t>.</w:t>
      </w:r>
    </w:p>
    <w:p w:rsidR="0074715B" w:rsidRPr="008C453E" w:rsidRDefault="0074715B" w:rsidP="0074715B">
      <w:pPr>
        <w:pStyle w:val="JUDGMENTCONTINUED"/>
      </w:pPr>
    </w:p>
    <w:p w:rsidR="0074715B" w:rsidRPr="002D078A" w:rsidRDefault="0074715B" w:rsidP="0074715B">
      <w:pPr>
        <w:pStyle w:val="JUDGMENTNUMBERED"/>
      </w:pPr>
      <w:r w:rsidRPr="008C453E">
        <w:t xml:space="preserve">The long title and </w:t>
      </w:r>
      <w:r w:rsidR="00F01F63">
        <w:t>p</w:t>
      </w:r>
      <w:r w:rsidRPr="008C453E">
        <w:t>reamble record that the Act is designed primarily to create an offen</w:t>
      </w:r>
      <w:r w:rsidR="00226242" w:rsidRPr="008C453E">
        <w:t>ce of terrorism that gives</w:t>
      </w:r>
      <w:r w:rsidRPr="008C453E">
        <w:t xml:space="preserve"> effect to international instruments, which are listed in the </w:t>
      </w:r>
      <w:r w:rsidR="00266C66">
        <w:t>p</w:t>
      </w:r>
      <w:r w:rsidRPr="008C453E">
        <w:t>reamble,</w:t>
      </w:r>
      <w:r w:rsidRPr="008C453E">
        <w:rPr>
          <w:rStyle w:val="FootnoteReference"/>
        </w:rPr>
        <w:footnoteReference w:id="63"/>
      </w:r>
      <w:r w:rsidR="00226242" w:rsidRPr="008C453E">
        <w:t xml:space="preserve"> and that</w:t>
      </w:r>
      <w:r w:rsidRPr="008C453E">
        <w:t xml:space="preserve"> extend</w:t>
      </w:r>
      <w:r w:rsidR="00226242" w:rsidRPr="008C453E">
        <w:t>s</w:t>
      </w:r>
      <w:r w:rsidRPr="008C453E">
        <w:t xml:space="preserve"> the South African courts’ jurisdiction over these offences wherever they are committed.  As the </w:t>
      </w:r>
      <w:r w:rsidR="00F27CB2">
        <w:t>p</w:t>
      </w:r>
      <w:r w:rsidRPr="008C453E">
        <w:t>reamble acknowledges, “terrorist and related activities are an international problem</w:t>
      </w:r>
      <w:r w:rsidRPr="004B2DD0">
        <w:t>, which can only be effectively addressed by means of international co-operation</w:t>
      </w:r>
      <w:r w:rsidRPr="00360C42">
        <w:t xml:space="preserve">”. </w:t>
      </w:r>
      <w:r w:rsidR="00226242">
        <w:t xml:space="preserve"> </w:t>
      </w:r>
      <w:r w:rsidR="007649BD">
        <w:t>T</w:t>
      </w:r>
      <w:r w:rsidRPr="00D76364">
        <w:t xml:space="preserve">he definition of “terrorist activity” does </w:t>
      </w:r>
      <w:r w:rsidR="007649BD">
        <w:t xml:space="preserve">this </w:t>
      </w:r>
      <w:r w:rsidRPr="00D76364">
        <w:t>by expressly including any act committed “in or outside the Republic”.</w:t>
      </w:r>
      <w:r w:rsidRPr="002D078A">
        <w:rPr>
          <w:rStyle w:val="FootnoteReference"/>
        </w:rPr>
        <w:footnoteReference w:id="64"/>
      </w:r>
    </w:p>
    <w:p w:rsidR="0074715B" w:rsidRPr="002D078A" w:rsidRDefault="0074715B" w:rsidP="0074715B">
      <w:pPr>
        <w:pStyle w:val="JUDGMENTCONTINUED"/>
      </w:pPr>
    </w:p>
    <w:p w:rsidR="0074715B" w:rsidRPr="00360C42" w:rsidRDefault="0074715B" w:rsidP="0074715B">
      <w:pPr>
        <w:pStyle w:val="JUDGMENTNUMBERED"/>
      </w:pPr>
      <w:r w:rsidRPr="002D078A">
        <w:t>The statute</w:t>
      </w:r>
      <w:r w:rsidR="0043143E" w:rsidRPr="002D078A">
        <w:t xml:space="preserve"> </w:t>
      </w:r>
      <w:r w:rsidRPr="002D078A">
        <w:t>fulfils a number of international instruments</w:t>
      </w:r>
      <w:r w:rsidR="003072BF" w:rsidRPr="002D078A">
        <w:t xml:space="preserve">.  These </w:t>
      </w:r>
      <w:r w:rsidRPr="002D078A">
        <w:t>establi</w:t>
      </w:r>
      <w:r w:rsidR="00FB4C5B">
        <w:t xml:space="preserve">sh that South Africa is under </w:t>
      </w:r>
      <w:r w:rsidRPr="00D76364">
        <w:t>both a general duty to co</w:t>
      </w:r>
      <w:r w:rsidRPr="004B2DD0">
        <w:t>mbat terrorism</w:t>
      </w:r>
      <w:r w:rsidRPr="00360C42">
        <w:t xml:space="preserve"> and a specific duty to bring to trial perpetrators of terrorism, wherever perpetrated, whom it does not extradite.  The</w:t>
      </w:r>
      <w:r w:rsidR="003072BF" w:rsidRPr="002D078A">
        <w:t xml:space="preserve"> international instruments establishing these twin duties</w:t>
      </w:r>
      <w:r w:rsidR="00FB4C5B">
        <w:t xml:space="preserve"> include conventions, protocols</w:t>
      </w:r>
      <w:r w:rsidRPr="00D76364">
        <w:t xml:space="preserve"> and </w:t>
      </w:r>
      <w:r w:rsidR="00C76937">
        <w:t>UN</w:t>
      </w:r>
      <w:r w:rsidRPr="00D76364">
        <w:t xml:space="preserve"> Security Cou</w:t>
      </w:r>
      <w:r w:rsidRPr="004B2DD0">
        <w:t xml:space="preserve">ncil </w:t>
      </w:r>
      <w:r w:rsidR="004C74F5">
        <w:t>r</w:t>
      </w:r>
      <w:r w:rsidRPr="004B2DD0">
        <w:t>esolutions.</w:t>
      </w:r>
      <w:r w:rsidR="004914E4" w:rsidRPr="00360C42">
        <w:rPr>
          <w:rStyle w:val="FootnoteReference"/>
        </w:rPr>
        <w:footnoteReference w:id="65"/>
      </w:r>
    </w:p>
    <w:p w:rsidR="0074715B" w:rsidRPr="002D078A" w:rsidRDefault="0074715B" w:rsidP="008C0E33">
      <w:pPr>
        <w:pStyle w:val="JUDGMENTCONTINUED"/>
      </w:pPr>
    </w:p>
    <w:p w:rsidR="0074715B" w:rsidRPr="002D078A" w:rsidRDefault="0074715B" w:rsidP="0074715B">
      <w:pPr>
        <w:pStyle w:val="JUDGMENTNUMBERED"/>
      </w:pPr>
      <w:r w:rsidRPr="002D078A">
        <w:t xml:space="preserve">The general duty to combat terrorism is broad. </w:t>
      </w:r>
      <w:r w:rsidR="00FB4C5B">
        <w:t xml:space="preserve"> </w:t>
      </w:r>
      <w:r w:rsidRPr="00D76364">
        <w:t xml:space="preserve">It </w:t>
      </w:r>
      <w:r w:rsidR="0072567A">
        <w:t xml:space="preserve">commands </w:t>
      </w:r>
      <w:r w:rsidRPr="00360C42">
        <w:t xml:space="preserve">a reading of the Act that enables South Africa to participate, as a member of the international community, in the fight against an international and transnational phenomenon. </w:t>
      </w:r>
      <w:r w:rsidR="00FB4C5B">
        <w:t xml:space="preserve"> </w:t>
      </w:r>
      <w:r w:rsidRPr="00D76364">
        <w:t xml:space="preserve">The conspicuous consequence of the </w:t>
      </w:r>
      <w:r w:rsidR="00F75158">
        <w:t xml:space="preserve">contested </w:t>
      </w:r>
      <w:r w:rsidRPr="002D078A">
        <w:t xml:space="preserve">interpretation is that it would </w:t>
      </w:r>
      <w:r w:rsidR="00F75158">
        <w:t xml:space="preserve">pull </w:t>
      </w:r>
      <w:r w:rsidRPr="002D078A">
        <w:t>the Act</w:t>
      </w:r>
      <w:r w:rsidR="00F75158">
        <w:t>’s teeth</w:t>
      </w:r>
      <w:r w:rsidRPr="002D078A">
        <w:t xml:space="preserve">, rendering futile its expressed endeavour to give </w:t>
      </w:r>
      <w:r w:rsidR="00106777">
        <w:t xml:space="preserve">bite </w:t>
      </w:r>
      <w:r w:rsidRPr="002D078A">
        <w:t>to this duty.</w:t>
      </w:r>
    </w:p>
    <w:p w:rsidR="0074715B" w:rsidRPr="002D078A" w:rsidRDefault="0074715B" w:rsidP="0074715B">
      <w:pPr>
        <w:pStyle w:val="JUDGMENTCONTINUED"/>
      </w:pPr>
    </w:p>
    <w:p w:rsidR="0074715B" w:rsidRPr="008C453E" w:rsidRDefault="0074715B" w:rsidP="0074715B">
      <w:pPr>
        <w:pStyle w:val="JUDGMENTNUMBERED"/>
      </w:pPr>
      <w:r w:rsidRPr="002D078A">
        <w:t xml:space="preserve">The specific duty to prosecute </w:t>
      </w:r>
      <w:r w:rsidR="006B7906">
        <w:t xml:space="preserve">or </w:t>
      </w:r>
      <w:r w:rsidR="006B7906" w:rsidRPr="002D078A">
        <w:t xml:space="preserve">extradite </w:t>
      </w:r>
      <w:r w:rsidRPr="002D078A">
        <w:t xml:space="preserve">provides a </w:t>
      </w:r>
      <w:r w:rsidR="004E561E" w:rsidRPr="002D078A">
        <w:t xml:space="preserve">yet </w:t>
      </w:r>
      <w:r w:rsidRPr="002D078A">
        <w:t>stronge</w:t>
      </w:r>
      <w:r w:rsidR="00FB4C5B">
        <w:t>r imperati</w:t>
      </w:r>
      <w:r w:rsidR="00C7691B">
        <w:t xml:space="preserve">ve to overturn that </w:t>
      </w:r>
      <w:r w:rsidRPr="00D76364">
        <w:t>interpretation.</w:t>
      </w:r>
      <w:r w:rsidRPr="00D76364">
        <w:rPr>
          <w:rStyle w:val="FootnoteReference"/>
        </w:rPr>
        <w:footnoteReference w:id="66"/>
      </w:r>
      <w:r w:rsidR="00FB4C5B">
        <w:t xml:space="preserve"> </w:t>
      </w:r>
      <w:r w:rsidRPr="00D76364">
        <w:t xml:space="preserve"> Even if one were to assume that </w:t>
      </w:r>
      <w:r w:rsidRPr="002D078A">
        <w:t xml:space="preserve">interpretation were reasonable, </w:t>
      </w:r>
      <w:r w:rsidR="004E561E" w:rsidRPr="002D078A">
        <w:t xml:space="preserve">which </w:t>
      </w:r>
      <w:r w:rsidR="00F60F85">
        <w:t xml:space="preserve">a </w:t>
      </w:r>
      <w:r w:rsidR="004E561E" w:rsidRPr="002D078A">
        <w:t xml:space="preserve">textual analysis </w:t>
      </w:r>
      <w:r w:rsidR="00C7691B">
        <w:t xml:space="preserve">shows </w:t>
      </w:r>
      <w:r w:rsidR="004E561E" w:rsidRPr="002D078A">
        <w:t xml:space="preserve">it is not, </w:t>
      </w:r>
      <w:r w:rsidRPr="002D078A">
        <w:t xml:space="preserve">section 233 of the Constitution requires this Court </w:t>
      </w:r>
      <w:r w:rsidR="00C7691B">
        <w:t xml:space="preserve">to </w:t>
      </w:r>
      <w:r w:rsidRPr="002D078A">
        <w:t xml:space="preserve">interpret the Act in line with international law. </w:t>
      </w:r>
      <w:r w:rsidR="00D76364">
        <w:t xml:space="preserve"> </w:t>
      </w:r>
      <w:r w:rsidRPr="00D76364">
        <w:t>Here</w:t>
      </w:r>
      <w:r w:rsidR="00D76364">
        <w:t>,</w:t>
      </w:r>
      <w:r w:rsidRPr="00D76364">
        <w:t xml:space="preserve"> there is a clear obligation that South Africa prosecute </w:t>
      </w:r>
      <w:r w:rsidR="006B7906">
        <w:t xml:space="preserve">or extradite </w:t>
      </w:r>
      <w:r w:rsidRPr="00D76364">
        <w:t xml:space="preserve">persons </w:t>
      </w:r>
      <w:r w:rsidR="00C7691B">
        <w:t xml:space="preserve">like </w:t>
      </w:r>
      <w:r w:rsidRPr="00D76364">
        <w:t xml:space="preserve">Mr Okah. </w:t>
      </w:r>
      <w:r w:rsidR="00D76364">
        <w:t xml:space="preserve"> </w:t>
      </w:r>
      <w:r w:rsidRPr="00D76364">
        <w:t xml:space="preserve">The </w:t>
      </w:r>
      <w:r w:rsidRPr="008C453E">
        <w:t>interpretation in this judgment gives effect to that obligation</w:t>
      </w:r>
      <w:r w:rsidR="00F60F85">
        <w:t>,</w:t>
      </w:r>
      <w:r w:rsidRPr="008C453E">
        <w:t xml:space="preserve"> whereas the </w:t>
      </w:r>
      <w:r w:rsidR="00DE74F5" w:rsidRPr="008C453E">
        <w:t>Supreme Court of Appeal</w:t>
      </w:r>
      <w:r w:rsidR="00D76364" w:rsidRPr="008C453E">
        <w:t>’s interpretation does not.</w:t>
      </w:r>
    </w:p>
    <w:p w:rsidR="0074715B" w:rsidRPr="008C453E" w:rsidRDefault="0074715B" w:rsidP="0074715B">
      <w:pPr>
        <w:pStyle w:val="JUDGMENTCONTINUED"/>
      </w:pPr>
    </w:p>
    <w:p w:rsidR="0074715B" w:rsidRPr="008C453E" w:rsidRDefault="0074715B" w:rsidP="0074715B">
      <w:pPr>
        <w:pStyle w:val="JUDGMENTNUMBERED"/>
      </w:pPr>
      <w:r w:rsidRPr="008C453E">
        <w:t>There are two po</w:t>
      </w:r>
      <w:r w:rsidR="004E561E" w:rsidRPr="008C453E">
        <w:t>ssible</w:t>
      </w:r>
      <w:r w:rsidRPr="008C453E">
        <w:t xml:space="preserve"> reasons that the </w:t>
      </w:r>
      <w:r w:rsidR="00DE74F5" w:rsidRPr="008C453E">
        <w:t xml:space="preserve">Supreme Court of Appeal </w:t>
      </w:r>
      <w:r w:rsidRPr="008C453E">
        <w:t>reached the conclusion that it did.</w:t>
      </w:r>
      <w:r w:rsidR="00D76364" w:rsidRPr="008C453E">
        <w:t xml:space="preserve"> </w:t>
      </w:r>
      <w:r w:rsidRPr="008C453E">
        <w:t xml:space="preserve"> The first </w:t>
      </w:r>
      <w:r w:rsidR="001B3003">
        <w:t xml:space="preserve">may be </w:t>
      </w:r>
      <w:r w:rsidR="00F27CB2">
        <w:t xml:space="preserve">a </w:t>
      </w:r>
      <w:r w:rsidR="001B3003">
        <w:t>wish</w:t>
      </w:r>
      <w:r w:rsidR="00C93710">
        <w:t xml:space="preserve"> to give meaning to section </w:t>
      </w:r>
      <w:r w:rsidRPr="008C453E">
        <w:t xml:space="preserve">15(2). </w:t>
      </w:r>
      <w:r w:rsidR="00D76364" w:rsidRPr="008C453E">
        <w:t xml:space="preserve"> </w:t>
      </w:r>
      <w:r w:rsidRPr="008C453E">
        <w:t xml:space="preserve">The second </w:t>
      </w:r>
      <w:r w:rsidR="001B3003">
        <w:t xml:space="preserve">may be concerns about </w:t>
      </w:r>
      <w:r w:rsidR="00D76364" w:rsidRPr="008C453E">
        <w:t>international comity.</w:t>
      </w:r>
    </w:p>
    <w:p w:rsidR="0074715B" w:rsidRPr="002D078A" w:rsidRDefault="0074715B" w:rsidP="0074715B">
      <w:pPr>
        <w:pStyle w:val="JUDGMENTCONTINUED"/>
      </w:pPr>
    </w:p>
    <w:p w:rsidR="00C53F44" w:rsidRPr="002D078A" w:rsidRDefault="0074715B" w:rsidP="0074715B">
      <w:pPr>
        <w:pStyle w:val="JUDGMENTNUMBERED"/>
      </w:pPr>
      <w:r w:rsidRPr="002D078A">
        <w:t xml:space="preserve">The </w:t>
      </w:r>
      <w:r w:rsidR="00DE74F5" w:rsidRPr="002D078A">
        <w:t xml:space="preserve">Supreme Court of Appeal </w:t>
      </w:r>
      <w:r w:rsidRPr="002D078A">
        <w:t xml:space="preserve">rejected the State’s </w:t>
      </w:r>
      <w:r w:rsidRPr="00E02355">
        <w:t>argument</w:t>
      </w:r>
      <w:r w:rsidR="00340AC8" w:rsidRPr="00E02355">
        <w:t xml:space="preserve"> on the breadth of section </w:t>
      </w:r>
      <w:r w:rsidR="004E561E" w:rsidRPr="00E02355">
        <w:t>15(1)</w:t>
      </w:r>
      <w:r w:rsidRPr="00E02355">
        <w:t xml:space="preserve"> because it was satisfied that all other offences mentioned in the Act</w:t>
      </w:r>
      <w:r w:rsidR="004E561E" w:rsidRPr="00E02355">
        <w:t>,</w:t>
      </w:r>
      <w:r w:rsidRPr="00E02355">
        <w:t xml:space="preserve"> besides the offence of financing</w:t>
      </w:r>
      <w:r w:rsidR="004E561E" w:rsidRPr="00E02355">
        <w:t>,</w:t>
      </w:r>
      <w:r w:rsidRPr="00E02355">
        <w:t xml:space="preserve"> would fit within section 15(2). </w:t>
      </w:r>
      <w:r w:rsidR="00C53F44" w:rsidRPr="00E02355">
        <w:t xml:space="preserve"> </w:t>
      </w:r>
      <w:r w:rsidRPr="00E02355">
        <w:t xml:space="preserve">This </w:t>
      </w:r>
      <w:r w:rsidR="001B3003">
        <w:t>seems wrong</w:t>
      </w:r>
      <w:r w:rsidRPr="00E02355">
        <w:t xml:space="preserve">. </w:t>
      </w:r>
      <w:r w:rsidR="00C53F44" w:rsidRPr="00E02355">
        <w:t xml:space="preserve"> </w:t>
      </w:r>
      <w:r w:rsidRPr="00E02355">
        <w:t xml:space="preserve">The </w:t>
      </w:r>
      <w:r w:rsidR="001B3003">
        <w:t>Court</w:t>
      </w:r>
      <w:r w:rsidRPr="00E02355">
        <w:t xml:space="preserve">’s </w:t>
      </w:r>
      <w:r w:rsidR="00C53F44" w:rsidRPr="00E02355">
        <w:t xml:space="preserve">understanding </w:t>
      </w:r>
      <w:r w:rsidRPr="00E02355">
        <w:t xml:space="preserve">of the relationship between </w:t>
      </w:r>
      <w:r w:rsidR="00C93710">
        <w:t>section</w:t>
      </w:r>
      <w:r w:rsidR="005C5325">
        <w:t> </w:t>
      </w:r>
      <w:r w:rsidR="00325F84">
        <w:t xml:space="preserve">15(1) and </w:t>
      </w:r>
      <w:r w:rsidRPr="00E02355">
        <w:t xml:space="preserve">(2) </w:t>
      </w:r>
      <w:r w:rsidR="00C53F44" w:rsidRPr="00E02355">
        <w:t xml:space="preserve">is </w:t>
      </w:r>
      <w:r w:rsidRPr="00E02355">
        <w:t xml:space="preserve">not </w:t>
      </w:r>
      <w:r w:rsidR="00C53F44" w:rsidRPr="00E02355">
        <w:t xml:space="preserve">consonant </w:t>
      </w:r>
      <w:r w:rsidRPr="00E02355">
        <w:t xml:space="preserve">with the text. </w:t>
      </w:r>
      <w:r w:rsidR="00D76364" w:rsidRPr="00E02355">
        <w:t xml:space="preserve"> </w:t>
      </w:r>
      <w:r w:rsidRPr="00E02355">
        <w:t xml:space="preserve">The residual nature of </w:t>
      </w:r>
      <w:r w:rsidR="00340AC8" w:rsidRPr="00E02355">
        <w:t>section</w:t>
      </w:r>
      <w:r w:rsidR="005C5325">
        <w:t> </w:t>
      </w:r>
      <w:r w:rsidRPr="00D76364">
        <w:t xml:space="preserve">15(2) relates primarily to other </w:t>
      </w:r>
      <w:r w:rsidRPr="001B3003">
        <w:rPr>
          <w:i/>
        </w:rPr>
        <w:t>persons</w:t>
      </w:r>
      <w:r w:rsidRPr="00D76364">
        <w:t xml:space="preserve">, not to other </w:t>
      </w:r>
      <w:r w:rsidRPr="00D277B5">
        <w:t>offences</w:t>
      </w:r>
      <w:r w:rsidRPr="00D76364">
        <w:t xml:space="preserve">. </w:t>
      </w:r>
      <w:r w:rsidR="00F034BF">
        <w:t xml:space="preserve"> </w:t>
      </w:r>
      <w:r w:rsidRPr="00D76364">
        <w:t xml:space="preserve">This is </w:t>
      </w:r>
      <w:r w:rsidR="001B3003">
        <w:t xml:space="preserve">shown </w:t>
      </w:r>
      <w:r w:rsidRPr="00D76364">
        <w:t>by the fact that section 15(2) says</w:t>
      </w:r>
      <w:r w:rsidR="003C0863">
        <w:t>,</w:t>
      </w:r>
      <w:r w:rsidRPr="00D76364">
        <w:t xml:space="preserve"> “An</w:t>
      </w:r>
      <w:r w:rsidR="007E484A">
        <w:t>y</w:t>
      </w:r>
      <w:r w:rsidRPr="00D76364">
        <w:t xml:space="preserve"> act</w:t>
      </w:r>
      <w:r w:rsidR="007E484A">
        <w:t xml:space="preserve"> alleged</w:t>
      </w:r>
      <w:r w:rsidRPr="00D76364">
        <w:t xml:space="preserve"> to </w:t>
      </w:r>
      <w:r w:rsidR="007E484A">
        <w:t xml:space="preserve">constitute </w:t>
      </w:r>
      <w:r w:rsidR="00C93710">
        <w:t>an offence under this Act</w:t>
      </w:r>
      <w:r w:rsidR="001F2E87">
        <w:t xml:space="preserve"> </w:t>
      </w:r>
      <w:r w:rsidR="00C93710">
        <w:t>.</w:t>
      </w:r>
      <w:r w:rsidR="001F2E87">
        <w:t xml:space="preserve"> </w:t>
      </w:r>
      <w:r w:rsidR="00C93710">
        <w:t>.</w:t>
      </w:r>
      <w:r w:rsidR="001F2E87">
        <w:t xml:space="preserve"> </w:t>
      </w:r>
      <w:r w:rsidRPr="00D76364">
        <w:t xml:space="preserve">. </w:t>
      </w:r>
      <w:r w:rsidRPr="00360C42">
        <w:rPr>
          <w:i/>
        </w:rPr>
        <w:t>by a person other than a person</w:t>
      </w:r>
      <w:r w:rsidR="008C453E">
        <w:t xml:space="preserve"> contemplated in subsection </w:t>
      </w:r>
      <w:r w:rsidRPr="00360C42">
        <w:t>(1)</w:t>
      </w:r>
      <w:r w:rsidRPr="002D078A">
        <w:t>”</w:t>
      </w:r>
      <w:r w:rsidR="00F034BF">
        <w:t>.</w:t>
      </w:r>
      <w:r w:rsidRPr="00360C42">
        <w:t xml:space="preserve"> </w:t>
      </w:r>
      <w:r w:rsidR="00C53F44" w:rsidRPr="00360C42">
        <w:t xml:space="preserve"> </w:t>
      </w:r>
      <w:r w:rsidRPr="00360C42">
        <w:t>In other words, section 15(2) is meant to c</w:t>
      </w:r>
      <w:r w:rsidRPr="002D078A">
        <w:t xml:space="preserve">over a </w:t>
      </w:r>
      <w:r w:rsidRPr="00C7730D">
        <w:rPr>
          <w:i/>
        </w:rPr>
        <w:t>person</w:t>
      </w:r>
      <w:r w:rsidRPr="002D078A">
        <w:t xml:space="preserve"> who neither </w:t>
      </w:r>
      <w:r w:rsidR="00C53F44" w:rsidRPr="002D078A">
        <w:t xml:space="preserve">was </w:t>
      </w:r>
      <w:r w:rsidRPr="002D078A">
        <w:t xml:space="preserve">arrested within </w:t>
      </w:r>
      <w:r w:rsidR="005833F6">
        <w:t xml:space="preserve">the </w:t>
      </w:r>
      <w:r w:rsidRPr="002D078A">
        <w:t>South African jurisdiction nor committed an act fulfil</w:t>
      </w:r>
      <w:r w:rsidR="00C53F44" w:rsidRPr="002D078A">
        <w:t>ling</w:t>
      </w:r>
      <w:r w:rsidRPr="002D078A">
        <w:t xml:space="preserve"> one of the criteria in section</w:t>
      </w:r>
      <w:r w:rsidR="00F034BF">
        <w:t> </w:t>
      </w:r>
      <w:r w:rsidRPr="00360C42">
        <w:t>15(1)(b).</w:t>
      </w:r>
    </w:p>
    <w:p w:rsidR="00C53F44" w:rsidRPr="002D078A" w:rsidRDefault="00C53F44" w:rsidP="008C0E33">
      <w:pPr>
        <w:pStyle w:val="JUDGMENTCONTINUED"/>
      </w:pPr>
    </w:p>
    <w:p w:rsidR="0074715B" w:rsidRPr="002D078A" w:rsidRDefault="00C53F44" w:rsidP="0074715B">
      <w:pPr>
        <w:pStyle w:val="JUDGMENTNUMBERED"/>
      </w:pPr>
      <w:r w:rsidRPr="002D078A">
        <w:t>What is more</w:t>
      </w:r>
      <w:r w:rsidR="0074715B" w:rsidRPr="002D078A">
        <w:t xml:space="preserve">, </w:t>
      </w:r>
      <w:r w:rsidRPr="002D078A">
        <w:t xml:space="preserve">invoking </w:t>
      </w:r>
      <w:r w:rsidR="0074715B" w:rsidRPr="002D078A">
        <w:t xml:space="preserve">section 15(2) to give effect to the </w:t>
      </w:r>
      <w:r w:rsidRPr="002D078A">
        <w:t xml:space="preserve">international duty to </w:t>
      </w:r>
      <w:r w:rsidR="0074715B" w:rsidRPr="002D078A">
        <w:t xml:space="preserve">prosecute-or-extradite </w:t>
      </w:r>
      <w:r w:rsidRPr="002D078A">
        <w:t xml:space="preserve">is insufficient.  This is because of </w:t>
      </w:r>
      <w:r w:rsidR="0074715B" w:rsidRPr="002D078A">
        <w:t xml:space="preserve">the </w:t>
      </w:r>
      <w:r w:rsidRPr="002D078A">
        <w:t>various restrictions on the provis</w:t>
      </w:r>
      <w:r w:rsidR="0074715B" w:rsidRPr="002D078A">
        <w:t xml:space="preserve">ion’s applicability </w:t>
      </w:r>
      <w:r w:rsidRPr="002D078A">
        <w:t xml:space="preserve">that are set out </w:t>
      </w:r>
      <w:r w:rsidR="0074715B" w:rsidRPr="002D078A">
        <w:t>in subsections (a) to (c).</w:t>
      </w:r>
    </w:p>
    <w:p w:rsidR="0074715B" w:rsidRPr="002D078A" w:rsidRDefault="0074715B" w:rsidP="0074715B">
      <w:pPr>
        <w:pStyle w:val="JUDGMENTCONTINUED"/>
      </w:pPr>
    </w:p>
    <w:p w:rsidR="005A398A" w:rsidRPr="00360C42" w:rsidRDefault="00C7730D" w:rsidP="0074715B">
      <w:pPr>
        <w:pStyle w:val="JUDGMENTNUMBERED"/>
      </w:pPr>
      <w:r>
        <w:t>It is true, as</w:t>
      </w:r>
      <w:r w:rsidR="0074715B" w:rsidRPr="002D078A">
        <w:t xml:space="preserve"> the </w:t>
      </w:r>
      <w:r w:rsidR="00DE74F5" w:rsidRPr="002D078A">
        <w:t xml:space="preserve">Supreme Court of Appeal </w:t>
      </w:r>
      <w:r w:rsidR="0074715B" w:rsidRPr="002D078A">
        <w:t>noted</w:t>
      </w:r>
      <w:r>
        <w:t>,</w:t>
      </w:r>
      <w:r w:rsidR="0074715B" w:rsidRPr="002D078A">
        <w:t xml:space="preserve"> that jurisdiction has traditionally been limite</w:t>
      </w:r>
      <w:r w:rsidR="000A0D9E">
        <w:t>d to crimes occurring within a s</w:t>
      </w:r>
      <w:r w:rsidR="0074715B" w:rsidRPr="002D078A">
        <w:t>tate’s territory</w:t>
      </w:r>
      <w:r w:rsidR="000F020B">
        <w:t>,</w:t>
      </w:r>
      <w:r w:rsidR="0074715B" w:rsidRPr="00360C42">
        <w:t xml:space="preserve"> </w:t>
      </w:r>
      <w:r w:rsidR="00D77B66">
        <w:t xml:space="preserve">and </w:t>
      </w:r>
      <w:r w:rsidR="0074715B" w:rsidRPr="00360C42">
        <w:t>that international terrorism conventions have</w:t>
      </w:r>
      <w:r w:rsidR="000F33D0">
        <w:t>,</w:t>
      </w:r>
      <w:r w:rsidR="0074715B" w:rsidRPr="00360C42">
        <w:t xml:space="preserve"> </w:t>
      </w:r>
      <w:r w:rsidR="00D77B66">
        <w:t>of necessity</w:t>
      </w:r>
      <w:r w:rsidR="000F33D0">
        <w:t>,</w:t>
      </w:r>
      <w:r w:rsidR="00D77B66">
        <w:t xml:space="preserve"> </w:t>
      </w:r>
      <w:r w:rsidR="0074715B" w:rsidRPr="00360C42">
        <w:t>relaxed this limitation.</w:t>
      </w:r>
      <w:r w:rsidR="0074715B" w:rsidRPr="00360C42">
        <w:rPr>
          <w:rStyle w:val="FootnoteReference"/>
        </w:rPr>
        <w:footnoteReference w:id="67"/>
      </w:r>
      <w:r w:rsidR="0074715B" w:rsidRPr="00360C42">
        <w:t xml:space="preserve"> </w:t>
      </w:r>
      <w:r w:rsidR="00914C6C">
        <w:t xml:space="preserve"> </w:t>
      </w:r>
      <w:r w:rsidR="0074715B" w:rsidRPr="00360C42">
        <w:t xml:space="preserve">Before this Court, counsel for Mr Okah </w:t>
      </w:r>
      <w:r w:rsidR="00F46B29" w:rsidRPr="002D078A">
        <w:t xml:space="preserve">urged </w:t>
      </w:r>
      <w:r w:rsidR="0074715B" w:rsidRPr="002D078A">
        <w:t xml:space="preserve">that a wide reading of jurisdiction would violate principles of international </w:t>
      </w:r>
      <w:r w:rsidR="0074715B" w:rsidRPr="004916A3">
        <w:t>comity</w:t>
      </w:r>
      <w:r w:rsidR="0074715B" w:rsidRPr="00360C42">
        <w:t xml:space="preserve">. </w:t>
      </w:r>
      <w:r w:rsidR="005A398A" w:rsidRPr="00360C42">
        <w:t xml:space="preserve"> This argument cannot be sustained.</w:t>
      </w:r>
    </w:p>
    <w:p w:rsidR="005A398A" w:rsidRPr="002D078A" w:rsidRDefault="005A398A" w:rsidP="008C0E33">
      <w:pPr>
        <w:pStyle w:val="JUDGMENTCONTINUED"/>
      </w:pPr>
    </w:p>
    <w:p w:rsidR="0074715B" w:rsidRDefault="0074715B" w:rsidP="0074715B">
      <w:pPr>
        <w:pStyle w:val="JUDGMENTNUMBERED"/>
      </w:pPr>
      <w:r w:rsidRPr="002D078A">
        <w:t xml:space="preserve">While it is true that territoriality has been the traditional </w:t>
      </w:r>
      <w:r w:rsidR="008F0708">
        <w:t xml:space="preserve">basis on which </w:t>
      </w:r>
      <w:r w:rsidRPr="002D078A">
        <w:t>courts establish jurisdiction, international and South African jurisprudence recogni</w:t>
      </w:r>
      <w:r w:rsidR="000F020B">
        <w:t>s</w:t>
      </w:r>
      <w:r w:rsidRPr="00360C42">
        <w:t xml:space="preserve">e other </w:t>
      </w:r>
      <w:r w:rsidRPr="00360C42">
        <w:lastRenderedPageBreak/>
        <w:t>methods of asserting jurisdiction.</w:t>
      </w:r>
      <w:r w:rsidRPr="00360C42">
        <w:rPr>
          <w:rStyle w:val="FootnoteReference"/>
        </w:rPr>
        <w:footnoteReference w:id="68"/>
      </w:r>
      <w:r w:rsidRPr="00360C42">
        <w:t xml:space="preserve"> </w:t>
      </w:r>
      <w:r w:rsidR="00360C42">
        <w:t xml:space="preserve"> </w:t>
      </w:r>
      <w:r w:rsidRPr="00360C42">
        <w:t xml:space="preserve">Comity concerns fall away in cases where there is no infringement on the sovereignty of another </w:t>
      </w:r>
      <w:r w:rsidR="000A0D9E">
        <w:t>state</w:t>
      </w:r>
      <w:r w:rsidRPr="00360C42">
        <w:t>.</w:t>
      </w:r>
      <w:r w:rsidR="00360C42">
        <w:t xml:space="preserve"> </w:t>
      </w:r>
      <w:r w:rsidRPr="00360C42">
        <w:t xml:space="preserve"> This is particularly true when the crimes over which a court asserts jurisdiction </w:t>
      </w:r>
      <w:r w:rsidR="005A398A" w:rsidRPr="002D078A">
        <w:t xml:space="preserve">have </w:t>
      </w:r>
      <w:r w:rsidRPr="002D078A">
        <w:t>an international</w:t>
      </w:r>
      <w:r w:rsidR="005A398A" w:rsidRPr="002D078A">
        <w:t xml:space="preserve"> dimension</w:t>
      </w:r>
      <w:r w:rsidRPr="002D078A">
        <w:t>.</w:t>
      </w:r>
      <w:r w:rsidRPr="00360C42">
        <w:rPr>
          <w:rStyle w:val="FootnoteReference"/>
        </w:rPr>
        <w:footnoteReference w:id="69"/>
      </w:r>
      <w:r w:rsidRPr="00360C42">
        <w:t xml:space="preserve"> </w:t>
      </w:r>
      <w:r w:rsidR="00360C42">
        <w:t xml:space="preserve"> </w:t>
      </w:r>
      <w:r w:rsidR="000F6179">
        <w:t>We should not</w:t>
      </w:r>
      <w:r w:rsidR="00F60F85">
        <w:t>,</w:t>
      </w:r>
      <w:r w:rsidR="000F6179">
        <w:t xml:space="preserve"> through a </w:t>
      </w:r>
      <w:r w:rsidR="00415DD1" w:rsidRPr="002D078A">
        <w:t>n</w:t>
      </w:r>
      <w:r w:rsidR="005C5325">
        <w:t>arrow interpretation of section </w:t>
      </w:r>
      <w:r w:rsidR="00415DD1" w:rsidRPr="002D078A">
        <w:t>15(1)</w:t>
      </w:r>
      <w:r w:rsidR="00F60F85">
        <w:t>,</w:t>
      </w:r>
      <w:r w:rsidRPr="002D078A">
        <w:t xml:space="preserve"> </w:t>
      </w:r>
      <w:r w:rsidR="000F6179">
        <w:t xml:space="preserve">mistakenly perpetuate </w:t>
      </w:r>
      <w:r w:rsidRPr="002D078A">
        <w:t>a</w:t>
      </w:r>
      <w:r w:rsidR="000F6179">
        <w:t>n historical disinclination to</w:t>
      </w:r>
      <w:r w:rsidR="00415DD1" w:rsidRPr="002D078A">
        <w:t xml:space="preserve"> </w:t>
      </w:r>
      <w:r w:rsidR="00152F24" w:rsidRPr="002D078A">
        <w:t>extra-territoriality.</w:t>
      </w:r>
    </w:p>
    <w:p w:rsidR="00817FD4" w:rsidRPr="00360C42" w:rsidRDefault="00817FD4" w:rsidP="009178AA">
      <w:pPr>
        <w:pStyle w:val="JUDGMENTCONTINUED"/>
      </w:pPr>
    </w:p>
    <w:p w:rsidR="0074715B" w:rsidRPr="00311B85" w:rsidRDefault="0074715B" w:rsidP="009178AA">
      <w:pPr>
        <w:pStyle w:val="HEADING"/>
      </w:pPr>
      <w:r w:rsidRPr="002D078A">
        <w:t>Section 1(4) of the Act</w:t>
      </w:r>
    </w:p>
    <w:p w:rsidR="0074715B" w:rsidRDefault="000B4872" w:rsidP="0074715B">
      <w:pPr>
        <w:pStyle w:val="JUDGMENTNUMBERED"/>
      </w:pPr>
      <w:r w:rsidRPr="00D65B1D">
        <w:t xml:space="preserve">Mr Okah belatedly sought to </w:t>
      </w:r>
      <w:r w:rsidR="00912885">
        <w:t>revive</w:t>
      </w:r>
      <w:r w:rsidRPr="00D65B1D">
        <w:t xml:space="preserve"> a claim for exemptio</w:t>
      </w:r>
      <w:r w:rsidR="005C5325">
        <w:t>n under section </w:t>
      </w:r>
      <w:r w:rsidRPr="00D65B1D">
        <w:t xml:space="preserve">1(4) of the </w:t>
      </w:r>
      <w:r w:rsidR="001472D3">
        <w:t>Act</w:t>
      </w:r>
      <w:r w:rsidR="00912885">
        <w:t>,</w:t>
      </w:r>
      <w:r w:rsidR="008E1236" w:rsidRPr="00D65B1D">
        <w:rPr>
          <w:rStyle w:val="FootnoteReference"/>
        </w:rPr>
        <w:footnoteReference w:id="70"/>
      </w:r>
      <w:r w:rsidR="00912885">
        <w:t xml:space="preserve"> which was abandoned before the Supreme Court of Appeal</w:t>
      </w:r>
      <w:r w:rsidRPr="00D65B1D">
        <w:t>.</w:t>
      </w:r>
      <w:r w:rsidR="00E90887">
        <w:t xml:space="preserve">  </w:t>
      </w:r>
      <w:r w:rsidR="005C5325">
        <w:t>Section </w:t>
      </w:r>
      <w:r w:rsidR="0074715B" w:rsidRPr="002D078A">
        <w:t>1(4) of the Act exempts certain acts from the definition of terrorism, and</w:t>
      </w:r>
      <w:r w:rsidR="004C01FF">
        <w:t>,</w:t>
      </w:r>
      <w:r w:rsidR="0074715B" w:rsidRPr="002D078A">
        <w:t xml:space="preserve"> thus</w:t>
      </w:r>
      <w:r w:rsidR="004C01FF">
        <w:t>,</w:t>
      </w:r>
      <w:r w:rsidR="0074715B" w:rsidRPr="002D078A">
        <w:t xml:space="preserve"> prosecution under the Act. </w:t>
      </w:r>
      <w:r w:rsidR="004C01FF">
        <w:t xml:space="preserve"> To</w:t>
      </w:r>
      <w:r w:rsidR="0074715B" w:rsidRPr="002D078A">
        <w:t xml:space="preserve"> fall </w:t>
      </w:r>
      <w:r w:rsidR="00E5419B" w:rsidRPr="002D078A">
        <w:t xml:space="preserve">under </w:t>
      </w:r>
      <w:r w:rsidR="0074715B" w:rsidRPr="002D078A">
        <w:t>section 1(4)</w:t>
      </w:r>
      <w:r w:rsidR="004C01FF">
        <w:t>,</w:t>
      </w:r>
      <w:r w:rsidR="0074715B" w:rsidRPr="002D078A">
        <w:t xml:space="preserve"> the followin</w:t>
      </w:r>
      <w:r w:rsidR="00C77CFD">
        <w:t>g criteria must all be met: (1) </w:t>
      </w:r>
      <w:r w:rsidR="0074715B" w:rsidRPr="002D078A">
        <w:t>the act must have taken place within the context of a “</w:t>
      </w:r>
      <w:r w:rsidR="00C77CFD">
        <w:t>struggle waged by peoples”; (2) </w:t>
      </w:r>
      <w:r w:rsidR="0074715B" w:rsidRPr="002D078A">
        <w:t>that struggle must be “in the exercise or furtherance of their legitimate right to national liberation, self-determination and independence against colonialism, or occupation or aggression or domination by alien or foreign forces”</w:t>
      </w:r>
      <w:r w:rsidR="004C01FF">
        <w:t>;</w:t>
      </w:r>
      <w:r w:rsidR="00C77CFD">
        <w:t xml:space="preserve"> and (3) </w:t>
      </w:r>
      <w:r w:rsidR="0074715B" w:rsidRPr="002D078A">
        <w:t xml:space="preserve">the act </w:t>
      </w:r>
      <w:r w:rsidR="0074715B" w:rsidRPr="002D078A">
        <w:lastRenderedPageBreak/>
        <w:t>must be taken “in accordance with the principles of international law, especially international humanitarian law”</w:t>
      </w:r>
      <w:r w:rsidR="004C01FF">
        <w:t>.</w:t>
      </w:r>
      <w:r w:rsidR="0074715B" w:rsidRPr="002D078A">
        <w:rPr>
          <w:rStyle w:val="FootnoteReference"/>
        </w:rPr>
        <w:footnoteReference w:id="71"/>
      </w:r>
    </w:p>
    <w:p w:rsidR="00E90887" w:rsidRDefault="00E90887" w:rsidP="00E90887">
      <w:pPr>
        <w:pStyle w:val="JUDGMENTCONTINUED"/>
      </w:pPr>
    </w:p>
    <w:p w:rsidR="00E90887" w:rsidRPr="007F3116" w:rsidRDefault="00D4412E" w:rsidP="00E90887">
      <w:pPr>
        <w:pStyle w:val="JUDGMENTNUMBERED"/>
      </w:pPr>
      <w:r w:rsidRPr="007F3116">
        <w:t xml:space="preserve">This application for </w:t>
      </w:r>
      <w:r w:rsidR="00432ED3" w:rsidRPr="007F3116">
        <w:t>exemption</w:t>
      </w:r>
      <w:r w:rsidRPr="007F3116">
        <w:t xml:space="preserve"> under section 1(4)</w:t>
      </w:r>
      <w:r w:rsidR="00E90887" w:rsidRPr="007F3116">
        <w:t xml:space="preserve"> cannot be countenanced.  </w:t>
      </w:r>
      <w:r w:rsidR="00912885" w:rsidRPr="007F3116">
        <w:t xml:space="preserve">Not only is the </w:t>
      </w:r>
      <w:r w:rsidR="00E90887" w:rsidRPr="007F3116">
        <w:t xml:space="preserve">evidential material relating to the </w:t>
      </w:r>
      <w:r w:rsidR="00912885" w:rsidRPr="007F3116">
        <w:t xml:space="preserve">first two criteria </w:t>
      </w:r>
      <w:r w:rsidR="00E90887" w:rsidRPr="007F3116">
        <w:t>wholly insufficient for this Court to make a determination in favour of Mr Okah</w:t>
      </w:r>
      <w:r w:rsidR="00912885" w:rsidRPr="007F3116">
        <w:t>, but the evidential material that is avail</w:t>
      </w:r>
      <w:r w:rsidR="00B037DE">
        <w:t>able indicates</w:t>
      </w:r>
      <w:r w:rsidR="00F0361E">
        <w:t xml:space="preserve"> </w:t>
      </w:r>
      <w:r w:rsidR="00912885" w:rsidRPr="007F3116">
        <w:t xml:space="preserve">that the third criterion has not been met.  Therefore, </w:t>
      </w:r>
      <w:r w:rsidR="00846B2B" w:rsidRPr="007F3116">
        <w:t xml:space="preserve">section 1(4) does not apply, and </w:t>
      </w:r>
      <w:r w:rsidR="00912885" w:rsidRPr="007F3116">
        <w:t xml:space="preserve">Mr Okah cannot rely on </w:t>
      </w:r>
      <w:r w:rsidR="00846B2B" w:rsidRPr="007F3116">
        <w:t xml:space="preserve">it </w:t>
      </w:r>
      <w:r w:rsidR="00912885" w:rsidRPr="007F3116">
        <w:t xml:space="preserve">for </w:t>
      </w:r>
      <w:r w:rsidR="00B037DE">
        <w:t>exemption from prosecution</w:t>
      </w:r>
      <w:r w:rsidR="00912885" w:rsidRPr="007F3116">
        <w:t>.</w:t>
      </w:r>
    </w:p>
    <w:p w:rsidR="0074715B" w:rsidRPr="002D078A" w:rsidRDefault="0074715B" w:rsidP="0074715B">
      <w:pPr>
        <w:pStyle w:val="JUDGMENTCONTINUED"/>
      </w:pPr>
    </w:p>
    <w:p w:rsidR="00955F40" w:rsidRDefault="0074715B" w:rsidP="0074715B">
      <w:pPr>
        <w:pStyle w:val="JUDGMENTNUMBERED"/>
      </w:pPr>
      <w:r w:rsidRPr="00CA5C60">
        <w:t xml:space="preserve">The first two criteria </w:t>
      </w:r>
      <w:r w:rsidR="00CA5C60">
        <w:t xml:space="preserve">of the section 1(4) </w:t>
      </w:r>
      <w:r w:rsidR="007F3116">
        <w:t>exemption</w:t>
      </w:r>
      <w:r w:rsidR="00CA5C60">
        <w:t xml:space="preserve"> </w:t>
      </w:r>
      <w:r w:rsidRPr="00CA5C60">
        <w:t>raise</w:t>
      </w:r>
      <w:r w:rsidRPr="002D078A">
        <w:t xml:space="preserve"> many thorny factual and conceptual questions</w:t>
      </w:r>
      <w:r w:rsidR="00C56556">
        <w:t>,</w:t>
      </w:r>
      <w:r w:rsidRPr="002D078A">
        <w:t xml:space="preserve"> both in the abstract and </w:t>
      </w:r>
      <w:r w:rsidR="003E4B34">
        <w:t xml:space="preserve">in </w:t>
      </w:r>
      <w:r w:rsidRPr="002D078A">
        <w:t>th</w:t>
      </w:r>
      <w:r w:rsidR="003E4B34">
        <w:t>e facts here</w:t>
      </w:r>
      <w:r w:rsidRPr="002D078A">
        <w:t xml:space="preserve">. </w:t>
      </w:r>
      <w:r w:rsidR="000501D9">
        <w:t xml:space="preserve"> </w:t>
      </w:r>
      <w:r w:rsidRPr="002D078A">
        <w:t>Do th</w:t>
      </w:r>
      <w:r w:rsidR="00250943">
        <w:t>os</w:t>
      </w:r>
      <w:r w:rsidRPr="002D078A">
        <w:t xml:space="preserve">e for whose rights MEND fought count as a “people” contemplated by the Act? </w:t>
      </w:r>
      <w:r w:rsidR="00C56556">
        <w:t xml:space="preserve"> </w:t>
      </w:r>
      <w:r w:rsidRPr="002D078A">
        <w:t xml:space="preserve">Can one’s own government, or can foreign corporations, </w:t>
      </w:r>
      <w:r w:rsidR="003462FF">
        <w:t xml:space="preserve">be </w:t>
      </w:r>
      <w:r w:rsidRPr="002D078A">
        <w:t xml:space="preserve">“alien or foreign forces”? </w:t>
      </w:r>
      <w:r w:rsidR="00C56556">
        <w:t xml:space="preserve"> </w:t>
      </w:r>
      <w:r w:rsidRPr="002D078A">
        <w:t xml:space="preserve">Can a </w:t>
      </w:r>
      <w:r w:rsidR="003462FF">
        <w:t>well-grounded complaint about</w:t>
      </w:r>
      <w:r w:rsidR="003462FF" w:rsidRPr="002D078A">
        <w:t xml:space="preserve"> relentless, life- and livelihood-threatening environmental degradation </w:t>
      </w:r>
      <w:r w:rsidR="00955F40">
        <w:t xml:space="preserve">be the basis for a </w:t>
      </w:r>
      <w:r w:rsidRPr="002D078A">
        <w:t>legitimate right to self-determination and national liberation?</w:t>
      </w:r>
      <w:r w:rsidRPr="002D078A">
        <w:rPr>
          <w:rStyle w:val="FootnoteReference"/>
        </w:rPr>
        <w:footnoteReference w:id="72"/>
      </w:r>
    </w:p>
    <w:p w:rsidR="00955F40" w:rsidRDefault="00955F40" w:rsidP="008C0E33">
      <w:pPr>
        <w:pStyle w:val="JUDGMENTCONTINUED"/>
      </w:pPr>
    </w:p>
    <w:p w:rsidR="00415DD1" w:rsidRPr="002D078A" w:rsidRDefault="0074715B" w:rsidP="0074715B">
      <w:pPr>
        <w:pStyle w:val="JUDGMENTNUMBERED"/>
      </w:pPr>
      <w:r w:rsidRPr="002D078A">
        <w:t xml:space="preserve">The questions </w:t>
      </w:r>
      <w:r w:rsidR="00955F40">
        <w:t xml:space="preserve">that arise </w:t>
      </w:r>
      <w:r w:rsidR="00415DD1" w:rsidRPr="002D078A">
        <w:t xml:space="preserve">cannot and </w:t>
      </w:r>
      <w:r w:rsidRPr="002D078A">
        <w:t xml:space="preserve">should not be answered </w:t>
      </w:r>
      <w:r w:rsidR="00415DD1" w:rsidRPr="002D078A">
        <w:t xml:space="preserve">here.  This is </w:t>
      </w:r>
      <w:r w:rsidRPr="002D078A">
        <w:t xml:space="preserve">because evidence </w:t>
      </w:r>
      <w:r w:rsidR="00415DD1" w:rsidRPr="002D078A">
        <w:t xml:space="preserve">relevant to determining them </w:t>
      </w:r>
      <w:r w:rsidRPr="002D078A">
        <w:t xml:space="preserve">was not properly led </w:t>
      </w:r>
      <w:r w:rsidR="00415DD1" w:rsidRPr="002D078A">
        <w:t xml:space="preserve">during the </w:t>
      </w:r>
      <w:r w:rsidRPr="002D078A">
        <w:t>trial</w:t>
      </w:r>
      <w:r w:rsidR="00415DD1" w:rsidRPr="002D078A">
        <w:t xml:space="preserve">.  </w:t>
      </w:r>
      <w:r w:rsidR="00056770">
        <w:t xml:space="preserve">Consequently, </w:t>
      </w:r>
      <w:r w:rsidRPr="002D078A">
        <w:t xml:space="preserve">the record </w:t>
      </w:r>
      <w:r w:rsidR="00056770">
        <w:t xml:space="preserve">does not enable us </w:t>
      </w:r>
      <w:r w:rsidRPr="002D078A">
        <w:t xml:space="preserve">to make any sort of determination </w:t>
      </w:r>
      <w:r w:rsidR="00415DD1" w:rsidRPr="002D078A">
        <w:t xml:space="preserve">that might have assisted </w:t>
      </w:r>
      <w:r w:rsidRPr="002D078A">
        <w:t>Mr Okah.</w:t>
      </w:r>
      <w:r w:rsidRPr="002D078A">
        <w:rPr>
          <w:rStyle w:val="FootnoteReference"/>
        </w:rPr>
        <w:footnoteReference w:id="73"/>
      </w:r>
    </w:p>
    <w:p w:rsidR="00415DD1" w:rsidRPr="002D078A" w:rsidRDefault="00415DD1" w:rsidP="008C0E33">
      <w:pPr>
        <w:pStyle w:val="JUDGMENTCONTINUED"/>
      </w:pPr>
    </w:p>
    <w:p w:rsidR="00955F40" w:rsidRDefault="00415DD1" w:rsidP="0074715B">
      <w:pPr>
        <w:pStyle w:val="JUDGMENTNUMBERED"/>
      </w:pPr>
      <w:r w:rsidRPr="002D078A">
        <w:t xml:space="preserve">More particularly, those questions </w:t>
      </w:r>
      <w:r w:rsidR="0074715B" w:rsidRPr="002D078A">
        <w:t xml:space="preserve">need not be answered </w:t>
      </w:r>
      <w:r w:rsidR="008B4FBC" w:rsidRPr="002D078A">
        <w:t>for a narrower reason</w:t>
      </w:r>
      <w:r w:rsidRPr="002D078A">
        <w:t xml:space="preserve">.  This is </w:t>
      </w:r>
      <w:r w:rsidR="0074715B" w:rsidRPr="002D078A">
        <w:t>because Mr Okah’s actions were not in accordance with inte</w:t>
      </w:r>
      <w:r w:rsidR="00580FCE" w:rsidRPr="002D078A">
        <w:t>rnational humanitarian law</w:t>
      </w:r>
      <w:r w:rsidR="0074715B" w:rsidRPr="002D078A">
        <w:t>.</w:t>
      </w:r>
      <w:r w:rsidR="0074715B" w:rsidRPr="002D078A">
        <w:rPr>
          <w:rStyle w:val="FootnoteReference"/>
        </w:rPr>
        <w:footnoteReference w:id="74"/>
      </w:r>
      <w:r w:rsidR="0074715B" w:rsidRPr="002D078A">
        <w:t xml:space="preserve"> </w:t>
      </w:r>
      <w:r w:rsidR="00056770">
        <w:t xml:space="preserve"> </w:t>
      </w:r>
      <w:r w:rsidR="00955F40">
        <w:t>Indeed, t</w:t>
      </w:r>
      <w:r w:rsidR="00955F40" w:rsidRPr="002D078A">
        <w:t>he High Court</w:t>
      </w:r>
      <w:r w:rsidR="0057507F">
        <w:t>,</w:t>
      </w:r>
      <w:r w:rsidR="00955F40">
        <w:t xml:space="preserve"> in rejecting Mr Okah’s</w:t>
      </w:r>
      <w:r w:rsidR="00C94538">
        <w:t xml:space="preserve"> section </w:t>
      </w:r>
      <w:r w:rsidR="00955F40" w:rsidRPr="002D078A">
        <w:t xml:space="preserve">1(4) </w:t>
      </w:r>
      <w:r w:rsidR="00955F40">
        <w:t>argument</w:t>
      </w:r>
      <w:r w:rsidR="0057507F">
        <w:t>,</w:t>
      </w:r>
      <w:r w:rsidR="00955F40">
        <w:t xml:space="preserve"> </w:t>
      </w:r>
      <w:r w:rsidR="00955F40" w:rsidRPr="002D078A">
        <w:t>focus</w:t>
      </w:r>
      <w:r w:rsidR="00955F40">
        <w:t>s</w:t>
      </w:r>
      <w:r w:rsidR="00955F40" w:rsidRPr="002D078A">
        <w:t>ed on the legitimacy of Mr Okah’s actions.</w:t>
      </w:r>
    </w:p>
    <w:p w:rsidR="00955F40" w:rsidRDefault="00955F40" w:rsidP="008C0E33">
      <w:pPr>
        <w:pStyle w:val="JUDGMENTCONTINUED"/>
      </w:pPr>
    </w:p>
    <w:p w:rsidR="0074715B" w:rsidRPr="002D078A" w:rsidRDefault="0074715B" w:rsidP="0074715B">
      <w:pPr>
        <w:pStyle w:val="JUDGMENTNUMBERED"/>
      </w:pPr>
      <w:r w:rsidRPr="002D078A">
        <w:t xml:space="preserve">One of the cornerstones of </w:t>
      </w:r>
      <w:r w:rsidR="00580FCE" w:rsidRPr="002D078A">
        <w:t xml:space="preserve">international humanitarian law </w:t>
      </w:r>
      <w:r w:rsidRPr="002D078A">
        <w:t xml:space="preserve">is the obligation to distinguish between combatants and civilians and between military objectives and civilian objects. </w:t>
      </w:r>
      <w:r w:rsidR="00056770">
        <w:t xml:space="preserve"> </w:t>
      </w:r>
      <w:r w:rsidRPr="002D078A">
        <w:t xml:space="preserve">Military action </w:t>
      </w:r>
      <w:r w:rsidR="004D674A" w:rsidRPr="002D078A">
        <w:t xml:space="preserve">may </w:t>
      </w:r>
      <w:r w:rsidRPr="002D078A">
        <w:t xml:space="preserve">not directly target civilians, nor may </w:t>
      </w:r>
      <w:r w:rsidR="004D674A" w:rsidRPr="002D078A">
        <w:t xml:space="preserve">it </w:t>
      </w:r>
      <w:r w:rsidRPr="002D078A">
        <w:t xml:space="preserve">be taken with indifference to the effects on the civilian population. </w:t>
      </w:r>
      <w:r w:rsidR="004D674A" w:rsidRPr="002D078A">
        <w:t xml:space="preserve"> </w:t>
      </w:r>
      <w:r w:rsidRPr="002D078A">
        <w:t>Further</w:t>
      </w:r>
      <w:r w:rsidR="00056770">
        <w:t>more</w:t>
      </w:r>
      <w:r w:rsidRPr="002D078A">
        <w:t xml:space="preserve">, particular means and methods of warfare may be </w:t>
      </w:r>
      <w:r w:rsidR="0000134D">
        <w:t>unlawful</w:t>
      </w:r>
      <w:r w:rsidR="0000134D" w:rsidRPr="002D078A">
        <w:t xml:space="preserve"> </w:t>
      </w:r>
      <w:r w:rsidRPr="002D078A">
        <w:t>because they are</w:t>
      </w:r>
      <w:r w:rsidR="005935C3">
        <w:t>,</w:t>
      </w:r>
      <w:r w:rsidRPr="002D078A">
        <w:t xml:space="preserve"> </w:t>
      </w:r>
      <w:r w:rsidR="005935C3">
        <w:t xml:space="preserve">either </w:t>
      </w:r>
      <w:r w:rsidR="004D674A" w:rsidRPr="002D078A">
        <w:t xml:space="preserve">by </w:t>
      </w:r>
      <w:r w:rsidRPr="002D078A">
        <w:t>their nature or use</w:t>
      </w:r>
      <w:r w:rsidR="005935C3">
        <w:t>,</w:t>
      </w:r>
      <w:r w:rsidRPr="002D078A">
        <w:t xml:space="preserve"> </w:t>
      </w:r>
      <w:r w:rsidR="004D674A" w:rsidRPr="002D078A">
        <w:t>indiscriminate</w:t>
      </w:r>
      <w:r w:rsidRPr="002D078A">
        <w:t>.</w:t>
      </w:r>
      <w:r w:rsidRPr="002D078A">
        <w:rPr>
          <w:rStyle w:val="FootnoteReference"/>
        </w:rPr>
        <w:footnoteReference w:id="75"/>
      </w:r>
    </w:p>
    <w:p w:rsidR="0074715B" w:rsidRPr="002D078A" w:rsidRDefault="0074715B" w:rsidP="0074715B">
      <w:pPr>
        <w:pStyle w:val="JUDGMENTCONTINUED"/>
      </w:pPr>
    </w:p>
    <w:p w:rsidR="0074715B" w:rsidRPr="002D078A" w:rsidRDefault="0074715B" w:rsidP="0074715B">
      <w:pPr>
        <w:pStyle w:val="JUDGMENTNUMBERED"/>
      </w:pPr>
      <w:r w:rsidRPr="002D078A">
        <w:t xml:space="preserve">The undisputed facts before the trial court establish that </w:t>
      </w:r>
      <w:r w:rsidR="00580FCE" w:rsidRPr="002D078A">
        <w:t xml:space="preserve">both </w:t>
      </w:r>
      <w:r w:rsidRPr="002D078A">
        <w:t>the Warri and Abuja bombing</w:t>
      </w:r>
      <w:r w:rsidR="00580FCE" w:rsidRPr="002D078A">
        <w:t>s</w:t>
      </w:r>
      <w:r w:rsidRPr="002D078A">
        <w:t xml:space="preserve"> were carried out in</w:t>
      </w:r>
      <w:r w:rsidR="00E5419B" w:rsidRPr="002D078A">
        <w:t xml:space="preserve"> clear</w:t>
      </w:r>
      <w:r w:rsidRPr="002D078A">
        <w:t xml:space="preserve"> </w:t>
      </w:r>
      <w:r w:rsidR="00580FCE" w:rsidRPr="002D078A">
        <w:t>violation</w:t>
      </w:r>
      <w:r w:rsidR="006A1D3E" w:rsidRPr="002D078A">
        <w:t xml:space="preserve"> of</w:t>
      </w:r>
      <w:r w:rsidR="00580FCE" w:rsidRPr="002D078A">
        <w:t xml:space="preserve"> international humanitarian law</w:t>
      </w:r>
      <w:r w:rsidRPr="002D078A">
        <w:t>.</w:t>
      </w:r>
      <w:r w:rsidR="00E5419B" w:rsidRPr="002D078A">
        <w:rPr>
          <w:rStyle w:val="FootnoteReference"/>
        </w:rPr>
        <w:footnoteReference w:id="76"/>
      </w:r>
      <w:r w:rsidRPr="002D078A">
        <w:t xml:space="preserve"> </w:t>
      </w:r>
      <w:r w:rsidR="006352FC">
        <w:t xml:space="preserve"> </w:t>
      </w:r>
      <w:r w:rsidRPr="002D078A">
        <w:t xml:space="preserve">Each bombing entailed two sets of explosives </w:t>
      </w:r>
      <w:r w:rsidR="006C0413" w:rsidRPr="002D078A">
        <w:t xml:space="preserve">crammed </w:t>
      </w:r>
      <w:r w:rsidRPr="002D078A">
        <w:t>into vehicles with timing devices set to delay the detonation of the second vehicle until after the first.</w:t>
      </w:r>
      <w:r w:rsidR="006352FC">
        <w:t xml:space="preserve"> </w:t>
      </w:r>
      <w:r w:rsidRPr="002D078A">
        <w:t xml:space="preserve"> </w:t>
      </w:r>
      <w:r w:rsidR="00955F40">
        <w:t xml:space="preserve">As </w:t>
      </w:r>
      <w:r w:rsidRPr="002D078A">
        <w:t xml:space="preserve">the </w:t>
      </w:r>
      <w:r w:rsidR="00DE74F5" w:rsidRPr="002D078A">
        <w:t xml:space="preserve">Supreme Court of Appeal </w:t>
      </w:r>
      <w:r w:rsidRPr="002D078A">
        <w:t xml:space="preserve">noted, </w:t>
      </w:r>
      <w:r w:rsidR="00955F40">
        <w:t xml:space="preserve">the intention was deadly.  And cruel.  It </w:t>
      </w:r>
      <w:r w:rsidRPr="002D078A">
        <w:t xml:space="preserve">was that “a crowd would be attracted to the site of the first explosion, which would then be </w:t>
      </w:r>
      <w:r w:rsidRPr="002D078A">
        <w:lastRenderedPageBreak/>
        <w:t>caught in a blast zone of the second explosion, resulting in maximum injury and death”.</w:t>
      </w:r>
      <w:r w:rsidRPr="002D078A">
        <w:rPr>
          <w:rStyle w:val="FootnoteReference"/>
        </w:rPr>
        <w:footnoteReference w:id="77"/>
      </w:r>
    </w:p>
    <w:p w:rsidR="0074715B" w:rsidRPr="002D078A" w:rsidRDefault="0074715B" w:rsidP="0074715B">
      <w:pPr>
        <w:pStyle w:val="JUDGMENTCONTINUED"/>
      </w:pPr>
    </w:p>
    <w:p w:rsidR="009435F7" w:rsidRPr="002D078A" w:rsidRDefault="0074715B" w:rsidP="0074715B">
      <w:pPr>
        <w:pStyle w:val="JUDGMENTNUMBERED"/>
      </w:pPr>
      <w:r w:rsidRPr="002D078A">
        <w:t>Counsel for Mr Okah contended only feebly that the bombings were not aimed at civilian targets</w:t>
      </w:r>
      <w:r w:rsidR="00973AC4">
        <w:t>,</w:t>
      </w:r>
      <w:r w:rsidRPr="002D078A">
        <w:t xml:space="preserve"> and that they were not designed to inflict maximum damage, including killing and maiming innocent people.  The submission </w:t>
      </w:r>
      <w:r w:rsidR="006C0413" w:rsidRPr="002D078A">
        <w:t xml:space="preserve">is </w:t>
      </w:r>
      <w:r w:rsidR="00955F40">
        <w:t xml:space="preserve">not </w:t>
      </w:r>
      <w:r w:rsidR="006C0413" w:rsidRPr="002D078A">
        <w:t xml:space="preserve">tenable.  It </w:t>
      </w:r>
      <w:r w:rsidRPr="002D078A">
        <w:t xml:space="preserve">flies in the face of the established and uncontested facts. </w:t>
      </w:r>
      <w:r w:rsidR="00973AC4">
        <w:t xml:space="preserve"> </w:t>
      </w:r>
      <w:r w:rsidRPr="002D078A">
        <w:t xml:space="preserve">And, even if </w:t>
      </w:r>
      <w:r w:rsidR="009435F7" w:rsidRPr="002D078A">
        <w:t>the bombings had a limited aim or design, as contended, they</w:t>
      </w:r>
      <w:r w:rsidRPr="002D078A">
        <w:t xml:space="preserve"> would remain grossly </w:t>
      </w:r>
      <w:r w:rsidR="006A1D3E" w:rsidRPr="002D078A">
        <w:t>indiscriminate</w:t>
      </w:r>
      <w:r w:rsidRPr="002D078A">
        <w:t xml:space="preserve"> and</w:t>
      </w:r>
      <w:r w:rsidR="00973AC4">
        <w:t>,</w:t>
      </w:r>
      <w:r w:rsidRPr="002D078A">
        <w:t xml:space="preserve"> thus</w:t>
      </w:r>
      <w:r w:rsidR="00973AC4">
        <w:t>,</w:t>
      </w:r>
      <w:r w:rsidRPr="002D078A">
        <w:t xml:space="preserve"> </w:t>
      </w:r>
      <w:r w:rsidR="00955F40">
        <w:t xml:space="preserve">in breach </w:t>
      </w:r>
      <w:r w:rsidRPr="002D078A">
        <w:t>of</w:t>
      </w:r>
      <w:r w:rsidR="00580FCE" w:rsidRPr="002D078A">
        <w:t xml:space="preserve"> international humanitarian law</w:t>
      </w:r>
      <w:r w:rsidRPr="002D078A">
        <w:t>.</w:t>
      </w:r>
    </w:p>
    <w:p w:rsidR="009435F7" w:rsidRPr="002D078A" w:rsidRDefault="009435F7" w:rsidP="008C0E33">
      <w:pPr>
        <w:pStyle w:val="JUDGMENTCONTINUED"/>
      </w:pPr>
    </w:p>
    <w:p w:rsidR="0074715B" w:rsidRPr="002D078A" w:rsidRDefault="009435F7" w:rsidP="0074715B">
      <w:pPr>
        <w:pStyle w:val="JUDGMENTNUMBERED"/>
      </w:pPr>
      <w:r w:rsidRPr="002D078A">
        <w:t xml:space="preserve">The result is that </w:t>
      </w:r>
      <w:r w:rsidR="0074715B" w:rsidRPr="002D078A">
        <w:t>Mr Okah’s section 1(4) argument can and should be decided on narrow grounds</w:t>
      </w:r>
      <w:r w:rsidR="00C74264">
        <w:t>, without attempting to decide the broad</w:t>
      </w:r>
      <w:r w:rsidR="00B842F2">
        <w:t>er</w:t>
      </w:r>
      <w:r w:rsidR="00C74264">
        <w:t xml:space="preserve"> questions that may also be at issue</w:t>
      </w:r>
      <w:r w:rsidRPr="002D078A">
        <w:t>.  The</w:t>
      </w:r>
      <w:r w:rsidR="00C74264">
        <w:t xml:space="preserve"> narrow facts</w:t>
      </w:r>
      <w:r w:rsidRPr="002D078A">
        <w:t xml:space="preserve"> are </w:t>
      </w:r>
      <w:r w:rsidR="0074715B" w:rsidRPr="002D078A">
        <w:t xml:space="preserve">that the acts in issue plainly violated </w:t>
      </w:r>
      <w:r w:rsidR="00FD5C55" w:rsidRPr="002D078A">
        <w:t xml:space="preserve">international humanitarian law </w:t>
      </w:r>
      <w:r w:rsidR="0074715B" w:rsidRPr="002D078A">
        <w:t>and</w:t>
      </w:r>
      <w:r w:rsidR="00737E9B">
        <w:t>,</w:t>
      </w:r>
      <w:r w:rsidR="0074715B" w:rsidRPr="002D078A">
        <w:t xml:space="preserve"> therefore</w:t>
      </w:r>
      <w:r w:rsidR="00737E9B">
        <w:t>,</w:t>
      </w:r>
      <w:r w:rsidR="0074715B" w:rsidRPr="002D078A">
        <w:t xml:space="preserve"> forfeited protection</w:t>
      </w:r>
      <w:r w:rsidR="00BD61DA" w:rsidRPr="002D078A">
        <w:t xml:space="preserve"> under the statute’s </w:t>
      </w:r>
      <w:r w:rsidR="00E243D8">
        <w:t>exemption</w:t>
      </w:r>
      <w:r w:rsidR="00737E9B">
        <w:t xml:space="preserve"> under section 1(4)</w:t>
      </w:r>
      <w:r w:rsidR="0074715B" w:rsidRPr="002D078A">
        <w:t>.</w:t>
      </w:r>
    </w:p>
    <w:p w:rsidR="0074715B" w:rsidRPr="002D078A" w:rsidRDefault="0074715B" w:rsidP="0074715B">
      <w:pPr>
        <w:pStyle w:val="JUDGMENTCONTINUED"/>
      </w:pPr>
    </w:p>
    <w:p w:rsidR="0074715B" w:rsidRPr="002D078A" w:rsidRDefault="0074715B" w:rsidP="0074715B">
      <w:pPr>
        <w:pStyle w:val="HEADING"/>
      </w:pPr>
      <w:r w:rsidRPr="002D078A">
        <w:t>The special entries</w:t>
      </w:r>
    </w:p>
    <w:p w:rsidR="0074715B" w:rsidRPr="002D078A" w:rsidRDefault="00C74264" w:rsidP="00E90887">
      <w:pPr>
        <w:pStyle w:val="JUDGMENTNUMBERED"/>
      </w:pPr>
      <w:r>
        <w:t xml:space="preserve">Belatedly, Mr Okah also </w:t>
      </w:r>
      <w:r w:rsidR="007244B2">
        <w:t xml:space="preserve">sought to </w:t>
      </w:r>
      <w:r w:rsidR="00594EDE">
        <w:t xml:space="preserve">bring three further issues before this Court.  These three </w:t>
      </w:r>
      <w:r w:rsidR="00497583">
        <w:t xml:space="preserve">issues </w:t>
      </w:r>
      <w:r w:rsidR="00594EDE">
        <w:t xml:space="preserve">arose from Mr Okah’s application at </w:t>
      </w:r>
      <w:r w:rsidR="006D3708">
        <w:t>the trial court</w:t>
      </w:r>
      <w:r w:rsidR="00594EDE">
        <w:t xml:space="preserve"> to make special entries on the record regarding three alleged irregularities.</w:t>
      </w:r>
      <w:r w:rsidR="00594EDE">
        <w:rPr>
          <w:rStyle w:val="FootnoteReference"/>
        </w:rPr>
        <w:footnoteReference w:id="78"/>
      </w:r>
      <w:r w:rsidR="00E90887">
        <w:t xml:space="preserve">  </w:t>
      </w:r>
      <w:r w:rsidR="004149AB">
        <w:t>Section 317 of the Criminal</w:t>
      </w:r>
      <w:r w:rsidR="00597212">
        <w:t> </w:t>
      </w:r>
      <w:r w:rsidR="004149AB">
        <w:t>Procedure Act governs s</w:t>
      </w:r>
      <w:r w:rsidR="005460BF" w:rsidRPr="002D078A">
        <w:t xml:space="preserve">pecial </w:t>
      </w:r>
      <w:r w:rsidR="0074715B" w:rsidRPr="002D078A">
        <w:t xml:space="preserve">entries </w:t>
      </w:r>
      <w:r w:rsidR="005460BF" w:rsidRPr="002D078A">
        <w:t>at the close of a criminal trial</w:t>
      </w:r>
      <w:r w:rsidR="0074715B" w:rsidRPr="002D078A">
        <w:t>.  An accused person may “on good cause</w:t>
      </w:r>
      <w:r w:rsidR="00597212">
        <w:t>”</w:t>
      </w:r>
      <w:r w:rsidR="0074715B" w:rsidRPr="002D078A">
        <w:t xml:space="preserve"> shown make an application for an irregularity or </w:t>
      </w:r>
      <w:r w:rsidR="0074715B" w:rsidRPr="002D078A">
        <w:lastRenderedPageBreak/>
        <w:t>illegality to be entered into the record</w:t>
      </w:r>
      <w:r w:rsidR="00355332">
        <w:t xml:space="preserve"> either</w:t>
      </w:r>
      <w:r w:rsidR="0074715B" w:rsidRPr="002D078A">
        <w:t xml:space="preserve"> in the course of </w:t>
      </w:r>
      <w:r w:rsidR="00CD6E02">
        <w:t>his or her</w:t>
      </w:r>
      <w:r w:rsidR="00CD6E02" w:rsidRPr="002D078A">
        <w:t xml:space="preserve"> </w:t>
      </w:r>
      <w:r w:rsidR="0074715B" w:rsidRPr="002D078A">
        <w:t>trial or within 14 days of</w:t>
      </w:r>
      <w:r w:rsidR="00E16FF5">
        <w:t xml:space="preserve"> conviction.</w:t>
      </w:r>
      <w:r w:rsidR="000910B1">
        <w:t xml:space="preserve"> </w:t>
      </w:r>
    </w:p>
    <w:p w:rsidR="0074715B" w:rsidRPr="002D078A" w:rsidRDefault="0074715B" w:rsidP="0074715B">
      <w:pPr>
        <w:pStyle w:val="JUDGMENTCONTINUED"/>
      </w:pPr>
    </w:p>
    <w:p w:rsidR="006D457E" w:rsidRDefault="004D1CA0" w:rsidP="0074715B">
      <w:pPr>
        <w:pStyle w:val="JUDGMENTNUMBERED"/>
      </w:pPr>
      <w:r w:rsidRPr="002D078A">
        <w:t>T</w:t>
      </w:r>
      <w:r w:rsidR="0074715B" w:rsidRPr="002D078A">
        <w:t xml:space="preserve">he threshold for </w:t>
      </w:r>
      <w:r w:rsidR="00BF41D6" w:rsidRPr="002D078A">
        <w:t xml:space="preserve">granting </w:t>
      </w:r>
      <w:r w:rsidR="0074715B" w:rsidRPr="002D078A">
        <w:t xml:space="preserve">special entries is far lower than </w:t>
      </w:r>
      <w:r w:rsidR="00BF41D6" w:rsidRPr="002D078A">
        <w:t>t</w:t>
      </w:r>
      <w:r w:rsidR="0074715B" w:rsidRPr="002D078A">
        <w:t>hat required for granting leave to appeal.</w:t>
      </w:r>
      <w:r w:rsidR="006005D3" w:rsidRPr="002D078A">
        <w:rPr>
          <w:rStyle w:val="FootnoteReference"/>
        </w:rPr>
        <w:footnoteReference w:id="79"/>
      </w:r>
      <w:r w:rsidR="00BF41D6" w:rsidRPr="002D078A">
        <w:t xml:space="preserve">  Leave to appeal requires reasonable prospects on appeal.</w:t>
      </w:r>
      <w:r w:rsidR="0074715B" w:rsidRPr="002D078A">
        <w:t xml:space="preserve">  </w:t>
      </w:r>
      <w:r w:rsidR="00BF41D6" w:rsidRPr="002D078A">
        <w:t>By contrast, s</w:t>
      </w:r>
      <w:r w:rsidR="0074715B" w:rsidRPr="002D078A">
        <w:t>ection 317</w:t>
      </w:r>
      <w:r w:rsidR="00CD330D">
        <w:t>(1)</w:t>
      </w:r>
      <w:r w:rsidR="0074715B" w:rsidRPr="002D078A">
        <w:t xml:space="preserve"> </w:t>
      </w:r>
      <w:r w:rsidR="00AF2434">
        <w:t>spells out that</w:t>
      </w:r>
      <w:r w:rsidR="0074715B" w:rsidRPr="002D078A">
        <w:t xml:space="preserve"> any irregularity or illegality</w:t>
      </w:r>
      <w:r w:rsidR="00AF2434">
        <w:t xml:space="preserve"> must be entered on the record</w:t>
      </w:r>
      <w:r w:rsidR="006D457E">
        <w:t>—</w:t>
      </w:r>
    </w:p>
    <w:p w:rsidR="006D457E" w:rsidRPr="00311B85" w:rsidRDefault="006D457E" w:rsidP="009178AA">
      <w:pPr>
        <w:pStyle w:val="QUOTATION"/>
      </w:pPr>
    </w:p>
    <w:p w:rsidR="0074715B" w:rsidRPr="009178AA" w:rsidRDefault="0074715B" w:rsidP="009178AA">
      <w:pPr>
        <w:pStyle w:val="QUOTATION"/>
      </w:pPr>
      <w:r w:rsidRPr="009178AA">
        <w:t xml:space="preserve">“unless the court to which . . . the application for a special entry is made is of the opinion that the application is not made </w:t>
      </w:r>
      <w:r w:rsidRPr="008C0E33">
        <w:t>bona fide</w:t>
      </w:r>
      <w:r w:rsidRPr="009178AA">
        <w:t xml:space="preserve"> or that it is frivolous or absurd or that the granting of the application would be an abuse of the process of the court</w:t>
      </w:r>
      <w:r w:rsidR="006D457E">
        <w:t>.</w:t>
      </w:r>
      <w:r w:rsidRPr="00311B85">
        <w:t>”</w:t>
      </w:r>
    </w:p>
    <w:p w:rsidR="0074715B" w:rsidRPr="002D078A" w:rsidRDefault="0074715B" w:rsidP="008C0E33">
      <w:pPr>
        <w:pStyle w:val="JUDGMENTCONTINUED"/>
      </w:pPr>
    </w:p>
    <w:p w:rsidR="0074715B" w:rsidRPr="002D078A" w:rsidRDefault="0074715B" w:rsidP="0074715B">
      <w:pPr>
        <w:pStyle w:val="JUDGMENTNUMBERED"/>
      </w:pPr>
      <w:r w:rsidRPr="002D078A">
        <w:t xml:space="preserve">In </w:t>
      </w:r>
      <w:r w:rsidRPr="002D078A">
        <w:rPr>
          <w:i/>
        </w:rPr>
        <w:t>Xaba</w:t>
      </w:r>
      <w:r w:rsidRPr="002D078A">
        <w:t xml:space="preserve">, </w:t>
      </w:r>
      <w:r w:rsidR="00BF41D6" w:rsidRPr="002D078A">
        <w:t xml:space="preserve">the Appellate Division </w:t>
      </w:r>
      <w:r w:rsidRPr="002D078A">
        <w:t>interpreted this to mean “that the power of a trial judge to refuse to make a special entry of an alleged irregularity on the record is confined within very narrow limits”</w:t>
      </w:r>
      <w:r w:rsidR="003B35A6">
        <w:t>.</w:t>
      </w:r>
      <w:r w:rsidRPr="002D078A">
        <w:rPr>
          <w:rStyle w:val="FootnoteReference"/>
        </w:rPr>
        <w:footnoteReference w:id="80"/>
      </w:r>
      <w:r w:rsidRPr="002D078A">
        <w:t xml:space="preserve">  </w:t>
      </w:r>
      <w:r w:rsidR="00DE74F5" w:rsidRPr="002D078A">
        <w:t xml:space="preserve">That </w:t>
      </w:r>
      <w:r w:rsidRPr="002D078A">
        <w:t xml:space="preserve">Court affirmed its earlier </w:t>
      </w:r>
      <w:r w:rsidR="00707AA2">
        <w:t>decision</w:t>
      </w:r>
      <w:r w:rsidR="00716D23">
        <w:t>s</w:t>
      </w:r>
      <w:r w:rsidR="00707AA2">
        <w:t xml:space="preserve"> </w:t>
      </w:r>
      <w:r w:rsidRPr="002D078A">
        <w:t xml:space="preserve">in </w:t>
      </w:r>
      <w:r w:rsidRPr="002D078A">
        <w:rPr>
          <w:i/>
        </w:rPr>
        <w:t>Nzimande</w:t>
      </w:r>
      <w:r w:rsidR="00716D23" w:rsidRPr="002D078A">
        <w:rPr>
          <w:rStyle w:val="FootnoteReference"/>
        </w:rPr>
        <w:footnoteReference w:id="81"/>
      </w:r>
      <w:r w:rsidRPr="002D078A">
        <w:t xml:space="preserve"> </w:t>
      </w:r>
      <w:r w:rsidR="00716D23">
        <w:t xml:space="preserve">and </w:t>
      </w:r>
      <w:r w:rsidR="00716D23">
        <w:rPr>
          <w:i/>
        </w:rPr>
        <w:t>Nafte</w:t>
      </w:r>
      <w:r w:rsidR="00930D84">
        <w:t>, which held</w:t>
      </w:r>
      <w:r w:rsidR="00716D23" w:rsidRPr="008C0E33">
        <w:rPr>
          <w:i/>
        </w:rPr>
        <w:t xml:space="preserve"> </w:t>
      </w:r>
      <w:r w:rsidRPr="002D078A">
        <w:t>that</w:t>
      </w:r>
      <w:r w:rsidR="006D5555">
        <w:t xml:space="preserve"> a special entry should be made</w:t>
      </w:r>
      <w:r w:rsidRPr="002D078A">
        <w:t xml:space="preserve"> even where there are scant prospects of success on appeal—</w:t>
      </w:r>
    </w:p>
    <w:p w:rsidR="00F167D8" w:rsidRPr="002D078A" w:rsidRDefault="00F167D8" w:rsidP="00F167D8">
      <w:pPr>
        <w:pStyle w:val="QUOTATION"/>
      </w:pPr>
    </w:p>
    <w:p w:rsidR="0074715B" w:rsidRPr="002D078A" w:rsidRDefault="0074715B" w:rsidP="0074715B">
      <w:pPr>
        <w:pStyle w:val="QUOTATION"/>
      </w:pPr>
      <w:r w:rsidRPr="002D078A">
        <w:t xml:space="preserve">“[i]f the incident of procedure which it is sought to make the subject of a special entry is </w:t>
      </w:r>
      <w:r w:rsidRPr="002D078A">
        <w:rPr>
          <w:i/>
        </w:rPr>
        <w:t>in any way capable</w:t>
      </w:r>
      <w:r w:rsidRPr="002D078A">
        <w:t xml:space="preserve"> of being regarded as an irregularity or illegality, however little argument there may be advanced in support of it, and however little merit the presiding Judge may consider there is in the application.”</w:t>
      </w:r>
      <w:r w:rsidRPr="002D078A">
        <w:rPr>
          <w:rStyle w:val="FootnoteReference"/>
        </w:rPr>
        <w:footnoteReference w:id="82"/>
      </w:r>
    </w:p>
    <w:p w:rsidR="0074715B" w:rsidRPr="002D078A" w:rsidRDefault="0074715B" w:rsidP="00CA7037">
      <w:pPr>
        <w:pStyle w:val="JUDGMENTCONTINUED"/>
      </w:pPr>
    </w:p>
    <w:p w:rsidR="009F2303" w:rsidRDefault="00BF41D6" w:rsidP="0074715B">
      <w:pPr>
        <w:pStyle w:val="JUDGMENTNUMBERED"/>
      </w:pPr>
      <w:r w:rsidRPr="002D078A">
        <w:t xml:space="preserve">These principles </w:t>
      </w:r>
      <w:r w:rsidR="00983522" w:rsidRPr="002D078A">
        <w:t>a</w:t>
      </w:r>
      <w:r w:rsidRPr="002D078A">
        <w:t>re sound</w:t>
      </w:r>
      <w:r w:rsidR="00B9508D">
        <w:t>,</w:t>
      </w:r>
      <w:r w:rsidRPr="002D078A">
        <w:t xml:space="preserve"> and this Court </w:t>
      </w:r>
      <w:r w:rsidR="00983522" w:rsidRPr="002D078A">
        <w:t>embrace</w:t>
      </w:r>
      <w:r w:rsidR="000910B1">
        <w:t>s</w:t>
      </w:r>
      <w:r w:rsidR="00983522" w:rsidRPr="002D078A">
        <w:t xml:space="preserve"> </w:t>
      </w:r>
      <w:r w:rsidRPr="002D078A">
        <w:t xml:space="preserve">them.  </w:t>
      </w:r>
      <w:r w:rsidR="00DB712C">
        <w:t>They mean that</w:t>
      </w:r>
      <w:r w:rsidR="005509CA">
        <w:t>, i</w:t>
      </w:r>
      <w:r w:rsidR="0074715B" w:rsidRPr="002D078A">
        <w:t>n assessing Mr Okah’s a</w:t>
      </w:r>
      <w:r w:rsidR="005509CA">
        <w:t xml:space="preserve">pplication for special entries, </w:t>
      </w:r>
      <w:r w:rsidR="0074715B" w:rsidRPr="002D078A">
        <w:t xml:space="preserve">this Court </w:t>
      </w:r>
      <w:r w:rsidR="00983522" w:rsidRPr="002D078A">
        <w:t xml:space="preserve">must </w:t>
      </w:r>
      <w:r w:rsidR="0074715B" w:rsidRPr="002D078A">
        <w:t xml:space="preserve">consider </w:t>
      </w:r>
      <w:r w:rsidR="00D12094">
        <w:t>(1) </w:t>
      </w:r>
      <w:r w:rsidR="0074715B" w:rsidRPr="002D078A">
        <w:t xml:space="preserve">whether the </w:t>
      </w:r>
      <w:r w:rsidRPr="002D078A">
        <w:t>subject</w:t>
      </w:r>
      <w:r w:rsidR="009725FD" w:rsidRPr="002D078A">
        <w:t>s</w:t>
      </w:r>
      <w:r w:rsidRPr="002D078A">
        <w:t xml:space="preserve"> of the special </w:t>
      </w:r>
      <w:r w:rsidR="0074715B" w:rsidRPr="002D078A">
        <w:t xml:space="preserve">entries are “in any way capable” of being </w:t>
      </w:r>
      <w:r w:rsidR="0074715B" w:rsidRPr="002D078A">
        <w:lastRenderedPageBreak/>
        <w:t xml:space="preserve">interpreted as irregularities, </w:t>
      </w:r>
      <w:r w:rsidR="00BF02EB">
        <w:t>and</w:t>
      </w:r>
      <w:r w:rsidR="00110746">
        <w:t xml:space="preserve"> </w:t>
      </w:r>
      <w:r w:rsidR="00AD45F3">
        <w:t xml:space="preserve">if so, </w:t>
      </w:r>
      <w:r w:rsidR="00110746">
        <w:t xml:space="preserve">(2) </w:t>
      </w:r>
      <w:r w:rsidR="00AD45F3">
        <w:t xml:space="preserve">whether the irregularities should be excluded from the record because the application </w:t>
      </w:r>
      <w:r w:rsidR="000A11A7">
        <w:t>is</w:t>
      </w:r>
      <w:r w:rsidR="009E7DA3">
        <w:t xml:space="preserve"> in bad faith</w:t>
      </w:r>
      <w:r w:rsidR="000A11A7">
        <w:t>, frivolous or absurd,</w:t>
      </w:r>
      <w:r w:rsidR="009E7DA3">
        <w:t xml:space="preserve"> or because granting the application would amount to an abuse of court processes.</w:t>
      </w:r>
    </w:p>
    <w:p w:rsidR="009F2303" w:rsidRDefault="009F2303" w:rsidP="008C0E33">
      <w:pPr>
        <w:pStyle w:val="JUDGMENTCONTINUED"/>
      </w:pPr>
    </w:p>
    <w:p w:rsidR="00EE4008" w:rsidRDefault="000A11A7" w:rsidP="009F2303">
      <w:pPr>
        <w:pStyle w:val="JUDGMENTNUMBERED"/>
      </w:pPr>
      <w:r w:rsidRPr="00B24138">
        <w:t>C</w:t>
      </w:r>
      <w:r w:rsidR="00B55ADF" w:rsidRPr="00B24138">
        <w:t>onsequently, even if the subject</w:t>
      </w:r>
      <w:r w:rsidR="0043222B" w:rsidRPr="00B24138">
        <w:t xml:space="preserve"> of</w:t>
      </w:r>
      <w:r w:rsidR="00493936" w:rsidRPr="00B24138">
        <w:t xml:space="preserve"> a</w:t>
      </w:r>
      <w:r w:rsidR="0043222B" w:rsidRPr="00B24138">
        <w:t xml:space="preserve"> </w:t>
      </w:r>
      <w:r w:rsidR="00B55ADF" w:rsidRPr="00B24138">
        <w:t>special e</w:t>
      </w:r>
      <w:r w:rsidR="00493936" w:rsidRPr="00B24138">
        <w:t>ntry</w:t>
      </w:r>
      <w:r w:rsidR="006D0C44" w:rsidRPr="00B24138">
        <w:t xml:space="preserve"> </w:t>
      </w:r>
      <w:r w:rsidR="00493936" w:rsidRPr="00B24138">
        <w:t>is an irregularity</w:t>
      </w:r>
      <w:r w:rsidR="0043222B" w:rsidRPr="00B24138">
        <w:t>, a</w:t>
      </w:r>
      <w:r w:rsidR="006D0C44" w:rsidRPr="00B24138">
        <w:t xml:space="preserve"> trial</w:t>
      </w:r>
      <w:r w:rsidR="006D0C44">
        <w:t xml:space="preserve"> </w:t>
      </w:r>
      <w:r w:rsidR="0043222B">
        <w:t xml:space="preserve">court could still rightly </w:t>
      </w:r>
      <w:r w:rsidR="007F19CC">
        <w:t>dismiss</w:t>
      </w:r>
      <w:r w:rsidR="0043222B">
        <w:t xml:space="preserve"> the application if </w:t>
      </w:r>
      <w:r w:rsidR="00B55ADF">
        <w:t>one or more of t</w:t>
      </w:r>
      <w:r w:rsidR="001E45D4">
        <w:t>he section </w:t>
      </w:r>
      <w:r w:rsidR="00B55ADF">
        <w:t xml:space="preserve">317 exceptions </w:t>
      </w:r>
      <w:r w:rsidR="00505F32">
        <w:t xml:space="preserve">were to </w:t>
      </w:r>
      <w:r w:rsidR="00D40635">
        <w:t>appl</w:t>
      </w:r>
      <w:r w:rsidR="0013666B">
        <w:t>y</w:t>
      </w:r>
      <w:r w:rsidR="00B55ADF">
        <w:t>.</w:t>
      </w:r>
      <w:r w:rsidR="009F2303">
        <w:t xml:space="preserve">  </w:t>
      </w:r>
      <w:r w:rsidR="006964BE">
        <w:t>If</w:t>
      </w:r>
      <w:r w:rsidR="0043222B">
        <w:t>, however,</w:t>
      </w:r>
      <w:r w:rsidR="006964BE">
        <w:t xml:space="preserve"> </w:t>
      </w:r>
      <w:r w:rsidR="0013666B">
        <w:t>a</w:t>
      </w:r>
      <w:r w:rsidR="0043222B">
        <w:t xml:space="preserve"> trial court makes a </w:t>
      </w:r>
      <w:r w:rsidR="006964BE">
        <w:t>special entry</w:t>
      </w:r>
      <w:r w:rsidR="005509CA">
        <w:t xml:space="preserve"> under section</w:t>
      </w:r>
      <w:r w:rsidR="00B11FEB">
        <w:t> </w:t>
      </w:r>
      <w:r w:rsidR="005509CA">
        <w:t>317</w:t>
      </w:r>
      <w:r w:rsidR="006964BE">
        <w:t xml:space="preserve">, </w:t>
      </w:r>
      <w:r w:rsidR="0013666B">
        <w:t>an</w:t>
      </w:r>
      <w:r w:rsidR="006964BE">
        <w:t xml:space="preserve"> accused may</w:t>
      </w:r>
      <w:r w:rsidR="0043222B">
        <w:t xml:space="preserve"> as of right</w:t>
      </w:r>
      <w:r w:rsidR="006964BE">
        <w:t xml:space="preserve"> not</w:t>
      </w:r>
      <w:r w:rsidR="0093730F">
        <w:t>e an appeal under section 318,</w:t>
      </w:r>
      <w:r w:rsidR="0043222B">
        <w:rPr>
          <w:rStyle w:val="FootnoteReference"/>
        </w:rPr>
        <w:footnoteReference w:id="83"/>
      </w:r>
      <w:r w:rsidR="0093730F">
        <w:t xml:space="preserve"> and l</w:t>
      </w:r>
      <w:r w:rsidR="006964BE">
        <w:t>eave to appeal is automatically afforded.</w:t>
      </w:r>
    </w:p>
    <w:p w:rsidR="00E90887" w:rsidRDefault="00E90887" w:rsidP="00E90887">
      <w:pPr>
        <w:pStyle w:val="JUDGMENTCONTINUED"/>
      </w:pPr>
    </w:p>
    <w:p w:rsidR="00E90887" w:rsidRDefault="00E90887" w:rsidP="00E90887">
      <w:pPr>
        <w:pStyle w:val="JUDGMENTNUMBERED"/>
      </w:pPr>
      <w:r w:rsidRPr="00E90887">
        <w:t xml:space="preserve">Like Mr Okah’s attempt to claim exemption under section 1(4) of the Act, this application for special entries must fail.  This is not on the formalistic </w:t>
      </w:r>
      <w:r w:rsidR="00030ED8">
        <w:t>basis</w:t>
      </w:r>
      <w:r w:rsidR="00030ED8" w:rsidRPr="00E90887">
        <w:t xml:space="preserve"> </w:t>
      </w:r>
      <w:r w:rsidRPr="00E90887">
        <w:t xml:space="preserve">that the Supreme Court of Appeal </w:t>
      </w:r>
      <w:r w:rsidR="00030ED8">
        <w:t xml:space="preserve">has </w:t>
      </w:r>
      <w:r w:rsidRPr="00E90887">
        <w:t>refused leave to appeal against the trial court’s refusa</w:t>
      </w:r>
      <w:r w:rsidR="00DE75E5">
        <w:t xml:space="preserve">l </w:t>
      </w:r>
      <w:r w:rsidR="00030ED8">
        <w:t xml:space="preserve">to make </w:t>
      </w:r>
      <w:r w:rsidR="00DE75E5">
        <w:t xml:space="preserve">the three special entries.  </w:t>
      </w:r>
      <w:r w:rsidR="0064743A">
        <w:t>Indeed</w:t>
      </w:r>
      <w:r w:rsidR="003F4C6C">
        <w:t>,</w:t>
      </w:r>
      <w:r w:rsidR="00490942">
        <w:t xml:space="preserve"> it is true that</w:t>
      </w:r>
      <w:r w:rsidR="0064743A">
        <w:t>, a</w:t>
      </w:r>
      <w:r w:rsidR="00030ED8">
        <w:t>fter</w:t>
      </w:r>
      <w:r w:rsidR="003868D5">
        <w:t xml:space="preserve"> the Supreme Court of Appeal refused leave to appeal </w:t>
      </w:r>
      <w:r w:rsidR="00797B30">
        <w:t>in 2013</w:t>
      </w:r>
      <w:r w:rsidR="00DE75E5">
        <w:t xml:space="preserve">, </w:t>
      </w:r>
      <w:r w:rsidRPr="00E90887">
        <w:t>Mr Okah took no further action in relation to</w:t>
      </w:r>
      <w:r w:rsidR="00030ED8">
        <w:t xml:space="preserve"> the special entries</w:t>
      </w:r>
      <w:r w:rsidRPr="00E90887">
        <w:t xml:space="preserve"> until </w:t>
      </w:r>
      <w:r w:rsidR="00C860B2">
        <w:t>the week before the initial set-</w:t>
      </w:r>
      <w:r w:rsidRPr="00E90887">
        <w:t xml:space="preserve">down in this Court.  </w:t>
      </w:r>
      <w:r w:rsidR="00490942">
        <w:t xml:space="preserve">Nevertheless, </w:t>
      </w:r>
      <w:r w:rsidRPr="00E90887">
        <w:t>the</w:t>
      </w:r>
      <w:r w:rsidR="00030ED8">
        <w:t xml:space="preserve"> reason is </w:t>
      </w:r>
      <w:r w:rsidR="00490942">
        <w:t xml:space="preserve">rather </w:t>
      </w:r>
      <w:r w:rsidR="00030ED8">
        <w:t>substantive.</w:t>
      </w:r>
      <w:r w:rsidR="00CA75A5">
        <w:t xml:space="preserve"> </w:t>
      </w:r>
      <w:r w:rsidR="00030ED8">
        <w:t xml:space="preserve"> It is that the</w:t>
      </w:r>
      <w:r w:rsidRPr="00E90887">
        <w:t xml:space="preserve"> evidential material is wholly insufficient to make </w:t>
      </w:r>
      <w:r w:rsidR="005C5325">
        <w:t>a determination in favour of Mr </w:t>
      </w:r>
      <w:r w:rsidRPr="00E90887">
        <w:t xml:space="preserve">Okah.  </w:t>
      </w:r>
      <w:r w:rsidR="00490942">
        <w:t>That was the reason why</w:t>
      </w:r>
      <w:r w:rsidRPr="00E90887">
        <w:t xml:space="preserve"> the High Court refused to make </w:t>
      </w:r>
      <w:r w:rsidR="008248D8">
        <w:t xml:space="preserve">these </w:t>
      </w:r>
      <w:r w:rsidRPr="00E90887">
        <w:t>special entries on the record.</w:t>
      </w:r>
      <w:r w:rsidR="00490942">
        <w:t xml:space="preserve">  That reason remains good.</w:t>
      </w:r>
    </w:p>
    <w:p w:rsidR="00DE75E5" w:rsidRDefault="00DE75E5" w:rsidP="00DE75E5">
      <w:pPr>
        <w:pStyle w:val="JUDGMENTCONTINUED"/>
      </w:pPr>
    </w:p>
    <w:p w:rsidR="00DE75E5" w:rsidRPr="00DE75E5" w:rsidRDefault="00DE75E5" w:rsidP="00DE75E5">
      <w:pPr>
        <w:pStyle w:val="JUDGMENTNUMBERED"/>
      </w:pPr>
      <w:r>
        <w:t>I now examine in more detail why this is so.</w:t>
      </w:r>
    </w:p>
    <w:p w:rsidR="0074715B" w:rsidRPr="002D078A" w:rsidRDefault="0074715B" w:rsidP="0074715B">
      <w:pPr>
        <w:pStyle w:val="JUDGMENTCONTINUED"/>
      </w:pPr>
    </w:p>
    <w:p w:rsidR="0074715B" w:rsidRPr="002D078A" w:rsidRDefault="0074715B" w:rsidP="0074715B">
      <w:pPr>
        <w:pStyle w:val="HEADING"/>
        <w:ind w:firstLine="720"/>
      </w:pPr>
      <w:r w:rsidRPr="002D078A">
        <w:lastRenderedPageBreak/>
        <w:t>Mr Osagie’s presence in court</w:t>
      </w:r>
    </w:p>
    <w:p w:rsidR="0074715B" w:rsidRPr="002D078A" w:rsidRDefault="0074715B" w:rsidP="0074715B">
      <w:pPr>
        <w:pStyle w:val="JUDGMENTNUMBERED"/>
      </w:pPr>
      <w:r w:rsidRPr="002D078A">
        <w:t xml:space="preserve">The first application </w:t>
      </w:r>
      <w:r w:rsidR="008C649E" w:rsidRPr="002D078A">
        <w:t>wa</w:t>
      </w:r>
      <w:r w:rsidRPr="002D078A">
        <w:t xml:space="preserve">s based on the presence of Mr Clifford Osagie in the trial court.  Mr Okah alleges that, as a member of the </w:t>
      </w:r>
      <w:r w:rsidR="006868EE" w:rsidRPr="002D078A">
        <w:t xml:space="preserve">Nigerian </w:t>
      </w:r>
      <w:r w:rsidRPr="002D078A">
        <w:t xml:space="preserve">State Security Services, Mr Osagie was placed in court </w:t>
      </w:r>
      <w:r w:rsidR="006868EE" w:rsidRPr="002D078A">
        <w:t xml:space="preserve">deliberately </w:t>
      </w:r>
      <w:r w:rsidRPr="002D078A">
        <w:t>to intimidate witnesses into testifying against</w:t>
      </w:r>
      <w:r w:rsidR="006868EE" w:rsidRPr="002D078A">
        <w:t xml:space="preserve"> him</w:t>
      </w:r>
      <w:r w:rsidRPr="002D078A">
        <w:t xml:space="preserve">.  He </w:t>
      </w:r>
      <w:r w:rsidR="006868EE" w:rsidRPr="002D078A">
        <w:t xml:space="preserve">contends that </w:t>
      </w:r>
      <w:r w:rsidRPr="002D078A">
        <w:t xml:space="preserve">Mr Osagie’s presence </w:t>
      </w:r>
      <w:r w:rsidR="006868EE" w:rsidRPr="002D078A">
        <w:t>w</w:t>
      </w:r>
      <w:r w:rsidRPr="002D078A">
        <w:t xml:space="preserve">as a direct threat </w:t>
      </w:r>
      <w:r w:rsidR="006868EE" w:rsidRPr="002D078A">
        <w:t xml:space="preserve">to the trial.  He seeks to bring </w:t>
      </w:r>
      <w:r w:rsidRPr="002D078A">
        <w:t xml:space="preserve">new evidence on affidavit of </w:t>
      </w:r>
      <w:r w:rsidR="006868EE" w:rsidRPr="002D078A">
        <w:t>Mr Osagie’s involvement in state</w:t>
      </w:r>
      <w:r w:rsidR="00B91F43">
        <w:noBreakHyphen/>
      </w:r>
      <w:r w:rsidRPr="002D078A">
        <w:t xml:space="preserve">sanctioned torture in Nigeria.  He </w:t>
      </w:r>
      <w:r w:rsidR="006868EE" w:rsidRPr="002D078A">
        <w:t xml:space="preserve">seeks </w:t>
      </w:r>
      <w:r w:rsidRPr="002D078A">
        <w:t xml:space="preserve">to call into </w:t>
      </w:r>
      <w:r w:rsidR="006868EE" w:rsidRPr="002D078A">
        <w:t xml:space="preserve">question </w:t>
      </w:r>
      <w:r w:rsidRPr="002D078A">
        <w:t xml:space="preserve">the credibility of state witnesses’ testimony on the basis that they were under threat by Mr Osagie.  He insists that he was not aware of Mr Osagie’s position in the State Security Services until </w:t>
      </w:r>
      <w:r w:rsidR="006868EE" w:rsidRPr="002D078A">
        <w:t>the trial had ended.</w:t>
      </w:r>
    </w:p>
    <w:p w:rsidR="0074715B" w:rsidRDefault="0074715B" w:rsidP="0074715B">
      <w:pPr>
        <w:pStyle w:val="JUDGMENTCONTINUED"/>
      </w:pPr>
    </w:p>
    <w:p w:rsidR="005236C3" w:rsidRDefault="005236C3" w:rsidP="005236C3">
      <w:pPr>
        <w:pStyle w:val="JUDGMENTNUMBERED"/>
      </w:pPr>
      <w:r>
        <w:t xml:space="preserve">Mr Osagie’s presence at trial is capable of being interpreted as an irregularity and, thus, meets the first part of the test for admission of a special entry.  However, the application for special entry nonetheless fails because </w:t>
      </w:r>
      <w:r w:rsidR="00775DE4">
        <w:t>granting it would amount to an abuse of court processes.</w:t>
      </w:r>
    </w:p>
    <w:p w:rsidR="005236C3" w:rsidRPr="005236C3" w:rsidRDefault="005236C3" w:rsidP="005236C3">
      <w:pPr>
        <w:pStyle w:val="JUDGMENTCONTINUED"/>
      </w:pPr>
    </w:p>
    <w:p w:rsidR="0074715B" w:rsidRPr="002D078A" w:rsidRDefault="001A1ED9" w:rsidP="0074715B">
      <w:pPr>
        <w:pStyle w:val="JUDGMENTNUMBERED"/>
      </w:pPr>
      <w:r>
        <w:t>First,</w:t>
      </w:r>
      <w:r w:rsidR="006868EE" w:rsidRPr="002D078A">
        <w:t xml:space="preserve"> t</w:t>
      </w:r>
      <w:r w:rsidR="0074715B" w:rsidRPr="002D078A">
        <w:t xml:space="preserve">here was no evidence </w:t>
      </w:r>
      <w:r w:rsidR="006868EE" w:rsidRPr="002D078A">
        <w:t>establish</w:t>
      </w:r>
      <w:r w:rsidR="00235A88">
        <w:t>ing</w:t>
      </w:r>
      <w:r w:rsidR="006868EE" w:rsidRPr="002D078A">
        <w:t xml:space="preserve"> that </w:t>
      </w:r>
      <w:r w:rsidR="0074715B" w:rsidRPr="002D078A">
        <w:t>Mr</w:t>
      </w:r>
      <w:r w:rsidR="005C5325">
        <w:t xml:space="preserve"> </w:t>
      </w:r>
      <w:r w:rsidR="0074715B" w:rsidRPr="002D078A">
        <w:t xml:space="preserve">Osagie </w:t>
      </w:r>
      <w:r w:rsidR="006868EE" w:rsidRPr="002D078A">
        <w:t>w</w:t>
      </w:r>
      <w:r w:rsidR="0074715B" w:rsidRPr="002D078A">
        <w:t>as</w:t>
      </w:r>
      <w:r w:rsidR="006868EE" w:rsidRPr="002D078A">
        <w:t xml:space="preserve"> a State Security Services </w:t>
      </w:r>
      <w:r w:rsidR="0074715B" w:rsidRPr="002D078A">
        <w:t>“agent”</w:t>
      </w:r>
      <w:r w:rsidR="00B91F43">
        <w:t>.</w:t>
      </w:r>
      <w:r w:rsidR="0074715B" w:rsidRPr="002D078A">
        <w:t xml:space="preserve">  </w:t>
      </w:r>
      <w:r w:rsidR="006868EE" w:rsidRPr="002D078A">
        <w:t xml:space="preserve">Before us, Mr Okah’s counsel claimed that </w:t>
      </w:r>
      <w:r w:rsidR="0074715B" w:rsidRPr="002D078A">
        <w:t xml:space="preserve">there </w:t>
      </w:r>
      <w:r w:rsidR="006868EE" w:rsidRPr="002D078A">
        <w:t xml:space="preserve">was a </w:t>
      </w:r>
      <w:r w:rsidR="0074715B" w:rsidRPr="002D078A">
        <w:t>concession by the State</w:t>
      </w:r>
      <w:r w:rsidR="006868EE" w:rsidRPr="002D078A">
        <w:t xml:space="preserve"> </w:t>
      </w:r>
      <w:r w:rsidR="0074715B" w:rsidRPr="002D078A">
        <w:t xml:space="preserve">that he was.  </w:t>
      </w:r>
      <w:r w:rsidR="006868EE" w:rsidRPr="002D078A">
        <w:t>That is</w:t>
      </w:r>
      <w:r w:rsidR="00FB2616">
        <w:t xml:space="preserve"> not so</w:t>
      </w:r>
      <w:r w:rsidR="006868EE" w:rsidRPr="002D078A">
        <w:t xml:space="preserve">.  </w:t>
      </w:r>
      <w:r w:rsidR="0074715B" w:rsidRPr="002D078A">
        <w:t>On the contrary, the affidavit submitted on behalf of the State recorded only that Mr</w:t>
      </w:r>
      <w:r w:rsidR="005C5325">
        <w:t xml:space="preserve"> </w:t>
      </w:r>
      <w:r w:rsidR="0074715B" w:rsidRPr="002D078A">
        <w:t xml:space="preserve">Osagie was </w:t>
      </w:r>
      <w:r w:rsidR="005523D7">
        <w:t>“</w:t>
      </w:r>
      <w:r w:rsidR="0074715B" w:rsidRPr="002D078A">
        <w:t xml:space="preserve">employed by the State Security </w:t>
      </w:r>
      <w:r w:rsidR="005523D7">
        <w:t>Department</w:t>
      </w:r>
      <w:r w:rsidR="0074715B" w:rsidRPr="002D078A">
        <w:t xml:space="preserve"> </w:t>
      </w:r>
      <w:r w:rsidR="0074715B" w:rsidRPr="002D078A">
        <w:rPr>
          <w:i/>
        </w:rPr>
        <w:t>as a prosecutor</w:t>
      </w:r>
      <w:r w:rsidR="0074715B" w:rsidRPr="002D078A">
        <w:t>”</w:t>
      </w:r>
      <w:r w:rsidR="00021587">
        <w:t xml:space="preserve"> – not an “agent”</w:t>
      </w:r>
      <w:r w:rsidR="0074715B" w:rsidRPr="002D078A">
        <w:t xml:space="preserve">.  </w:t>
      </w:r>
      <w:r w:rsidR="006868EE" w:rsidRPr="002D078A">
        <w:t>What is more</w:t>
      </w:r>
      <w:r w:rsidR="0074715B" w:rsidRPr="002D078A">
        <w:t>, Mr</w:t>
      </w:r>
      <w:r w:rsidR="005523D7">
        <w:t> </w:t>
      </w:r>
      <w:r w:rsidR="0074715B" w:rsidRPr="002D078A">
        <w:t xml:space="preserve">Okah provided no </w:t>
      </w:r>
      <w:r w:rsidR="006868EE" w:rsidRPr="002D078A">
        <w:t xml:space="preserve">plausible basis for inferring </w:t>
      </w:r>
      <w:r w:rsidR="0074715B" w:rsidRPr="002D078A">
        <w:t xml:space="preserve">that Mr Osagie’s presence </w:t>
      </w:r>
      <w:r w:rsidR="006868EE" w:rsidRPr="002D078A">
        <w:t xml:space="preserve">during the </w:t>
      </w:r>
      <w:r w:rsidR="0074715B" w:rsidRPr="002D078A">
        <w:t xml:space="preserve">trial was intrinsically sinister or that it did in fact intimidate the </w:t>
      </w:r>
      <w:r w:rsidR="00A83DFD">
        <w:t>s</w:t>
      </w:r>
      <w:r w:rsidR="0074715B" w:rsidRPr="002D078A">
        <w:t xml:space="preserve">tate witnesses.  The sole evidence Mr Okah relied on </w:t>
      </w:r>
      <w:r w:rsidR="006868EE" w:rsidRPr="002D078A">
        <w:t xml:space="preserve">came </w:t>
      </w:r>
      <w:r w:rsidR="0074715B" w:rsidRPr="002D078A">
        <w:t xml:space="preserve">from affidavits </w:t>
      </w:r>
      <w:r w:rsidR="000246C0">
        <w:t xml:space="preserve">that </w:t>
      </w:r>
      <w:r w:rsidR="0074715B" w:rsidRPr="002D078A">
        <w:t>his brother, Mr</w:t>
      </w:r>
      <w:r w:rsidR="000246C0">
        <w:t> </w:t>
      </w:r>
      <w:r w:rsidR="0074715B" w:rsidRPr="002D078A">
        <w:t>Charles</w:t>
      </w:r>
      <w:r w:rsidR="0013666B">
        <w:t xml:space="preserve"> </w:t>
      </w:r>
      <w:r w:rsidR="0074715B" w:rsidRPr="002D078A">
        <w:t>Tombra</w:t>
      </w:r>
      <w:r w:rsidR="0013666B">
        <w:t xml:space="preserve"> </w:t>
      </w:r>
      <w:r w:rsidR="0074715B" w:rsidRPr="002D078A">
        <w:t>Oka</w:t>
      </w:r>
      <w:r w:rsidR="005C5325">
        <w:t>h, and one other person, Mr Obi </w:t>
      </w:r>
      <w:r w:rsidR="0074715B" w:rsidRPr="002D078A">
        <w:t xml:space="preserve">Nwabueze, supplied after the High Court convicted him.  These </w:t>
      </w:r>
      <w:r w:rsidR="006868EE" w:rsidRPr="002D078A">
        <w:t xml:space="preserve">made </w:t>
      </w:r>
      <w:r w:rsidR="0074715B" w:rsidRPr="002D078A">
        <w:t>vague and un</w:t>
      </w:r>
      <w:r w:rsidR="005C5325">
        <w:t>substantiated claims against Mr</w:t>
      </w:r>
      <w:r w:rsidR="000246C0">
        <w:t> </w:t>
      </w:r>
      <w:r w:rsidR="0074715B" w:rsidRPr="002D078A">
        <w:t>Osagie</w:t>
      </w:r>
      <w:r w:rsidR="006868EE" w:rsidRPr="002D078A">
        <w:t xml:space="preserve"> without affording any basis for determining their credibility</w:t>
      </w:r>
      <w:r w:rsidR="0074715B" w:rsidRPr="002D078A">
        <w:t>.</w:t>
      </w:r>
    </w:p>
    <w:p w:rsidR="0074715B" w:rsidRDefault="0074715B" w:rsidP="0074715B">
      <w:pPr>
        <w:pStyle w:val="JUDGMENTCONTINUED"/>
      </w:pPr>
    </w:p>
    <w:p w:rsidR="00434550" w:rsidRDefault="00434550" w:rsidP="00434550">
      <w:pPr>
        <w:pStyle w:val="JUDGMENTNUMBERED"/>
      </w:pPr>
      <w:r>
        <w:t xml:space="preserve">Second, </w:t>
      </w:r>
      <w:r w:rsidRPr="00434550">
        <w:t>the State provided persuas</w:t>
      </w:r>
      <w:r w:rsidR="005C5325">
        <w:t>ive evidence, including from Mr </w:t>
      </w:r>
      <w:r w:rsidRPr="00434550">
        <w:t>Osagie himself, indicat</w:t>
      </w:r>
      <w:r w:rsidR="00253438">
        <w:t>ing th</w:t>
      </w:r>
      <w:r w:rsidR="001867CF">
        <w:t>at</w:t>
      </w:r>
      <w:r w:rsidR="00253438">
        <w:t xml:space="preserve"> Mr Okah knew Mr Osagie – and that he even knew </w:t>
      </w:r>
      <w:r w:rsidRPr="00434550">
        <w:t xml:space="preserve">his position in the state security apparatus before </w:t>
      </w:r>
      <w:r w:rsidR="00FE244F">
        <w:t xml:space="preserve">he encountered </w:t>
      </w:r>
      <w:r w:rsidRPr="00434550">
        <w:t xml:space="preserve">him </w:t>
      </w:r>
      <w:r w:rsidR="00FE244F">
        <w:t>dur</w:t>
      </w:r>
      <w:r w:rsidRPr="00434550">
        <w:t>in</w:t>
      </w:r>
      <w:r w:rsidR="00FE244F">
        <w:t>g</w:t>
      </w:r>
      <w:r w:rsidRPr="00434550">
        <w:t xml:space="preserve"> the </w:t>
      </w:r>
      <w:r w:rsidRPr="00434550">
        <w:lastRenderedPageBreak/>
        <w:t>High</w:t>
      </w:r>
      <w:r w:rsidR="001867CF">
        <w:t> </w:t>
      </w:r>
      <w:r w:rsidRPr="00434550">
        <w:t>Court proceedings.  It is also clear that Mr Okah is a person of considerable agency and personal force.  At no stage, while the trial was proceeding, did he rais</w:t>
      </w:r>
      <w:r w:rsidR="005C5325">
        <w:t>e a murmur about Mr </w:t>
      </w:r>
      <w:r w:rsidRPr="00434550">
        <w:t xml:space="preserve">Osagie’s presence and </w:t>
      </w:r>
      <w:r w:rsidR="00C71104">
        <w:t xml:space="preserve">its </w:t>
      </w:r>
      <w:r w:rsidR="00FE244F">
        <w:t xml:space="preserve">supposed </w:t>
      </w:r>
      <w:r w:rsidRPr="00434550">
        <w:t>impact.  It is inconceivable that Mr</w:t>
      </w:r>
      <w:r w:rsidR="00566F0F">
        <w:t> </w:t>
      </w:r>
      <w:r w:rsidRPr="00434550">
        <w:t xml:space="preserve">Okah would not have complained </w:t>
      </w:r>
      <w:r w:rsidR="007417B1">
        <w:t xml:space="preserve">immediately </w:t>
      </w:r>
      <w:r w:rsidRPr="00434550">
        <w:t xml:space="preserve">if Mr Osagie, by conduct or by his mere presence, was intimidating </w:t>
      </w:r>
      <w:r w:rsidR="009E7B1E">
        <w:t xml:space="preserve">the </w:t>
      </w:r>
      <w:r w:rsidR="00235A88">
        <w:t>s</w:t>
      </w:r>
      <w:r w:rsidR="004D7C85">
        <w:t>tate</w:t>
      </w:r>
      <w:r w:rsidRPr="00434550">
        <w:t xml:space="preserve"> witnesses.</w:t>
      </w:r>
    </w:p>
    <w:p w:rsidR="000E374A" w:rsidRDefault="000E374A" w:rsidP="000E374A">
      <w:pPr>
        <w:pStyle w:val="JUDGMENTCONTINUED"/>
      </w:pPr>
    </w:p>
    <w:p w:rsidR="00A4301B" w:rsidRDefault="000E374A" w:rsidP="000E374A">
      <w:pPr>
        <w:pStyle w:val="JUDGMENTNUMBERED"/>
      </w:pPr>
      <w:r w:rsidRPr="000E374A">
        <w:t>In argument before this Court, counsel for Mr Okah was obliged to fall back on the contention that the perception had been created that Mr Osagie’s presence was improper – and that this was enough to make the trial unfair.  But this</w:t>
      </w:r>
      <w:r w:rsidR="00BF3F43">
        <w:t>,</w:t>
      </w:r>
      <w:r w:rsidRPr="000E374A">
        <w:t xml:space="preserve"> </w:t>
      </w:r>
      <w:r w:rsidR="00E01968">
        <w:t>too</w:t>
      </w:r>
      <w:r w:rsidR="00BF3F43">
        <w:t>,</w:t>
      </w:r>
      <w:r w:rsidR="00E01968">
        <w:t xml:space="preserve"> </w:t>
      </w:r>
      <w:r w:rsidRPr="000E374A">
        <w:t xml:space="preserve">is without merit.  No perception of impropriety can reasonably be inferred from the record.  The Nigerian </w:t>
      </w:r>
      <w:r w:rsidR="00685F49">
        <w:t>government</w:t>
      </w:r>
      <w:r w:rsidRPr="000E374A">
        <w:t xml:space="preserve"> sent a prosecutor to South Africa to observe what transpired in the trial here.  That person had been involved in the trial, in Nigeria, of those implicated in the </w:t>
      </w:r>
      <w:r w:rsidR="007C277F">
        <w:t xml:space="preserve">self-same </w:t>
      </w:r>
      <w:r w:rsidRPr="000E374A">
        <w:t>Warri and Abuja bombings.  The propriety o</w:t>
      </w:r>
      <w:r w:rsidR="00A4301B">
        <w:t>f this can hardly be impugned.</w:t>
      </w:r>
    </w:p>
    <w:p w:rsidR="00A4301B" w:rsidRDefault="00A4301B" w:rsidP="008C0E33">
      <w:pPr>
        <w:pStyle w:val="JUDGMENTCONTINUED"/>
      </w:pPr>
    </w:p>
    <w:p w:rsidR="000E374A" w:rsidRDefault="008769F6" w:rsidP="000E374A">
      <w:pPr>
        <w:pStyle w:val="JUDGMENTNUMBERED"/>
      </w:pPr>
      <w:r>
        <w:t xml:space="preserve">Even </w:t>
      </w:r>
      <w:r w:rsidR="007C277F">
        <w:t xml:space="preserve">if </w:t>
      </w:r>
      <w:r>
        <w:t>on the</w:t>
      </w:r>
      <w:r w:rsidR="007C277F">
        <w:t>se scanty allegation</w:t>
      </w:r>
      <w:r w:rsidR="00493A31">
        <w:t>s</w:t>
      </w:r>
      <w:r>
        <w:t xml:space="preserve"> Mr Osagie’s presence at</w:t>
      </w:r>
      <w:r w:rsidR="003B13A3">
        <w:t xml:space="preserve"> the</w:t>
      </w:r>
      <w:r>
        <w:t xml:space="preserve"> trial could </w:t>
      </w:r>
      <w:r w:rsidR="007C277F">
        <w:t xml:space="preserve">conceivably have </w:t>
      </w:r>
      <w:r>
        <w:t>give</w:t>
      </w:r>
      <w:r w:rsidR="007C277F">
        <w:t>n rise to an irregularity, the fact is that</w:t>
      </w:r>
      <w:r>
        <w:t xml:space="preserve"> </w:t>
      </w:r>
      <w:r w:rsidR="000E374A" w:rsidRPr="000E374A">
        <w:t>Mr Okah’s belated raising of the special entr</w:t>
      </w:r>
      <w:r>
        <w:t>y is a last-ditch attempt to re</w:t>
      </w:r>
      <w:r w:rsidR="00B45D5E">
        <w:t>-</w:t>
      </w:r>
      <w:r w:rsidR="000E374A" w:rsidRPr="000E374A">
        <w:t xml:space="preserve">open evidential proceedings that conclusively implicated him in terrorist activity.  </w:t>
      </w:r>
      <w:r>
        <w:t>Granting the</w:t>
      </w:r>
      <w:r w:rsidR="000E374A" w:rsidRPr="000E374A">
        <w:t xml:space="preserve"> application for admission of this special entry </w:t>
      </w:r>
      <w:r>
        <w:t>would have constituted</w:t>
      </w:r>
      <w:r w:rsidR="000E374A" w:rsidRPr="000E374A">
        <w:t xml:space="preserve"> an abuse of court processes.  It falls into the section 317 exclusions, and the trial court rightly dismissed it.</w:t>
      </w:r>
    </w:p>
    <w:p w:rsidR="0074715B" w:rsidRPr="002D078A" w:rsidRDefault="0074715B" w:rsidP="0074715B">
      <w:pPr>
        <w:pStyle w:val="JUDGMENTCONTINUED"/>
      </w:pPr>
    </w:p>
    <w:p w:rsidR="0074715B" w:rsidRPr="002D078A" w:rsidRDefault="0074715B" w:rsidP="0074715B">
      <w:pPr>
        <w:pStyle w:val="HEADING"/>
        <w:ind w:firstLine="720"/>
      </w:pPr>
      <w:r w:rsidRPr="002D078A">
        <w:t>Letters of request</w:t>
      </w:r>
    </w:p>
    <w:p w:rsidR="00F13FD7" w:rsidRPr="00F13FD7" w:rsidRDefault="0074715B" w:rsidP="00F13FD7">
      <w:pPr>
        <w:pStyle w:val="JUDGMENTNUMBERED"/>
      </w:pPr>
      <w:r w:rsidRPr="002D078A">
        <w:t>The second basis on which Mr Okah seeks to impugn his trial is the trial court’s failure to</w:t>
      </w:r>
      <w:r w:rsidR="00130D22">
        <w:t xml:space="preserve"> issue </w:t>
      </w:r>
      <w:r w:rsidRPr="002D078A">
        <w:t>letter</w:t>
      </w:r>
      <w:r w:rsidR="00130D22">
        <w:t>s</w:t>
      </w:r>
      <w:r w:rsidRPr="002D078A">
        <w:t xml:space="preserve"> of request on his behalf under section 2(1) of</w:t>
      </w:r>
      <w:r w:rsidR="000723C4" w:rsidRPr="002D078A">
        <w:t xml:space="preserve"> the International Co</w:t>
      </w:r>
      <w:r w:rsidR="00166B58">
        <w:t>-</w:t>
      </w:r>
      <w:r w:rsidR="000723C4" w:rsidRPr="002D078A">
        <w:t>operation in Criminal Matters Act</w:t>
      </w:r>
      <w:r w:rsidRPr="002D078A">
        <w:t>.</w:t>
      </w:r>
      <w:r w:rsidRPr="002D078A">
        <w:rPr>
          <w:rStyle w:val="FootnoteReference"/>
        </w:rPr>
        <w:footnoteReference w:id="84"/>
      </w:r>
      <w:r w:rsidRPr="002D078A">
        <w:t xml:space="preserve">  This provides that</w:t>
      </w:r>
      <w:r w:rsidR="0001020C">
        <w:t>,</w:t>
      </w:r>
      <w:r w:rsidRPr="002D078A">
        <w:t xml:space="preserve"> </w:t>
      </w:r>
      <w:r w:rsidR="0001020C" w:rsidRPr="002D078A">
        <w:t xml:space="preserve">while a trial </w:t>
      </w:r>
      <w:r w:rsidR="0001020C" w:rsidRPr="002D078A">
        <w:lastRenderedPageBreak/>
        <w:t>is in progress</w:t>
      </w:r>
      <w:r w:rsidR="0001020C">
        <w:t>,</w:t>
      </w:r>
      <w:r w:rsidR="0001020C" w:rsidRPr="002D078A">
        <w:t xml:space="preserve"> the presiding officer </w:t>
      </w:r>
      <w:r w:rsidR="0001020C">
        <w:t xml:space="preserve">“may” make </w:t>
      </w:r>
      <w:r w:rsidRPr="002D078A">
        <w:t xml:space="preserve">a request to a foreign </w:t>
      </w:r>
      <w:r w:rsidR="00981882">
        <w:t>s</w:t>
      </w:r>
      <w:r w:rsidRPr="002D078A">
        <w:t xml:space="preserve">tate for assistance securing testimony from witnesses in that </w:t>
      </w:r>
      <w:r w:rsidR="00981882">
        <w:t>s</w:t>
      </w:r>
      <w:r w:rsidRPr="002D078A">
        <w:t>tate.</w:t>
      </w:r>
      <w:r w:rsidR="002C5FDA">
        <w:t xml:space="preserve">  Therefore, issuing letters of request fall</w:t>
      </w:r>
      <w:r w:rsidR="00F06FC4">
        <w:t>s</w:t>
      </w:r>
      <w:r w:rsidR="002C5FDA">
        <w:t xml:space="preserve"> within the High Court’s discretion</w:t>
      </w:r>
      <w:r w:rsidR="00F13FD7">
        <w:t xml:space="preserve">.  </w:t>
      </w:r>
      <w:r w:rsidR="001C5881">
        <w:t>A</w:t>
      </w:r>
      <w:r w:rsidR="00F13FD7">
        <w:t xml:space="preserve">n appellate court will not interfere in the exercise of discretion unless it determines that the High Court </w:t>
      </w:r>
      <w:r w:rsidR="00500A83">
        <w:t>failed to exercise</w:t>
      </w:r>
      <w:r w:rsidR="00F13FD7">
        <w:t xml:space="preserve"> its discretion judicially, had been influenced by wrong principles or a misdirection of facts, or reached a decision that no reasonable court would have made</w:t>
      </w:r>
      <w:r w:rsidR="001C5881">
        <w:t>.</w:t>
      </w:r>
      <w:r w:rsidR="001C5881">
        <w:rPr>
          <w:rStyle w:val="FootnoteReference"/>
        </w:rPr>
        <w:footnoteReference w:id="85"/>
      </w:r>
    </w:p>
    <w:p w:rsidR="0074715B" w:rsidRPr="002D078A" w:rsidRDefault="0074715B" w:rsidP="0074715B">
      <w:pPr>
        <w:pStyle w:val="JUDGMENTCONTINUED"/>
      </w:pPr>
    </w:p>
    <w:p w:rsidR="0074715B" w:rsidRPr="002D078A" w:rsidRDefault="0074715B" w:rsidP="0074715B">
      <w:pPr>
        <w:pStyle w:val="JUDGMENTNUMBERED"/>
      </w:pPr>
      <w:r w:rsidRPr="002D078A">
        <w:t>It is true that, during his trial, Mr Okah initiated an application for certain witnesses in Nigeria to be procured.  In fact, in an attempt to assist him to do so, the trial judge postponed the trial</w:t>
      </w:r>
      <w:r w:rsidR="00897D92" w:rsidRPr="00897D92">
        <w:t xml:space="preserve"> </w:t>
      </w:r>
      <w:r w:rsidR="00897D92" w:rsidRPr="002D078A">
        <w:t>twice</w:t>
      </w:r>
      <w:r w:rsidRPr="002D078A">
        <w:t xml:space="preserve">.  But, on 3 December 2012, Mr Okah’s counsel placed on record that he was unable to secure the presence of the witnesses. </w:t>
      </w:r>
      <w:r w:rsidR="00616A46">
        <w:t xml:space="preserve"> </w:t>
      </w:r>
      <w:r w:rsidRPr="002D078A">
        <w:t>That being so, he closed his case.</w:t>
      </w:r>
    </w:p>
    <w:p w:rsidR="0074715B" w:rsidRPr="002D078A" w:rsidRDefault="0074715B" w:rsidP="0074715B">
      <w:pPr>
        <w:pStyle w:val="JUDGMENTCONTINUED"/>
      </w:pPr>
    </w:p>
    <w:p w:rsidR="00AF6DB1" w:rsidRPr="002D078A" w:rsidRDefault="003566FC" w:rsidP="0074715B">
      <w:pPr>
        <w:pStyle w:val="JUDGMENTNUMBERED"/>
      </w:pPr>
      <w:r>
        <w:t>I</w:t>
      </w:r>
      <w:r w:rsidRPr="002D078A">
        <w:t>n closing his case</w:t>
      </w:r>
      <w:r>
        <w:t>,</w:t>
      </w:r>
      <w:r w:rsidRPr="002D078A">
        <w:t xml:space="preserve"> </w:t>
      </w:r>
      <w:r w:rsidR="0074715B" w:rsidRPr="002D078A">
        <w:t xml:space="preserve">Mr Okah complained of obstruction by the Nigerian government.  This was because </w:t>
      </w:r>
      <w:r w:rsidR="008A61AE">
        <w:t xml:space="preserve">it </w:t>
      </w:r>
      <w:r w:rsidR="0074715B" w:rsidRPr="002D078A">
        <w:t xml:space="preserve">insisted that Mr Okah had to comply with the correct procedures in international law and could not simply issue South African subpoenas to secure Nigerian witnesses </w:t>
      </w:r>
      <w:r w:rsidR="00687FE8">
        <w:t xml:space="preserve">from </w:t>
      </w:r>
      <w:r w:rsidR="0074715B" w:rsidRPr="002D078A">
        <w:t>Nigeria.  The</w:t>
      </w:r>
      <w:r w:rsidR="000723C4" w:rsidRPr="002D078A">
        <w:t xml:space="preserve"> Nigerian government</w:t>
      </w:r>
      <w:r w:rsidR="00765071">
        <w:t xml:space="preserve"> referred to an extradition and mutual legal a</w:t>
      </w:r>
      <w:r w:rsidR="0074715B" w:rsidRPr="002D078A">
        <w:t>ssistance treaty between Nigeria and South Africa.</w:t>
      </w:r>
      <w:r w:rsidR="0074715B" w:rsidRPr="002D078A">
        <w:rPr>
          <w:rStyle w:val="FootnoteReference"/>
        </w:rPr>
        <w:footnoteReference w:id="86"/>
      </w:r>
      <w:r w:rsidR="005A1591">
        <w:t xml:space="preserve">  In this Court, t</w:t>
      </w:r>
      <w:r w:rsidR="0074715B" w:rsidRPr="002D078A">
        <w:t xml:space="preserve">he </w:t>
      </w:r>
      <w:r w:rsidR="00DA7997" w:rsidRPr="002D078A">
        <w:t xml:space="preserve">State </w:t>
      </w:r>
      <w:r w:rsidR="0074715B" w:rsidRPr="002D078A">
        <w:t>conceded that this</w:t>
      </w:r>
      <w:r w:rsidR="00D0049C">
        <w:t xml:space="preserve"> treaty</w:t>
      </w:r>
      <w:r w:rsidR="0074715B" w:rsidRPr="002D078A">
        <w:t xml:space="preserve"> had not yet been brought into effect at the time of the trial </w:t>
      </w:r>
      <w:r w:rsidR="000219C4" w:rsidRPr="002D078A">
        <w:t>(</w:t>
      </w:r>
      <w:r w:rsidR="006B4976">
        <w:t>it has still not been</w:t>
      </w:r>
      <w:r w:rsidR="000219C4" w:rsidRPr="002D078A">
        <w:t>)</w:t>
      </w:r>
      <w:r w:rsidR="0074715B" w:rsidRPr="002D078A">
        <w:t xml:space="preserve">, but </w:t>
      </w:r>
      <w:r w:rsidR="000219C4" w:rsidRPr="002D078A">
        <w:t xml:space="preserve">urges that </w:t>
      </w:r>
      <w:r w:rsidR="0074715B" w:rsidRPr="002D078A">
        <w:t xml:space="preserve">this </w:t>
      </w:r>
      <w:r w:rsidR="000219C4" w:rsidRPr="002D078A">
        <w:t xml:space="preserve">is </w:t>
      </w:r>
      <w:r w:rsidR="0074715B" w:rsidRPr="002D078A">
        <w:t>“of no consequence” because section 2(1) is “clearly applicable”.</w:t>
      </w:r>
    </w:p>
    <w:p w:rsidR="00AF6DB1" w:rsidRPr="002D078A" w:rsidRDefault="00AF6DB1" w:rsidP="008C0E33">
      <w:pPr>
        <w:pStyle w:val="JUDGMENTCONTINUED"/>
      </w:pPr>
    </w:p>
    <w:p w:rsidR="0074715B" w:rsidRDefault="0074715B" w:rsidP="00847AB4">
      <w:pPr>
        <w:pStyle w:val="JUDGMENTNUMBERED"/>
      </w:pPr>
      <w:r w:rsidRPr="002D078A">
        <w:lastRenderedPageBreak/>
        <w:t xml:space="preserve">This means that Mr Okah was obliged to comply with section 2(1) before the Nigerian government could </w:t>
      </w:r>
      <w:r w:rsidR="00CB3918">
        <w:t>act on</w:t>
      </w:r>
      <w:r w:rsidR="00CB3918" w:rsidRPr="002D078A">
        <w:t xml:space="preserve"> </w:t>
      </w:r>
      <w:r w:rsidRPr="002D078A">
        <w:t>his request.</w:t>
      </w:r>
      <w:r w:rsidR="00317CD4">
        <w:t xml:space="preserve">  He f</w:t>
      </w:r>
      <w:r w:rsidR="00847AB4">
        <w:t>ailed to do so.</w:t>
      </w:r>
    </w:p>
    <w:p w:rsidR="00847AB4" w:rsidRPr="00847AB4" w:rsidRDefault="00847AB4" w:rsidP="00847AB4">
      <w:pPr>
        <w:pStyle w:val="JUDGMENTCONTINUED"/>
      </w:pPr>
    </w:p>
    <w:p w:rsidR="00464C0C" w:rsidRDefault="0074715B" w:rsidP="0074715B">
      <w:pPr>
        <w:pStyle w:val="JUDGMENTNUMBERED"/>
      </w:pPr>
      <w:r w:rsidRPr="002D078A">
        <w:t>The decision not to persist with the request to call the Nigerian witnesses in these circumstances was that of counsel on behalf of Mr Okah</w:t>
      </w:r>
      <w:r w:rsidR="00D271F4">
        <w:t>.  It</w:t>
      </w:r>
      <w:r w:rsidR="00AF6DB1" w:rsidRPr="002D078A">
        <w:t xml:space="preserve"> seems to have been soundly based</w:t>
      </w:r>
      <w:r w:rsidRPr="002D078A">
        <w:t xml:space="preserve">.  </w:t>
      </w:r>
      <w:r w:rsidR="009F1445">
        <w:t xml:space="preserve">In any event, </w:t>
      </w:r>
      <w:r w:rsidRPr="002D078A">
        <w:t>Mr Okah is bound by th</w:t>
      </w:r>
      <w:r w:rsidR="007126DF" w:rsidRPr="002D078A">
        <w:t>e</w:t>
      </w:r>
      <w:r w:rsidRPr="002D078A">
        <w:t xml:space="preserve"> decision</w:t>
      </w:r>
      <w:r w:rsidR="007126DF" w:rsidRPr="002D078A">
        <w:t xml:space="preserve"> of his counsel, taken in his presence</w:t>
      </w:r>
      <w:r w:rsidRPr="002D078A">
        <w:t>, unless he can show that the incompetence of his counsel vitiated the fairness of his trial.</w:t>
      </w:r>
      <w:r w:rsidR="007126DF" w:rsidRPr="002D078A">
        <w:rPr>
          <w:rStyle w:val="FootnoteReference"/>
        </w:rPr>
        <w:footnoteReference w:id="87"/>
      </w:r>
    </w:p>
    <w:p w:rsidR="00464C0C" w:rsidRDefault="00464C0C" w:rsidP="008C0E33">
      <w:pPr>
        <w:pStyle w:val="JUDGMENTCONTINUED"/>
      </w:pPr>
    </w:p>
    <w:p w:rsidR="0074715B" w:rsidRDefault="0074715B" w:rsidP="00464C0C">
      <w:pPr>
        <w:pStyle w:val="JUDGMENTNUMBERED"/>
      </w:pPr>
      <w:r w:rsidRPr="002D078A">
        <w:t xml:space="preserve">During oral argument in this Court, counsel for Mr Okah was asked whether he </w:t>
      </w:r>
      <w:r w:rsidR="00490942">
        <w:t xml:space="preserve">now </w:t>
      </w:r>
      <w:r w:rsidRPr="002D078A">
        <w:t xml:space="preserve">contended that there had been a mistrial through incompetent representation.  </w:t>
      </w:r>
      <w:r w:rsidR="00464C0C">
        <w:t xml:space="preserve">He </w:t>
      </w:r>
      <w:r w:rsidRPr="002D078A">
        <w:t>hedged.  The most he was willing to say was that the conduct of Mr Okah’s former counsel “borders on mistrial”.</w:t>
      </w:r>
      <w:r w:rsidR="00464C0C">
        <w:t xml:space="preserve">  </w:t>
      </w:r>
      <w:r w:rsidR="00561A81" w:rsidRPr="002D078A">
        <w:t>This half-hearted</w:t>
      </w:r>
      <w:r w:rsidR="00490942">
        <w:t xml:space="preserve"> submission was understandable</w:t>
      </w:r>
      <w:r w:rsidR="00561A81" w:rsidRPr="002D078A">
        <w:t xml:space="preserve">.  Nothing in the record suggests anything other than that Mr Okah was competently represented at every stage of the trial, and </w:t>
      </w:r>
      <w:r w:rsidR="003A6985">
        <w:t xml:space="preserve">moreover </w:t>
      </w:r>
      <w:r w:rsidR="00561A81" w:rsidRPr="002D078A">
        <w:t xml:space="preserve">that his defence was conducted under close scrutiny by himself.  There can be no suggestion of a mistrial </w:t>
      </w:r>
      <w:r w:rsidR="00464C0C">
        <w:t xml:space="preserve">because </w:t>
      </w:r>
      <w:r w:rsidR="002A1EA0">
        <w:t>Mr </w:t>
      </w:r>
      <w:r w:rsidR="00561A81" w:rsidRPr="002D078A">
        <w:t xml:space="preserve">Okah’s </w:t>
      </w:r>
      <w:r w:rsidR="00024E77">
        <w:t xml:space="preserve">former </w:t>
      </w:r>
      <w:r w:rsidR="00561A81" w:rsidRPr="002D078A">
        <w:t xml:space="preserve">counsel </w:t>
      </w:r>
      <w:r w:rsidR="00464C0C">
        <w:t xml:space="preserve">failed </w:t>
      </w:r>
      <w:r w:rsidR="00561A81" w:rsidRPr="002D078A">
        <w:t xml:space="preserve">to call any Nigerian witnesses, nor </w:t>
      </w:r>
      <w:r w:rsidR="007D21A0">
        <w:t>on the basis that</w:t>
      </w:r>
      <w:r w:rsidR="007D21A0" w:rsidRPr="002D078A">
        <w:t xml:space="preserve"> </w:t>
      </w:r>
      <w:r w:rsidR="00561A81" w:rsidRPr="002D078A">
        <w:t>the trial court did not issue letters of request.</w:t>
      </w:r>
    </w:p>
    <w:p w:rsidR="00847AB4" w:rsidRDefault="00847AB4" w:rsidP="00847AB4">
      <w:pPr>
        <w:pStyle w:val="JUDGMENTCONTINUED"/>
      </w:pPr>
    </w:p>
    <w:p w:rsidR="00847AB4" w:rsidRPr="00847AB4" w:rsidRDefault="00847AB4" w:rsidP="00F13FD7">
      <w:pPr>
        <w:pStyle w:val="JUDGMENTNUMBERED"/>
      </w:pPr>
      <w:r>
        <w:t>Consider</w:t>
      </w:r>
      <w:r w:rsidR="00D460D4">
        <w:t>ing</w:t>
      </w:r>
      <w:r>
        <w:t xml:space="preserve"> Mr Okah’s counsel explicitly abandoned this point, and there is no evidence of incompetent representation to indicate a mistrial, it </w:t>
      </w:r>
      <w:r w:rsidR="00464C0C">
        <w:t>is untenable to contend now</w:t>
      </w:r>
      <w:r>
        <w:t xml:space="preserve"> that the </w:t>
      </w:r>
      <w:r w:rsidR="00464C0C">
        <w:t xml:space="preserve">trial judge’s </w:t>
      </w:r>
      <w:r>
        <w:t>failure to issue letters of request amount</w:t>
      </w:r>
      <w:r w:rsidR="00B50C2D">
        <w:t>s</w:t>
      </w:r>
      <w:r>
        <w:t xml:space="preserve"> to an irregularity.</w:t>
      </w:r>
      <w:r w:rsidR="00F13FD7">
        <w:t xml:space="preserve">  </w:t>
      </w:r>
      <w:r w:rsidR="00D460D4">
        <w:t xml:space="preserve">Moreover, the High Court exercised its discretion </w:t>
      </w:r>
      <w:r w:rsidR="00B70353">
        <w:t>judicially, and there is no basis for this Court to interfere.  There</w:t>
      </w:r>
      <w:r w:rsidR="00F13FD7" w:rsidRPr="00F13FD7">
        <w:t>fore, the trial court rightly dismissed this application for special entry.</w:t>
      </w:r>
    </w:p>
    <w:p w:rsidR="0074715B" w:rsidRPr="002D078A" w:rsidRDefault="0074715B" w:rsidP="008C0E33">
      <w:pPr>
        <w:pStyle w:val="JUDGMENTCONTINUED"/>
      </w:pPr>
    </w:p>
    <w:p w:rsidR="0074715B" w:rsidRPr="002D078A" w:rsidRDefault="0074715B" w:rsidP="0074715B">
      <w:pPr>
        <w:pStyle w:val="HEADING"/>
        <w:ind w:firstLine="720"/>
      </w:pPr>
      <w:r w:rsidRPr="002D078A">
        <w:t>Consular access</w:t>
      </w:r>
    </w:p>
    <w:p w:rsidR="0074715B" w:rsidRDefault="0074715B" w:rsidP="0074715B">
      <w:pPr>
        <w:pStyle w:val="JUDGMENTNUMBERED"/>
      </w:pPr>
      <w:r w:rsidRPr="002D078A">
        <w:t xml:space="preserve">Mr Okah further contended that an irregularity occurred in relation to the duty to afford him consular access under Article 7(3) of the </w:t>
      </w:r>
      <w:r w:rsidR="009A00DD">
        <w:t xml:space="preserve">Terrorist Bombings </w:t>
      </w:r>
      <w:r w:rsidR="00BA2CE1">
        <w:lastRenderedPageBreak/>
        <w:t>Convention</w:t>
      </w:r>
      <w:r w:rsidRPr="002D078A">
        <w:t>.</w:t>
      </w:r>
      <w:r w:rsidR="002D550C">
        <w:t xml:space="preserve">  Article </w:t>
      </w:r>
      <w:r w:rsidRPr="002D078A">
        <w:t>7(3)(</w:t>
      </w:r>
      <w:r w:rsidR="006E69BC">
        <w:t>a</w:t>
      </w:r>
      <w:r w:rsidRPr="002D078A">
        <w:t>)</w:t>
      </w:r>
      <w:r w:rsidR="006E69BC">
        <w:t xml:space="preserve"> and (b)</w:t>
      </w:r>
      <w:r w:rsidRPr="002D078A">
        <w:t xml:space="preserve"> provides that a suspected terrorist has the right to be informed of </w:t>
      </w:r>
      <w:r w:rsidR="00832A76">
        <w:t>his or her</w:t>
      </w:r>
      <w:r w:rsidR="00832A76" w:rsidRPr="002D078A">
        <w:t xml:space="preserve"> </w:t>
      </w:r>
      <w:r w:rsidRPr="002D078A">
        <w:t xml:space="preserve">rights to “[c]ommunicate without delay with the nearest appropriate representative of the </w:t>
      </w:r>
      <w:r w:rsidR="007978DC">
        <w:t>s</w:t>
      </w:r>
      <w:r w:rsidRPr="002D078A">
        <w:t>tate of which that person is a national or which is otherwise entitled to protect</w:t>
      </w:r>
      <w:r w:rsidR="002D550C">
        <w:t xml:space="preserve"> that person’s rights” and </w:t>
      </w:r>
      <w:r w:rsidRPr="002D078A">
        <w:t>to “[b]e visited by a represen</w:t>
      </w:r>
      <w:r w:rsidR="00E7107E">
        <w:t xml:space="preserve">tative of that </w:t>
      </w:r>
      <w:r w:rsidR="007978DC">
        <w:t>s</w:t>
      </w:r>
      <w:r w:rsidR="00E7107E">
        <w:t>tate”.  Article </w:t>
      </w:r>
      <w:r w:rsidRPr="002D078A">
        <w:t xml:space="preserve">7(4) of the </w:t>
      </w:r>
      <w:r w:rsidR="009A00DD">
        <w:t xml:space="preserve">Terrorist Bombings </w:t>
      </w:r>
      <w:r w:rsidRPr="002D078A">
        <w:t>Convention provides:</w:t>
      </w:r>
    </w:p>
    <w:p w:rsidR="00D07765" w:rsidRPr="00311B85" w:rsidRDefault="00D07765" w:rsidP="009178AA">
      <w:pPr>
        <w:pStyle w:val="QUOTATION"/>
      </w:pPr>
    </w:p>
    <w:p w:rsidR="0074715B" w:rsidRPr="002D078A" w:rsidRDefault="0074715B" w:rsidP="0074715B">
      <w:pPr>
        <w:pStyle w:val="QUOTATION"/>
      </w:pPr>
      <w:r w:rsidRPr="002D078A">
        <w:t xml:space="preserve">“The rights referred to in paragraph 3 shall be exercised in conformity with the laws and regulations of the </w:t>
      </w:r>
      <w:r w:rsidR="0081747D">
        <w:t>s</w:t>
      </w:r>
      <w:r w:rsidRPr="002D078A">
        <w:t>tate in the territory of which the offender or alleged offender is present, subject to the provision that the said laws and regulations must enable full effect to be given to the purposes for which the rights accorded under paragraph 3 are intended.”</w:t>
      </w:r>
    </w:p>
    <w:p w:rsidR="0074715B" w:rsidRPr="002D078A" w:rsidRDefault="0074715B" w:rsidP="0074715B">
      <w:pPr>
        <w:pStyle w:val="JUDGMENTCONTINUED"/>
      </w:pPr>
    </w:p>
    <w:p w:rsidR="0074715B" w:rsidRPr="002D078A" w:rsidRDefault="0074715B" w:rsidP="0074715B">
      <w:pPr>
        <w:pStyle w:val="JUDGMENTNUMBERED"/>
      </w:pPr>
      <w:r w:rsidRPr="002D078A">
        <w:t xml:space="preserve">The </w:t>
      </w:r>
      <w:r w:rsidR="00561A81" w:rsidRPr="002D078A">
        <w:t>S</w:t>
      </w:r>
      <w:r w:rsidRPr="002D078A">
        <w:t xml:space="preserve">tate correctly notes that </w:t>
      </w:r>
      <w:r w:rsidR="00311B85">
        <w:t>A</w:t>
      </w:r>
      <w:r w:rsidRPr="002D078A">
        <w:t>rticle 7(3) rights are</w:t>
      </w:r>
      <w:r w:rsidR="0080640C">
        <w:t xml:space="preserve"> intended to protect fair trial rights,</w:t>
      </w:r>
      <w:r w:rsidRPr="002D078A">
        <w:t xml:space="preserve"> similar to </w:t>
      </w:r>
      <w:r w:rsidR="00030BAE">
        <w:t xml:space="preserve">those </w:t>
      </w:r>
      <w:r w:rsidRPr="002D078A">
        <w:t>afforded by the South African Constitution</w:t>
      </w:r>
      <w:r w:rsidR="00561A81" w:rsidRPr="002D078A">
        <w:t>.  However</w:t>
      </w:r>
      <w:r w:rsidRPr="002D078A">
        <w:t xml:space="preserve">, the </w:t>
      </w:r>
      <w:r w:rsidR="009A00DD">
        <w:t xml:space="preserve">Terrorist Bombings </w:t>
      </w:r>
      <w:r w:rsidRPr="002D078A">
        <w:t xml:space="preserve">Convention specifically requires </w:t>
      </w:r>
      <w:r w:rsidR="00561A81" w:rsidRPr="002D078A">
        <w:t xml:space="preserve">that </w:t>
      </w:r>
      <w:r w:rsidRPr="002D078A">
        <w:t xml:space="preserve">a suspect </w:t>
      </w:r>
      <w:r w:rsidR="00561A81" w:rsidRPr="002D078A">
        <w:t xml:space="preserve">be informed </w:t>
      </w:r>
      <w:r w:rsidR="001F5EE4">
        <w:t>of</w:t>
      </w:r>
      <w:r w:rsidR="00561A81" w:rsidRPr="002D078A">
        <w:t xml:space="preserve"> the</w:t>
      </w:r>
      <w:r w:rsidRPr="002D078A">
        <w:t xml:space="preserve"> right to consular assistance</w:t>
      </w:r>
      <w:r w:rsidR="00561A81" w:rsidRPr="002D078A">
        <w:t>.  The importance of that right</w:t>
      </w:r>
      <w:r w:rsidRPr="002D078A">
        <w:t xml:space="preserve"> cannot </w:t>
      </w:r>
      <w:r w:rsidR="00561A81" w:rsidRPr="002D078A">
        <w:t>be trivialised</w:t>
      </w:r>
      <w:r w:rsidRPr="002D078A">
        <w:t xml:space="preserve">.  </w:t>
      </w:r>
      <w:r w:rsidR="00561A81" w:rsidRPr="002D078A">
        <w:t xml:space="preserve">Nor </w:t>
      </w:r>
      <w:r w:rsidRPr="002D078A">
        <w:t>can</w:t>
      </w:r>
      <w:r w:rsidR="00561A81" w:rsidRPr="002D078A">
        <w:t xml:space="preserve"> we</w:t>
      </w:r>
      <w:r w:rsidRPr="002D078A">
        <w:t xml:space="preserve"> assume that the right is waived if a person acquires permanent residence in South Africa </w:t>
      </w:r>
      <w:r w:rsidR="00561A81" w:rsidRPr="002D078A">
        <w:t>– as Mr</w:t>
      </w:r>
      <w:r w:rsidR="009A00DD">
        <w:t> </w:t>
      </w:r>
      <w:r w:rsidR="00561A81" w:rsidRPr="002D078A">
        <w:t xml:space="preserve">Okah did, in 2007 – </w:t>
      </w:r>
      <w:r w:rsidRPr="002D078A">
        <w:t xml:space="preserve">where </w:t>
      </w:r>
      <w:r w:rsidR="0019274A">
        <w:t>the person</w:t>
      </w:r>
      <w:r w:rsidR="0019274A" w:rsidRPr="002D078A">
        <w:t xml:space="preserve"> </w:t>
      </w:r>
      <w:r w:rsidRPr="002D078A">
        <w:t>remain</w:t>
      </w:r>
      <w:r w:rsidR="0019274A">
        <w:t>s</w:t>
      </w:r>
      <w:r w:rsidRPr="002D078A">
        <w:t xml:space="preserve"> a “national” of another </w:t>
      </w:r>
      <w:r w:rsidR="007978DC">
        <w:t>s</w:t>
      </w:r>
      <w:r w:rsidRPr="002D078A">
        <w:t>tate</w:t>
      </w:r>
      <w:r w:rsidR="00561A81" w:rsidRPr="002D078A">
        <w:t xml:space="preserve"> – as Mr</w:t>
      </w:r>
      <w:r w:rsidR="009A00DD">
        <w:t> </w:t>
      </w:r>
      <w:r w:rsidR="00561A81" w:rsidRPr="002D078A">
        <w:t>Okah did</w:t>
      </w:r>
      <w:r w:rsidRPr="002D078A">
        <w:t>.</w:t>
      </w:r>
    </w:p>
    <w:p w:rsidR="0074715B" w:rsidRPr="002D078A" w:rsidRDefault="0074715B" w:rsidP="0074715B">
      <w:pPr>
        <w:pStyle w:val="JUDGMENTCONTINUED"/>
      </w:pPr>
    </w:p>
    <w:p w:rsidR="0074715B" w:rsidRPr="002D078A" w:rsidRDefault="005F3774" w:rsidP="0074715B">
      <w:pPr>
        <w:pStyle w:val="JUDGMENTNUMBERED"/>
      </w:pPr>
      <w:r>
        <w:t>Although</w:t>
      </w:r>
      <w:r w:rsidR="0074715B" w:rsidRPr="002D078A">
        <w:t xml:space="preserve"> there is a dearth of case law </w:t>
      </w:r>
      <w:r w:rsidR="00B40018" w:rsidRPr="002D078A">
        <w:t xml:space="preserve">elucidating </w:t>
      </w:r>
      <w:r w:rsidR="00DA543B">
        <w:t>A</w:t>
      </w:r>
      <w:r w:rsidR="0074715B" w:rsidRPr="002D078A">
        <w:t xml:space="preserve">rticle 7(3), the obligation it places on </w:t>
      </w:r>
      <w:r w:rsidR="007978DC">
        <w:t>s</w:t>
      </w:r>
      <w:r w:rsidR="0074715B" w:rsidRPr="002D078A">
        <w:t xml:space="preserve">tates is analogous to that created by </w:t>
      </w:r>
      <w:r w:rsidR="00DA543B">
        <w:t>A</w:t>
      </w:r>
      <w:r w:rsidR="0074715B" w:rsidRPr="002D078A">
        <w:t>rticle 36(1)(b) of the Vienna Convention</w:t>
      </w:r>
      <w:r w:rsidR="00E63D59" w:rsidRPr="002D078A">
        <w:t xml:space="preserve"> on Consular Relations</w:t>
      </w:r>
      <w:r w:rsidR="0074715B" w:rsidRPr="002D078A">
        <w:t>.</w:t>
      </w:r>
      <w:r w:rsidR="0074715B" w:rsidRPr="002D078A">
        <w:rPr>
          <w:rStyle w:val="FootnoteReference"/>
        </w:rPr>
        <w:footnoteReference w:id="88"/>
      </w:r>
      <w:r w:rsidR="0074715B" w:rsidRPr="002D078A">
        <w:t xml:space="preserve"> </w:t>
      </w:r>
      <w:r w:rsidR="00DA543B">
        <w:t xml:space="preserve"> </w:t>
      </w:r>
      <w:r w:rsidR="0074715B" w:rsidRPr="002D078A">
        <w:t xml:space="preserve">It is therefore helpful to consider some of the ample comparative precedent on </w:t>
      </w:r>
      <w:r w:rsidR="00DA543B">
        <w:t>A</w:t>
      </w:r>
      <w:r w:rsidR="0074715B" w:rsidRPr="002D078A">
        <w:t>rticle 36 of the Vienna Convention</w:t>
      </w:r>
      <w:r w:rsidR="00030BAE">
        <w:t xml:space="preserve"> </w:t>
      </w:r>
      <w:r w:rsidR="00030BAE" w:rsidRPr="002D078A">
        <w:t>on Consular Relations</w:t>
      </w:r>
      <w:r w:rsidR="0074715B" w:rsidRPr="002D078A">
        <w:t>.</w:t>
      </w:r>
    </w:p>
    <w:p w:rsidR="0074715B" w:rsidRPr="002D078A" w:rsidRDefault="0074715B" w:rsidP="0074715B">
      <w:pPr>
        <w:pStyle w:val="JUDGMENTCONTINUED"/>
      </w:pPr>
    </w:p>
    <w:p w:rsidR="0074715B" w:rsidRPr="002D078A" w:rsidRDefault="0074715B" w:rsidP="0074715B">
      <w:pPr>
        <w:pStyle w:val="JUDGMENTNUMBERED"/>
      </w:pPr>
      <w:r w:rsidRPr="002D078A">
        <w:lastRenderedPageBreak/>
        <w:t xml:space="preserve">In </w:t>
      </w:r>
      <w:r w:rsidRPr="002D078A">
        <w:rPr>
          <w:i/>
        </w:rPr>
        <w:t>LaGrand (Germany v United States of America)</w:t>
      </w:r>
      <w:r w:rsidR="00BA2CE1">
        <w:t>,</w:t>
      </w:r>
      <w:r w:rsidRPr="002D078A">
        <w:rPr>
          <w:rStyle w:val="FootnoteReference"/>
        </w:rPr>
        <w:footnoteReference w:id="89"/>
      </w:r>
      <w:r w:rsidRPr="002D078A">
        <w:t xml:space="preserve"> the International Court of Justice heard a dispute concerning two brothers who had lived in the United States since childhood but had never acquired nationality</w:t>
      </w:r>
      <w:r w:rsidR="00464C0C">
        <w:t xml:space="preserve"> of that country</w:t>
      </w:r>
      <w:r w:rsidRPr="002D078A">
        <w:t xml:space="preserve">.  They were arrested on suspicion of murder but were not informed of their right </w:t>
      </w:r>
      <w:r w:rsidR="00043CF5">
        <w:t>to</w:t>
      </w:r>
      <w:r w:rsidR="00972952" w:rsidRPr="002D078A">
        <w:t xml:space="preserve"> consular access</w:t>
      </w:r>
      <w:r w:rsidRPr="002D078A">
        <w:t xml:space="preserve">.  The Court considered the requirement of notifying the relevant consular </w:t>
      </w:r>
      <w:r w:rsidR="00972952" w:rsidRPr="002D078A">
        <w:t xml:space="preserve">authorities </w:t>
      </w:r>
      <w:r w:rsidRPr="002D078A">
        <w:t>“without delay” and alerting the accused person of that right.</w:t>
      </w:r>
      <w:r w:rsidRPr="002D078A">
        <w:rPr>
          <w:rStyle w:val="FootnoteReference"/>
        </w:rPr>
        <w:footnoteReference w:id="90"/>
      </w:r>
      <w:r w:rsidRPr="002D078A">
        <w:t xml:space="preserve">  The failure to do so was held to be a violation of</w:t>
      </w:r>
      <w:r w:rsidR="006E69BC">
        <w:t xml:space="preserve"> rights </w:t>
      </w:r>
      <w:r w:rsidR="00030BAE">
        <w:t>under</w:t>
      </w:r>
      <w:r w:rsidR="006E69BC">
        <w:t xml:space="preserve"> Article 1 of the </w:t>
      </w:r>
      <w:r w:rsidR="006E69BC" w:rsidRPr="0046516A">
        <w:t>Optional Protocol to the</w:t>
      </w:r>
      <w:r w:rsidRPr="0046516A">
        <w:t xml:space="preserve"> </w:t>
      </w:r>
      <w:r w:rsidR="00BA2CE1" w:rsidRPr="0046516A">
        <w:t xml:space="preserve">Vienna </w:t>
      </w:r>
      <w:r w:rsidRPr="0046516A">
        <w:t>Convention</w:t>
      </w:r>
      <w:r w:rsidR="00030BAE" w:rsidRPr="0046516A">
        <w:t xml:space="preserve"> on Consular Relations</w:t>
      </w:r>
      <w:r w:rsidR="00972952" w:rsidRPr="0046516A">
        <w:t>.</w:t>
      </w:r>
      <w:r w:rsidR="0046516A" w:rsidRPr="0046516A">
        <w:rPr>
          <w:rStyle w:val="FootnoteReference"/>
        </w:rPr>
        <w:footnoteReference w:id="91"/>
      </w:r>
      <w:r w:rsidR="00972952" w:rsidRPr="002D078A">
        <w:t xml:space="preserve">  </w:t>
      </w:r>
      <w:r w:rsidR="00CC3F48">
        <w:t>As a result, t</w:t>
      </w:r>
      <w:r w:rsidR="00972952" w:rsidRPr="002D078A">
        <w:t xml:space="preserve">he Court concluded that the </w:t>
      </w:r>
      <w:r w:rsidR="00CC3F48">
        <w:t>United States should</w:t>
      </w:r>
      <w:r w:rsidRPr="002D078A">
        <w:t xml:space="preserve"> “allow the review and reconsideration of the conviction and sentence by taking account of the violation of rights set forth in the </w:t>
      </w:r>
      <w:r w:rsidR="00BA2CE1">
        <w:t xml:space="preserve">[Vienna] </w:t>
      </w:r>
      <w:r w:rsidRPr="002D078A">
        <w:t>Convention”</w:t>
      </w:r>
      <w:r w:rsidR="00BA2CE1">
        <w:t>.</w:t>
      </w:r>
      <w:r w:rsidRPr="002D078A">
        <w:rPr>
          <w:rStyle w:val="FootnoteReference"/>
        </w:rPr>
        <w:footnoteReference w:id="92"/>
      </w:r>
    </w:p>
    <w:p w:rsidR="0074715B" w:rsidRPr="002D078A" w:rsidRDefault="0074715B" w:rsidP="0074715B">
      <w:pPr>
        <w:pStyle w:val="JUDGMENTCONTINUED"/>
      </w:pPr>
    </w:p>
    <w:p w:rsidR="00A013B3" w:rsidRPr="006930C6" w:rsidRDefault="00972952" w:rsidP="00464C0C">
      <w:pPr>
        <w:pStyle w:val="JUDGMENTNUMBERED"/>
      </w:pPr>
      <w:r w:rsidRPr="002D078A">
        <w:t xml:space="preserve">The </w:t>
      </w:r>
      <w:r w:rsidR="0074715B" w:rsidRPr="002D078A">
        <w:t xml:space="preserve">High Court </w:t>
      </w:r>
      <w:r w:rsidR="00464C0C">
        <w:t xml:space="preserve">made two findings here.  It </w:t>
      </w:r>
      <w:r w:rsidRPr="002D078A">
        <w:t xml:space="preserve">found </w:t>
      </w:r>
      <w:r w:rsidR="0074715B" w:rsidRPr="002D078A">
        <w:t>that Mr Okah was not warned of his right to consular assistance</w:t>
      </w:r>
      <w:r w:rsidR="00C637CA">
        <w:t>,</w:t>
      </w:r>
      <w:r w:rsidR="00464C0C">
        <w:t xml:space="preserve"> and </w:t>
      </w:r>
      <w:r w:rsidR="0074715B" w:rsidRPr="002D078A">
        <w:t xml:space="preserve">that this </w:t>
      </w:r>
      <w:r w:rsidRPr="002D078A">
        <w:t xml:space="preserve">omission amounted </w:t>
      </w:r>
      <w:r w:rsidR="0074715B" w:rsidRPr="002D078A">
        <w:t>to an irregularity</w:t>
      </w:r>
      <w:r w:rsidRPr="002D078A">
        <w:t xml:space="preserve"> in his trial</w:t>
      </w:r>
      <w:r w:rsidR="0074715B" w:rsidRPr="002D078A">
        <w:t>.</w:t>
      </w:r>
      <w:r w:rsidR="00464C0C">
        <w:t xml:space="preserve">  </w:t>
      </w:r>
      <w:r w:rsidR="004F604A" w:rsidRPr="002D078A">
        <w:t>T</w:t>
      </w:r>
      <w:r w:rsidR="0074715B" w:rsidRPr="002D078A">
        <w:t xml:space="preserve">he </w:t>
      </w:r>
      <w:r w:rsidR="00C637CA">
        <w:t>C</w:t>
      </w:r>
      <w:r w:rsidR="0074715B" w:rsidRPr="002D078A">
        <w:t xml:space="preserve">ourt </w:t>
      </w:r>
      <w:r w:rsidR="004F604A" w:rsidRPr="006930C6">
        <w:t xml:space="preserve">nevertheless </w:t>
      </w:r>
      <w:r w:rsidR="0074715B" w:rsidRPr="006930C6">
        <w:t xml:space="preserve">concluded that this did not imperil </w:t>
      </w:r>
      <w:r w:rsidR="004F604A" w:rsidRPr="006930C6">
        <w:t xml:space="preserve">the fairness of </w:t>
      </w:r>
      <w:r w:rsidR="00A013B3" w:rsidRPr="006930C6">
        <w:t xml:space="preserve">the </w:t>
      </w:r>
      <w:r w:rsidR="004F604A" w:rsidRPr="006930C6">
        <w:t>trial</w:t>
      </w:r>
      <w:r w:rsidR="0012640A" w:rsidRPr="006930C6">
        <w:t xml:space="preserve"> and for this reason refused the special entry</w:t>
      </w:r>
      <w:r w:rsidR="0074715B" w:rsidRPr="006930C6">
        <w:t>.</w:t>
      </w:r>
    </w:p>
    <w:p w:rsidR="00A013B3" w:rsidRPr="006930C6" w:rsidRDefault="00A013B3" w:rsidP="008C0E33">
      <w:pPr>
        <w:pStyle w:val="JUDGMENTCONTINUED"/>
      </w:pPr>
    </w:p>
    <w:p w:rsidR="0074715B" w:rsidRPr="002D078A" w:rsidRDefault="0074715B" w:rsidP="00464C0C">
      <w:pPr>
        <w:pStyle w:val="JUDGMENTNUMBERED"/>
      </w:pPr>
      <w:r w:rsidRPr="006930C6">
        <w:t>I</w:t>
      </w:r>
      <w:r w:rsidR="004F604A" w:rsidRPr="006930C6">
        <w:t xml:space="preserve">s Mr Okah’s complaint about </w:t>
      </w:r>
      <w:r w:rsidRPr="006930C6">
        <w:t xml:space="preserve">the irregularity </w:t>
      </w:r>
      <w:r w:rsidR="00786E3E" w:rsidRPr="006930C6">
        <w:t xml:space="preserve">made in </w:t>
      </w:r>
      <w:r w:rsidR="007F5796" w:rsidRPr="006930C6">
        <w:t>bad faith</w:t>
      </w:r>
      <w:r w:rsidRPr="006930C6">
        <w:t>, frivolous</w:t>
      </w:r>
      <w:r w:rsidR="00B05F5F" w:rsidRPr="006930C6">
        <w:t xml:space="preserve"> or</w:t>
      </w:r>
      <w:r w:rsidRPr="006930C6">
        <w:t xml:space="preserve"> absurd</w:t>
      </w:r>
      <w:r w:rsidR="00B05F5F" w:rsidRPr="006930C6">
        <w:t>,</w:t>
      </w:r>
      <w:r w:rsidRPr="006930C6">
        <w:t xml:space="preserve"> or an abuse of court process</w:t>
      </w:r>
      <w:r w:rsidR="004F604A" w:rsidRPr="006930C6">
        <w:t>?</w:t>
      </w:r>
      <w:r w:rsidRPr="006930C6">
        <w:t xml:space="preserve">  </w:t>
      </w:r>
      <w:r w:rsidR="004F604A" w:rsidRPr="006930C6">
        <w:t>It would seem</w:t>
      </w:r>
      <w:r w:rsidR="004F604A" w:rsidRPr="009178AA">
        <w:t xml:space="preserve"> not.  </w:t>
      </w:r>
      <w:r w:rsidR="007F5796" w:rsidRPr="009178AA">
        <w:t>Bad faith</w:t>
      </w:r>
      <w:r w:rsidRPr="00464C0C">
        <w:rPr>
          <w:i/>
        </w:rPr>
        <w:t xml:space="preserve"> </w:t>
      </w:r>
      <w:r w:rsidRPr="009178AA">
        <w:t>or abuse of court process requires intention on the part of the accused person to mislead or</w:t>
      </w:r>
      <w:r w:rsidRPr="002D078A">
        <w:t xml:space="preserve"> misuse the courts.</w:t>
      </w:r>
      <w:r w:rsidR="00947180">
        <w:rPr>
          <w:rStyle w:val="FootnoteReference"/>
        </w:rPr>
        <w:footnoteReference w:id="93"/>
      </w:r>
      <w:r w:rsidRPr="002D078A">
        <w:t xml:space="preserve">  </w:t>
      </w:r>
      <w:r w:rsidR="004D5FEF" w:rsidRPr="002D078A">
        <w:t>There is no basis for inferring bad faith on Mr Okah’s part</w:t>
      </w:r>
      <w:r w:rsidRPr="002D078A">
        <w:t xml:space="preserve">.  And </w:t>
      </w:r>
      <w:r w:rsidR="00A013B3">
        <w:t xml:space="preserve">invoking </w:t>
      </w:r>
      <w:r w:rsidRPr="002D078A">
        <w:t xml:space="preserve">a breach of South Africa’s international obligations </w:t>
      </w:r>
      <w:r w:rsidR="004D5FEF" w:rsidRPr="002D078A">
        <w:t xml:space="preserve">in trying a foreign national in its courts </w:t>
      </w:r>
      <w:r w:rsidRPr="002D078A">
        <w:t>cannot be said to be frivolous</w:t>
      </w:r>
      <w:r w:rsidR="004D5FEF" w:rsidRPr="002D078A">
        <w:t xml:space="preserve"> </w:t>
      </w:r>
      <w:r w:rsidRPr="002D078A">
        <w:t>or absurd.</w:t>
      </w:r>
    </w:p>
    <w:p w:rsidR="0074715B" w:rsidRPr="002D078A" w:rsidRDefault="0074715B" w:rsidP="0074715B">
      <w:pPr>
        <w:pStyle w:val="JUDGMENTCONTINUED"/>
      </w:pPr>
    </w:p>
    <w:p w:rsidR="004D5FEF" w:rsidRPr="002D078A" w:rsidRDefault="0074715B" w:rsidP="0074715B">
      <w:pPr>
        <w:pStyle w:val="JUDGMENTNUMBERED"/>
      </w:pPr>
      <w:r w:rsidRPr="002D078A">
        <w:lastRenderedPageBreak/>
        <w:t xml:space="preserve">As a result, </w:t>
      </w:r>
      <w:r w:rsidR="005F2533">
        <w:t xml:space="preserve">I conclude </w:t>
      </w:r>
      <w:r w:rsidR="004D5FEF" w:rsidRPr="002D078A">
        <w:t xml:space="preserve">the High Court erred in refusing to make a special entry regarding </w:t>
      </w:r>
      <w:r w:rsidRPr="002D078A">
        <w:t xml:space="preserve">the </w:t>
      </w:r>
      <w:r w:rsidR="0055280A">
        <w:t>S</w:t>
      </w:r>
      <w:r w:rsidRPr="002D078A">
        <w:t xml:space="preserve">tate’s failure to notify Mr Okah of his </w:t>
      </w:r>
      <w:r w:rsidR="0055280A">
        <w:t>A</w:t>
      </w:r>
      <w:r w:rsidR="00043CF5">
        <w:t xml:space="preserve">rticle 7(3) right to </w:t>
      </w:r>
      <w:r w:rsidRPr="002D078A">
        <w:t xml:space="preserve">consular access.  </w:t>
      </w:r>
      <w:r w:rsidR="004D5FEF" w:rsidRPr="002D078A">
        <w:t xml:space="preserve">The </w:t>
      </w:r>
      <w:r w:rsidR="00A04500">
        <w:t xml:space="preserve">High Court’s </w:t>
      </w:r>
      <w:r w:rsidR="004D5FEF" w:rsidRPr="002D078A">
        <w:t>decision must be reversed</w:t>
      </w:r>
      <w:r w:rsidR="00A04500">
        <w:t>.  A</w:t>
      </w:r>
      <w:r w:rsidR="004D5FEF" w:rsidRPr="002D078A">
        <w:t xml:space="preserve"> special entry </w:t>
      </w:r>
      <w:r w:rsidR="00A04500">
        <w:t xml:space="preserve">must be </w:t>
      </w:r>
      <w:r w:rsidR="004D5FEF" w:rsidRPr="002D078A">
        <w:t>made.</w:t>
      </w:r>
    </w:p>
    <w:p w:rsidR="004D5FEF" w:rsidRPr="002D078A" w:rsidRDefault="004D5FEF" w:rsidP="008C0E33">
      <w:pPr>
        <w:pStyle w:val="JUDGMENTCONTINUED"/>
      </w:pPr>
    </w:p>
    <w:p w:rsidR="00825228" w:rsidRPr="00DA2399" w:rsidRDefault="00A04500" w:rsidP="005C5325">
      <w:pPr>
        <w:pStyle w:val="JUDGMENTNUMBERED"/>
      </w:pPr>
      <w:r w:rsidRPr="00DA2399">
        <w:t xml:space="preserve">The </w:t>
      </w:r>
      <w:r w:rsidR="004D5FEF" w:rsidRPr="00DA2399">
        <w:t>consequence</w:t>
      </w:r>
      <w:r w:rsidRPr="00DA2399">
        <w:t xml:space="preserve"> is that</w:t>
      </w:r>
      <w:r w:rsidR="004D5FEF" w:rsidRPr="00DA2399">
        <w:t xml:space="preserve"> section 318 </w:t>
      </w:r>
      <w:r w:rsidR="008A3192" w:rsidRPr="00DA2399">
        <w:t xml:space="preserve">of the Criminal Procedure Act </w:t>
      </w:r>
      <w:r w:rsidRPr="00DA2399">
        <w:t xml:space="preserve">now </w:t>
      </w:r>
      <w:r w:rsidR="004D5FEF" w:rsidRPr="00DA2399">
        <w:t>affords</w:t>
      </w:r>
      <w:r w:rsidR="005C5325" w:rsidRPr="00DA2399">
        <w:t xml:space="preserve"> Mr </w:t>
      </w:r>
      <w:r w:rsidR="0074715B" w:rsidRPr="00DA2399">
        <w:t xml:space="preserve">Okah </w:t>
      </w:r>
      <w:r w:rsidR="004D5FEF" w:rsidRPr="00DA2399">
        <w:t xml:space="preserve">a right of </w:t>
      </w:r>
      <w:r w:rsidR="0074715B" w:rsidRPr="00DA2399">
        <w:t xml:space="preserve">appeal </w:t>
      </w:r>
      <w:r w:rsidR="004D5FEF" w:rsidRPr="00DA2399">
        <w:t xml:space="preserve">against </w:t>
      </w:r>
      <w:r w:rsidR="0074715B" w:rsidRPr="00DA2399">
        <w:t xml:space="preserve">his </w:t>
      </w:r>
      <w:r w:rsidR="00825228" w:rsidRPr="00DA2399">
        <w:t xml:space="preserve">entire </w:t>
      </w:r>
      <w:r w:rsidR="0074715B" w:rsidRPr="00DA2399">
        <w:t>conviction on th</w:t>
      </w:r>
      <w:r w:rsidR="004D5FEF" w:rsidRPr="00DA2399">
        <w:t>e bas</w:t>
      </w:r>
      <w:r w:rsidR="0074715B" w:rsidRPr="00DA2399">
        <w:t xml:space="preserve">is </w:t>
      </w:r>
      <w:r w:rsidR="004D5FEF" w:rsidRPr="00DA2399">
        <w:t>of the special entry</w:t>
      </w:r>
      <w:r w:rsidR="00825228" w:rsidRPr="00DA2399">
        <w:t xml:space="preserve"> </w:t>
      </w:r>
      <w:r w:rsidR="0012640A">
        <w:t xml:space="preserve">now </w:t>
      </w:r>
      <w:r w:rsidR="00825228" w:rsidRPr="00DA2399">
        <w:t>made</w:t>
      </w:r>
      <w:r w:rsidR="00912A98" w:rsidRPr="00DA2399">
        <w:t>.</w:t>
      </w:r>
    </w:p>
    <w:p w:rsidR="00224AF7" w:rsidRPr="00DA2399" w:rsidRDefault="00224AF7" w:rsidP="008C0E33">
      <w:pPr>
        <w:pStyle w:val="JUDGMENTCONTINUED"/>
      </w:pPr>
    </w:p>
    <w:p w:rsidR="00224AF7" w:rsidRPr="00DA2399" w:rsidRDefault="00DA2399" w:rsidP="00224AF7">
      <w:pPr>
        <w:pStyle w:val="JUDGMENTNUMBERED"/>
      </w:pPr>
      <w:r w:rsidRPr="00DA2399">
        <w:t xml:space="preserve">In </w:t>
      </w:r>
      <w:r w:rsidR="00224AF7" w:rsidRPr="00DA2399">
        <w:rPr>
          <w:i/>
        </w:rPr>
        <w:t>Xaba</w:t>
      </w:r>
      <w:r w:rsidRPr="00DA2399">
        <w:t>, the Appellate Division</w:t>
      </w:r>
      <w:r w:rsidR="00224AF7" w:rsidRPr="00DA2399">
        <w:t xml:space="preserve"> established that </w:t>
      </w:r>
      <w:r w:rsidR="00ED559E">
        <w:t xml:space="preserve">whether </w:t>
      </w:r>
      <w:r w:rsidR="00224AF7" w:rsidRPr="00DA2399">
        <w:t xml:space="preserve">remittal </w:t>
      </w:r>
      <w:r w:rsidR="00ED559E">
        <w:t xml:space="preserve">is necessary pursuant to a special entry made on appeal depends on </w:t>
      </w:r>
      <w:r w:rsidR="00224AF7" w:rsidRPr="00DA2399">
        <w:t xml:space="preserve">whether </w:t>
      </w:r>
      <w:r w:rsidR="00ED559E">
        <w:t xml:space="preserve">everything </w:t>
      </w:r>
      <w:r w:rsidR="00224AF7" w:rsidRPr="00DA2399">
        <w:t xml:space="preserve">relating </w:t>
      </w:r>
      <w:r w:rsidR="00ED559E">
        <w:t xml:space="preserve">to it </w:t>
      </w:r>
      <w:r w:rsidR="00224AF7" w:rsidRPr="00DA2399">
        <w:t>ha</w:t>
      </w:r>
      <w:r w:rsidR="00ED559E">
        <w:t>s</w:t>
      </w:r>
      <w:r w:rsidR="00224AF7" w:rsidRPr="00DA2399">
        <w:t xml:space="preserve"> been fully canvassed and whether the irregularity is so gross as to vitiate the proceedings.</w:t>
      </w:r>
      <w:r w:rsidR="00224AF7" w:rsidRPr="00DA2399">
        <w:rPr>
          <w:rStyle w:val="FootnoteReference"/>
        </w:rPr>
        <w:footnoteReference w:id="94"/>
      </w:r>
      <w:r w:rsidR="00224AF7" w:rsidRPr="00DA2399">
        <w:t xml:space="preserve"> </w:t>
      </w:r>
      <w:r w:rsidRPr="00DA2399">
        <w:t xml:space="preserve"> </w:t>
      </w:r>
      <w:r w:rsidR="00224AF7" w:rsidRPr="00DA2399">
        <w:t xml:space="preserve">This Court has the benefit of the full record and </w:t>
      </w:r>
      <w:r w:rsidRPr="00DA2399">
        <w:t xml:space="preserve">transcripts of the High Court.  Both </w:t>
      </w:r>
      <w:r w:rsidR="0012640A">
        <w:t xml:space="preserve">Mr Okah and the </w:t>
      </w:r>
      <w:r w:rsidR="0012640A" w:rsidRPr="003F4C6C">
        <w:t xml:space="preserve">State </w:t>
      </w:r>
      <w:r w:rsidR="00AF2434" w:rsidRPr="003F4C6C">
        <w:t>afforded the Court</w:t>
      </w:r>
      <w:r w:rsidR="00AF2434">
        <w:t xml:space="preserve"> the benefit of </w:t>
      </w:r>
      <w:r w:rsidR="0074715B" w:rsidRPr="002D078A">
        <w:t>written</w:t>
      </w:r>
      <w:r w:rsidRPr="00DA2399">
        <w:t xml:space="preserve"> and oral argument on </w:t>
      </w:r>
      <w:r w:rsidR="000F3328">
        <w:t xml:space="preserve">how </w:t>
      </w:r>
      <w:r w:rsidRPr="00DA2399">
        <w:t xml:space="preserve">denying consular access </w:t>
      </w:r>
      <w:r w:rsidR="000F3328">
        <w:t xml:space="preserve">may have impinged on </w:t>
      </w:r>
      <w:r w:rsidRPr="00DA2399">
        <w:t xml:space="preserve">the fairness of Mr Okah’s trial.  Nothing in all this evidences any irregularity that could render Mr Okah’s trial unfair.  </w:t>
      </w:r>
      <w:r w:rsidR="00A248C5">
        <w:t>It is t</w:t>
      </w:r>
      <w:r w:rsidRPr="00DA2399">
        <w:t>herefore not necessary to remit the matter to the High Court.</w:t>
      </w:r>
      <w:r w:rsidR="00ED559E">
        <w:t xml:space="preserve">  </w:t>
      </w:r>
      <w:r w:rsidR="00ED559E" w:rsidRPr="00DA2399">
        <w:t>This Court is c</w:t>
      </w:r>
      <w:r w:rsidR="00ED559E">
        <w:t>apable of deciding the appeal.</w:t>
      </w:r>
      <w:r w:rsidR="0009551C">
        <w:rPr>
          <w:rStyle w:val="FootnoteReference"/>
        </w:rPr>
        <w:footnoteReference w:id="95"/>
      </w:r>
    </w:p>
    <w:p w:rsidR="00825228" w:rsidRPr="00224AF7" w:rsidRDefault="00825228" w:rsidP="008E319A">
      <w:pPr>
        <w:pStyle w:val="JUDGMENTCONTINUED"/>
        <w:rPr>
          <w:highlight w:val="yellow"/>
        </w:rPr>
      </w:pPr>
    </w:p>
    <w:p w:rsidR="00F35E4D" w:rsidRPr="002426AF" w:rsidRDefault="00224AF7" w:rsidP="00F35E4D">
      <w:pPr>
        <w:pStyle w:val="JUDGMENTNUMBERED"/>
      </w:pPr>
      <w:r w:rsidRPr="00694EBE">
        <w:t>I</w:t>
      </w:r>
      <w:r w:rsidR="00825228" w:rsidRPr="00694EBE">
        <w:t>n</w:t>
      </w:r>
      <w:r w:rsidR="00912A98" w:rsidRPr="00694EBE">
        <w:t xml:space="preserve"> determining th</w:t>
      </w:r>
      <w:r w:rsidR="00825228" w:rsidRPr="00694EBE">
        <w:t>e</w:t>
      </w:r>
      <w:r w:rsidR="00912A98" w:rsidRPr="00694EBE">
        <w:t xml:space="preserve"> appeal, this Court </w:t>
      </w:r>
      <w:r w:rsidR="00825228" w:rsidRPr="00694EBE">
        <w:t xml:space="preserve">must consider </w:t>
      </w:r>
      <w:r w:rsidR="00912A98" w:rsidRPr="00694EBE">
        <w:t>section 322(1) of the Criminal Procedure Act</w:t>
      </w:r>
      <w:r w:rsidR="00825228" w:rsidRPr="00694EBE">
        <w:t>.  This</w:t>
      </w:r>
      <w:r w:rsidR="00912A98" w:rsidRPr="00694EBE">
        <w:t xml:space="preserve"> provides that “no conviction or sentence shall be set aside or </w:t>
      </w:r>
      <w:r w:rsidR="00912A98" w:rsidRPr="002426AF">
        <w:t xml:space="preserve">altered by reason of any irregularity or defect in the record or proceedings, unless it appears to the </w:t>
      </w:r>
      <w:r w:rsidR="00961486" w:rsidRPr="002426AF">
        <w:t>c</w:t>
      </w:r>
      <w:r w:rsidR="00912A98" w:rsidRPr="002426AF">
        <w:t>ourt of appeal that a failure of justice has in fact resulted from the irregularity</w:t>
      </w:r>
      <w:r w:rsidR="00B266E6" w:rsidRPr="002426AF">
        <w:t>”</w:t>
      </w:r>
      <w:r w:rsidR="00912A98" w:rsidRPr="002426AF">
        <w:t>.</w:t>
      </w:r>
      <w:r w:rsidR="00066BA4" w:rsidRPr="002426AF">
        <w:t xml:space="preserve">  A failure of justice has in fact occurred when the irregularity affect</w:t>
      </w:r>
      <w:r w:rsidR="00A01662">
        <w:t>s</w:t>
      </w:r>
      <w:r w:rsidR="00066BA4" w:rsidRPr="002426AF">
        <w:t xml:space="preserve"> the outcome.</w:t>
      </w:r>
      <w:r w:rsidR="00912A98" w:rsidRPr="002426AF">
        <w:rPr>
          <w:rStyle w:val="FootnoteReference"/>
        </w:rPr>
        <w:footnoteReference w:id="96"/>
      </w:r>
    </w:p>
    <w:p w:rsidR="00D30E2C" w:rsidRPr="002426AF" w:rsidRDefault="00D30E2C" w:rsidP="00D30E2C">
      <w:pPr>
        <w:pStyle w:val="JUDGMENTCONTINUED"/>
      </w:pPr>
    </w:p>
    <w:p w:rsidR="0074715B" w:rsidRPr="002426AF" w:rsidRDefault="009D40F0" w:rsidP="0074715B">
      <w:pPr>
        <w:pStyle w:val="JUDGMENTNUMBERED"/>
      </w:pPr>
      <w:r w:rsidRPr="002426AF">
        <w:lastRenderedPageBreak/>
        <w:t>Did the failure to notify Mr Okah of his right to consular access result in</w:t>
      </w:r>
      <w:r w:rsidR="00E76FC4" w:rsidRPr="002426AF">
        <w:t xml:space="preserve"> a f</w:t>
      </w:r>
      <w:r w:rsidR="00DA2399" w:rsidRPr="002426AF">
        <w:t>ailure of justice?</w:t>
      </w:r>
      <w:r w:rsidRPr="002426AF">
        <w:t xml:space="preserve">  The answer is </w:t>
      </w:r>
      <w:r w:rsidR="00A01F78">
        <w:t>No</w:t>
      </w:r>
      <w:r w:rsidRPr="002426AF">
        <w:t>.</w:t>
      </w:r>
    </w:p>
    <w:p w:rsidR="00D122F5" w:rsidRPr="002426AF" w:rsidRDefault="00D122F5" w:rsidP="008C0E33">
      <w:pPr>
        <w:pStyle w:val="JUDGMENTCONTINUED"/>
      </w:pPr>
    </w:p>
    <w:p w:rsidR="0074715B" w:rsidRPr="002426AF" w:rsidRDefault="0074715B" w:rsidP="0074715B">
      <w:pPr>
        <w:pStyle w:val="JUDGMENTNUMBERED"/>
      </w:pPr>
      <w:r w:rsidRPr="002426AF">
        <w:t xml:space="preserve">As the High Court noted, Mr Okah’s </w:t>
      </w:r>
      <w:r w:rsidR="00E76FC4" w:rsidRPr="002426AF">
        <w:t xml:space="preserve">own </w:t>
      </w:r>
      <w:r w:rsidRPr="002426AF">
        <w:t>complaint was not that the omission vitiated the entire trial</w:t>
      </w:r>
      <w:r w:rsidR="00B42173" w:rsidRPr="002426AF">
        <w:t>; h</w:t>
      </w:r>
      <w:r w:rsidRPr="002426AF">
        <w:t xml:space="preserve">is complaint was </w:t>
      </w:r>
      <w:r w:rsidR="00E76FC4" w:rsidRPr="002426AF">
        <w:t xml:space="preserve">in fact </w:t>
      </w:r>
      <w:r w:rsidRPr="002426AF">
        <w:t xml:space="preserve">much narrower and more specific.  It sprang from the emollient evidence a Nigerian official gave during the trial.  </w:t>
      </w:r>
      <w:r w:rsidR="00180F5E" w:rsidRPr="002426AF">
        <w:t>The</w:t>
      </w:r>
      <w:r w:rsidR="00910D35" w:rsidRPr="002426AF">
        <w:t xml:space="preserve"> official </w:t>
      </w:r>
      <w:r w:rsidRPr="002426AF">
        <w:t>was Mr</w:t>
      </w:r>
      <w:r w:rsidR="0090618F" w:rsidRPr="002426AF">
        <w:t> </w:t>
      </w:r>
      <w:r w:rsidRPr="002426AF">
        <w:t>Gods</w:t>
      </w:r>
      <w:r w:rsidR="00B266E6" w:rsidRPr="002426AF">
        <w:t>d</w:t>
      </w:r>
      <w:r w:rsidRPr="002426AF">
        <w:t>ay Peter Orubebe, Minister of Niger Delta Affairs.  He testified that, had Mr</w:t>
      </w:r>
      <w:r w:rsidR="0090618F" w:rsidRPr="002426AF">
        <w:t> </w:t>
      </w:r>
      <w:r w:rsidRPr="002426AF">
        <w:t xml:space="preserve">Okah approached the authorities, “a different </w:t>
      </w:r>
      <w:r w:rsidR="009572C8" w:rsidRPr="002426AF">
        <w:t>solution</w:t>
      </w:r>
      <w:r w:rsidRPr="002426AF">
        <w:t xml:space="preserve"> might have been arrived at”</w:t>
      </w:r>
      <w:r w:rsidR="00910D35" w:rsidRPr="002426AF">
        <w:t>.</w:t>
      </w:r>
      <w:r w:rsidRPr="002426AF">
        <w:rPr>
          <w:rStyle w:val="FootnoteReference"/>
        </w:rPr>
        <w:footnoteReference w:id="97"/>
      </w:r>
      <w:r w:rsidR="00D122F5" w:rsidRPr="002426AF">
        <w:t xml:space="preserve">  Mr Okah’s complaint seems to be directed</w:t>
      </w:r>
      <w:r w:rsidR="00B82DE6">
        <w:t>, belatedly,</w:t>
      </w:r>
      <w:r w:rsidR="00D122F5" w:rsidRPr="002426AF">
        <w:t xml:space="preserve"> at </w:t>
      </w:r>
      <w:r w:rsidR="00B82DE6">
        <w:t xml:space="preserve">now </w:t>
      </w:r>
      <w:r w:rsidR="005F557A" w:rsidRPr="002426AF">
        <w:t>establishing</w:t>
      </w:r>
      <w:r w:rsidR="00D122F5" w:rsidRPr="002426AF">
        <w:t xml:space="preserve"> “a different </w:t>
      </w:r>
      <w:r w:rsidR="009572C8" w:rsidRPr="002426AF">
        <w:t>solution</w:t>
      </w:r>
      <w:r w:rsidR="00D122F5" w:rsidRPr="002426AF">
        <w:t>”.</w:t>
      </w:r>
    </w:p>
    <w:p w:rsidR="0074715B" w:rsidRPr="002426AF" w:rsidRDefault="0074715B" w:rsidP="0074715B">
      <w:pPr>
        <w:pStyle w:val="JUDGMENTCONTINUED"/>
      </w:pPr>
    </w:p>
    <w:p w:rsidR="0074715B" w:rsidRPr="002426AF" w:rsidRDefault="00D122F5" w:rsidP="0074715B">
      <w:pPr>
        <w:pStyle w:val="JUDGMENTNUMBERED"/>
      </w:pPr>
      <w:r w:rsidRPr="002426AF">
        <w:t>But this</w:t>
      </w:r>
      <w:r w:rsidR="0014765B" w:rsidRPr="002426AF">
        <w:t>, perhaps poignantly,</w:t>
      </w:r>
      <w:r w:rsidRPr="002426AF">
        <w:t xml:space="preserve"> </w:t>
      </w:r>
      <w:r w:rsidR="00B82DE6">
        <w:t xml:space="preserve">is </w:t>
      </w:r>
      <w:r w:rsidRPr="002426AF">
        <w:t xml:space="preserve">to clutch at straws.  </w:t>
      </w:r>
      <w:r w:rsidR="000C0652" w:rsidRPr="002426AF">
        <w:t xml:space="preserve">The bombings took place, and </w:t>
      </w:r>
      <w:r w:rsidR="00CB090A" w:rsidRPr="002426AF">
        <w:t xml:space="preserve">terrible </w:t>
      </w:r>
      <w:r w:rsidR="000C0652" w:rsidRPr="002426AF">
        <w:t xml:space="preserve">carnage resulted.  The trial and this appeal are the result.  No denial of consular access can change what happened, and Mr Orubebe’s conciliatory statement </w:t>
      </w:r>
      <w:r w:rsidR="000764A2" w:rsidRPr="002426AF">
        <w:t xml:space="preserve">cannot ameliorate </w:t>
      </w:r>
      <w:r w:rsidR="000C0652" w:rsidRPr="002426AF">
        <w:t>Mr Okah’s responsibility for the carnage he caused</w:t>
      </w:r>
      <w:r w:rsidR="0074715B" w:rsidRPr="002426AF">
        <w:t>.</w:t>
      </w:r>
    </w:p>
    <w:p w:rsidR="0074715B" w:rsidRPr="002426AF" w:rsidRDefault="0074715B" w:rsidP="0074715B">
      <w:pPr>
        <w:pStyle w:val="JUDGMENTCONTINUED"/>
      </w:pPr>
    </w:p>
    <w:p w:rsidR="00D808B5" w:rsidRPr="00442548" w:rsidRDefault="000C0652" w:rsidP="00D808B5">
      <w:pPr>
        <w:pStyle w:val="JUDGMENTNUMBERED"/>
      </w:pPr>
      <w:r w:rsidRPr="002426AF">
        <w:t xml:space="preserve">There is an even more practical point.  The </w:t>
      </w:r>
      <w:r w:rsidR="00666F71" w:rsidRPr="002426AF">
        <w:t xml:space="preserve">entitlements </w:t>
      </w:r>
      <w:r w:rsidR="0074715B" w:rsidRPr="002426AF">
        <w:t>that would have accrued to Mr</w:t>
      </w:r>
      <w:r w:rsidR="0074715B" w:rsidRPr="00442548">
        <w:t xml:space="preserve"> Okah </w:t>
      </w:r>
      <w:r w:rsidR="00CA500E" w:rsidRPr="00442548">
        <w:t xml:space="preserve">had he been </w:t>
      </w:r>
      <w:r w:rsidR="00E95CBB" w:rsidRPr="00442548">
        <w:t>informed</w:t>
      </w:r>
      <w:r w:rsidR="007651E0" w:rsidRPr="00442548">
        <w:t xml:space="preserve"> of</w:t>
      </w:r>
      <w:r w:rsidR="00666F71" w:rsidRPr="00442548">
        <w:t xml:space="preserve"> </w:t>
      </w:r>
      <w:r w:rsidR="00CA500E" w:rsidRPr="00442548">
        <w:t xml:space="preserve">his </w:t>
      </w:r>
      <w:r w:rsidR="00932F52" w:rsidRPr="00442548">
        <w:t>A</w:t>
      </w:r>
      <w:r w:rsidR="0074715B" w:rsidRPr="00442548">
        <w:t xml:space="preserve">rticle 7(3) </w:t>
      </w:r>
      <w:r w:rsidR="00CA500E" w:rsidRPr="00442548">
        <w:t xml:space="preserve">rights under </w:t>
      </w:r>
      <w:r w:rsidR="0074715B" w:rsidRPr="00442548">
        <w:t xml:space="preserve">the </w:t>
      </w:r>
      <w:r w:rsidR="00932F52" w:rsidRPr="00442548">
        <w:t xml:space="preserve">Terrorist Bombings </w:t>
      </w:r>
      <w:r w:rsidR="0074715B" w:rsidRPr="00442548">
        <w:t>Convention were</w:t>
      </w:r>
      <w:r w:rsidR="00BC574D" w:rsidRPr="00442548">
        <w:t>,</w:t>
      </w:r>
      <w:r w:rsidR="0074715B" w:rsidRPr="00442548">
        <w:t xml:space="preserve"> </w:t>
      </w:r>
      <w:r w:rsidR="00CA500E" w:rsidRPr="00442548">
        <w:t>in any event</w:t>
      </w:r>
      <w:r w:rsidR="00B36B9A" w:rsidRPr="00442548">
        <w:t>,</w:t>
      </w:r>
      <w:r w:rsidR="00932F52" w:rsidRPr="00442548">
        <w:t xml:space="preserve"> </w:t>
      </w:r>
      <w:r w:rsidR="00CA500E" w:rsidRPr="00442548">
        <w:t>in practical</w:t>
      </w:r>
      <w:r w:rsidR="00B36B9A" w:rsidRPr="00442548">
        <w:t xml:space="preserve"> terms</w:t>
      </w:r>
      <w:r w:rsidR="00932F52" w:rsidRPr="00442548">
        <w:t>,</w:t>
      </w:r>
      <w:r w:rsidR="00CA500E" w:rsidRPr="00442548">
        <w:t xml:space="preserve"> </w:t>
      </w:r>
      <w:r w:rsidR="0074715B" w:rsidRPr="00442548">
        <w:t>bestowed upon him</w:t>
      </w:r>
      <w:r w:rsidR="00CA500E" w:rsidRPr="00442548">
        <w:t xml:space="preserve"> at the trial</w:t>
      </w:r>
      <w:r w:rsidR="0074715B" w:rsidRPr="00442548">
        <w:t xml:space="preserve">.  A </w:t>
      </w:r>
      <w:r w:rsidR="00CA500E" w:rsidRPr="00442548">
        <w:t xml:space="preserve">Nigerian </w:t>
      </w:r>
      <w:r w:rsidR="0074715B" w:rsidRPr="00442548">
        <w:t xml:space="preserve">consular representative was present in court for most of the trial. </w:t>
      </w:r>
      <w:r w:rsidR="001E6F3D" w:rsidRPr="00442548">
        <w:t xml:space="preserve"> </w:t>
      </w:r>
      <w:r w:rsidR="0074715B" w:rsidRPr="00442548">
        <w:t>This person could readily have been approached to afford Mr Okah any home-country assistance he may have needed or sought.</w:t>
      </w:r>
      <w:r w:rsidR="0074715B" w:rsidRPr="00442548">
        <w:rPr>
          <w:rStyle w:val="FootnoteReference"/>
        </w:rPr>
        <w:footnoteReference w:id="98"/>
      </w:r>
      <w:r w:rsidR="0074715B" w:rsidRPr="00442548">
        <w:t xml:space="preserve"> </w:t>
      </w:r>
      <w:r w:rsidR="00CA500E" w:rsidRPr="00442548">
        <w:t xml:space="preserve"> </w:t>
      </w:r>
      <w:r w:rsidR="00D808B5" w:rsidRPr="00442548">
        <w:t>In the vivid language of the trial judge, had Mr Okah at any stage wanted consular assistance, “then he needed merely to have raised his hand and stretched out his arm towards the consular representative (a very well dressed lady)</w:t>
      </w:r>
      <w:r w:rsidR="009A0A12" w:rsidRPr="00442548">
        <w:rPr>
          <w:rStyle w:val="FootnoteReference"/>
        </w:rPr>
        <w:footnoteReference w:id="99"/>
      </w:r>
      <w:r w:rsidR="00D808B5" w:rsidRPr="00442548">
        <w:t xml:space="preserve"> who sat in court, just a few rows behind him”.</w:t>
      </w:r>
      <w:r w:rsidR="00D808B5" w:rsidRPr="00442548">
        <w:rPr>
          <w:rStyle w:val="FootnoteReference"/>
        </w:rPr>
        <w:footnoteReference w:id="100"/>
      </w:r>
      <w:r w:rsidR="00681111">
        <w:t xml:space="preserve">  Whether </w:t>
      </w:r>
      <w:r w:rsidR="00AD0414">
        <w:t xml:space="preserve">or not </w:t>
      </w:r>
      <w:r w:rsidR="00681111">
        <w:t>Mr Okah knew of his right, he was in substance not prejudiced in any way.</w:t>
      </w:r>
    </w:p>
    <w:p w:rsidR="00D808B5" w:rsidRPr="00442548" w:rsidRDefault="00D808B5" w:rsidP="008C0E33">
      <w:pPr>
        <w:pStyle w:val="JUDGMENTCONTINUED"/>
      </w:pPr>
    </w:p>
    <w:p w:rsidR="0074715B" w:rsidRPr="002D078A" w:rsidRDefault="00D808B5" w:rsidP="0074715B">
      <w:pPr>
        <w:pStyle w:val="JUDGMENTNUMBERED"/>
      </w:pPr>
      <w:r w:rsidRPr="00442548">
        <w:t xml:space="preserve">To revert to Mr Orubebe, he </w:t>
      </w:r>
      <w:r w:rsidR="0074715B" w:rsidRPr="00442548">
        <w:t xml:space="preserve">was well-acquainted with Mr Okah, whom he said he regarded as a “friend”.  </w:t>
      </w:r>
      <w:r w:rsidRPr="00442548">
        <w:t>For this reason, the trial court</w:t>
      </w:r>
      <w:r w:rsidR="00B266E6">
        <w:t xml:space="preserve"> was</w:t>
      </w:r>
      <w:r w:rsidRPr="002D078A">
        <w:t xml:space="preserve"> right</w:t>
      </w:r>
      <w:r w:rsidR="00B266E6">
        <w:t xml:space="preserve"> to</w:t>
      </w:r>
      <w:r w:rsidRPr="002D078A">
        <w:t xml:space="preserve"> conclude that </w:t>
      </w:r>
      <w:r w:rsidR="0074715B" w:rsidRPr="002D078A">
        <w:t xml:space="preserve">“failure to have afforded </w:t>
      </w:r>
      <w:r w:rsidR="00544F39">
        <w:t xml:space="preserve">the accused </w:t>
      </w:r>
      <w:r w:rsidR="0074715B" w:rsidRPr="002D078A">
        <w:t>the necessary warning in terms of Article 7 did not render this trial unfair”</w:t>
      </w:r>
      <w:r w:rsidR="002B22DF">
        <w:t>.</w:t>
      </w:r>
      <w:r w:rsidR="0074715B" w:rsidRPr="002D078A">
        <w:rPr>
          <w:rStyle w:val="FootnoteReference"/>
        </w:rPr>
        <w:footnoteReference w:id="101"/>
      </w:r>
    </w:p>
    <w:p w:rsidR="0074715B" w:rsidRPr="002D078A" w:rsidRDefault="0074715B" w:rsidP="0074715B">
      <w:pPr>
        <w:pStyle w:val="JUDGMENTCONTINUED"/>
      </w:pPr>
    </w:p>
    <w:p w:rsidR="0074715B" w:rsidRPr="002D078A" w:rsidRDefault="0074715B" w:rsidP="0074715B">
      <w:pPr>
        <w:pStyle w:val="JUDGMENTNUMBERED"/>
      </w:pPr>
      <w:r w:rsidRPr="002D078A">
        <w:t xml:space="preserve">The blunt reality is that it was Mr Okah himself who did not approach the Nigerian consulate – and this was </w:t>
      </w:r>
      <w:r w:rsidR="00CB2751">
        <w:t xml:space="preserve">presumably </w:t>
      </w:r>
      <w:r w:rsidRPr="002D078A">
        <w:t xml:space="preserve">because he was </w:t>
      </w:r>
      <w:r w:rsidRPr="008C0E33">
        <w:rPr>
          <w:i/>
        </w:rPr>
        <w:t>persona non grata</w:t>
      </w:r>
      <w:r w:rsidRPr="002D078A">
        <w:t xml:space="preserve"> in Nigeria.</w:t>
      </w:r>
      <w:r w:rsidR="000372BA" w:rsidRPr="002D078A">
        <w:rPr>
          <w:rStyle w:val="FootnoteReference"/>
        </w:rPr>
        <w:footnoteReference w:id="102"/>
      </w:r>
      <w:r w:rsidRPr="002D078A">
        <w:t xml:space="preserve">  </w:t>
      </w:r>
      <w:r w:rsidR="0078776E" w:rsidRPr="002D078A">
        <w:t>More grimly</w:t>
      </w:r>
      <w:r w:rsidRPr="002D078A">
        <w:t>, he was not extradited to Nigeria because, had he stood trial there, he</w:t>
      </w:r>
      <w:r w:rsidR="000E0B3D">
        <w:t xml:space="preserve"> would have</w:t>
      </w:r>
      <w:r w:rsidRPr="002D078A">
        <w:t xml:space="preserve"> faced the death penalty.</w:t>
      </w:r>
    </w:p>
    <w:p w:rsidR="0074715B" w:rsidRPr="002D078A" w:rsidRDefault="0074715B" w:rsidP="001704EF">
      <w:pPr>
        <w:pStyle w:val="JUDGMENTCONTINUED"/>
      </w:pPr>
    </w:p>
    <w:p w:rsidR="0074715B" w:rsidRPr="002D078A" w:rsidRDefault="0078776E" w:rsidP="0074715B">
      <w:pPr>
        <w:pStyle w:val="JUDGMENTNUMBERED"/>
      </w:pPr>
      <w:r w:rsidRPr="002D078A">
        <w:t xml:space="preserve">The clincher is this.  The </w:t>
      </w:r>
      <w:r w:rsidR="0074715B" w:rsidRPr="002D078A">
        <w:t>trial court found that Mr Okah did in fact receive some assistance from Nigerian authorities.</w:t>
      </w:r>
      <w:r w:rsidR="0074715B" w:rsidRPr="002D078A">
        <w:rPr>
          <w:rStyle w:val="FootnoteReference"/>
        </w:rPr>
        <w:footnoteReference w:id="103"/>
      </w:r>
      <w:r w:rsidR="0074715B" w:rsidRPr="002D078A">
        <w:t xml:space="preserve"> </w:t>
      </w:r>
      <w:r w:rsidR="004B69F1">
        <w:t xml:space="preserve"> </w:t>
      </w:r>
      <w:r w:rsidR="0074715B" w:rsidRPr="002D078A">
        <w:t>These findings of fact were not challenged before us.  They drove counsel for Mr Okah to</w:t>
      </w:r>
      <w:r w:rsidRPr="002D078A">
        <w:t xml:space="preserve"> a more speculative contention.  This was</w:t>
      </w:r>
      <w:r w:rsidR="0074715B" w:rsidRPr="002D078A">
        <w:t xml:space="preserve"> that the warning was required to enable him to explore unspecified “alternatives”.  Th</w:t>
      </w:r>
      <w:r w:rsidR="00B84C60">
        <w:t xml:space="preserve">at, then, </w:t>
      </w:r>
      <w:r w:rsidR="0074715B" w:rsidRPr="002D078A">
        <w:t>is the high-water mark of Mr Okah’s case</w:t>
      </w:r>
      <w:r w:rsidR="00B84C60">
        <w:t xml:space="preserve"> on this point.  And it</w:t>
      </w:r>
      <w:r w:rsidR="0074715B" w:rsidRPr="002D078A">
        <w:t xml:space="preserve"> is wholly unpersuasive.  It also has no bearing on the South African courts’ jurisdiction to hear this matter, or </w:t>
      </w:r>
      <w:r w:rsidR="005F50EC" w:rsidRPr="002D078A">
        <w:t xml:space="preserve">the trial court’s </w:t>
      </w:r>
      <w:r w:rsidR="0074715B" w:rsidRPr="002D078A">
        <w:t>obligation to convict where a terrorism offence</w:t>
      </w:r>
      <w:r w:rsidR="005F50EC" w:rsidRPr="002D078A">
        <w:t xml:space="preserve"> is proven</w:t>
      </w:r>
      <w:r w:rsidR="0074715B" w:rsidRPr="002D078A">
        <w:t>.</w:t>
      </w:r>
    </w:p>
    <w:p w:rsidR="0074715B" w:rsidRDefault="0074715B" w:rsidP="0074715B">
      <w:pPr>
        <w:pStyle w:val="JUDGMENTCONTINUED"/>
      </w:pPr>
    </w:p>
    <w:p w:rsidR="0074715B" w:rsidRPr="00957E16" w:rsidRDefault="004B52D1" w:rsidP="0074715B">
      <w:pPr>
        <w:pStyle w:val="JUDGMENTNUMBERED"/>
      </w:pPr>
      <w:r w:rsidRPr="00957E16">
        <w:t>Hence</w:t>
      </w:r>
      <w:r w:rsidR="00BC574D" w:rsidRPr="00957E16">
        <w:t>,</w:t>
      </w:r>
      <w:r w:rsidR="004B69F1" w:rsidRPr="00957E16">
        <w:t xml:space="preserve"> </w:t>
      </w:r>
      <w:r w:rsidR="00012605" w:rsidRPr="00957E16">
        <w:t>although the special entry on Mr Okah’s</w:t>
      </w:r>
      <w:r w:rsidR="00957E16">
        <w:t xml:space="preserve"> right</w:t>
      </w:r>
      <w:r w:rsidR="00364C40">
        <w:t xml:space="preserve"> to be informed of his right to</w:t>
      </w:r>
      <w:r w:rsidR="00957E16">
        <w:t xml:space="preserve"> consular access is no</w:t>
      </w:r>
      <w:r w:rsidR="00012605" w:rsidRPr="00957E16">
        <w:t>w</w:t>
      </w:r>
      <w:r w:rsidR="00957E16">
        <w:t xml:space="preserve"> </w:t>
      </w:r>
      <w:r w:rsidR="00012605" w:rsidRPr="00957E16">
        <w:t>made, his appeal to overturn his conviction on the basis of that special entry fails under section 322(1) of the Criminal Procedure Act.  T</w:t>
      </w:r>
      <w:r w:rsidR="0074715B" w:rsidRPr="00957E16">
        <w:t>he application to admit the two</w:t>
      </w:r>
      <w:r w:rsidR="00BC574D" w:rsidRPr="00957E16">
        <w:t xml:space="preserve"> further</w:t>
      </w:r>
      <w:r w:rsidR="0074715B" w:rsidRPr="00957E16">
        <w:t xml:space="preserve"> special entries is</w:t>
      </w:r>
      <w:r w:rsidR="00BC574D" w:rsidRPr="00957E16">
        <w:t xml:space="preserve"> </w:t>
      </w:r>
      <w:r w:rsidR="004B69F1" w:rsidRPr="00957E16">
        <w:t>dismissed</w:t>
      </w:r>
      <w:r w:rsidR="0074715B" w:rsidRPr="00957E16">
        <w:t>.</w:t>
      </w:r>
    </w:p>
    <w:p w:rsidR="005308CE" w:rsidRPr="00957E16" w:rsidRDefault="005308CE" w:rsidP="005308CE">
      <w:pPr>
        <w:pStyle w:val="JUDGMENTCONTINUED"/>
      </w:pPr>
    </w:p>
    <w:p w:rsidR="00CA2BF6" w:rsidRPr="00957E16" w:rsidRDefault="005308CE" w:rsidP="00957E16">
      <w:pPr>
        <w:pStyle w:val="JUDGMENTNUMBERED"/>
      </w:pPr>
      <w:r w:rsidRPr="00957E16">
        <w:t>The State’s application fo</w:t>
      </w:r>
      <w:r w:rsidR="00DD5EBA" w:rsidRPr="00957E16">
        <w:t xml:space="preserve">r leave to appeal must succeed.  </w:t>
      </w:r>
      <w:r w:rsidRPr="00957E16">
        <w:t xml:space="preserve">The convictions overturned in the </w:t>
      </w:r>
      <w:r w:rsidR="00DE74F5" w:rsidRPr="00957E16">
        <w:t xml:space="preserve">Supreme Court of Appeal </w:t>
      </w:r>
      <w:r w:rsidRPr="00957E16">
        <w:t xml:space="preserve">must be reinstated together with the </w:t>
      </w:r>
      <w:r w:rsidRPr="00957E16">
        <w:lastRenderedPageBreak/>
        <w:t>sentence</w:t>
      </w:r>
      <w:r w:rsidR="00666F71" w:rsidRPr="00957E16">
        <w:t>s</w:t>
      </w:r>
      <w:r w:rsidRPr="00957E16">
        <w:t xml:space="preserve"> the High Court imposed.</w:t>
      </w:r>
      <w:r w:rsidR="00DD5EBA" w:rsidRPr="00957E16">
        <w:t xml:space="preserve">  </w:t>
      </w:r>
      <w:r w:rsidR="003F4C6C">
        <w:t xml:space="preserve">Both of </w:t>
      </w:r>
      <w:r w:rsidR="00597857" w:rsidRPr="00957E16">
        <w:t>Mr Okah’s application</w:t>
      </w:r>
      <w:r w:rsidR="003F4C6C">
        <w:t>s</w:t>
      </w:r>
      <w:r w:rsidR="00597857" w:rsidRPr="00957E16">
        <w:t xml:space="preserve"> for leave to appeal must be dismissed</w:t>
      </w:r>
      <w:r w:rsidR="00597857">
        <w:t>, b</w:t>
      </w:r>
      <w:r w:rsidR="006E7ECB" w:rsidRPr="00957E16">
        <w:t>arring the special entry on consular access, in which the appeal</w:t>
      </w:r>
      <w:r w:rsidR="00364C40">
        <w:t xml:space="preserve"> for the special entry to be made</w:t>
      </w:r>
      <w:r w:rsidR="006E7ECB" w:rsidRPr="00957E16">
        <w:t xml:space="preserve"> </w:t>
      </w:r>
      <w:r w:rsidR="0012640A" w:rsidRPr="00957E16">
        <w:t>succeeds</w:t>
      </w:r>
      <w:r w:rsidR="00597857">
        <w:t>.</w:t>
      </w:r>
      <w:r w:rsidR="0012640A" w:rsidRPr="00957E16">
        <w:t xml:space="preserve">  The appeal </w:t>
      </w:r>
      <w:r w:rsidR="00597857">
        <w:t xml:space="preserve">against his entire conviction </w:t>
      </w:r>
      <w:r w:rsidR="0012640A" w:rsidRPr="00957E16">
        <w:t>on the basis of the special entry that has been made in this Court is dismissed.</w:t>
      </w:r>
    </w:p>
    <w:p w:rsidR="00860C4E" w:rsidRPr="00957E16" w:rsidRDefault="00860C4E" w:rsidP="000C38CF">
      <w:pPr>
        <w:pStyle w:val="JUDGMENTCONTINUED"/>
      </w:pPr>
    </w:p>
    <w:p w:rsidR="00860C4E" w:rsidRPr="00957E16" w:rsidRDefault="00860C4E" w:rsidP="00937742">
      <w:pPr>
        <w:pStyle w:val="HEADING"/>
      </w:pPr>
      <w:r w:rsidRPr="00957E16">
        <w:t>Order</w:t>
      </w:r>
    </w:p>
    <w:p w:rsidR="00860C4E" w:rsidRPr="00957E16" w:rsidRDefault="00860C4E" w:rsidP="000C38CF">
      <w:pPr>
        <w:pStyle w:val="JUDGMENTNUMBERED"/>
      </w:pPr>
      <w:r w:rsidRPr="00957E16">
        <w:t>The following order is made:</w:t>
      </w:r>
    </w:p>
    <w:p w:rsidR="00CA5F1B" w:rsidRDefault="00CA5F1B" w:rsidP="008C0E33">
      <w:pPr>
        <w:pStyle w:val="ORDER"/>
        <w:numPr>
          <w:ilvl w:val="0"/>
          <w:numId w:val="29"/>
        </w:numPr>
      </w:pPr>
      <w:r w:rsidRPr="00957E16">
        <w:t>The</w:t>
      </w:r>
      <w:r w:rsidRPr="002D078A">
        <w:t xml:space="preserve"> </w:t>
      </w:r>
      <w:r>
        <w:t xml:space="preserve">application for </w:t>
      </w:r>
      <w:r w:rsidRPr="002D078A">
        <w:t>leave to appeal</w:t>
      </w:r>
      <w:r>
        <w:t xml:space="preserve"> by the State is granted</w:t>
      </w:r>
      <w:r w:rsidRPr="002D078A">
        <w:t>.</w:t>
      </w:r>
    </w:p>
    <w:p w:rsidR="00CA5F1B" w:rsidRPr="002D078A" w:rsidRDefault="00CA5F1B" w:rsidP="008C0E33">
      <w:pPr>
        <w:pStyle w:val="ORDER"/>
        <w:numPr>
          <w:ilvl w:val="0"/>
          <w:numId w:val="29"/>
        </w:numPr>
      </w:pPr>
      <w:r>
        <w:t>The appeal by the State is upheld.</w:t>
      </w:r>
    </w:p>
    <w:p w:rsidR="00CA5F1B" w:rsidRPr="002D078A" w:rsidRDefault="00CA5F1B" w:rsidP="008C0E33">
      <w:pPr>
        <w:pStyle w:val="ORDER"/>
        <w:numPr>
          <w:ilvl w:val="0"/>
          <w:numId w:val="29"/>
        </w:numPr>
      </w:pPr>
      <w:r w:rsidRPr="002D078A">
        <w:t xml:space="preserve">The order of the Supreme Court of Appeal upholding Mr Okah’s appeal is set aside and </w:t>
      </w:r>
      <w:r>
        <w:t>is substituted with</w:t>
      </w:r>
      <w:r w:rsidRPr="002D078A">
        <w:t>:</w:t>
      </w:r>
    </w:p>
    <w:p w:rsidR="00CA5F1B" w:rsidRPr="002D078A" w:rsidRDefault="00CA5F1B" w:rsidP="00CA5F1B">
      <w:pPr>
        <w:pStyle w:val="ORDER"/>
        <w:ind w:left="2160" w:firstLine="0"/>
      </w:pPr>
      <w:r w:rsidRPr="002D078A">
        <w:t>“The appeal is dismissed</w:t>
      </w:r>
      <w:r>
        <w:t>.</w:t>
      </w:r>
      <w:r w:rsidRPr="002D078A">
        <w:t>”</w:t>
      </w:r>
    </w:p>
    <w:p w:rsidR="00CA5F1B" w:rsidRPr="000E1D74" w:rsidRDefault="00CA5F1B" w:rsidP="00CA5F1B">
      <w:pPr>
        <w:pStyle w:val="ORDER"/>
        <w:numPr>
          <w:ilvl w:val="0"/>
          <w:numId w:val="29"/>
        </w:numPr>
      </w:pPr>
      <w:r>
        <w:t xml:space="preserve">Mr Okah’s application for leave to appeal regarding exemption from prosecution under section 1(4) of </w:t>
      </w:r>
      <w:r w:rsidRPr="002D078A">
        <w:rPr>
          <w:color w:val="000000" w:themeColor="text1"/>
          <w:szCs w:val="26"/>
        </w:rPr>
        <w:t>the Protection of Constitutional Democracy against Terrorist and Related Activities Act</w:t>
      </w:r>
      <w:r>
        <w:rPr>
          <w:color w:val="000000" w:themeColor="text1"/>
          <w:szCs w:val="26"/>
        </w:rPr>
        <w:t xml:space="preserve"> is dismissed.</w:t>
      </w:r>
    </w:p>
    <w:p w:rsidR="00E26647" w:rsidRDefault="00CA5F1B" w:rsidP="008C0E33">
      <w:pPr>
        <w:pStyle w:val="ORDER"/>
        <w:numPr>
          <w:ilvl w:val="0"/>
          <w:numId w:val="29"/>
        </w:numPr>
      </w:pPr>
      <w:r w:rsidRPr="002D078A">
        <w:t xml:space="preserve">The </w:t>
      </w:r>
      <w:r>
        <w:t xml:space="preserve">portion of Mr Okah’s </w:t>
      </w:r>
      <w:r w:rsidRPr="002D078A">
        <w:t xml:space="preserve">application for leave to appeal regarding the special entry on the </w:t>
      </w:r>
      <w:r>
        <w:t xml:space="preserve">High Court’s </w:t>
      </w:r>
      <w:r w:rsidRPr="002D078A">
        <w:t xml:space="preserve">failure to inform Mr Okah of his right </w:t>
      </w:r>
      <w:r w:rsidR="00043CF5">
        <w:t>to</w:t>
      </w:r>
      <w:r w:rsidRPr="002D078A">
        <w:t xml:space="preserve"> consular access under </w:t>
      </w:r>
      <w:r>
        <w:t>A</w:t>
      </w:r>
      <w:r w:rsidRPr="002D078A">
        <w:t>rticle</w:t>
      </w:r>
      <w:r>
        <w:t> </w:t>
      </w:r>
      <w:r w:rsidRPr="002D078A">
        <w:t xml:space="preserve">7(3) of the International Convention for the Suppression of Terrorist Bombings </w:t>
      </w:r>
      <w:r>
        <w:t>is granted</w:t>
      </w:r>
      <w:r w:rsidR="00EC6C84">
        <w:t xml:space="preserve"> </w:t>
      </w:r>
      <w:r w:rsidR="00E26647">
        <w:t>and the special entry is made.</w:t>
      </w:r>
    </w:p>
    <w:p w:rsidR="00CA5F1B" w:rsidRDefault="00E26647" w:rsidP="008C0E33">
      <w:pPr>
        <w:pStyle w:val="ORDER"/>
        <w:numPr>
          <w:ilvl w:val="0"/>
          <w:numId w:val="29"/>
        </w:numPr>
      </w:pPr>
      <w:r>
        <w:t>Mr Okah’s</w:t>
      </w:r>
      <w:r w:rsidR="00EC6C84">
        <w:t xml:space="preserve"> appeal </w:t>
      </w:r>
      <w:r w:rsidR="00597857">
        <w:t xml:space="preserve">against his entire conviction </w:t>
      </w:r>
      <w:r w:rsidR="00EC6C84">
        <w:t>on the basis of this special entry is dismissed.</w:t>
      </w:r>
    </w:p>
    <w:p w:rsidR="00CE5F9F" w:rsidRPr="002D078A" w:rsidRDefault="00DC5A6A" w:rsidP="000C38CF">
      <w:pPr>
        <w:pStyle w:val="ORDER"/>
        <w:numPr>
          <w:ilvl w:val="0"/>
          <w:numId w:val="29"/>
        </w:numPr>
      </w:pPr>
      <w:r>
        <w:t>The remaining portions of Mr Okah’s application for leave to appeal regarding the special entries are dismissed.</w:t>
      </w:r>
    </w:p>
    <w:p w:rsidR="00CE5F9F" w:rsidRPr="002D078A" w:rsidRDefault="00CE5F9F" w:rsidP="000C38CF">
      <w:pPr>
        <w:pStyle w:val="JUDGMENTCONTINUED"/>
        <w:sectPr w:rsidR="00CE5F9F" w:rsidRPr="002D078A" w:rsidSect="000F7521">
          <w:headerReference w:type="default" r:id="rId16"/>
          <w:type w:val="continuous"/>
          <w:pgSz w:w="11907" w:h="16839" w:code="9"/>
          <w:pgMar w:top="1440" w:right="1440" w:bottom="1440" w:left="1440" w:header="708" w:footer="708" w:gutter="0"/>
          <w:cols w:space="708"/>
          <w:titlePg/>
          <w:docGrid w:linePitch="360"/>
        </w:sectPr>
      </w:pPr>
    </w:p>
    <w:p w:rsidR="00236F9A" w:rsidRPr="002D078A" w:rsidRDefault="00236F9A" w:rsidP="00860C4E">
      <w:pPr>
        <w:sectPr w:rsidR="00236F9A" w:rsidRPr="002D078A" w:rsidSect="009559B5">
          <w:headerReference w:type="default" r:id="rId17"/>
          <w:footerReference w:type="default" r:id="rId18"/>
          <w:pgSz w:w="11907" w:h="16839" w:code="9"/>
          <w:pgMar w:top="1440" w:right="1440" w:bottom="1440" w:left="1440" w:header="708" w:footer="708" w:gutter="0"/>
          <w:pgNumType w:start="1"/>
          <w:cols w:space="708"/>
          <w:docGrid w:linePitch="360"/>
        </w:sectPr>
      </w:pPr>
    </w:p>
    <w:p w:rsidR="00CC158D" w:rsidRPr="00244563" w:rsidRDefault="00AB11B9" w:rsidP="00CC158D">
      <w:pPr>
        <w:pStyle w:val="COUNSELDETAILS"/>
      </w:pPr>
      <w:r>
        <w:lastRenderedPageBreak/>
        <w:t>For the Applicant</w:t>
      </w:r>
      <w:r w:rsidR="00244563" w:rsidRPr="00244563">
        <w:t xml:space="preserve"> in CCT 315/16</w:t>
      </w:r>
      <w:r w:rsidR="00860C4E" w:rsidRPr="00244563">
        <w:t>:</w:t>
      </w:r>
    </w:p>
    <w:p w:rsidR="00860C4E" w:rsidRPr="00244563" w:rsidRDefault="00860C4E" w:rsidP="00CC158D">
      <w:pPr>
        <w:pStyle w:val="COUNSELDETAILS"/>
      </w:pPr>
    </w:p>
    <w:p w:rsidR="00860C4E" w:rsidRPr="00244563" w:rsidRDefault="00860C4E" w:rsidP="00CC158D">
      <w:pPr>
        <w:pStyle w:val="COUNSELDETAILS"/>
      </w:pPr>
    </w:p>
    <w:p w:rsidR="00860C4E" w:rsidRPr="00244563" w:rsidRDefault="00C61D11" w:rsidP="00CC158D">
      <w:pPr>
        <w:pStyle w:val="COUNSELDETAILS"/>
      </w:pPr>
      <w:r w:rsidRPr="00244563">
        <w:t xml:space="preserve">For the </w:t>
      </w:r>
      <w:r w:rsidR="00244563" w:rsidRPr="00244563">
        <w:t>Respondent</w:t>
      </w:r>
      <w:r w:rsidRPr="00244563">
        <w:t xml:space="preserve"> in CCT 193/17</w:t>
      </w:r>
      <w:r w:rsidR="006B1892" w:rsidRPr="00244563">
        <w:t>:</w:t>
      </w:r>
    </w:p>
    <w:p w:rsidR="00860C4E" w:rsidRPr="00244563" w:rsidRDefault="00860C4E" w:rsidP="00CC158D">
      <w:pPr>
        <w:pStyle w:val="COUNSELDETAILS"/>
      </w:pPr>
    </w:p>
    <w:p w:rsidR="000A37B9" w:rsidRPr="00244563" w:rsidRDefault="000A37B9" w:rsidP="00CC158D">
      <w:pPr>
        <w:pStyle w:val="COUNSELDETAILS"/>
      </w:pPr>
    </w:p>
    <w:p w:rsidR="00860C4E" w:rsidRPr="00244563" w:rsidRDefault="00860C4E" w:rsidP="00CC158D">
      <w:pPr>
        <w:pStyle w:val="COUNSELDETAILS"/>
      </w:pPr>
      <w:r w:rsidRPr="00244563">
        <w:t xml:space="preserve">For the </w:t>
      </w:r>
      <w:r w:rsidR="00244563" w:rsidRPr="00244563">
        <w:t>Respondent in CCT 315/16 and for the Applicant in CCT 193/17</w:t>
      </w:r>
      <w:r w:rsidR="000A37B9" w:rsidRPr="00244563">
        <w:t>:</w:t>
      </w:r>
    </w:p>
    <w:p w:rsidR="00860C4E" w:rsidRPr="00244563" w:rsidRDefault="00860C4E" w:rsidP="00CC158D">
      <w:pPr>
        <w:pStyle w:val="COUNSELDETAILS"/>
      </w:pPr>
    </w:p>
    <w:p w:rsidR="00860C4E" w:rsidRPr="00244563" w:rsidRDefault="00860C4E" w:rsidP="00CC158D">
      <w:pPr>
        <w:pStyle w:val="COUNSELDETAILS"/>
      </w:pPr>
    </w:p>
    <w:p w:rsidR="00860C4E" w:rsidRPr="00244563" w:rsidRDefault="00860C4E" w:rsidP="00CC158D">
      <w:pPr>
        <w:pStyle w:val="COUNSELDETAILS"/>
      </w:pPr>
      <w:r w:rsidRPr="00244563">
        <w:t xml:space="preserve">For the </w:t>
      </w:r>
      <w:r w:rsidR="000A37B9" w:rsidRPr="00244563">
        <w:t>First Amicus Curiae</w:t>
      </w:r>
      <w:r w:rsidRPr="00244563">
        <w:t>:</w:t>
      </w:r>
    </w:p>
    <w:p w:rsidR="00860C4E" w:rsidRPr="00244563" w:rsidRDefault="00860C4E" w:rsidP="00CC158D">
      <w:pPr>
        <w:pStyle w:val="COUNSELDETAILS"/>
      </w:pPr>
    </w:p>
    <w:p w:rsidR="00860C4E" w:rsidRPr="00244563" w:rsidRDefault="00860C4E" w:rsidP="00CC158D">
      <w:pPr>
        <w:pStyle w:val="COUNSELDETAILS"/>
      </w:pPr>
    </w:p>
    <w:p w:rsidR="00236F9A" w:rsidRPr="00244563" w:rsidRDefault="00860C4E" w:rsidP="00CC158D">
      <w:pPr>
        <w:pStyle w:val="COUNSELDETAILS"/>
      </w:pPr>
      <w:r w:rsidRPr="00244563">
        <w:t xml:space="preserve">For the </w:t>
      </w:r>
      <w:r w:rsidR="000A37B9" w:rsidRPr="00244563">
        <w:t xml:space="preserve">Second </w:t>
      </w:r>
      <w:r w:rsidRPr="00244563">
        <w:t>Amicus Curiae:</w:t>
      </w:r>
    </w:p>
    <w:p w:rsidR="00295C91" w:rsidRPr="00244563" w:rsidRDefault="00236F9A" w:rsidP="00CC158D">
      <w:pPr>
        <w:pStyle w:val="COUNSELDETAILS"/>
      </w:pPr>
      <w:r w:rsidRPr="00244563">
        <w:br w:type="column"/>
      </w:r>
      <w:r w:rsidR="00860C4E" w:rsidRPr="00244563">
        <w:lastRenderedPageBreak/>
        <w:t xml:space="preserve">W Trengove SC and </w:t>
      </w:r>
      <w:r w:rsidR="00C61D11" w:rsidRPr="00244563">
        <w:t>P</w:t>
      </w:r>
      <w:r w:rsidR="00860C4E" w:rsidRPr="00244563">
        <w:t xml:space="preserve"> </w:t>
      </w:r>
      <w:r w:rsidR="00C61D11" w:rsidRPr="00244563">
        <w:t>Khoza</w:t>
      </w:r>
      <w:r w:rsidR="00860C4E" w:rsidRPr="00244563">
        <w:t xml:space="preserve"> instructed by the </w:t>
      </w:r>
      <w:r w:rsidR="00C61D11" w:rsidRPr="00244563">
        <w:t>State Attorney</w:t>
      </w:r>
      <w:r w:rsidR="00860C4E" w:rsidRPr="00244563">
        <w:t>.</w:t>
      </w:r>
    </w:p>
    <w:p w:rsidR="00860C4E" w:rsidRPr="00244563" w:rsidRDefault="00860C4E" w:rsidP="00CC158D">
      <w:pPr>
        <w:pStyle w:val="COUNSELDETAILS"/>
      </w:pPr>
    </w:p>
    <w:p w:rsidR="00C61D11" w:rsidRPr="00244563" w:rsidRDefault="000A37B9" w:rsidP="00CC158D">
      <w:pPr>
        <w:pStyle w:val="COUNSELDETAILS"/>
      </w:pPr>
      <w:r w:rsidRPr="00244563">
        <w:t>R</w:t>
      </w:r>
      <w:r w:rsidR="00770F92" w:rsidRPr="00244563">
        <w:t xml:space="preserve"> </w:t>
      </w:r>
      <w:r w:rsidRPr="00244563">
        <w:t>C Macadam instructed by the State Attorney</w:t>
      </w:r>
      <w:r w:rsidR="00770F92" w:rsidRPr="00244563">
        <w:t>.</w:t>
      </w:r>
    </w:p>
    <w:p w:rsidR="00C61D11" w:rsidRPr="00244563" w:rsidRDefault="00C61D11" w:rsidP="00CC158D">
      <w:pPr>
        <w:pStyle w:val="COUNSELDETAILS"/>
      </w:pPr>
    </w:p>
    <w:p w:rsidR="00860C4E" w:rsidRPr="00244563" w:rsidRDefault="000A37B9" w:rsidP="00CC158D">
      <w:pPr>
        <w:pStyle w:val="COUNSELDETAILS"/>
      </w:pPr>
      <w:r w:rsidRPr="00244563">
        <w:t>A</w:t>
      </w:r>
      <w:r w:rsidR="00770F92" w:rsidRPr="00244563">
        <w:t xml:space="preserve"> </w:t>
      </w:r>
      <w:r w:rsidRPr="00244563">
        <w:t>P</w:t>
      </w:r>
      <w:r w:rsidR="00770F92" w:rsidRPr="00244563">
        <w:t xml:space="preserve"> </w:t>
      </w:r>
      <w:r w:rsidRPr="00244563">
        <w:t>S Nxumalo and P</w:t>
      </w:r>
      <w:r w:rsidR="00CA5F1B" w:rsidRPr="00244563">
        <w:t xml:space="preserve"> </w:t>
      </w:r>
      <w:r w:rsidRPr="00244563">
        <w:t xml:space="preserve">M Mahlatsi </w:t>
      </w:r>
      <w:r w:rsidR="00860C4E" w:rsidRPr="00244563">
        <w:t xml:space="preserve">instructed by </w:t>
      </w:r>
      <w:r w:rsidRPr="00244563">
        <w:t>PI Uriesi Attorneys</w:t>
      </w:r>
      <w:r w:rsidR="00860C4E" w:rsidRPr="00244563">
        <w:t>.</w:t>
      </w:r>
    </w:p>
    <w:p w:rsidR="00860C4E" w:rsidRPr="00244563" w:rsidRDefault="00860C4E" w:rsidP="00CC158D">
      <w:pPr>
        <w:pStyle w:val="COUNSELDETAILS"/>
      </w:pPr>
    </w:p>
    <w:p w:rsidR="000A37B9" w:rsidRPr="00244563" w:rsidRDefault="000A37B9" w:rsidP="00CC158D">
      <w:pPr>
        <w:pStyle w:val="COUNSELDETAILS"/>
      </w:pPr>
    </w:p>
    <w:p w:rsidR="00860C4E" w:rsidRPr="00244563" w:rsidRDefault="00860C4E" w:rsidP="00CC158D">
      <w:pPr>
        <w:pStyle w:val="COUNSELDETAILS"/>
      </w:pPr>
      <w:r w:rsidRPr="00244563">
        <w:t xml:space="preserve">M </w:t>
      </w:r>
      <w:r w:rsidR="000A37B9" w:rsidRPr="00244563">
        <w:t>Du Plessis and A Coutsoudis</w:t>
      </w:r>
      <w:r w:rsidRPr="00244563">
        <w:t xml:space="preserve"> instructed by </w:t>
      </w:r>
      <w:r w:rsidR="00FF2D92" w:rsidRPr="00244563">
        <w:t>Nortons Inc.</w:t>
      </w:r>
    </w:p>
    <w:p w:rsidR="00860C4E" w:rsidRPr="00244563" w:rsidRDefault="00860C4E" w:rsidP="00CC158D">
      <w:pPr>
        <w:pStyle w:val="COUNSELDETAILS"/>
      </w:pPr>
    </w:p>
    <w:p w:rsidR="00860C4E" w:rsidRPr="002D078A" w:rsidRDefault="000A37B9" w:rsidP="00CC158D">
      <w:pPr>
        <w:pStyle w:val="COUNSELDETAILS"/>
      </w:pPr>
      <w:r w:rsidRPr="00244563">
        <w:t>K Premhid</w:t>
      </w:r>
      <w:r w:rsidR="00860C4E" w:rsidRPr="00244563">
        <w:t xml:space="preserve"> instructed by </w:t>
      </w:r>
      <w:r w:rsidR="00FF2D92" w:rsidRPr="00244563">
        <w:t>Webber Wentzel</w:t>
      </w:r>
      <w:r w:rsidR="00C04161" w:rsidRPr="00244563">
        <w:t xml:space="preserve"> Attorneys</w:t>
      </w:r>
      <w:r w:rsidR="00860C4E" w:rsidRPr="00244563">
        <w:t>.</w:t>
      </w:r>
    </w:p>
    <w:sectPr w:rsidR="00860C4E" w:rsidRPr="002D078A"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14EE" w:rsidRDefault="00EC14EE" w:rsidP="00E4607C">
      <w:pPr>
        <w:spacing w:line="240" w:lineRule="auto"/>
      </w:pPr>
      <w:r>
        <w:separator/>
      </w:r>
    </w:p>
  </w:endnote>
  <w:endnote w:type="continuationSeparator" w:id="0">
    <w:p w:rsidR="00EC14EE" w:rsidRDefault="00EC14EE" w:rsidP="00E4607C">
      <w:pPr>
        <w:spacing w:line="240" w:lineRule="auto"/>
      </w:pPr>
      <w:r>
        <w:continuationSeparator/>
      </w:r>
    </w:p>
  </w:endnote>
  <w:endnote w:type="continuationNotice" w:id="1">
    <w:p w:rsidR="00EC14EE" w:rsidRDefault="00EC14E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018C" w:rsidRDefault="00AD018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6119421"/>
      <w:docPartObj>
        <w:docPartGallery w:val="Page Numbers (Bottom of Page)"/>
        <w:docPartUnique/>
      </w:docPartObj>
    </w:sdtPr>
    <w:sdtEndPr>
      <w:rPr>
        <w:noProof/>
      </w:rPr>
    </w:sdtEndPr>
    <w:sdtContent>
      <w:p w:rsidR="00720242" w:rsidRDefault="00720242" w:rsidP="008C0E33">
        <w:pPr>
          <w:pStyle w:val="Footer"/>
          <w:jc w:val="center"/>
        </w:pPr>
        <w:r>
          <w:fldChar w:fldCharType="begin"/>
        </w:r>
        <w:r>
          <w:instrText xml:space="preserve"> PAGE   \* MERGEFORMAT </w:instrText>
        </w:r>
        <w:r>
          <w:fldChar w:fldCharType="separate"/>
        </w:r>
        <w:r w:rsidR="00505C62">
          <w:rPr>
            <w:noProof/>
          </w:rPr>
          <w:t>8</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018C" w:rsidRDefault="00AD018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242" w:rsidRDefault="00720242"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14EE" w:rsidRDefault="00EC14EE" w:rsidP="00E4607C">
      <w:pPr>
        <w:spacing w:line="240" w:lineRule="auto"/>
      </w:pPr>
      <w:r>
        <w:separator/>
      </w:r>
    </w:p>
  </w:footnote>
  <w:footnote w:type="continuationSeparator" w:id="0">
    <w:p w:rsidR="00EC14EE" w:rsidRDefault="00EC14EE" w:rsidP="00E4607C">
      <w:pPr>
        <w:spacing w:line="240" w:lineRule="auto"/>
      </w:pPr>
      <w:r>
        <w:continuationSeparator/>
      </w:r>
    </w:p>
  </w:footnote>
  <w:footnote w:type="continuationNotice" w:id="1">
    <w:p w:rsidR="00EC14EE" w:rsidRDefault="00EC14EE">
      <w:pPr>
        <w:spacing w:line="240" w:lineRule="auto"/>
      </w:pPr>
    </w:p>
  </w:footnote>
  <w:footnote w:id="2">
    <w:p w:rsidR="00720242" w:rsidRDefault="00720242" w:rsidP="00D64843">
      <w:pPr>
        <w:pStyle w:val="FootnoteText"/>
      </w:pPr>
      <w:r>
        <w:rPr>
          <w:rStyle w:val="FootnoteReference"/>
        </w:rPr>
        <w:footnoteRef/>
      </w:r>
      <w:r>
        <w:t xml:space="preserve"> 33 of 2004.</w:t>
      </w:r>
    </w:p>
  </w:footnote>
  <w:footnote w:id="3">
    <w:p w:rsidR="00720242" w:rsidRDefault="00720242" w:rsidP="00D64843">
      <w:pPr>
        <w:pStyle w:val="FootnoteText"/>
      </w:pPr>
      <w:r>
        <w:rPr>
          <w:rStyle w:val="FootnoteReference"/>
        </w:rPr>
        <w:footnoteRef/>
      </w:r>
      <w:r>
        <w:t xml:space="preserve"> The 13th count of which Mr Okah was convicted was for threatening to engage in terrorist activity against South African nationals and companies in Nigeria in contravention of section 14 of the Act: </w:t>
      </w:r>
      <w:r w:rsidRPr="00B96BCC">
        <w:rPr>
          <w:i/>
        </w:rPr>
        <w:t>S v Okah</w:t>
      </w:r>
      <w:r>
        <w:t xml:space="preserve"> </w:t>
      </w:r>
      <w:r w:rsidRPr="00B96BCC">
        <w:t>2015 (2) SACR 561 (GJ)</w:t>
      </w:r>
      <w:r>
        <w:t xml:space="preserve"> (Claassen J) (High Court judgment I</w:t>
      </w:r>
      <w:r w:rsidRPr="007B414C">
        <w:t>)</w:t>
      </w:r>
      <w:r>
        <w:t xml:space="preserve"> </w:t>
      </w:r>
      <w:r w:rsidRPr="005D0029">
        <w:t>at para 4</w:t>
      </w:r>
      <w:r w:rsidRPr="007B414C">
        <w:t>.</w:t>
      </w:r>
      <w:r>
        <w:t xml:space="preserve">  The Supreme Court of Appeal acquitted Mr Okah on this count, and the State does not seek to appeal:</w:t>
      </w:r>
      <w:r w:rsidRPr="008D70D2">
        <w:t xml:space="preserve"> </w:t>
      </w:r>
      <w:r w:rsidRPr="008D70D2">
        <w:rPr>
          <w:i/>
        </w:rPr>
        <w:t xml:space="preserve">S v Okah </w:t>
      </w:r>
      <w:r w:rsidRPr="008D70D2">
        <w:t>[2016] ZASCA 155; 2017 (1) SA</w:t>
      </w:r>
      <w:r w:rsidRPr="00982B93">
        <w:t>CR</w:t>
      </w:r>
      <w:r w:rsidRPr="008D70D2">
        <w:t xml:space="preserve"> 1 (SCA)</w:t>
      </w:r>
      <w:r>
        <w:t xml:space="preserve"> (</w:t>
      </w:r>
      <w:r>
        <w:rPr>
          <w:color w:val="000000" w:themeColor="text1"/>
          <w:szCs w:val="26"/>
        </w:rPr>
        <w:t xml:space="preserve">Navsa JA and Van der Merwe JA; </w:t>
      </w:r>
      <w:r w:rsidRPr="00F522DB">
        <w:rPr>
          <w:color w:val="000000" w:themeColor="text1"/>
          <w:szCs w:val="26"/>
        </w:rPr>
        <w:t>Shongwe</w:t>
      </w:r>
      <w:r>
        <w:rPr>
          <w:color w:val="000000" w:themeColor="text1"/>
          <w:szCs w:val="26"/>
        </w:rPr>
        <w:t xml:space="preserve"> JA, </w:t>
      </w:r>
      <w:r w:rsidRPr="00F522DB">
        <w:rPr>
          <w:color w:val="000000" w:themeColor="text1"/>
          <w:szCs w:val="26"/>
        </w:rPr>
        <w:t>Dambuza JA and Schoeman AJA concurring</w:t>
      </w:r>
      <w:r>
        <w:rPr>
          <w:color w:val="000000" w:themeColor="text1"/>
          <w:szCs w:val="26"/>
        </w:rPr>
        <w:t>)</w:t>
      </w:r>
      <w:r w:rsidRPr="008D70D2">
        <w:t xml:space="preserve"> </w:t>
      </w:r>
      <w:r>
        <w:t>(</w:t>
      </w:r>
      <w:r w:rsidRPr="005D0029">
        <w:t>Supreme Court of Appeal judgment</w:t>
      </w:r>
      <w:r>
        <w:t>)</w:t>
      </w:r>
      <w:r w:rsidRPr="005D0029">
        <w:t xml:space="preserve"> at paras 24 and 49</w:t>
      </w:r>
      <w:r w:rsidRPr="008D70D2">
        <w:t>.</w:t>
      </w:r>
    </w:p>
  </w:footnote>
  <w:footnote w:id="4">
    <w:p w:rsidR="00720242" w:rsidRDefault="00720242">
      <w:pPr>
        <w:pStyle w:val="FootnoteText"/>
      </w:pPr>
      <w:r>
        <w:rPr>
          <w:rStyle w:val="FootnoteReference"/>
        </w:rPr>
        <w:footnoteRef/>
      </w:r>
      <w:r>
        <w:t xml:space="preserve"> High Court judgment I id</w:t>
      </w:r>
      <w:r w:rsidDel="00BC0A7C">
        <w:t xml:space="preserve"> </w:t>
      </w:r>
      <w:r>
        <w:t>at para 143.</w:t>
      </w:r>
    </w:p>
  </w:footnote>
  <w:footnote w:id="5">
    <w:p w:rsidR="00720242" w:rsidRPr="00F22517" w:rsidRDefault="00720242">
      <w:pPr>
        <w:pStyle w:val="FootnoteText"/>
      </w:pPr>
      <w:r w:rsidRPr="00F22517">
        <w:rPr>
          <w:rStyle w:val="FootnoteReference"/>
        </w:rPr>
        <w:footnoteRef/>
      </w:r>
      <w:r w:rsidRPr="00F22517">
        <w:t xml:space="preserve"> </w:t>
      </w:r>
      <w:r>
        <w:t>Id</w:t>
      </w:r>
      <w:r w:rsidRPr="003128FB">
        <w:t xml:space="preserve"> at para 306</w:t>
      </w:r>
      <w:r w:rsidRPr="00F22517">
        <w:t>.</w:t>
      </w:r>
    </w:p>
  </w:footnote>
  <w:footnote w:id="6">
    <w:p w:rsidR="00720242" w:rsidRPr="00F22517" w:rsidRDefault="00720242">
      <w:pPr>
        <w:pStyle w:val="FootnoteText"/>
      </w:pPr>
      <w:r w:rsidRPr="00F22517">
        <w:rPr>
          <w:rStyle w:val="FootnoteReference"/>
        </w:rPr>
        <w:footnoteRef/>
      </w:r>
      <w:r w:rsidRPr="00F22517">
        <w:t xml:space="preserve"> </w:t>
      </w:r>
      <w:r w:rsidRPr="003128FB">
        <w:t xml:space="preserve">Supreme Court of Appeal judgment </w:t>
      </w:r>
      <w:r>
        <w:t xml:space="preserve">above n 2 </w:t>
      </w:r>
      <w:r w:rsidRPr="003128FB">
        <w:t>at paras 11 and 13</w:t>
      </w:r>
      <w:r w:rsidRPr="00F22517">
        <w:t>.</w:t>
      </w:r>
    </w:p>
  </w:footnote>
  <w:footnote w:id="7">
    <w:p w:rsidR="00720242" w:rsidRDefault="00720242">
      <w:pPr>
        <w:pStyle w:val="FootnoteText"/>
      </w:pPr>
      <w:r w:rsidRPr="00F22517">
        <w:rPr>
          <w:rStyle w:val="FootnoteReference"/>
        </w:rPr>
        <w:footnoteRef/>
      </w:r>
      <w:r w:rsidRPr="00F22517">
        <w:t xml:space="preserve"> </w:t>
      </w:r>
      <w:r>
        <w:t xml:space="preserve">Id </w:t>
      </w:r>
      <w:r w:rsidRPr="003128FB">
        <w:t>at para 55</w:t>
      </w:r>
      <w:r w:rsidRPr="00F22517">
        <w:t>.</w:t>
      </w:r>
    </w:p>
  </w:footnote>
  <w:footnote w:id="8">
    <w:p w:rsidR="00720242" w:rsidRDefault="00720242" w:rsidP="00D64843">
      <w:pPr>
        <w:pStyle w:val="FootnoteText"/>
      </w:pPr>
      <w:r>
        <w:rPr>
          <w:rStyle w:val="FootnoteReference"/>
        </w:rPr>
        <w:footnoteRef/>
      </w:r>
      <w:r>
        <w:t xml:space="preserve"> Id </w:t>
      </w:r>
      <w:r w:rsidRPr="003128FB">
        <w:rPr>
          <w:color w:val="000000" w:themeColor="text1"/>
          <w:szCs w:val="26"/>
        </w:rPr>
        <w:t>at paras 39-40.</w:t>
      </w:r>
    </w:p>
  </w:footnote>
  <w:footnote w:id="9">
    <w:p w:rsidR="00F77B0B" w:rsidRDefault="00F77B0B">
      <w:pPr>
        <w:pStyle w:val="FootnoteText"/>
      </w:pPr>
      <w:r>
        <w:rPr>
          <w:rStyle w:val="FootnoteReference"/>
        </w:rPr>
        <w:footnoteRef/>
      </w:r>
      <w:r>
        <w:t xml:space="preserve"> Id at paras 23 and 55.</w:t>
      </w:r>
    </w:p>
  </w:footnote>
  <w:footnote w:id="10">
    <w:p w:rsidR="00BB140C" w:rsidRDefault="00BB140C">
      <w:pPr>
        <w:pStyle w:val="FootnoteText"/>
      </w:pPr>
      <w:r>
        <w:rPr>
          <w:rStyle w:val="FootnoteReference"/>
        </w:rPr>
        <w:footnoteRef/>
      </w:r>
      <w:r>
        <w:t xml:space="preserve"> Mr Okah at no stage put in issue the propriety of the High Court’s exercise of its discretionary power in passing sentence on him.</w:t>
      </w:r>
    </w:p>
  </w:footnote>
  <w:footnote w:id="11">
    <w:p w:rsidR="00720242" w:rsidRDefault="00720242" w:rsidP="00D64843">
      <w:pPr>
        <w:pStyle w:val="FootnoteText1"/>
      </w:pPr>
      <w:r>
        <w:rPr>
          <w:rStyle w:val="FootnoteReference"/>
        </w:rPr>
        <w:footnoteRef/>
      </w:r>
      <w:r>
        <w:t xml:space="preserve"> Section 1(4) provides: </w:t>
      </w:r>
    </w:p>
    <w:p w:rsidR="00720242" w:rsidRDefault="00720242" w:rsidP="00D64843">
      <w:pPr>
        <w:pStyle w:val="QUOTEINFOOTNOTE"/>
      </w:pPr>
      <w:r>
        <w:t>“</w:t>
      </w:r>
      <w:r w:rsidRPr="0052604A">
        <w:t xml:space="preserve">Notwithstanding any provision of this Act or any other </w:t>
      </w:r>
      <w:r>
        <w:t xml:space="preserve">law, any act committed during a </w:t>
      </w:r>
      <w:r w:rsidRPr="0052604A">
        <w:t>struggle waged by peoples, including any action during an armed struggle, in the exercise or</w:t>
      </w:r>
      <w:r>
        <w:t xml:space="preserve"> </w:t>
      </w:r>
      <w:r w:rsidRPr="0052604A">
        <w:t>furtherance of their legitimate right to national liberation, self-determination and</w:t>
      </w:r>
      <w:r>
        <w:t xml:space="preserve"> </w:t>
      </w:r>
      <w:r w:rsidRPr="0052604A">
        <w:t>independence against colonialism, or occupation or aggression or domination by alien or</w:t>
      </w:r>
      <w:r>
        <w:t xml:space="preserve"> </w:t>
      </w:r>
      <w:r w:rsidRPr="0052604A">
        <w:t>foreign forces, in accordance with the principles of international law, especially international</w:t>
      </w:r>
      <w:r>
        <w:t xml:space="preserve"> </w:t>
      </w:r>
      <w:r w:rsidRPr="0052604A">
        <w:t>humanitarian law, including the purposes and principles of th</w:t>
      </w:r>
      <w:r>
        <w:t xml:space="preserve">e Charter of the United Nations </w:t>
      </w:r>
      <w:r w:rsidRPr="0052604A">
        <w:t>and the Declaration on Principles of International Law concerning Friendly Relations and</w:t>
      </w:r>
      <w:r>
        <w:t xml:space="preserve"> </w:t>
      </w:r>
      <w:r w:rsidRPr="0052604A">
        <w:t>Cooperation among States in accordance with the said Charter, shall not, for any reason,</w:t>
      </w:r>
      <w:r>
        <w:t xml:space="preserve"> </w:t>
      </w:r>
      <w:r w:rsidRPr="0052604A">
        <w:t>including for purposes of prosecution or extradition, be considered as a terrorist activity, as</w:t>
      </w:r>
      <w:r>
        <w:t xml:space="preserve"> </w:t>
      </w:r>
      <w:r w:rsidRPr="0052604A">
        <w:t>defined in subsection (1).</w:t>
      </w:r>
      <w:r>
        <w:t>”</w:t>
      </w:r>
    </w:p>
  </w:footnote>
  <w:footnote w:id="12">
    <w:p w:rsidR="00720242" w:rsidRDefault="00720242" w:rsidP="00D64843">
      <w:pPr>
        <w:pStyle w:val="FootnoteText"/>
        <w:rPr>
          <w:iCs/>
          <w:color w:val="000000" w:themeColor="text1"/>
          <w:szCs w:val="26"/>
          <w:lang w:val="en-GB"/>
        </w:rPr>
      </w:pPr>
      <w:r>
        <w:rPr>
          <w:rStyle w:val="FootnoteReference"/>
        </w:rPr>
        <w:footnoteRef/>
      </w:r>
      <w:r>
        <w:t xml:space="preserve"> </w:t>
      </w:r>
      <w:r>
        <w:rPr>
          <w:iCs/>
          <w:color w:val="000000" w:themeColor="text1"/>
          <w:szCs w:val="26"/>
          <w:lang w:val="en-GB"/>
        </w:rPr>
        <w:t>51 of 1977.  Section 317(1) provides:</w:t>
      </w:r>
    </w:p>
    <w:p w:rsidR="00720242" w:rsidRDefault="00720242" w:rsidP="00D64843">
      <w:pPr>
        <w:pStyle w:val="QUOTEINFOOTNOTE"/>
      </w:pPr>
      <w:r>
        <w:rPr>
          <w:lang w:val="en-GB"/>
        </w:rPr>
        <w:t>“</w:t>
      </w:r>
      <w:r w:rsidRPr="005A3541">
        <w:rPr>
          <w:lang w:val="en-GB"/>
        </w:rPr>
        <w:t>If an accused is of the view that any of the proceedings in connection with or during his or her trial before a High Court are irregular or not according to law, he or she may, either during his or her trial or within a period of 14 days after his or her conviction or within such extended period as may upon application (in this section referred to as an application for condonation) on good cause be allowed, apply for a special entry to be made on the record (in this section referred to as an application for a special entry) stating in what respect the proceedings are alleged to be irregular or not according to law, and such a special entry shall, upon such application for a special entry, be made unless the court to which or the judge to whom the application for a special entry is made is of the opinion that the application is not made bona fide or that it is frivolous or absurd or that the granting of the application would be an abuse of the process of the court.</w:t>
      </w:r>
      <w:r>
        <w:rPr>
          <w:lang w:val="en-GB"/>
        </w:rPr>
        <w:t>”</w:t>
      </w:r>
    </w:p>
  </w:footnote>
  <w:footnote w:id="13">
    <w:p w:rsidR="00720242" w:rsidRDefault="00720242">
      <w:pPr>
        <w:pStyle w:val="FootnoteText"/>
      </w:pPr>
      <w:r>
        <w:rPr>
          <w:rStyle w:val="FootnoteReference"/>
        </w:rPr>
        <w:footnoteRef/>
      </w:r>
      <w:r>
        <w:t xml:space="preserve"> High Court judgment I above n 2 at para 12.</w:t>
      </w:r>
    </w:p>
  </w:footnote>
  <w:footnote w:id="14">
    <w:p w:rsidR="00720242" w:rsidRDefault="00720242" w:rsidP="00220A77">
      <w:pPr>
        <w:pStyle w:val="FootnoteText1"/>
      </w:pPr>
      <w:r>
        <w:rPr>
          <w:rStyle w:val="FootnoteReference"/>
        </w:rPr>
        <w:footnoteRef/>
      </w:r>
      <w:r>
        <w:t xml:space="preserve"> Id at paras 1 and 39.</w:t>
      </w:r>
    </w:p>
  </w:footnote>
  <w:footnote w:id="15">
    <w:p w:rsidR="00720242" w:rsidRDefault="00720242" w:rsidP="00230EE8">
      <w:pPr>
        <w:pStyle w:val="FootnoteText1"/>
      </w:pPr>
      <w:r>
        <w:rPr>
          <w:rStyle w:val="FootnoteReference"/>
        </w:rPr>
        <w:footnoteRef/>
      </w:r>
      <w:r>
        <w:t xml:space="preserve"> Id at para 1.</w:t>
      </w:r>
    </w:p>
  </w:footnote>
  <w:footnote w:id="16">
    <w:p w:rsidR="00720242" w:rsidRDefault="00720242" w:rsidP="00220A77">
      <w:pPr>
        <w:pStyle w:val="FootnoteText1"/>
      </w:pPr>
      <w:r>
        <w:rPr>
          <w:rStyle w:val="FootnoteReference"/>
        </w:rPr>
        <w:footnoteRef/>
      </w:r>
      <w:r>
        <w:t xml:space="preserve"> Id at paras 46 and 150-1.</w:t>
      </w:r>
    </w:p>
  </w:footnote>
  <w:footnote w:id="17">
    <w:p w:rsidR="00720242" w:rsidRDefault="00720242" w:rsidP="00220A77">
      <w:pPr>
        <w:pStyle w:val="FootnoteText"/>
      </w:pPr>
      <w:r>
        <w:rPr>
          <w:rStyle w:val="FootnoteReference"/>
        </w:rPr>
        <w:footnoteRef/>
      </w:r>
      <w:r>
        <w:t xml:space="preserve"> Id at para 46.</w:t>
      </w:r>
    </w:p>
  </w:footnote>
  <w:footnote w:id="18">
    <w:p w:rsidR="00720242" w:rsidRDefault="00720242" w:rsidP="00220A77">
      <w:pPr>
        <w:pStyle w:val="FootnoteText1"/>
      </w:pPr>
      <w:r>
        <w:rPr>
          <w:rStyle w:val="FootnoteReference"/>
        </w:rPr>
        <w:footnoteRef/>
      </w:r>
      <w:r>
        <w:t xml:space="preserve"> Id at para 47.</w:t>
      </w:r>
    </w:p>
  </w:footnote>
  <w:footnote w:id="19">
    <w:p w:rsidR="00720242" w:rsidRDefault="00720242" w:rsidP="00220A77">
      <w:pPr>
        <w:pStyle w:val="FootnoteText1"/>
      </w:pPr>
      <w:r>
        <w:rPr>
          <w:rStyle w:val="FootnoteReference"/>
        </w:rPr>
        <w:footnoteRef/>
      </w:r>
      <w:r>
        <w:t xml:space="preserve"> Id at para 52.</w:t>
      </w:r>
    </w:p>
  </w:footnote>
  <w:footnote w:id="20">
    <w:p w:rsidR="00720242" w:rsidRDefault="00720242">
      <w:pPr>
        <w:pStyle w:val="FootnoteText"/>
      </w:pPr>
      <w:r>
        <w:rPr>
          <w:rStyle w:val="FootnoteReference"/>
        </w:rPr>
        <w:footnoteRef/>
      </w:r>
      <w:r>
        <w:t xml:space="preserve"> Id.</w:t>
      </w:r>
    </w:p>
  </w:footnote>
  <w:footnote w:id="21">
    <w:p w:rsidR="00720242" w:rsidRDefault="00720242">
      <w:pPr>
        <w:pStyle w:val="FootnoteText"/>
      </w:pPr>
      <w:r>
        <w:rPr>
          <w:rStyle w:val="FootnoteReference"/>
        </w:rPr>
        <w:footnoteRef/>
      </w:r>
      <w:r>
        <w:t xml:space="preserve"> Id at para 53.</w:t>
      </w:r>
    </w:p>
  </w:footnote>
  <w:footnote w:id="22">
    <w:p w:rsidR="00720242" w:rsidRDefault="00720242" w:rsidP="00220A77">
      <w:pPr>
        <w:pStyle w:val="FootnoteText1"/>
      </w:pPr>
      <w:r>
        <w:rPr>
          <w:rStyle w:val="FootnoteReference"/>
        </w:rPr>
        <w:footnoteRef/>
      </w:r>
      <w:r>
        <w:t xml:space="preserve"> Id at para 55.</w:t>
      </w:r>
    </w:p>
  </w:footnote>
  <w:footnote w:id="23">
    <w:p w:rsidR="00720242" w:rsidRDefault="00720242" w:rsidP="00220A77">
      <w:pPr>
        <w:pStyle w:val="FootnoteText"/>
      </w:pPr>
      <w:r>
        <w:rPr>
          <w:rStyle w:val="FootnoteReference"/>
        </w:rPr>
        <w:footnoteRef/>
      </w:r>
      <w:r>
        <w:t xml:space="preserve"> Id at para 3.</w:t>
      </w:r>
    </w:p>
  </w:footnote>
  <w:footnote w:id="24">
    <w:p w:rsidR="00720242" w:rsidRDefault="00720242">
      <w:pPr>
        <w:pStyle w:val="FootnoteText"/>
      </w:pPr>
      <w:r>
        <w:rPr>
          <w:rStyle w:val="FootnoteReference"/>
        </w:rPr>
        <w:footnoteRef/>
      </w:r>
      <w:r>
        <w:t xml:space="preserve"> Supreme Court of Appeal judgment above n 2 at paras 46-7.</w:t>
      </w:r>
    </w:p>
  </w:footnote>
  <w:footnote w:id="25">
    <w:p w:rsidR="00720242" w:rsidRDefault="00720242">
      <w:pPr>
        <w:pStyle w:val="FootnoteText"/>
      </w:pPr>
      <w:r>
        <w:rPr>
          <w:rStyle w:val="FootnoteReference"/>
        </w:rPr>
        <w:footnoteRef/>
      </w:r>
      <w:r>
        <w:t xml:space="preserve"> Id.</w:t>
      </w:r>
    </w:p>
  </w:footnote>
  <w:footnote w:id="26">
    <w:p w:rsidR="00720242" w:rsidRDefault="00720242">
      <w:pPr>
        <w:pStyle w:val="FootnoteText"/>
      </w:pPr>
      <w:r>
        <w:rPr>
          <w:rStyle w:val="FootnoteReference"/>
        </w:rPr>
        <w:footnoteRef/>
      </w:r>
      <w:r>
        <w:t xml:space="preserve"> Id at para 45.</w:t>
      </w:r>
    </w:p>
  </w:footnote>
  <w:footnote w:id="27">
    <w:p w:rsidR="00720242" w:rsidRDefault="00720242" w:rsidP="00220A77">
      <w:pPr>
        <w:pStyle w:val="FootnoteText1"/>
      </w:pPr>
      <w:r>
        <w:rPr>
          <w:rStyle w:val="FootnoteReference"/>
        </w:rPr>
        <w:footnoteRef/>
      </w:r>
      <w:r>
        <w:t xml:space="preserve"> High Court judgment I above n 2 at para 59.</w:t>
      </w:r>
    </w:p>
  </w:footnote>
  <w:footnote w:id="28">
    <w:p w:rsidR="00720242" w:rsidRDefault="00720242" w:rsidP="00220A77">
      <w:pPr>
        <w:pStyle w:val="FootnoteText1"/>
      </w:pPr>
      <w:r>
        <w:rPr>
          <w:rStyle w:val="FootnoteReference"/>
        </w:rPr>
        <w:footnoteRef/>
      </w:r>
      <w:r>
        <w:t xml:space="preserve"> Supreme Court of Appeal judgment above n 2 at para 14.</w:t>
      </w:r>
    </w:p>
  </w:footnote>
  <w:footnote w:id="29">
    <w:p w:rsidR="00720242" w:rsidRDefault="00720242" w:rsidP="00220A77">
      <w:pPr>
        <w:pStyle w:val="FootnoteText1"/>
      </w:pPr>
      <w:r>
        <w:rPr>
          <w:rStyle w:val="FootnoteReference"/>
        </w:rPr>
        <w:footnoteRef/>
      </w:r>
      <w:r>
        <w:t xml:space="preserve"> High Court judgment I above n 2 at para 60.</w:t>
      </w:r>
    </w:p>
  </w:footnote>
  <w:footnote w:id="30">
    <w:p w:rsidR="00720242" w:rsidRDefault="00720242" w:rsidP="00220A77">
      <w:pPr>
        <w:pStyle w:val="FootnoteText"/>
      </w:pPr>
      <w:r>
        <w:rPr>
          <w:rStyle w:val="FootnoteReference"/>
        </w:rPr>
        <w:footnoteRef/>
      </w:r>
      <w:r>
        <w:t xml:space="preserve"> Id at para 3.</w:t>
      </w:r>
    </w:p>
  </w:footnote>
  <w:footnote w:id="31">
    <w:p w:rsidR="00720242" w:rsidRDefault="00720242">
      <w:pPr>
        <w:pStyle w:val="FootnoteText"/>
      </w:pPr>
      <w:r>
        <w:rPr>
          <w:rStyle w:val="FootnoteReference"/>
        </w:rPr>
        <w:footnoteRef/>
      </w:r>
      <w:r>
        <w:t xml:space="preserve"> Supreme Court of Appeal judgment above n 2 at para 48.</w:t>
      </w:r>
    </w:p>
  </w:footnote>
  <w:footnote w:id="32">
    <w:p w:rsidR="00720242" w:rsidRDefault="00720242">
      <w:pPr>
        <w:pStyle w:val="FootnoteText"/>
      </w:pPr>
      <w:r>
        <w:rPr>
          <w:rStyle w:val="FootnoteReference"/>
        </w:rPr>
        <w:footnoteRef/>
      </w:r>
      <w:r>
        <w:t xml:space="preserve"> High Court judgment I above n 2 at para 8.</w:t>
      </w:r>
    </w:p>
  </w:footnote>
  <w:footnote w:id="33">
    <w:p w:rsidR="00720242" w:rsidRDefault="00720242">
      <w:pPr>
        <w:pStyle w:val="FootnoteText"/>
      </w:pPr>
      <w:r>
        <w:rPr>
          <w:rStyle w:val="FootnoteReference"/>
        </w:rPr>
        <w:footnoteRef/>
      </w:r>
      <w:r>
        <w:t xml:space="preserve"> Id.</w:t>
      </w:r>
    </w:p>
  </w:footnote>
  <w:footnote w:id="34">
    <w:p w:rsidR="00720242" w:rsidRDefault="00720242" w:rsidP="00220A77">
      <w:pPr>
        <w:pStyle w:val="FootnoteText"/>
      </w:pPr>
      <w:r>
        <w:rPr>
          <w:rStyle w:val="FootnoteReference"/>
        </w:rPr>
        <w:footnoteRef/>
      </w:r>
      <w:r>
        <w:t xml:space="preserve"> Id.</w:t>
      </w:r>
    </w:p>
  </w:footnote>
  <w:footnote w:id="35">
    <w:p w:rsidR="00720242" w:rsidRDefault="00720242" w:rsidP="00220A77">
      <w:pPr>
        <w:pStyle w:val="FootnoteText"/>
      </w:pPr>
      <w:r>
        <w:rPr>
          <w:rStyle w:val="FootnoteReference"/>
        </w:rPr>
        <w:footnoteRef/>
      </w:r>
      <w:r>
        <w:t xml:space="preserve"> 75 of 1996.</w:t>
      </w:r>
    </w:p>
  </w:footnote>
  <w:footnote w:id="36">
    <w:p w:rsidR="00720242" w:rsidRPr="00514285" w:rsidRDefault="00720242">
      <w:pPr>
        <w:pStyle w:val="FootnoteText"/>
      </w:pPr>
      <w:r>
        <w:rPr>
          <w:rStyle w:val="FootnoteReference"/>
        </w:rPr>
        <w:footnoteRef/>
      </w:r>
      <w:r>
        <w:t xml:space="preserve"> </w:t>
      </w:r>
      <w:r>
        <w:rPr>
          <w:i/>
        </w:rPr>
        <w:t>S v Okah</w:t>
      </w:r>
      <w:r>
        <w:t xml:space="preserve"> [2013] ZAGPJHC 85 (Claassen J) (High Court judgment II) at paras 1-2.</w:t>
      </w:r>
    </w:p>
  </w:footnote>
  <w:footnote w:id="37">
    <w:p w:rsidR="00720242" w:rsidRDefault="00720242">
      <w:pPr>
        <w:pStyle w:val="FootnoteText"/>
      </w:pPr>
      <w:r>
        <w:rPr>
          <w:rStyle w:val="FootnoteReference"/>
        </w:rPr>
        <w:footnoteRef/>
      </w:r>
      <w:r>
        <w:t xml:space="preserve"> Id at para 39.</w:t>
      </w:r>
    </w:p>
  </w:footnote>
  <w:footnote w:id="38">
    <w:p w:rsidR="00720242" w:rsidRPr="00F96150" w:rsidRDefault="00720242" w:rsidP="00220A77">
      <w:pPr>
        <w:pStyle w:val="FootnoteText"/>
      </w:pPr>
      <w:r w:rsidRPr="00756FD9">
        <w:rPr>
          <w:rStyle w:val="FootnoteReference"/>
        </w:rPr>
        <w:footnoteRef/>
      </w:r>
      <w:r w:rsidRPr="00756FD9">
        <w:rPr>
          <w:vertAlign w:val="superscript"/>
        </w:rPr>
        <w:t xml:space="preserve"> </w:t>
      </w:r>
      <w:r>
        <w:rPr>
          <w:i/>
        </w:rPr>
        <w:t>Okah v S</w:t>
      </w:r>
      <w:r>
        <w:t xml:space="preserve"> [2013] ZAGPJHC 413 (Claassen J) (High Court judgment III) at para 8. </w:t>
      </w:r>
      <w:r w:rsidRPr="008C0E33">
        <w:t xml:space="preserve"> </w:t>
      </w:r>
      <w:r>
        <w:t>As indicated above, leave to appeal to the Supreme Court of Appeal was granted also on count 13.  The Supreme Court of Appeal set aside that conviction: Supreme Court of Appeal j</w:t>
      </w:r>
      <w:r w:rsidRPr="00F96150">
        <w:t>udgment</w:t>
      </w:r>
      <w:r>
        <w:t xml:space="preserve"> above n 2 at paras 24 and 49; the State does not put this acquittal in issue</w:t>
      </w:r>
      <w:r w:rsidRPr="00F96150">
        <w:t>.</w:t>
      </w:r>
      <w:r>
        <w:t xml:space="preserve"> </w:t>
      </w:r>
    </w:p>
  </w:footnote>
  <w:footnote w:id="39">
    <w:p w:rsidR="00720242" w:rsidRDefault="00720242" w:rsidP="00220A77">
      <w:pPr>
        <w:pStyle w:val="FootnoteText"/>
      </w:pPr>
      <w:r>
        <w:rPr>
          <w:rStyle w:val="FootnoteReference"/>
        </w:rPr>
        <w:footnoteRef/>
      </w:r>
      <w:r>
        <w:t xml:space="preserve"> Supreme Court of Appeal judgment above n 2 at paras 27-30.</w:t>
      </w:r>
    </w:p>
  </w:footnote>
  <w:footnote w:id="40">
    <w:p w:rsidR="00720242" w:rsidRDefault="00720242" w:rsidP="00220A77">
      <w:pPr>
        <w:pStyle w:val="FootnoteText1"/>
      </w:pPr>
      <w:r w:rsidRPr="00A727C5">
        <w:rPr>
          <w:rStyle w:val="FootnoteReference"/>
          <w:szCs w:val="20"/>
        </w:rPr>
        <w:footnoteRef/>
      </w:r>
      <w:r w:rsidRPr="00A727C5">
        <w:t xml:space="preserve"> </w:t>
      </w:r>
      <w:r>
        <w:t xml:space="preserve">Id at para 35.  </w:t>
      </w:r>
      <w:r w:rsidRPr="00A727C5">
        <w:t>Section 15(1) provides:</w:t>
      </w:r>
    </w:p>
    <w:p w:rsidR="00720242" w:rsidRDefault="00720242" w:rsidP="00220A77">
      <w:pPr>
        <w:pStyle w:val="QUOTEINFOOTNOTE"/>
      </w:pPr>
      <w:r>
        <w:t>“</w:t>
      </w:r>
      <w:r w:rsidRPr="001616D3">
        <w:t>A court of the Republic has jurisdiction in respect of any specified offence as defined in</w:t>
      </w:r>
      <w:r>
        <w:t xml:space="preserve"> </w:t>
      </w:r>
      <w:r w:rsidRPr="001616D3">
        <w:t xml:space="preserve">paragraph (a) of the definition of </w:t>
      </w:r>
      <w:r>
        <w:t>‘</w:t>
      </w:r>
      <w:r w:rsidRPr="001616D3">
        <w:t>specified offence</w:t>
      </w:r>
      <w:r>
        <w:t>’</w:t>
      </w:r>
      <w:r w:rsidRPr="001616D3">
        <w:t>, if</w:t>
      </w:r>
      <w:r>
        <w:t>—</w:t>
      </w:r>
    </w:p>
    <w:p w:rsidR="00720242" w:rsidRPr="001616D3" w:rsidRDefault="00720242" w:rsidP="00220A77">
      <w:pPr>
        <w:pStyle w:val="QUOTEINFOOTNOTE"/>
        <w:ind w:left="1440" w:hanging="720"/>
      </w:pPr>
      <w:r>
        <w:t>(a)</w:t>
      </w:r>
      <w:r>
        <w:tab/>
      </w:r>
      <w:r w:rsidRPr="001616D3">
        <w:t>the accused was arrested in the territory of the Republic, or in its territorial waters</w:t>
      </w:r>
      <w:r>
        <w:t xml:space="preserve"> </w:t>
      </w:r>
      <w:r w:rsidRPr="001616D3">
        <w:t>or on board a ship or aircraft registered or required to</w:t>
      </w:r>
      <w:r>
        <w:t xml:space="preserve"> be registered in the Republic; </w:t>
      </w:r>
      <w:r w:rsidRPr="001616D3">
        <w:t>or</w:t>
      </w:r>
    </w:p>
    <w:p w:rsidR="00720242" w:rsidRPr="001616D3" w:rsidRDefault="00720242" w:rsidP="00220A77">
      <w:pPr>
        <w:pStyle w:val="QUOTEINFOOTNOTE"/>
      </w:pPr>
      <w:r w:rsidRPr="001616D3">
        <w:t>(b)</w:t>
      </w:r>
      <w:r>
        <w:tab/>
      </w:r>
      <w:r w:rsidRPr="001616D3">
        <w:t>the offence was committed</w:t>
      </w:r>
      <w:r>
        <w:t>—</w:t>
      </w:r>
    </w:p>
    <w:p w:rsidR="00720242" w:rsidRPr="001616D3" w:rsidRDefault="00720242" w:rsidP="00220A77">
      <w:pPr>
        <w:pStyle w:val="QUOTEINFOOTNOTE"/>
        <w:ind w:firstLine="720"/>
      </w:pPr>
      <w:r w:rsidRPr="001616D3">
        <w:t>(i)</w:t>
      </w:r>
      <w:r>
        <w:tab/>
      </w:r>
      <w:r w:rsidRPr="001616D3">
        <w:t>in the territory of the Republic;</w:t>
      </w:r>
    </w:p>
    <w:p w:rsidR="00720242" w:rsidRPr="001616D3" w:rsidRDefault="00720242" w:rsidP="00220A77">
      <w:pPr>
        <w:pStyle w:val="QUOTEINFOOTNOTE"/>
        <w:ind w:left="2160" w:hanging="720"/>
      </w:pPr>
      <w:r w:rsidRPr="001616D3">
        <w:t>(ii)</w:t>
      </w:r>
      <w:r>
        <w:tab/>
      </w:r>
      <w:r w:rsidRPr="001616D3">
        <w:t>on board a vessel, a ship, an off-shore installation, or a fixed platform, or an</w:t>
      </w:r>
      <w:r>
        <w:t xml:space="preserve"> </w:t>
      </w:r>
      <w:r w:rsidRPr="001616D3">
        <w:t xml:space="preserve">aircraft registered or required to be registered </w:t>
      </w:r>
      <w:r>
        <w:t xml:space="preserve">in the Republic at the time the </w:t>
      </w:r>
      <w:r w:rsidRPr="001616D3">
        <w:t>offence was committed;</w:t>
      </w:r>
    </w:p>
    <w:p w:rsidR="00720242" w:rsidRPr="001616D3" w:rsidRDefault="00720242" w:rsidP="00220A77">
      <w:pPr>
        <w:pStyle w:val="QUOTEINFOOTNOTE"/>
        <w:ind w:firstLine="720"/>
      </w:pPr>
      <w:r w:rsidRPr="001616D3">
        <w:t>(iii)</w:t>
      </w:r>
      <w:r>
        <w:tab/>
      </w:r>
      <w:r w:rsidRPr="001616D3">
        <w:t>by a citizen of the Republic or a person ordinarily resident in the Republic;</w:t>
      </w:r>
    </w:p>
    <w:p w:rsidR="00720242" w:rsidRPr="001616D3" w:rsidRDefault="00720242" w:rsidP="00220A77">
      <w:pPr>
        <w:pStyle w:val="QUOTEINFOOTNOTE"/>
        <w:ind w:left="2160" w:hanging="720"/>
      </w:pPr>
      <w:r w:rsidRPr="001616D3">
        <w:t>(iv)</w:t>
      </w:r>
      <w:r>
        <w:tab/>
      </w:r>
      <w:r w:rsidRPr="001616D3">
        <w:t>against the Republic, a citizen of the Republic or a person ordinarily resident</w:t>
      </w:r>
      <w:r>
        <w:t xml:space="preserve"> </w:t>
      </w:r>
      <w:r w:rsidRPr="001616D3">
        <w:t>in the Republic;</w:t>
      </w:r>
    </w:p>
    <w:p w:rsidR="00720242" w:rsidRPr="001616D3" w:rsidRDefault="00720242" w:rsidP="00220A77">
      <w:pPr>
        <w:pStyle w:val="QUOTEINFOOTNOTE"/>
        <w:ind w:left="2160" w:hanging="720"/>
      </w:pPr>
      <w:r w:rsidRPr="001616D3">
        <w:t>(v)</w:t>
      </w:r>
      <w:r>
        <w:tab/>
      </w:r>
      <w:r w:rsidRPr="001616D3">
        <w:t>on board an aircraft in respect of which the operator is licensed in terms of</w:t>
      </w:r>
      <w:r>
        <w:t xml:space="preserve"> </w:t>
      </w:r>
      <w:r w:rsidRPr="001616D3">
        <w:t>the Air Services Licensing Act, 1990 (Act 115 of 1990), or the International</w:t>
      </w:r>
      <w:r>
        <w:t xml:space="preserve"> </w:t>
      </w:r>
      <w:r w:rsidRPr="001616D3">
        <w:t>Air Services Act, 1993 (Act 60 of 1993);</w:t>
      </w:r>
    </w:p>
    <w:p w:rsidR="00720242" w:rsidRPr="001616D3" w:rsidRDefault="00720242" w:rsidP="00220A77">
      <w:pPr>
        <w:pStyle w:val="QUOTEINFOOTNOTE"/>
        <w:ind w:left="2160" w:hanging="720"/>
      </w:pPr>
      <w:r w:rsidRPr="001616D3">
        <w:t>(vi)</w:t>
      </w:r>
      <w:r>
        <w:tab/>
      </w:r>
      <w:r w:rsidRPr="001616D3">
        <w:t>against a government facility of the Republic abroad, including an embassy or</w:t>
      </w:r>
      <w:r>
        <w:t xml:space="preserve"> </w:t>
      </w:r>
      <w:r w:rsidRPr="001616D3">
        <w:t>other diplomatic or consular premises, or any other property of the Republic;</w:t>
      </w:r>
    </w:p>
    <w:p w:rsidR="00720242" w:rsidRPr="001616D3" w:rsidRDefault="00720242" w:rsidP="00220A77">
      <w:pPr>
        <w:pStyle w:val="QUOTEINFOOTNOTE"/>
        <w:ind w:left="2160" w:hanging="720"/>
      </w:pPr>
      <w:r w:rsidRPr="001616D3">
        <w:t>(vii)</w:t>
      </w:r>
      <w:r>
        <w:tab/>
      </w:r>
      <w:r w:rsidRPr="001616D3">
        <w:t>when during its commission, a national of the Republic is seized, threatened,</w:t>
      </w:r>
      <w:r>
        <w:t xml:space="preserve"> </w:t>
      </w:r>
      <w:r w:rsidRPr="001616D3">
        <w:t>injured or killed;</w:t>
      </w:r>
    </w:p>
    <w:p w:rsidR="00720242" w:rsidRPr="001616D3" w:rsidRDefault="00720242" w:rsidP="00220A77">
      <w:pPr>
        <w:pStyle w:val="QUOTEINFOOTNOTE"/>
        <w:ind w:left="2160" w:hanging="720"/>
      </w:pPr>
      <w:r w:rsidRPr="001616D3">
        <w:t>(viii)</w:t>
      </w:r>
      <w:r>
        <w:tab/>
      </w:r>
      <w:r w:rsidRPr="001616D3">
        <w:t>in an attempt to compel the Republic to do or to abstain or to refrain from</w:t>
      </w:r>
      <w:r>
        <w:t xml:space="preserve"> </w:t>
      </w:r>
      <w:r w:rsidRPr="001616D3">
        <w:t>doing any act; or</w:t>
      </w:r>
    </w:p>
    <w:p w:rsidR="00720242" w:rsidRPr="00A727C5" w:rsidRDefault="00720242" w:rsidP="00220A77">
      <w:pPr>
        <w:pStyle w:val="QUOTEINFOOTNOTE"/>
      </w:pPr>
      <w:r w:rsidRPr="001616D3">
        <w:t>(c)</w:t>
      </w:r>
      <w:r>
        <w:tab/>
      </w:r>
      <w:r w:rsidRPr="001616D3">
        <w:t>the evidence reveals any other basis recognised by law.</w:t>
      </w:r>
      <w:r>
        <w:t>”</w:t>
      </w:r>
    </w:p>
  </w:footnote>
  <w:footnote w:id="41">
    <w:p w:rsidR="00720242" w:rsidRPr="00A727C5" w:rsidRDefault="00720242" w:rsidP="00EA216D">
      <w:pPr>
        <w:pStyle w:val="FootnoteText1"/>
      </w:pPr>
      <w:r w:rsidRPr="00A727C5">
        <w:rPr>
          <w:rStyle w:val="FootnoteReference"/>
          <w:szCs w:val="20"/>
        </w:rPr>
        <w:footnoteRef/>
      </w:r>
      <w:r w:rsidRPr="00A727C5">
        <w:t xml:space="preserve"> </w:t>
      </w:r>
      <w:r>
        <w:t>Se</w:t>
      </w:r>
      <w:r w:rsidRPr="00331A3D">
        <w:t>e [20].</w:t>
      </w:r>
    </w:p>
  </w:footnote>
  <w:footnote w:id="42">
    <w:p w:rsidR="00720242" w:rsidRDefault="00720242">
      <w:pPr>
        <w:pStyle w:val="FootnoteText"/>
      </w:pPr>
      <w:r>
        <w:rPr>
          <w:rStyle w:val="FootnoteReference"/>
        </w:rPr>
        <w:footnoteRef/>
      </w:r>
      <w:r>
        <w:t xml:space="preserve"> Supreme Court of Appeal judgment above n 2 at para 38.</w:t>
      </w:r>
    </w:p>
  </w:footnote>
  <w:footnote w:id="43">
    <w:p w:rsidR="00720242" w:rsidRDefault="00720242">
      <w:pPr>
        <w:pStyle w:val="FootnoteText"/>
      </w:pPr>
      <w:r>
        <w:rPr>
          <w:rStyle w:val="FootnoteReference"/>
        </w:rPr>
        <w:footnoteRef/>
      </w:r>
      <w:r>
        <w:t xml:space="preserve"> Id at paras 39-40.</w:t>
      </w:r>
    </w:p>
  </w:footnote>
  <w:footnote w:id="44">
    <w:p w:rsidR="00720242" w:rsidRDefault="00720242" w:rsidP="00220A77">
      <w:pPr>
        <w:pStyle w:val="FootnoteText"/>
      </w:pPr>
      <w:r>
        <w:rPr>
          <w:rStyle w:val="FootnoteReference"/>
        </w:rPr>
        <w:footnoteRef/>
      </w:r>
      <w:r>
        <w:t xml:space="preserve"> Id at para 43.</w:t>
      </w:r>
    </w:p>
  </w:footnote>
  <w:footnote w:id="45">
    <w:p w:rsidR="00720242" w:rsidRDefault="00720242" w:rsidP="00220A77">
      <w:pPr>
        <w:pStyle w:val="FootnoteText1"/>
      </w:pPr>
      <w:r>
        <w:rPr>
          <w:rStyle w:val="FootnoteReference"/>
        </w:rPr>
        <w:footnoteRef/>
      </w:r>
      <w:r>
        <w:t xml:space="preserve"> Id at</w:t>
      </w:r>
      <w:r w:rsidRPr="00DF059A">
        <w:t xml:space="preserve"> para 48</w:t>
      </w:r>
      <w:r>
        <w:t>.</w:t>
      </w:r>
    </w:p>
  </w:footnote>
  <w:footnote w:id="46">
    <w:p w:rsidR="00720242" w:rsidRDefault="00720242" w:rsidP="00220A77">
      <w:pPr>
        <w:pStyle w:val="FootnoteText"/>
      </w:pPr>
      <w:r>
        <w:rPr>
          <w:rStyle w:val="FootnoteReference"/>
        </w:rPr>
        <w:footnoteRef/>
      </w:r>
      <w:r>
        <w:t xml:space="preserve"> The directions, issued on 15 November 2017, </w:t>
      </w:r>
      <w:r w:rsidRPr="00CF5DA0">
        <w:t>direct</w:t>
      </w:r>
      <w:r>
        <w:t>ed</w:t>
      </w:r>
      <w:r w:rsidRPr="00CF5DA0">
        <w:t xml:space="preserve"> the Registrar to serve </w:t>
      </w:r>
      <w:r>
        <w:t xml:space="preserve">the parties’ </w:t>
      </w:r>
      <w:r w:rsidRPr="00CF5DA0">
        <w:t xml:space="preserve">written arguments on </w:t>
      </w:r>
      <w:r>
        <w:t xml:space="preserve">and make all other papers in the matter available to the </w:t>
      </w:r>
      <w:r w:rsidRPr="00CF5DA0">
        <w:t>S</w:t>
      </w:r>
      <w:r>
        <w:t xml:space="preserve">outhern </w:t>
      </w:r>
      <w:r w:rsidRPr="00CF5DA0">
        <w:t>A</w:t>
      </w:r>
      <w:r>
        <w:t xml:space="preserve">frica </w:t>
      </w:r>
      <w:r w:rsidRPr="00CF5DA0">
        <w:t>L</w:t>
      </w:r>
      <w:r>
        <w:t xml:space="preserve">itigation </w:t>
      </w:r>
      <w:r w:rsidRPr="00CF5DA0">
        <w:t>C</w:t>
      </w:r>
      <w:r>
        <w:t>entre</w:t>
      </w:r>
      <w:r w:rsidRPr="00CF5DA0">
        <w:t xml:space="preserve">, </w:t>
      </w:r>
      <w:r>
        <w:t xml:space="preserve">the </w:t>
      </w:r>
      <w:r w:rsidRPr="00CF5DA0">
        <w:t>I</w:t>
      </w:r>
      <w:r>
        <w:t>nternational Committee of the Red Cross</w:t>
      </w:r>
      <w:r w:rsidRPr="00CF5DA0">
        <w:t xml:space="preserve">, Dr Hannah Woolaver </w:t>
      </w:r>
      <w:r>
        <w:t xml:space="preserve">of the University of Cape Town </w:t>
      </w:r>
      <w:r w:rsidRPr="00CF5DA0">
        <w:t xml:space="preserve">and </w:t>
      </w:r>
      <w:r>
        <w:t xml:space="preserve">her </w:t>
      </w:r>
      <w:r w:rsidRPr="00CF5DA0">
        <w:t>associates</w:t>
      </w:r>
      <w:r>
        <w:t xml:space="preserve">, and Professor </w:t>
      </w:r>
      <w:r w:rsidRPr="00CF5DA0">
        <w:t>Max du Plessis of the I</w:t>
      </w:r>
      <w:r>
        <w:t xml:space="preserve">nstitute for </w:t>
      </w:r>
      <w:r w:rsidRPr="00CF5DA0">
        <w:t>S</w:t>
      </w:r>
      <w:r>
        <w:t xml:space="preserve">ecurity </w:t>
      </w:r>
      <w:r w:rsidRPr="00CF5DA0">
        <w:t>S</w:t>
      </w:r>
      <w:r>
        <w:t>tudies.</w:t>
      </w:r>
    </w:p>
  </w:footnote>
  <w:footnote w:id="47">
    <w:p w:rsidR="00720242" w:rsidRPr="006C59BD" w:rsidRDefault="00720242" w:rsidP="00220A77">
      <w:pPr>
        <w:pStyle w:val="FootnoteText"/>
      </w:pPr>
      <w:r w:rsidRPr="0061675D">
        <w:rPr>
          <w:rStyle w:val="FootnoteReference"/>
        </w:rPr>
        <w:footnoteRef/>
      </w:r>
      <w:r w:rsidRPr="0061675D">
        <w:t xml:space="preserve"> </w:t>
      </w:r>
      <w:r>
        <w:t xml:space="preserve">See, for example, </w:t>
      </w:r>
      <w:r>
        <w:rPr>
          <w:i/>
        </w:rPr>
        <w:t>Gcaba v Minister for Safety and Security</w:t>
      </w:r>
      <w:r>
        <w:t xml:space="preserve"> [2009] ZACC 26; 2010 (1) SA 238 (CC); 2010 (1) BCLR 35 (CC) at para 75 and </w:t>
      </w:r>
      <w:r>
        <w:rPr>
          <w:i/>
        </w:rPr>
        <w:t xml:space="preserve">Chirwa v Transnet Limited </w:t>
      </w:r>
      <w:r>
        <w:t>[2007] ZACC 23; 2008 (4) SA 367 (CC); 2008 (3) BCLR 251 (CC) at paras 155 and 169, where this Court pronounced on the concurrent jurisdiction of the Labour Court and the High Court.</w:t>
      </w:r>
    </w:p>
  </w:footnote>
  <w:footnote w:id="48">
    <w:p w:rsidR="00720242" w:rsidRDefault="00720242" w:rsidP="00220A77">
      <w:pPr>
        <w:pStyle w:val="FootnoteText"/>
      </w:pPr>
      <w:r>
        <w:rPr>
          <w:rStyle w:val="FootnoteReference"/>
        </w:rPr>
        <w:footnoteRef/>
      </w:r>
      <w:r>
        <w:t xml:space="preserve"> Section 167(3)(b)(ii) of the</w:t>
      </w:r>
      <w:r w:rsidRPr="001A18E0">
        <w:t xml:space="preserve"> </w:t>
      </w:r>
      <w:r>
        <w:t>Constitution.</w:t>
      </w:r>
    </w:p>
  </w:footnote>
  <w:footnote w:id="49">
    <w:p w:rsidR="00720242" w:rsidRDefault="00720242" w:rsidP="00C63CCA">
      <w:pPr>
        <w:pStyle w:val="FootnoteText"/>
      </w:pPr>
      <w:r>
        <w:rPr>
          <w:rStyle w:val="FootnoteReference"/>
        </w:rPr>
        <w:footnoteRef/>
      </w:r>
      <w:r>
        <w:t xml:space="preserve"> See </w:t>
      </w:r>
      <w:r w:rsidRPr="00751529">
        <w:rPr>
          <w:i/>
        </w:rPr>
        <w:t>Paulsen v Slip Knot Investments 777 (Pty) Ltd</w:t>
      </w:r>
      <w:r>
        <w:t xml:space="preserve"> [2015] ZACC 5; 2015 (3) SA 479 (CC); 2015 (5) BCLR 509 (CC) at paras 17-8.</w:t>
      </w:r>
    </w:p>
  </w:footnote>
  <w:footnote w:id="50">
    <w:p w:rsidR="00720242" w:rsidRDefault="00720242" w:rsidP="00F479D0">
      <w:pPr>
        <w:pStyle w:val="FootnoteText"/>
      </w:pPr>
      <w:r>
        <w:rPr>
          <w:rStyle w:val="FootnoteReference"/>
        </w:rPr>
        <w:footnoteRef/>
      </w:r>
      <w:r>
        <w:t xml:space="preserve"> Section 15(2) provides:</w:t>
      </w:r>
    </w:p>
    <w:p w:rsidR="00720242" w:rsidRDefault="00720242" w:rsidP="003C7E8E">
      <w:pPr>
        <w:pStyle w:val="QUOTEINFOOTNOTE"/>
      </w:pPr>
      <w:r>
        <w:t>“Any act alleged to constitute an offence under this Act and which is committed outside the Republic by a person other than a person contemplated in subsection (1), shall, regardless of whether or not the act constitutes an offence or not at the place of its commission, be deemed to have been committed also in the Republic if that—</w:t>
      </w:r>
    </w:p>
    <w:p w:rsidR="00720242" w:rsidRDefault="00720242" w:rsidP="003C7E8E">
      <w:pPr>
        <w:pStyle w:val="QUOTEINFOOTNOTE"/>
        <w:ind w:left="2160" w:hanging="720"/>
      </w:pPr>
      <w:r>
        <w:t>(a)</w:t>
      </w:r>
      <w:r>
        <w:tab/>
        <w:t>act affects or is intended to affect a public body, any person or business in the Republic;</w:t>
      </w:r>
    </w:p>
    <w:p w:rsidR="00720242" w:rsidRDefault="00720242" w:rsidP="003C7E8E">
      <w:pPr>
        <w:pStyle w:val="QUOTEINFOOTNOTE"/>
        <w:ind w:firstLine="720"/>
      </w:pPr>
      <w:r>
        <w:t>(b)</w:t>
      </w:r>
      <w:r>
        <w:tab/>
        <w:t>person is found to be in the Republic; and</w:t>
      </w:r>
    </w:p>
    <w:p w:rsidR="00720242" w:rsidRDefault="00720242" w:rsidP="003C7E8E">
      <w:pPr>
        <w:pStyle w:val="QUOTEINFOOTNOTE"/>
        <w:ind w:left="2160" w:hanging="720"/>
      </w:pPr>
      <w:r>
        <w:t>(c)</w:t>
      </w:r>
      <w:r>
        <w:tab/>
        <w:t>person is for one or other reason not extradited by the Republic or if there is no application to extradite that person.”</w:t>
      </w:r>
    </w:p>
  </w:footnote>
  <w:footnote w:id="51">
    <w:p w:rsidR="00720242" w:rsidRDefault="00720242" w:rsidP="0074715B">
      <w:pPr>
        <w:pStyle w:val="FootnoteText"/>
      </w:pPr>
      <w:r>
        <w:rPr>
          <w:rStyle w:val="FootnoteReference"/>
        </w:rPr>
        <w:footnoteRef/>
      </w:r>
      <w:r>
        <w:t xml:space="preserve"> Supreme Court of Appeal judgment above n 2 at para 38.</w:t>
      </w:r>
    </w:p>
  </w:footnote>
  <w:footnote w:id="52">
    <w:p w:rsidR="00874D32" w:rsidRDefault="00720242">
      <w:pPr>
        <w:pStyle w:val="FootnoteText"/>
      </w:pPr>
      <w:r>
        <w:rPr>
          <w:rStyle w:val="FootnoteReference"/>
        </w:rPr>
        <w:footnoteRef/>
      </w:r>
      <w:r>
        <w:t xml:space="preserve"> </w:t>
      </w:r>
      <w:r w:rsidR="00592A5F">
        <w:t>This is helpfully illustrated by</w:t>
      </w:r>
      <w:r w:rsidR="00874D32">
        <w:t xml:space="preserve"> </w:t>
      </w:r>
      <w:r>
        <w:rPr>
          <w:i/>
        </w:rPr>
        <w:t>Continental Illinois Bank v Greek Seamen’s Pension Fund</w:t>
      </w:r>
      <w:r>
        <w:t xml:space="preserve"> 1989 (2) SA 515 (D) at 528</w:t>
      </w:r>
      <w:r w:rsidR="00592A5F">
        <w:t>E-F, where Thirion J noted that “with regard to”, “in respect of” and “with respect or reference to”—</w:t>
      </w:r>
    </w:p>
    <w:p w:rsidR="00720242" w:rsidRPr="00874D32" w:rsidRDefault="00874D32" w:rsidP="00874D32">
      <w:pPr>
        <w:pStyle w:val="QUOTEINFOOTNOTE"/>
      </w:pPr>
      <w:r>
        <w:t xml:space="preserve">“are </w:t>
      </w:r>
      <w:r w:rsidR="00750F64">
        <w:t>all</w:t>
      </w:r>
      <w:r>
        <w:t xml:space="preserve"> expression</w:t>
      </w:r>
      <w:r w:rsidR="00750F64">
        <w:t>s</w:t>
      </w:r>
      <w:r>
        <w:t xml:space="preserve"> of wide import and are used merely to relate the claim to the description of it.”</w:t>
      </w:r>
    </w:p>
  </w:footnote>
  <w:footnote w:id="53">
    <w:p w:rsidR="00720242" w:rsidRDefault="00720242" w:rsidP="0074715B">
      <w:pPr>
        <w:pStyle w:val="FootnoteText"/>
      </w:pPr>
      <w:r>
        <w:rPr>
          <w:rStyle w:val="FootnoteReference"/>
        </w:rPr>
        <w:footnoteRef/>
      </w:r>
      <w:r>
        <w:t xml:space="preserve"> See section 11 of the Act.</w:t>
      </w:r>
    </w:p>
  </w:footnote>
  <w:footnote w:id="54">
    <w:p w:rsidR="00720242" w:rsidRDefault="00720242" w:rsidP="0074715B">
      <w:pPr>
        <w:pStyle w:val="FootnoteText"/>
      </w:pPr>
      <w:r>
        <w:rPr>
          <w:rStyle w:val="FootnoteReference"/>
        </w:rPr>
        <w:footnoteRef/>
      </w:r>
      <w:r>
        <w:t xml:space="preserve"> A court would have jurisdiction over the terrorism crime only if the conjunctive nexus requirements in section 15(2) were met.  It would have jurisdiction over the terrorism-financing crimes if any of the disjunctive requirements in section 15(1)(a)-(c) were met, or, alternatively, if the requirements in section 15(2) were met.</w:t>
      </w:r>
    </w:p>
  </w:footnote>
  <w:footnote w:id="55">
    <w:p w:rsidR="00720242" w:rsidRPr="00EB3607" w:rsidRDefault="00720242" w:rsidP="0074715B">
      <w:pPr>
        <w:pStyle w:val="FootnoteText1"/>
      </w:pPr>
      <w:r w:rsidRPr="00EB3607">
        <w:rPr>
          <w:rStyle w:val="FootnoteReference"/>
        </w:rPr>
        <w:footnoteRef/>
      </w:r>
      <w:r w:rsidRPr="00EB3607">
        <w:t xml:space="preserve"> Section 4 provides:</w:t>
      </w:r>
    </w:p>
    <w:p w:rsidR="00720242" w:rsidRPr="00EB3607" w:rsidRDefault="00720242" w:rsidP="008C0E33">
      <w:pPr>
        <w:pStyle w:val="QUOTEINFOOTNOTE"/>
        <w:ind w:left="1440" w:hanging="720"/>
      </w:pPr>
      <w:bookmarkStart w:id="1" w:name="0-0-0-129793"/>
      <w:bookmarkEnd w:id="1"/>
      <w:r w:rsidRPr="00EB3607">
        <w:t>“(1)</w:t>
      </w:r>
      <w:r w:rsidRPr="00EB3607">
        <w:tab/>
        <w:t>Any person who, directly or indirectly, in whole or in part, and by any means or method—</w:t>
      </w:r>
    </w:p>
    <w:p w:rsidR="00720242" w:rsidRPr="00EB3607" w:rsidRDefault="00720242" w:rsidP="008C0E33">
      <w:pPr>
        <w:pStyle w:val="QUOTEINFOOTNOTE"/>
        <w:ind w:left="1440"/>
      </w:pPr>
      <w:r w:rsidRPr="00EB3607">
        <w:t>[acquires</w:t>
      </w:r>
      <w:bookmarkStart w:id="2" w:name="0-0-0-129797"/>
      <w:bookmarkEnd w:id="2"/>
      <w:r w:rsidRPr="00EB3607">
        <w:t>, collects</w:t>
      </w:r>
      <w:bookmarkStart w:id="3" w:name="0-0-0-129799"/>
      <w:bookmarkStart w:id="4" w:name="0-0-0-129801"/>
      <w:bookmarkEnd w:id="3"/>
      <w:bookmarkEnd w:id="4"/>
      <w:r w:rsidRPr="00EB3607">
        <w:t>, possesses</w:t>
      </w:r>
      <w:bookmarkStart w:id="5" w:name="0-0-0-129803"/>
      <w:bookmarkEnd w:id="5"/>
      <w:r w:rsidRPr="00EB3607">
        <w:t>, uses, owns</w:t>
      </w:r>
      <w:bookmarkStart w:id="6" w:name="0-0-0-129805"/>
      <w:bookmarkEnd w:id="6"/>
      <w:r w:rsidRPr="00EB3607">
        <w:t xml:space="preserve">, provides property or </w:t>
      </w:r>
      <w:bookmarkStart w:id="7" w:name="0-0-0-129807"/>
      <w:bookmarkEnd w:id="7"/>
      <w:r w:rsidRPr="00EB3607">
        <w:t xml:space="preserve">provides financial or </w:t>
      </w:r>
      <w:bookmarkStart w:id="8" w:name="0-0-0-129809"/>
      <w:bookmarkEnd w:id="8"/>
      <w:r w:rsidRPr="00EB3607">
        <w:t>economic support</w:t>
      </w:r>
      <w:bookmarkStart w:id="9" w:name="0-0-0-129811"/>
      <w:bookmarkEnd w:id="9"/>
      <w:r w:rsidRPr="00EB3607">
        <w:t>]</w:t>
      </w:r>
      <w:bookmarkStart w:id="10" w:name="0-0-0-129795"/>
      <w:bookmarkEnd w:id="10"/>
    </w:p>
    <w:p w:rsidR="00720242" w:rsidRPr="00EB3607" w:rsidRDefault="00720242" w:rsidP="008C0E33">
      <w:pPr>
        <w:pStyle w:val="QUOTEINFOOTNOTE"/>
        <w:ind w:left="1440"/>
      </w:pPr>
      <w:r w:rsidRPr="00EB3607">
        <w:t>intending that the property, financial or other service or economic support, as the case may be, be used, or while such person knows or ought reasonably to have known or suspected that the property, service or support concerned will be used, directly or indirectly, in whole or in part—</w:t>
      </w:r>
    </w:p>
    <w:p w:rsidR="00720242" w:rsidRPr="00EB3607" w:rsidRDefault="00720242" w:rsidP="008C0E33">
      <w:pPr>
        <w:pStyle w:val="QUOTEINFOOTNOTE"/>
        <w:numPr>
          <w:ilvl w:val="0"/>
          <w:numId w:val="27"/>
        </w:numPr>
      </w:pPr>
      <w:r w:rsidRPr="00EB3607">
        <w:t>to commit or facilitate the commission of a specified offence;</w:t>
      </w:r>
    </w:p>
    <w:p w:rsidR="00720242" w:rsidRPr="00EB3607" w:rsidRDefault="00720242" w:rsidP="008C0E33">
      <w:pPr>
        <w:pStyle w:val="QUOTEINFOOTNOTE"/>
        <w:numPr>
          <w:ilvl w:val="0"/>
          <w:numId w:val="27"/>
        </w:numPr>
      </w:pPr>
      <w:r w:rsidRPr="00EB3607">
        <w:t>for the benefit of, or on behalf of, or at the direction of, or under the control of an entity which commits or attempts to commit or facilitates the commission of a specified offence</w:t>
      </w:r>
      <w:bookmarkStart w:id="11" w:name="0-0-0-129817"/>
      <w:bookmarkEnd w:id="11"/>
    </w:p>
    <w:p w:rsidR="00720242" w:rsidRPr="00EB3607" w:rsidRDefault="00720242" w:rsidP="008C0E33">
      <w:pPr>
        <w:pStyle w:val="QUOTEINFOOTNOTE"/>
        <w:ind w:left="1440" w:firstLine="720"/>
      </w:pPr>
      <w:r w:rsidRPr="00EB3607">
        <w:t>. . .</w:t>
      </w:r>
    </w:p>
    <w:p w:rsidR="00720242" w:rsidRPr="00EB3607" w:rsidRDefault="00720242" w:rsidP="008C0E33">
      <w:pPr>
        <w:pStyle w:val="QUOTEINFOOTNOTE"/>
        <w:ind w:firstLine="720"/>
      </w:pPr>
      <w:r w:rsidRPr="00EB3607">
        <w:t>is guilty of an offence.</w:t>
      </w:r>
    </w:p>
    <w:p w:rsidR="00720242" w:rsidRPr="00EB3607" w:rsidRDefault="00720242" w:rsidP="008C0E33">
      <w:pPr>
        <w:pStyle w:val="QUOTEINFOOTNOTE"/>
        <w:ind w:left="1440" w:hanging="720"/>
      </w:pPr>
      <w:bookmarkStart w:id="12" w:name="0-0-0-129819"/>
      <w:bookmarkEnd w:id="12"/>
      <w:r w:rsidRPr="00EB3607">
        <w:t>(2)</w:t>
      </w:r>
      <w:r w:rsidRPr="00EB3607">
        <w:tab/>
        <w:t>Any person who, directly or indirectly, in whole or in part, and by any means or method—</w:t>
      </w:r>
    </w:p>
    <w:p w:rsidR="00720242" w:rsidRPr="00EB3607" w:rsidRDefault="00720242" w:rsidP="008C0E33">
      <w:pPr>
        <w:pStyle w:val="QUOTEINFOOTNOTE"/>
        <w:ind w:left="2160" w:hanging="720"/>
      </w:pPr>
      <w:bookmarkStart w:id="13" w:name="0-0-0-129821"/>
      <w:bookmarkEnd w:id="13"/>
      <w:r w:rsidRPr="00EB3607">
        <w:rPr>
          <w:iCs/>
        </w:rPr>
        <w:t>(a)</w:t>
      </w:r>
      <w:r w:rsidRPr="00EB3607">
        <w:tab/>
        <w:t>deals with, enters into or facilitates any transaction or performs any other act in connection with property which such person knows or ought reasonably to have known or suspected to have been acquired, collected, used, possessed, owned or provided—</w:t>
      </w:r>
    </w:p>
    <w:p w:rsidR="00720242" w:rsidRPr="00EB3607" w:rsidRDefault="00720242" w:rsidP="008C0E33">
      <w:pPr>
        <w:pStyle w:val="QUOTEINFOOTNOTE"/>
        <w:ind w:left="1440" w:firstLine="720"/>
      </w:pPr>
      <w:bookmarkStart w:id="14" w:name="0-0-0-129823"/>
      <w:bookmarkEnd w:id="14"/>
      <w:r w:rsidRPr="00EB3607">
        <w:t>(i)</w:t>
      </w:r>
      <w:r w:rsidRPr="00EB3607">
        <w:tab/>
        <w:t>to commit or facilitate the commission of a specified offence;</w:t>
      </w:r>
    </w:p>
    <w:p w:rsidR="00720242" w:rsidRPr="00EB3607" w:rsidRDefault="00720242" w:rsidP="008C0E33">
      <w:pPr>
        <w:pStyle w:val="QUOTEINFOOTNOTE"/>
        <w:ind w:left="2880" w:hanging="720"/>
      </w:pPr>
      <w:bookmarkStart w:id="15" w:name="0-0-0-129825"/>
      <w:bookmarkEnd w:id="15"/>
      <w:r w:rsidRPr="00EB3607">
        <w:t>(ii)</w:t>
      </w:r>
      <w:r w:rsidRPr="00EB3607">
        <w:tab/>
        <w:t>for the benefit of, or on behalf of, or at the direction of, or under the control of an entity which commits or attempts to commit or facilitates the commission of a specified offence</w:t>
      </w:r>
      <w:bookmarkStart w:id="16" w:name="0-0-0-129827"/>
      <w:bookmarkEnd w:id="16"/>
    </w:p>
    <w:p w:rsidR="00720242" w:rsidRPr="00EB3607" w:rsidRDefault="00720242" w:rsidP="008C0E33">
      <w:pPr>
        <w:pStyle w:val="QUOTEINFOOTNOTE"/>
        <w:ind w:left="2880" w:hanging="720"/>
      </w:pPr>
      <w:r w:rsidRPr="00EB3607">
        <w:t>. . .</w:t>
      </w:r>
    </w:p>
    <w:p w:rsidR="00720242" w:rsidRPr="00EB3607" w:rsidRDefault="00720242" w:rsidP="008C0E33">
      <w:pPr>
        <w:pStyle w:val="QUOTEINFOOTNOTE"/>
        <w:ind w:firstLine="720"/>
      </w:pPr>
      <w:bookmarkStart w:id="17" w:name="0-0-0-129829"/>
      <w:bookmarkEnd w:id="17"/>
      <w:r w:rsidRPr="00EB3607">
        <w:t>is guilty of an offence.</w:t>
      </w:r>
    </w:p>
    <w:p w:rsidR="00720242" w:rsidRPr="00EB3607" w:rsidRDefault="00720242" w:rsidP="008C0E33">
      <w:pPr>
        <w:pStyle w:val="QUOTEINFOOTNOTE"/>
        <w:ind w:left="1440" w:hanging="720"/>
      </w:pPr>
      <w:bookmarkStart w:id="18" w:name="0-0-0-129831"/>
      <w:bookmarkEnd w:id="18"/>
      <w:r w:rsidRPr="00EB3607">
        <w:t>(3)</w:t>
      </w:r>
      <w:r w:rsidRPr="00EB3607">
        <w:tab/>
        <w:t>Any person who knows or ought reasonably to have known or suspected that property is property referred to in subsection (2)</w:t>
      </w:r>
      <w:r w:rsidRPr="00EB3607">
        <w:rPr>
          <w:iCs/>
        </w:rPr>
        <w:t>(a)</w:t>
      </w:r>
      <w:r w:rsidRPr="00EB3607">
        <w:t xml:space="preserve"> and enters into, or becomes concerned in, an arrangement which in any way has or is likely to have the effect of—</w:t>
      </w:r>
    </w:p>
    <w:p w:rsidR="00720242" w:rsidRPr="00EB3607" w:rsidRDefault="00720242" w:rsidP="008C0E33">
      <w:pPr>
        <w:pStyle w:val="QUOTEINFOOTNOTE"/>
        <w:ind w:firstLine="720"/>
      </w:pPr>
      <w:bookmarkStart w:id="19" w:name="0-0-0-129833"/>
      <w:bookmarkEnd w:id="19"/>
      <w:r w:rsidRPr="00EB3607">
        <w:t>(a)</w:t>
      </w:r>
      <w:r w:rsidRPr="00EB3607">
        <w:tab/>
        <w:t>facilitating the retention or control of such property by or on behalf of—</w:t>
      </w:r>
    </w:p>
    <w:p w:rsidR="00720242" w:rsidRPr="00EB3607" w:rsidRDefault="00720242" w:rsidP="008C0E33">
      <w:pPr>
        <w:pStyle w:val="QUOTEINFOOTNOTE"/>
        <w:ind w:left="2880" w:hanging="720"/>
      </w:pPr>
      <w:bookmarkStart w:id="20" w:name="0-0-0-129835"/>
      <w:bookmarkEnd w:id="20"/>
      <w:r w:rsidRPr="00EB3607">
        <w:t>(i)</w:t>
      </w:r>
      <w:r w:rsidRPr="00EB3607">
        <w:tab/>
        <w:t>an entity which commits or attempts to commit or facilitates the commission of a specified offence</w:t>
      </w:r>
      <w:bookmarkStart w:id="21" w:name="0-0-0-129837"/>
      <w:bookmarkStart w:id="22" w:name="0-0-0-129839"/>
      <w:bookmarkEnd w:id="21"/>
      <w:bookmarkEnd w:id="22"/>
    </w:p>
    <w:p w:rsidR="00720242" w:rsidRPr="00EB3607" w:rsidRDefault="00720242" w:rsidP="008C0E33">
      <w:pPr>
        <w:pStyle w:val="QUOTEINFOOTNOTE"/>
        <w:ind w:left="2880" w:hanging="720"/>
      </w:pPr>
      <w:r w:rsidRPr="00EB3607">
        <w:t>. . .</w:t>
      </w:r>
    </w:p>
    <w:p w:rsidR="00720242" w:rsidRDefault="00720242" w:rsidP="008C0E33">
      <w:pPr>
        <w:pStyle w:val="QUOTEINFOOTNOTE"/>
        <w:ind w:firstLine="720"/>
      </w:pPr>
      <w:bookmarkStart w:id="23" w:name="0-0-0-129841"/>
      <w:bookmarkStart w:id="24" w:name="0-0-0-129843"/>
      <w:bookmarkStart w:id="25" w:name="0-0-0-129845"/>
      <w:bookmarkEnd w:id="23"/>
      <w:bookmarkEnd w:id="24"/>
      <w:bookmarkEnd w:id="25"/>
      <w:r w:rsidRPr="00EB3607">
        <w:t>is guilty of an offence</w:t>
      </w:r>
      <w:r w:rsidRPr="00523CC6">
        <w:t>.</w:t>
      </w:r>
      <w:r>
        <w:t>”</w:t>
      </w:r>
    </w:p>
  </w:footnote>
  <w:footnote w:id="56">
    <w:p w:rsidR="00720242" w:rsidRDefault="00720242" w:rsidP="0074715B">
      <w:pPr>
        <w:pStyle w:val="FootnoteText"/>
      </w:pPr>
      <w:r>
        <w:rPr>
          <w:rStyle w:val="FootnoteReference"/>
        </w:rPr>
        <w:footnoteRef/>
      </w:r>
      <w:r>
        <w:t xml:space="preserve"> Section 23 is titled </w:t>
      </w:r>
      <w:r w:rsidRPr="00937AB9">
        <w:t>“</w:t>
      </w:r>
      <w:r w:rsidRPr="009178AA">
        <w:t>Freezing order</w:t>
      </w:r>
      <w:r w:rsidRPr="00937AB9">
        <w:t xml:space="preserve">”.  </w:t>
      </w:r>
      <w:r>
        <w:t>It provides:</w:t>
      </w:r>
    </w:p>
    <w:p w:rsidR="00720242" w:rsidRDefault="00720242" w:rsidP="008C0E33">
      <w:pPr>
        <w:pStyle w:val="QUOTEINFOOTNOTE"/>
        <w:ind w:left="1440" w:hanging="720"/>
      </w:pPr>
      <w:r>
        <w:t>(1)</w:t>
      </w:r>
      <w:r>
        <w:tab/>
        <w:t>A High Court may, on ex parte application by the National Director to a judge in chambers, make an order prohibiting any person from engaging in any conduct, or obliging any person to cease any conduct, concerning property in respect of which there are reasonable grounds to believe that the property is owned or controlled by or on behalf of, or at the direction of—</w:t>
      </w:r>
    </w:p>
    <w:p w:rsidR="00720242" w:rsidRPr="00EB3607" w:rsidRDefault="00720242" w:rsidP="008C0E33">
      <w:pPr>
        <w:pStyle w:val="QUOTEINFOOTNOTE"/>
        <w:ind w:left="2160" w:hanging="720"/>
      </w:pPr>
      <w:r>
        <w:t>(a)</w:t>
      </w:r>
      <w:r>
        <w:tab/>
        <w:t xml:space="preserve">any entity which has committed, attempted to commit, participated in or </w:t>
      </w:r>
      <w:r w:rsidRPr="00EB3607">
        <w:t>facilitated the commission of a specified offence; or</w:t>
      </w:r>
    </w:p>
    <w:p w:rsidR="00720242" w:rsidRPr="00EB3607" w:rsidRDefault="00720242" w:rsidP="008C0E33">
      <w:pPr>
        <w:pStyle w:val="QUOTEINFOOTNOTE"/>
        <w:ind w:left="1440" w:firstLine="720"/>
      </w:pPr>
      <w:r w:rsidRPr="00EB3607">
        <w:t>. . .</w:t>
      </w:r>
    </w:p>
    <w:p w:rsidR="00720242" w:rsidRDefault="00720242" w:rsidP="008C0E33">
      <w:pPr>
        <w:pStyle w:val="QUOTEINFOOTNOTE"/>
        <w:ind w:left="1440" w:hanging="720"/>
      </w:pPr>
      <w:r w:rsidRPr="00EB3607">
        <w:t>(2)</w:t>
      </w:r>
      <w:r w:rsidRPr="00EB3607">
        <w:tab/>
        <w:t>An order made</w:t>
      </w:r>
      <w:r>
        <w:t xml:space="preserve"> under subsection (1) may include an order to freeze any such property.”</w:t>
      </w:r>
    </w:p>
  </w:footnote>
  <w:footnote w:id="57">
    <w:p w:rsidR="00720242" w:rsidRDefault="00720242" w:rsidP="0074715B">
      <w:pPr>
        <w:pStyle w:val="FootnoteText"/>
      </w:pPr>
      <w:r>
        <w:rPr>
          <w:rStyle w:val="FootnoteReference"/>
        </w:rPr>
        <w:footnoteRef/>
      </w:r>
      <w:r>
        <w:t xml:space="preserve"> Supreme Court of Appeal judgment above n 2 at para 38.</w:t>
      </w:r>
    </w:p>
  </w:footnote>
  <w:footnote w:id="58">
    <w:p w:rsidR="00720242" w:rsidRDefault="00720242" w:rsidP="0074715B">
      <w:pPr>
        <w:pStyle w:val="FootnoteText"/>
      </w:pPr>
      <w:r>
        <w:rPr>
          <w:rStyle w:val="FootnoteReference"/>
        </w:rPr>
        <w:footnoteRef/>
      </w:r>
      <w:r>
        <w:t xml:space="preserve"> Another absurd result would be that courts would be able to make section 23 freezing orders only in relation to financing offences but not in relation to the offence of terrorism.  Counsel for Mr Okah, in a spirited address, conceded that this is absurd, but he urged this Court to sever this consequence from its interpretation of the statute as a whole.  He enjoined us to read the impact of the Supreme Court of Appeal’s interpretation on</w:t>
      </w:r>
      <w:r w:rsidR="00EF34DD">
        <w:t xml:space="preserve"> section 23 disjunctively, and </w:t>
      </w:r>
      <w:r>
        <w:t xml:space="preserve">separately to “test absurdity in each and every section” of the Act.  This approach is not permissible.  It is well established in this Court’s jurisprudence that the provisions of a statute must be given a sensible and cohesive meaning in light of the wording, background and context as a whole: see, for example, </w:t>
      </w:r>
      <w:r w:rsidRPr="008C7DBC">
        <w:rPr>
          <w:i/>
        </w:rPr>
        <w:t>AB v Minister of Social Development</w:t>
      </w:r>
      <w:r w:rsidRPr="00704384">
        <w:t xml:space="preserve"> [2016] ZACC 43; 2017 (3) SA 570 (CC</w:t>
      </w:r>
      <w:r>
        <w:t>); 2017 (3) BCLR 267 (CC)</w:t>
      </w:r>
      <w:r w:rsidRPr="00704384">
        <w:t xml:space="preserve"> </w:t>
      </w:r>
      <w:r>
        <w:t>at para 274.</w:t>
      </w:r>
    </w:p>
  </w:footnote>
  <w:footnote w:id="59">
    <w:p w:rsidR="00720242" w:rsidRPr="009178AA" w:rsidRDefault="00720242">
      <w:pPr>
        <w:pStyle w:val="FootnoteText"/>
        <w:rPr>
          <w:lang w:val="en-US"/>
        </w:rPr>
      </w:pPr>
      <w:r>
        <w:rPr>
          <w:rStyle w:val="FootnoteReference"/>
        </w:rPr>
        <w:footnoteRef/>
      </w:r>
      <w:r>
        <w:t xml:space="preserve"> </w:t>
      </w:r>
      <w:r w:rsidRPr="00E5333B">
        <w:rPr>
          <w:lang w:val="en-US"/>
        </w:rPr>
        <w:t>See [20]</w:t>
      </w:r>
      <w:r>
        <w:rPr>
          <w:lang w:val="en-US"/>
        </w:rPr>
        <w:t>.</w:t>
      </w:r>
    </w:p>
  </w:footnote>
  <w:footnote w:id="60">
    <w:p w:rsidR="00720242" w:rsidRDefault="00720242" w:rsidP="0074715B">
      <w:pPr>
        <w:pStyle w:val="FootnoteText"/>
      </w:pPr>
      <w:r>
        <w:rPr>
          <w:rStyle w:val="FootnoteReference"/>
        </w:rPr>
        <w:footnoteRef/>
      </w:r>
      <w:r>
        <w:t xml:space="preserve"> See Supreme Court of Appeal above n 2 at para 33.</w:t>
      </w:r>
    </w:p>
  </w:footnote>
  <w:footnote w:id="61">
    <w:p w:rsidR="00720242" w:rsidRDefault="00720242" w:rsidP="008C0E33">
      <w:pPr>
        <w:pStyle w:val="FootnoteText1"/>
      </w:pPr>
      <w:r>
        <w:rPr>
          <w:rStyle w:val="FootnoteReference"/>
        </w:rPr>
        <w:footnoteRef/>
      </w:r>
      <w:r>
        <w:t xml:space="preserve"> As the statute is clear on its face, the presumption under Roman-Dutch law that in “case of doubt, we are obliged to interpret [penal] prohibitions restrictively” does not apply: see </w:t>
      </w:r>
      <w:r w:rsidRPr="00DE4617">
        <w:rPr>
          <w:i/>
        </w:rPr>
        <w:t>Democratic Alliance v African National Congress</w:t>
      </w:r>
      <w:r w:rsidRPr="00DE4617">
        <w:t xml:space="preserve"> </w:t>
      </w:r>
      <w:r>
        <w:t xml:space="preserve">[2015] ZACC 1; </w:t>
      </w:r>
      <w:r w:rsidRPr="00DE4617">
        <w:t>20</w:t>
      </w:r>
      <w:r>
        <w:t>15 (2) SA 232 (</w:t>
      </w:r>
      <w:r w:rsidRPr="00C41193">
        <w:t>CC);</w:t>
      </w:r>
      <w:r w:rsidRPr="00C41193">
        <w:rPr>
          <w:sz w:val="24"/>
        </w:rPr>
        <w:t xml:space="preserve"> </w:t>
      </w:r>
      <w:r w:rsidRPr="00C41193">
        <w:rPr>
          <w:szCs w:val="17"/>
        </w:rPr>
        <w:t xml:space="preserve">2015 (3) BCLR 298 (CC) </w:t>
      </w:r>
      <w:r w:rsidRPr="00C41193">
        <w:t xml:space="preserve">at paras 129-30.  Even if the statute were not clear, the presumption would likely not apply because the ambiguity </w:t>
      </w:r>
      <w:r>
        <w:t xml:space="preserve">relates to jurisdiction and not to the definition of a crime.  The rationale for the presumption is that a “subject must know clearly and certainly when he or she is subject to penalty by the state”: </w:t>
      </w:r>
      <w:r>
        <w:rPr>
          <w:i/>
        </w:rPr>
        <w:t>Democratic Alliance</w:t>
      </w:r>
      <w:r w:rsidRPr="008C0E33">
        <w:rPr>
          <w:i/>
        </w:rPr>
        <w:t xml:space="preserve"> </w:t>
      </w:r>
      <w:r>
        <w:t>at para 130.  It is clear that Mr Okah’s activities fall within the definition of the offence of terrorism in section 2 of the Act.</w:t>
      </w:r>
    </w:p>
  </w:footnote>
  <w:footnote w:id="62">
    <w:p w:rsidR="00720242" w:rsidRDefault="00720242">
      <w:pPr>
        <w:pStyle w:val="FootnoteText"/>
      </w:pPr>
      <w:r>
        <w:rPr>
          <w:rStyle w:val="FootnoteReference"/>
        </w:rPr>
        <w:footnoteRef/>
      </w:r>
      <w:r>
        <w:t xml:space="preserve"> </w:t>
      </w:r>
      <w:r w:rsidRPr="00CE1693">
        <w:rPr>
          <w:i/>
        </w:rPr>
        <w:t>Cool Ideas 1186 CC v Hubbard</w:t>
      </w:r>
      <w:r>
        <w:t xml:space="preserve"> [2014] ZACC 16; 2014 (4) SA </w:t>
      </w:r>
      <w:r w:rsidRPr="00C41193">
        <w:t xml:space="preserve">474 (CC); </w:t>
      </w:r>
      <w:r w:rsidRPr="00C41193">
        <w:rPr>
          <w:szCs w:val="20"/>
        </w:rPr>
        <w:t>2014 (8) BCLR 869 (CC)</w:t>
      </w:r>
      <w:r w:rsidRPr="00C41193">
        <w:t xml:space="preserve"> at para 28(a) and </w:t>
      </w:r>
      <w:r w:rsidRPr="00C41193">
        <w:rPr>
          <w:i/>
        </w:rPr>
        <w:t>City Capital SA Property Holdings Ltd v Chavonnes Badenhorst St Clair Cooper N.O.</w:t>
      </w:r>
      <w:r w:rsidRPr="00C41193">
        <w:t xml:space="preserve"> [2017] ZASCA 177; 2017 JDR 1955 (SCA) at para 26.</w:t>
      </w:r>
    </w:p>
  </w:footnote>
  <w:footnote w:id="63">
    <w:p w:rsidR="00720242" w:rsidRPr="00556BC1" w:rsidRDefault="00720242" w:rsidP="0074715B">
      <w:pPr>
        <w:pStyle w:val="FootnoteText1"/>
      </w:pPr>
      <w:r>
        <w:rPr>
          <w:rStyle w:val="FootnoteReference"/>
        </w:rPr>
        <w:footnoteRef/>
      </w:r>
      <w:r>
        <w:t xml:space="preserve"> The preamble lists 14 instruments that South </w:t>
      </w:r>
      <w:r w:rsidRPr="00A35CF4">
        <w:t>Africa is either bound by, including UN Security Council Resolution 1373/2001 and the OAU Convention for the Prevention and Combating of Terrorism, 14</w:t>
      </w:r>
      <w:r>
        <w:t xml:space="preserve"> July 1999, or “desires to become a party to”.</w:t>
      </w:r>
    </w:p>
  </w:footnote>
  <w:footnote w:id="64">
    <w:p w:rsidR="00720242" w:rsidRDefault="00720242" w:rsidP="0074715B">
      <w:pPr>
        <w:pStyle w:val="FootnoteText"/>
      </w:pPr>
      <w:r>
        <w:rPr>
          <w:rStyle w:val="FootnoteReference"/>
        </w:rPr>
        <w:footnoteRef/>
      </w:r>
      <w:r>
        <w:t xml:space="preserve"> See [32].  The preamble also explicitly states that one of the purposes of the Act is to provide broad jurisdiction:</w:t>
      </w:r>
    </w:p>
    <w:p w:rsidR="00720242" w:rsidRDefault="00720242" w:rsidP="0074715B">
      <w:pPr>
        <w:pStyle w:val="QUOTEINFOOTNOTE"/>
      </w:pPr>
      <w:r>
        <w:t xml:space="preserve">“And realizing the importance to enact appropriate domestic legislation necessary to implement the provisions of relevant international instruments dealing with terrorist and related activities, to </w:t>
      </w:r>
      <w:r w:rsidRPr="00C8438F">
        <w:rPr>
          <w:i/>
        </w:rPr>
        <w:t>ensure that the jurisdiction of the courts of the Republic of South Africa enables them to bring to trial the perpetrators of terrorist and related activities</w:t>
      </w:r>
      <w:r>
        <w:t>.”</w:t>
      </w:r>
    </w:p>
  </w:footnote>
  <w:footnote w:id="65">
    <w:p w:rsidR="00720242" w:rsidRPr="002D57EB" w:rsidRDefault="00720242" w:rsidP="004914E4">
      <w:pPr>
        <w:pStyle w:val="FootnoteText"/>
      </w:pPr>
      <w:r w:rsidRPr="00CF261D">
        <w:rPr>
          <w:rStyle w:val="FootnoteReference"/>
        </w:rPr>
        <w:footnoteRef/>
      </w:r>
      <w:r w:rsidRPr="00CF261D">
        <w:t xml:space="preserve"> As of the date of commencement of the Act, South Africa was party to the Convention on Offences and Certain Other Acts Committed on Board Aircraft, 14 September 1963; Convention for the Suppression of Unlawful Seizure of Aircraft, 16 December 1970; Convention for the Suppression of Unlawful Acts against the Safety of Civil Aviation, 23 September 1971; Convention on the Prevention and Punishment of Crimes against Internationally Protected Persons including Diplomatic Agents, 14 December </w:t>
      </w:r>
      <w:r>
        <w:t>1973; International Convention a</w:t>
      </w:r>
      <w:r w:rsidRPr="00CF261D">
        <w:t xml:space="preserve">gainst the Taking of Hostages, 17 December 1979; Protocol for the Suppression of Unlawful Acts of Violence at Airports Serving International Civil Aviation, 24 February 1988; Convention on the Marking of Plastic Explosives for the Purpose of Detection, 1 </w:t>
      </w:r>
      <w:r w:rsidRPr="002D57EB">
        <w:t>March 1991; International Convention for the Suppression of Terrorist Bombings (Terrorist Bombings Convention), 15 December 1997; and International Convention on the Suppression of the Financing of Terrorism, 9 December 1999.</w:t>
      </w:r>
    </w:p>
    <w:p w:rsidR="00720242" w:rsidRDefault="00720242" w:rsidP="004914E4">
      <w:pPr>
        <w:pStyle w:val="FootnoteText"/>
      </w:pPr>
      <w:r w:rsidRPr="002D57EB">
        <w:t>The preamble of the Act acknowledges UN Security Council Resolution 1373/2001 as binding on all Member States.  UN Security Council Resolution 1373/2001 requires that states</w:t>
      </w:r>
      <w:r>
        <w:t xml:space="preserve"> shall—</w:t>
      </w:r>
    </w:p>
    <w:p w:rsidR="00720242" w:rsidRDefault="00720242" w:rsidP="004914E4">
      <w:pPr>
        <w:pStyle w:val="QUOTEINFOOTNOTE"/>
      </w:pPr>
      <w:r w:rsidRPr="00484CE4">
        <w:t>“[e]nsure that any person who participates in the financing, planning, preparation or perpetration of terrorist acts or in supporting terrorist acts is brought to justice and ensure that, in addition to any other measures against them, such terrorist acts are established as serious criminal offences in domestic laws and regulations and that the punishment duly reflects the seriousness of such terrorist acts</w:t>
      </w:r>
      <w:r>
        <w:t>.”</w:t>
      </w:r>
    </w:p>
  </w:footnote>
  <w:footnote w:id="66">
    <w:p w:rsidR="00720242" w:rsidRDefault="00720242" w:rsidP="0074715B">
      <w:pPr>
        <w:pStyle w:val="FootnoteText"/>
      </w:pPr>
      <w:r>
        <w:rPr>
          <w:rStyle w:val="FootnoteReference"/>
        </w:rPr>
        <w:footnoteRef/>
      </w:r>
      <w:r>
        <w:t xml:space="preserve"> The duty to prosecute or extradite can be found in several international and regional instruments to which South Africa is a party and which are mentioned in the preamble of the Act.  For example, Article 6(4) of the Terrorist Bombings Convention obliges South Africa to—</w:t>
      </w:r>
    </w:p>
    <w:p w:rsidR="00720242" w:rsidRDefault="00720242" w:rsidP="0074715B">
      <w:pPr>
        <w:pStyle w:val="QUOTEINFOOTNOTE"/>
      </w:pPr>
      <w:r>
        <w:t>“take such measures as may be necessary to establish its jurisdiction over the offences set forth in Article 2 in cases where the alleged offender is present in its territory and it does not extradite that person to any of the States Parties which have established their jurisdiction.”</w:t>
      </w:r>
    </w:p>
    <w:p w:rsidR="00720242" w:rsidRDefault="00720242" w:rsidP="0074715B">
      <w:pPr>
        <w:pStyle w:val="FootnoteText"/>
      </w:pPr>
      <w:r>
        <w:t>Article 7(4) of the International Convention for the Suppression of the Financing of Terrorism obliges South Africa to—</w:t>
      </w:r>
    </w:p>
    <w:p w:rsidR="00720242" w:rsidRDefault="00720242" w:rsidP="0074715B">
      <w:pPr>
        <w:pStyle w:val="QUOTEINFOOTNOTE"/>
      </w:pPr>
      <w:r>
        <w:t>“take such measures as may be necessary to establish its jurisdiction over the offences set forth in Article 2 in cases where the alleged offender is present in its territory and it does not extradite that person to any of the States Parties that have established their jurisdiction.”</w:t>
      </w:r>
    </w:p>
    <w:p w:rsidR="00720242" w:rsidRDefault="00720242" w:rsidP="0074715B">
      <w:pPr>
        <w:pStyle w:val="FootnoteText"/>
      </w:pPr>
      <w:r>
        <w:t>Article 6(4) of the OAU Convention for the Prevention and Combating of Terrorism provides:</w:t>
      </w:r>
    </w:p>
    <w:p w:rsidR="00720242" w:rsidRDefault="00720242" w:rsidP="0074715B">
      <w:pPr>
        <w:pStyle w:val="QUOTEINFOOTNOTE"/>
      </w:pPr>
      <w:r>
        <w:t>“Each State Party shall likewise take such measures as may be necessary to establish its jurisdiction over the acts set forth in Article 1 in cases where the alleged offender is present in its territory and it does not extradite that person to any of the States Parties which have established their jurisdiction.”</w:t>
      </w:r>
    </w:p>
  </w:footnote>
  <w:footnote w:id="67">
    <w:p w:rsidR="00720242" w:rsidRDefault="00720242" w:rsidP="0074715B">
      <w:pPr>
        <w:pStyle w:val="FootnoteText"/>
      </w:pPr>
      <w:r>
        <w:rPr>
          <w:rStyle w:val="FootnoteReference"/>
        </w:rPr>
        <w:footnoteRef/>
      </w:r>
      <w:r>
        <w:t xml:space="preserve"> Supreme Court of Appeal judgment above n 2 at paras 27-31.</w:t>
      </w:r>
    </w:p>
  </w:footnote>
  <w:footnote w:id="68">
    <w:p w:rsidR="00720242" w:rsidRPr="00360C42" w:rsidRDefault="00720242" w:rsidP="0074715B">
      <w:pPr>
        <w:pStyle w:val="FootnoteText"/>
      </w:pPr>
      <w:r>
        <w:rPr>
          <w:rStyle w:val="FootnoteReference"/>
        </w:rPr>
        <w:footnoteRef/>
      </w:r>
      <w:r>
        <w:t xml:space="preserve"> Other methods of asserting jurisdiction include subjective and objective territoriality, protection of the state, nationality, passive personality</w:t>
      </w:r>
      <w:r w:rsidRPr="00360C42">
        <w:t xml:space="preserve"> and universal jurisdiction</w:t>
      </w:r>
      <w:r>
        <w:t>: see Dugard</w:t>
      </w:r>
      <w:r w:rsidRPr="00360C42">
        <w:t xml:space="preserve"> I</w:t>
      </w:r>
      <w:r w:rsidRPr="008C0E33">
        <w:rPr>
          <w:i/>
        </w:rPr>
        <w:t>nternational Law: A South African Perspective</w:t>
      </w:r>
      <w:r w:rsidRPr="00360C42">
        <w:t xml:space="preserve"> </w:t>
      </w:r>
      <w:r>
        <w:t xml:space="preserve">4 ed </w:t>
      </w:r>
      <w:r w:rsidRPr="00360C42">
        <w:t>(Juta Ltd, Cape Town 201</w:t>
      </w:r>
      <w:r>
        <w:t>1</w:t>
      </w:r>
      <w:r w:rsidRPr="00360C42">
        <w:t>) at 148-57</w:t>
      </w:r>
      <w:r>
        <w:t xml:space="preserve">.  </w:t>
      </w:r>
      <w:r w:rsidRPr="00360C42">
        <w:t xml:space="preserve">See also </w:t>
      </w:r>
      <w:r w:rsidRPr="00360C42">
        <w:rPr>
          <w:i/>
        </w:rPr>
        <w:t xml:space="preserve">S v Basson </w:t>
      </w:r>
      <w:r w:rsidRPr="00360C42">
        <w:t>[2005] ZACC 10; 2007 (3) SA 582 (CC); 2005 (12) BCLR 1192 (CC)</w:t>
      </w:r>
      <w:r>
        <w:t xml:space="preserve"> at paras 223-5</w:t>
      </w:r>
      <w:r w:rsidRPr="00360C42">
        <w:t>.</w:t>
      </w:r>
    </w:p>
  </w:footnote>
  <w:footnote w:id="69">
    <w:p w:rsidR="00720242" w:rsidRPr="00360C42" w:rsidRDefault="00720242" w:rsidP="0074715B">
      <w:pPr>
        <w:pStyle w:val="FootnoteText"/>
      </w:pPr>
      <w:r w:rsidRPr="00360C42">
        <w:rPr>
          <w:rStyle w:val="FootnoteReference"/>
        </w:rPr>
        <w:footnoteRef/>
      </w:r>
      <w:r w:rsidRPr="00360C42">
        <w:t xml:space="preserve"> While true universal jurisdiction applied only to crimes under customary international law (pir</w:t>
      </w:r>
      <w:r>
        <w:t>acy, slave</w:t>
      </w:r>
      <w:r>
        <w:noBreakHyphen/>
      </w:r>
      <w:r w:rsidRPr="00360C42">
        <w:t>trading, war c</w:t>
      </w:r>
      <w:r>
        <w:t xml:space="preserve">rimes, crimes against humanity </w:t>
      </w:r>
      <w:r w:rsidRPr="00360C42">
        <w:t>and torture)—</w:t>
      </w:r>
    </w:p>
    <w:p w:rsidR="00720242" w:rsidRPr="00360C42" w:rsidRDefault="00720242" w:rsidP="009178AA">
      <w:pPr>
        <w:pStyle w:val="QUOTEINFOOTNOTE"/>
      </w:pPr>
      <w:r w:rsidRPr="00360C42">
        <w:t>“in recent years a number of international crimes have been created by multilateral treaties, which confer wide jurisdictional powers upon state parties.  Here there is a type o</w:t>
      </w:r>
      <w:r>
        <w:t>f quasi</w:t>
      </w:r>
      <w:r>
        <w:noBreakHyphen/>
      </w:r>
      <w:r w:rsidRPr="00360C42">
        <w:t>universal jurisdiction in that signatory states are required to prosecute or extradite persons who happen to be present in their territory.”</w:t>
      </w:r>
    </w:p>
    <w:p w:rsidR="0007686F" w:rsidRDefault="00720242" w:rsidP="0074715B">
      <w:pPr>
        <w:pStyle w:val="FootnoteText"/>
      </w:pPr>
      <w:r w:rsidRPr="00360C42">
        <w:t xml:space="preserve">Dugard </w:t>
      </w:r>
      <w:r>
        <w:t xml:space="preserve">id </w:t>
      </w:r>
      <w:r w:rsidRPr="00360C42">
        <w:t xml:space="preserve">at 154.  See also </w:t>
      </w:r>
      <w:r w:rsidRPr="00360C42">
        <w:rPr>
          <w:i/>
        </w:rPr>
        <w:t>National Commissioner of The South African Police Service v Southern African Human Rights Litigation Centre</w:t>
      </w:r>
      <w:r w:rsidRPr="00360C42">
        <w:t xml:space="preserve"> [2014] ZACC 30; 2015 (1) SA 315 (CC); 2014 (12) B</w:t>
      </w:r>
      <w:r w:rsidR="002A3A5E">
        <w:t>CLR 1428 (CC) at para </w:t>
      </w:r>
      <w:r w:rsidR="0007686F">
        <w:t xml:space="preserve">74, </w:t>
      </w:r>
      <w:r>
        <w:t>noting</w:t>
      </w:r>
      <w:r w:rsidR="0007686F">
        <w:t xml:space="preserve"> that the—</w:t>
      </w:r>
    </w:p>
    <w:p w:rsidR="00720242" w:rsidRPr="00360C42" w:rsidRDefault="00720242" w:rsidP="0007686F">
      <w:pPr>
        <w:pStyle w:val="QUOTEINFOOTNOTE"/>
      </w:pPr>
      <w:r w:rsidRPr="00360C42">
        <w:t xml:space="preserve">“cornerstone of the universality principle, in general, and the Rome Statute, in particular, is to hold torturers, genocidaires, pirates </w:t>
      </w:r>
      <w:r w:rsidRPr="00C10B8B">
        <w:rPr>
          <w:i/>
        </w:rPr>
        <w:t>and</w:t>
      </w:r>
      <w:r w:rsidRPr="008C0E33">
        <w:rPr>
          <w:i/>
        </w:rPr>
        <w:t xml:space="preserve"> </w:t>
      </w:r>
      <w:r w:rsidRPr="00C10B8B">
        <w:rPr>
          <w:i/>
        </w:rPr>
        <w:t>their ilk</w:t>
      </w:r>
      <w:r w:rsidRPr="003928D9">
        <w:t>,</w:t>
      </w:r>
      <w:r w:rsidRPr="00360C42">
        <w:t xml:space="preserve"> the so-called </w:t>
      </w:r>
      <w:r w:rsidRPr="00360C42">
        <w:rPr>
          <w:i/>
        </w:rPr>
        <w:t>hostis humani generis</w:t>
      </w:r>
      <w:r w:rsidRPr="00360C42">
        <w:t>, the enemy of all humankind, accountable for their crimes, wherever they may have committed them or w</w:t>
      </w:r>
      <w:r w:rsidR="0007686F">
        <w:t>herever they may be domiciled.”</w:t>
      </w:r>
    </w:p>
    <w:p w:rsidR="00720242" w:rsidRDefault="00720242" w:rsidP="0074715B">
      <w:pPr>
        <w:pStyle w:val="FootnoteText"/>
      </w:pPr>
      <w:r w:rsidRPr="00360C42">
        <w:t xml:space="preserve">We need not determine whether terrorism has crystallised into a crime under customary international law, though the plethora of UN resolutions, treaties and state practice suggests that it has.  See </w:t>
      </w:r>
      <w:r w:rsidRPr="00360C42">
        <w:rPr>
          <w:i/>
        </w:rPr>
        <w:t>Interlocutory Decision of the Appeals Chamber of the Special Tribunal for Lebanon</w:t>
      </w:r>
      <w:r w:rsidRPr="00360C42">
        <w:t xml:space="preserve">, Case No STL-11-01/1 at para 85.  It is enough to note that </w:t>
      </w:r>
      <w:r>
        <w:t>there are 170 parties to the</w:t>
      </w:r>
      <w:r w:rsidRPr="00360C42">
        <w:t xml:space="preserve"> Terrorist Bombings</w:t>
      </w:r>
      <w:r>
        <w:t xml:space="preserve"> Convention, including both South Africa and Nigeria.</w:t>
      </w:r>
    </w:p>
  </w:footnote>
  <w:footnote w:id="70">
    <w:p w:rsidR="008E1236" w:rsidRPr="00A727C5" w:rsidRDefault="008E1236" w:rsidP="008E1236">
      <w:pPr>
        <w:pStyle w:val="FootnoteText1"/>
      </w:pPr>
      <w:r w:rsidRPr="00A727C5">
        <w:rPr>
          <w:rStyle w:val="FootnoteReference"/>
          <w:szCs w:val="20"/>
        </w:rPr>
        <w:footnoteRef/>
      </w:r>
      <w:r w:rsidR="005476D5">
        <w:t xml:space="preserve"> See above n 10</w:t>
      </w:r>
      <w:r>
        <w:t>.</w:t>
      </w:r>
    </w:p>
  </w:footnote>
  <w:footnote w:id="71">
    <w:p w:rsidR="00720242" w:rsidRDefault="00720242" w:rsidP="0074715B">
      <w:pPr>
        <w:pStyle w:val="FootnoteText"/>
      </w:pPr>
      <w:r>
        <w:rPr>
          <w:rStyle w:val="FootnoteReference"/>
        </w:rPr>
        <w:footnoteRef/>
      </w:r>
      <w:r>
        <w:t xml:space="preserve"> Section 1(5) complicates the applicability of section 1(4), though it need </w:t>
      </w:r>
      <w:r w:rsidR="002A3A5E">
        <w:t>not be addressed here.  Section </w:t>
      </w:r>
      <w:r>
        <w:t>1(5) reads:</w:t>
      </w:r>
    </w:p>
    <w:p w:rsidR="00720242" w:rsidRDefault="00720242" w:rsidP="0074715B">
      <w:pPr>
        <w:pStyle w:val="QUOTEINFOOTNOTE"/>
      </w:pPr>
      <w:r>
        <w:t>“Notwithstanding any provision in any other law, and subject to subsection (4), a political, philosophical, ideological, racial, ethnic, religious or any similar motive, shall not be considered for any reason, including for purposes of prosecution or extradition, to be a justifiable defense in respect of an offence of which the definition of terrorist activity forms an integral part.”</w:t>
      </w:r>
    </w:p>
  </w:footnote>
  <w:footnote w:id="72">
    <w:p w:rsidR="00720242" w:rsidRDefault="00720242" w:rsidP="0074715B">
      <w:pPr>
        <w:pStyle w:val="FootnoteText"/>
      </w:pPr>
      <w:r>
        <w:rPr>
          <w:rStyle w:val="FootnoteReference"/>
        </w:rPr>
        <w:footnoteRef/>
      </w:r>
      <w:r>
        <w:t xml:space="preserve"> See also Cachalia “Counter-Terrorism and International Cooperation Against Terrorism – An Elusive Goal: A South African Perspective” 2010 </w:t>
      </w:r>
      <w:r w:rsidRPr="008C0E33">
        <w:rPr>
          <w:i/>
        </w:rPr>
        <w:t>SAJHR</w:t>
      </w:r>
      <w:r>
        <w:t xml:space="preserve"> 510 at 519-25.</w:t>
      </w:r>
    </w:p>
  </w:footnote>
  <w:footnote w:id="73">
    <w:p w:rsidR="00720242" w:rsidRPr="00585BFE" w:rsidRDefault="00720242" w:rsidP="0074715B">
      <w:pPr>
        <w:pStyle w:val="FootnoteText"/>
        <w:rPr>
          <w:lang w:val="en-US"/>
        </w:rPr>
      </w:pPr>
      <w:r>
        <w:rPr>
          <w:rStyle w:val="FootnoteReference"/>
        </w:rPr>
        <w:footnoteRef/>
      </w:r>
      <w:r>
        <w:t xml:space="preserve"> </w:t>
      </w:r>
      <w:r w:rsidRPr="00DD32E3">
        <w:t>Section 1(4)</w:t>
      </w:r>
      <w:r>
        <w:t xml:space="preserve"> was raised belatedly in argument at the very end of the High Court trial.  No evidential inquiry took place during the trial regarding its terms.  The claim was abandoned before the Supreme Court of Appeal and only raised before this Court one week before the initial set-down date</w:t>
      </w:r>
      <w:r w:rsidRPr="008455F2">
        <w:t xml:space="preserve"> </w:t>
      </w:r>
      <w:r>
        <w:t>of 1 August 2017.</w:t>
      </w:r>
    </w:p>
  </w:footnote>
  <w:footnote w:id="74">
    <w:p w:rsidR="00720242" w:rsidRPr="000E4707" w:rsidRDefault="00720242" w:rsidP="0074715B">
      <w:pPr>
        <w:pStyle w:val="FootnoteText"/>
        <w:rPr>
          <w:lang w:val="en-US"/>
        </w:rPr>
      </w:pPr>
      <w:r>
        <w:rPr>
          <w:rStyle w:val="FootnoteReference"/>
        </w:rPr>
        <w:footnoteRef/>
      </w:r>
      <w:r>
        <w:t xml:space="preserve"> </w:t>
      </w:r>
      <w:r>
        <w:rPr>
          <w:lang w:val="en-US"/>
        </w:rPr>
        <w:t>The applicability of international humanitarian law ordinarily requires the determination that either an international or non-international armed conflict exists.  However, under Article 1(4) of the First Additional Protocol to the Geneva Conventions, 8 June 1977, “international armed conflict” includes “armed conflicts in which peoples are fighting against colonial domination and alien occupation and against racist regimes in the exercise of their right to self-determination”.  Therefore, it may be assumed that international humanitarian law will apply in any situation in which criteria (1) and (2) of section 1(4) have been met.</w:t>
      </w:r>
    </w:p>
  </w:footnote>
  <w:footnote w:id="75">
    <w:p w:rsidR="00720242" w:rsidRDefault="00720242" w:rsidP="0074715B">
      <w:pPr>
        <w:pStyle w:val="FootnoteText"/>
        <w:rPr>
          <w:lang w:val="en-US"/>
        </w:rPr>
      </w:pPr>
      <w:r>
        <w:rPr>
          <w:rStyle w:val="FootnoteReference"/>
        </w:rPr>
        <w:footnoteRef/>
      </w:r>
      <w:r>
        <w:t xml:space="preserve"> </w:t>
      </w:r>
      <w:r>
        <w:rPr>
          <w:lang w:val="en-US"/>
        </w:rPr>
        <w:t>See, for example, Article 51(4) of the First Additional Protocol to the Geneva Conventions, which states:</w:t>
      </w:r>
    </w:p>
    <w:p w:rsidR="00720242" w:rsidRPr="005421A9" w:rsidRDefault="00720242" w:rsidP="00E168BC">
      <w:pPr>
        <w:pStyle w:val="QUOTEINFOOTNOTE"/>
        <w:rPr>
          <w:lang w:val="en-US"/>
        </w:rPr>
      </w:pPr>
      <w:r>
        <w:rPr>
          <w:lang w:val="en-US"/>
        </w:rPr>
        <w:t>“</w:t>
      </w:r>
      <w:r w:rsidRPr="005421A9">
        <w:rPr>
          <w:lang w:val="en-US"/>
        </w:rPr>
        <w:t>Indiscriminate attacks are prohibited.</w:t>
      </w:r>
      <w:r>
        <w:rPr>
          <w:lang w:val="en-US"/>
        </w:rPr>
        <w:t xml:space="preserve"> </w:t>
      </w:r>
      <w:r w:rsidRPr="005421A9">
        <w:rPr>
          <w:lang w:val="en-US"/>
        </w:rPr>
        <w:t xml:space="preserve"> Indiscrimi</w:t>
      </w:r>
      <w:r>
        <w:rPr>
          <w:lang w:val="en-US"/>
        </w:rPr>
        <w:t>nate attacks are:</w:t>
      </w:r>
    </w:p>
    <w:p w:rsidR="00720242" w:rsidRPr="005421A9" w:rsidRDefault="00720242" w:rsidP="00E168BC">
      <w:pPr>
        <w:pStyle w:val="QUOTEINFOOTNOTE"/>
        <w:rPr>
          <w:lang w:val="en-US"/>
        </w:rPr>
      </w:pPr>
      <w:r>
        <w:rPr>
          <w:lang w:val="en-US"/>
        </w:rPr>
        <w:t>(a)</w:t>
      </w:r>
      <w:r>
        <w:rPr>
          <w:lang w:val="en-US"/>
        </w:rPr>
        <w:tab/>
      </w:r>
      <w:r w:rsidRPr="005421A9">
        <w:rPr>
          <w:lang w:val="en-US"/>
        </w:rPr>
        <w:t>those which are not directed at</w:t>
      </w:r>
      <w:r>
        <w:rPr>
          <w:lang w:val="en-US"/>
        </w:rPr>
        <w:t xml:space="preserve"> a specific military objective;</w:t>
      </w:r>
    </w:p>
    <w:p w:rsidR="00720242" w:rsidRPr="005421A9" w:rsidRDefault="00720242" w:rsidP="00E168BC">
      <w:pPr>
        <w:pStyle w:val="QUOTEINFOOTNOTE"/>
        <w:ind w:left="1440" w:hanging="720"/>
        <w:rPr>
          <w:lang w:val="en-US"/>
        </w:rPr>
      </w:pPr>
      <w:r>
        <w:rPr>
          <w:lang w:val="en-US"/>
        </w:rPr>
        <w:t>(b)</w:t>
      </w:r>
      <w:r>
        <w:rPr>
          <w:lang w:val="en-US"/>
        </w:rPr>
        <w:tab/>
      </w:r>
      <w:r w:rsidRPr="005421A9">
        <w:rPr>
          <w:lang w:val="en-US"/>
        </w:rPr>
        <w:t xml:space="preserve">those which employ a method or </w:t>
      </w:r>
      <w:r>
        <w:rPr>
          <w:lang w:val="en-US"/>
        </w:rPr>
        <w:t xml:space="preserve">means of combat which cannot be </w:t>
      </w:r>
      <w:r w:rsidRPr="005421A9">
        <w:rPr>
          <w:lang w:val="en-US"/>
        </w:rPr>
        <w:t>directed at a specific military objective; or</w:t>
      </w:r>
    </w:p>
    <w:p w:rsidR="00720242" w:rsidRPr="005421A9" w:rsidRDefault="00720242" w:rsidP="00E168BC">
      <w:pPr>
        <w:pStyle w:val="QUOTEINFOOTNOTE"/>
        <w:ind w:left="1440" w:hanging="720"/>
        <w:rPr>
          <w:lang w:val="en-US"/>
        </w:rPr>
      </w:pPr>
      <w:r>
        <w:rPr>
          <w:lang w:val="en-US"/>
        </w:rPr>
        <w:t>(c)</w:t>
      </w:r>
      <w:r>
        <w:rPr>
          <w:lang w:val="en-US"/>
        </w:rPr>
        <w:tab/>
      </w:r>
      <w:r w:rsidRPr="005421A9">
        <w:rPr>
          <w:lang w:val="en-US"/>
        </w:rPr>
        <w:t>those which employ a method or means of combat the effects of which cannot be limited as required by this Protocol; and consequently, in each such case, are of a nature to strike military objectives and civilians or civilian objects without distinction.</w:t>
      </w:r>
      <w:r>
        <w:rPr>
          <w:lang w:val="en-US"/>
        </w:rPr>
        <w:t>”</w:t>
      </w:r>
    </w:p>
  </w:footnote>
  <w:footnote w:id="76">
    <w:p w:rsidR="00720242" w:rsidRPr="009178AA" w:rsidRDefault="00720242">
      <w:pPr>
        <w:pStyle w:val="FootnoteText"/>
        <w:rPr>
          <w:lang w:val="en-US"/>
        </w:rPr>
      </w:pPr>
      <w:r>
        <w:rPr>
          <w:rStyle w:val="FootnoteReference"/>
        </w:rPr>
        <w:footnoteRef/>
      </w:r>
      <w:r>
        <w:t xml:space="preserve"> </w:t>
      </w:r>
      <w:r>
        <w:rPr>
          <w:lang w:val="en-US"/>
        </w:rPr>
        <w:t>Mr Okah’s actions violated core principles of international humanitarian law.  Therefore, the Court need not determine the applicability of section 1(4) in instances where only minor violations have been alleged.</w:t>
      </w:r>
    </w:p>
  </w:footnote>
  <w:footnote w:id="77">
    <w:p w:rsidR="00720242" w:rsidRDefault="00720242" w:rsidP="0074715B">
      <w:pPr>
        <w:pStyle w:val="FootnoteText"/>
      </w:pPr>
      <w:r>
        <w:rPr>
          <w:rStyle w:val="FootnoteReference"/>
        </w:rPr>
        <w:footnoteRef/>
      </w:r>
      <w:r>
        <w:t xml:space="preserve"> Supreme Court of Appeal judgment above n 2 at para 14.</w:t>
      </w:r>
    </w:p>
  </w:footnote>
  <w:footnote w:id="78">
    <w:p w:rsidR="00720242" w:rsidRDefault="00720242" w:rsidP="00594EDE">
      <w:pPr>
        <w:pStyle w:val="FootnoteText"/>
      </w:pPr>
      <w:r>
        <w:rPr>
          <w:rStyle w:val="FootnoteReference"/>
        </w:rPr>
        <w:footnoteRef/>
      </w:r>
      <w:r>
        <w:t xml:space="preserve"> The three special entries sought are described in Mr Okah’s notice of motion as follows:</w:t>
      </w:r>
    </w:p>
    <w:p w:rsidR="00720242" w:rsidRDefault="00720242" w:rsidP="002A331C">
      <w:pPr>
        <w:pStyle w:val="QUOTEINFOOTNOTE"/>
      </w:pPr>
      <w:r>
        <w:t>“The proceedings in the above matter are irregular in that:</w:t>
      </w:r>
    </w:p>
    <w:p w:rsidR="00720242" w:rsidRDefault="00720242" w:rsidP="002A331C">
      <w:pPr>
        <w:pStyle w:val="QUOTEINFOOTNOTE"/>
        <w:numPr>
          <w:ilvl w:val="0"/>
          <w:numId w:val="26"/>
        </w:numPr>
      </w:pPr>
      <w:r>
        <w:t>Mr Clifford Osagie, a member of the Nigerian State Security Services, sat directly across from witnesses, who were participants in the acts for which the Applicant was tried, during their testimony;</w:t>
      </w:r>
    </w:p>
    <w:p w:rsidR="00720242" w:rsidRDefault="00720242" w:rsidP="002A331C">
      <w:pPr>
        <w:pStyle w:val="QUOTEINFOOTNOTE"/>
        <w:numPr>
          <w:ilvl w:val="0"/>
          <w:numId w:val="26"/>
        </w:numPr>
      </w:pPr>
      <w:r>
        <w:t>The Applicant had not been warned of his rights in terms of Article 7(3)(a), (b) and (c) of the International Convention for the Suppression of Terrorist Bombings;</w:t>
      </w:r>
    </w:p>
    <w:p w:rsidR="00720242" w:rsidRDefault="00720242" w:rsidP="008C0E33">
      <w:pPr>
        <w:pStyle w:val="QUOTEINFOOTNOTE"/>
        <w:numPr>
          <w:ilvl w:val="0"/>
          <w:numId w:val="26"/>
        </w:numPr>
      </w:pPr>
      <w:r>
        <w:t>The learned Judge should have, in the interests of justice, issued a letter of request to obtain the Defence’s evidence from witnesses in Nigeria.”</w:t>
      </w:r>
    </w:p>
  </w:footnote>
  <w:footnote w:id="79">
    <w:p w:rsidR="00720242" w:rsidRDefault="00720242" w:rsidP="006005D3">
      <w:pPr>
        <w:pStyle w:val="FootnoteText"/>
      </w:pPr>
      <w:r>
        <w:rPr>
          <w:rStyle w:val="FootnoteReference"/>
        </w:rPr>
        <w:footnoteRef/>
      </w:r>
      <w:r>
        <w:t xml:space="preserve"> See </w:t>
      </w:r>
      <w:r w:rsidRPr="00C70872">
        <w:rPr>
          <w:i/>
        </w:rPr>
        <w:t>S v Xaba</w:t>
      </w:r>
      <w:r>
        <w:t xml:space="preserve"> 1983 (3) SA 717 (A) (</w:t>
      </w:r>
      <w:r>
        <w:rPr>
          <w:i/>
        </w:rPr>
        <w:t>Xaba</w:t>
      </w:r>
      <w:r>
        <w:t>)</w:t>
      </w:r>
      <w:r>
        <w:rPr>
          <w:i/>
        </w:rPr>
        <w:t xml:space="preserve"> </w:t>
      </w:r>
      <w:r>
        <w:t>at 731.</w:t>
      </w:r>
    </w:p>
  </w:footnote>
  <w:footnote w:id="80">
    <w:p w:rsidR="00720242" w:rsidRDefault="00720242" w:rsidP="0074715B">
      <w:pPr>
        <w:pStyle w:val="FootnoteText"/>
      </w:pPr>
      <w:r>
        <w:rPr>
          <w:rStyle w:val="FootnoteReference"/>
        </w:rPr>
        <w:footnoteRef/>
      </w:r>
      <w:r>
        <w:t xml:space="preserve"> Id.</w:t>
      </w:r>
    </w:p>
  </w:footnote>
  <w:footnote w:id="81">
    <w:p w:rsidR="00720242" w:rsidRDefault="00720242" w:rsidP="003E1D61">
      <w:pPr>
        <w:pStyle w:val="FootnoteText"/>
      </w:pPr>
      <w:r>
        <w:rPr>
          <w:rStyle w:val="FootnoteReference"/>
        </w:rPr>
        <w:footnoteRef/>
      </w:r>
      <w:r>
        <w:t xml:space="preserve"> </w:t>
      </w:r>
      <w:r>
        <w:rPr>
          <w:i/>
        </w:rPr>
        <w:t>R</w:t>
      </w:r>
      <w:r w:rsidRPr="00C70872">
        <w:rPr>
          <w:i/>
        </w:rPr>
        <w:t xml:space="preserve"> v Nzimande</w:t>
      </w:r>
      <w:r>
        <w:t xml:space="preserve"> 1957 (3) SA 772 (A) at 774, where the Appellate Division noted:</w:t>
      </w:r>
    </w:p>
    <w:p w:rsidR="00720242" w:rsidRPr="00716D23" w:rsidRDefault="00720242" w:rsidP="003E1D61">
      <w:pPr>
        <w:pStyle w:val="QUOTEINFOOTNOTE"/>
        <w:rPr>
          <w:lang w:val="en-US"/>
        </w:rPr>
      </w:pPr>
      <w:r>
        <w:t>“In the light of the decisions of this Court it could happen, apparently, that a convicted person might be able to bring an irregularity appearing on the record before this Court by way of a special entry even though he would not be able to obtain leave to appeal on account of the same irregularity</w:t>
      </w:r>
      <w:r w:rsidR="000C5382">
        <w:t>.”</w:t>
      </w:r>
    </w:p>
  </w:footnote>
  <w:footnote w:id="82">
    <w:p w:rsidR="00720242" w:rsidRPr="00C70872" w:rsidRDefault="00720242" w:rsidP="003E1D61">
      <w:pPr>
        <w:pStyle w:val="FootnoteText"/>
        <w:rPr>
          <w:lang w:val="en-US"/>
        </w:rPr>
      </w:pPr>
      <w:r>
        <w:rPr>
          <w:rStyle w:val="FootnoteReference"/>
        </w:rPr>
        <w:footnoteRef/>
      </w:r>
      <w:r w:rsidRPr="008C0E33">
        <w:rPr>
          <w:i/>
        </w:rPr>
        <w:t xml:space="preserve"> </w:t>
      </w:r>
      <w:r>
        <w:rPr>
          <w:i/>
        </w:rPr>
        <w:t xml:space="preserve">R v Nafte </w:t>
      </w:r>
      <w:r>
        <w:t>1929 AD 333 at 338-9.</w:t>
      </w:r>
    </w:p>
  </w:footnote>
  <w:footnote w:id="83">
    <w:p w:rsidR="0043222B" w:rsidRDefault="0043222B">
      <w:pPr>
        <w:pStyle w:val="FootnoteText"/>
      </w:pPr>
      <w:r>
        <w:rPr>
          <w:rStyle w:val="FootnoteReference"/>
        </w:rPr>
        <w:footnoteRef/>
      </w:r>
      <w:r>
        <w:t xml:space="preserve"> </w:t>
      </w:r>
      <w:r w:rsidR="00BA4CF3">
        <w:t>Section 318(1) provides:</w:t>
      </w:r>
    </w:p>
    <w:p w:rsidR="00BA4CF3" w:rsidRDefault="00BA4CF3" w:rsidP="00BA4CF3">
      <w:pPr>
        <w:pStyle w:val="QUOTEINFOOTNOTE"/>
      </w:pPr>
      <w:r>
        <w:t xml:space="preserve">“If a special entry is made on the record, the person convicted may appeal to the Appellate Division against his conviction on the ground of the irregularity stated in the special entry if, within a period of twenty-one days after entry is so made or within such extended </w:t>
      </w:r>
      <w:r w:rsidR="004D7C63">
        <w:t>period</w:t>
      </w:r>
      <w:r>
        <w:t xml:space="preserve"> as may on good cause be allowed, notice of appeal has been given to the registrar of the Appellate Division and to the registrar of the provincial or local division, other </w:t>
      </w:r>
      <w:r w:rsidR="004D7C63">
        <w:t>than a circuit court, within whose area of jurisdiction the trial took place, and of which the judge who presided at the trial was a member when he so presided.”</w:t>
      </w:r>
    </w:p>
  </w:footnote>
  <w:footnote w:id="84">
    <w:p w:rsidR="00720242" w:rsidRPr="009178AA" w:rsidRDefault="00720242" w:rsidP="0074715B">
      <w:pPr>
        <w:pStyle w:val="FootnoteText"/>
      </w:pPr>
      <w:r w:rsidRPr="009178AA">
        <w:rPr>
          <w:rStyle w:val="FootnoteReference"/>
        </w:rPr>
        <w:footnoteRef/>
      </w:r>
      <w:r w:rsidRPr="009178AA">
        <w:t xml:space="preserve"> Section 2(1) provides:</w:t>
      </w:r>
    </w:p>
    <w:p w:rsidR="00720242" w:rsidRDefault="00720242" w:rsidP="0074715B">
      <w:pPr>
        <w:pStyle w:val="QUOTEINFOOTNOTE"/>
      </w:pPr>
      <w:r w:rsidRPr="009178AA">
        <w:t>“If it appears to a court or to the officer presiding at proceedings that the examination at such proceedings</w:t>
      </w:r>
      <w:r w:rsidRPr="00A71D40">
        <w:t xml:space="preserve"> o</w:t>
      </w:r>
      <w:r>
        <w:t>f a person who is in a foreign s</w:t>
      </w:r>
      <w:r w:rsidRPr="00A71D40">
        <w:t>tate, is necessary in the interests of justice and that the attendance of such person cannot be obtained without undue delay, expense or inconvenience, the court or such presiding officer may issue a letter of request in whic</w:t>
      </w:r>
      <w:r>
        <w:t>h assistance from that foreign s</w:t>
      </w:r>
      <w:r w:rsidRPr="00A71D40">
        <w:t>tate is sought to obtain such evidence as is stated in the letter of request for use at such proceedings.</w:t>
      </w:r>
      <w:r>
        <w:t>”</w:t>
      </w:r>
    </w:p>
  </w:footnote>
  <w:footnote w:id="85">
    <w:p w:rsidR="00720242" w:rsidRDefault="00720242">
      <w:pPr>
        <w:pStyle w:val="FootnoteText"/>
      </w:pPr>
      <w:r>
        <w:rPr>
          <w:rStyle w:val="FootnoteReference"/>
        </w:rPr>
        <w:footnoteRef/>
      </w:r>
      <w:r>
        <w:t xml:space="preserve"> </w:t>
      </w:r>
      <w:r w:rsidRPr="001C219D">
        <w:rPr>
          <w:i/>
        </w:rPr>
        <w:t>Trencon Construction (Pty) Ltd v Industrial Development Corporation of South Africa Ltd</w:t>
      </w:r>
      <w:r>
        <w:t xml:space="preserve"> </w:t>
      </w:r>
      <w:r w:rsidRPr="001C219D">
        <w:t>[2015] ZACC 22; 2015 (5) SA 245 (CC); 2015 (10) BCLR 1199 (CC)</w:t>
      </w:r>
      <w:r>
        <w:t xml:space="preserve"> at para 88.</w:t>
      </w:r>
    </w:p>
  </w:footnote>
  <w:footnote w:id="86">
    <w:p w:rsidR="00720242" w:rsidRPr="00C70872" w:rsidRDefault="00720242" w:rsidP="0074715B">
      <w:pPr>
        <w:pStyle w:val="FootnoteText"/>
        <w:rPr>
          <w:lang w:val="en-US"/>
        </w:rPr>
      </w:pPr>
      <w:r>
        <w:rPr>
          <w:rStyle w:val="FootnoteReference"/>
        </w:rPr>
        <w:footnoteRef/>
      </w:r>
      <w:r>
        <w:t xml:space="preserve"> </w:t>
      </w:r>
      <w:r w:rsidRPr="00A358F4">
        <w:t>Tre</w:t>
      </w:r>
      <w:r>
        <w:t>aty Between the Government of the Federal Republic of Nigeria and t</w:t>
      </w:r>
      <w:r w:rsidRPr="00A358F4">
        <w:t xml:space="preserve">he Government </w:t>
      </w:r>
      <w:r>
        <w:t>o</w:t>
      </w:r>
      <w:r w:rsidRPr="00A358F4">
        <w:t xml:space="preserve">f </w:t>
      </w:r>
      <w:r>
        <w:t>t</w:t>
      </w:r>
      <w:r w:rsidRPr="00A358F4">
        <w:t xml:space="preserve">he Republic </w:t>
      </w:r>
      <w:r>
        <w:t>o</w:t>
      </w:r>
      <w:r w:rsidRPr="00A358F4">
        <w:t xml:space="preserve">f South Africa </w:t>
      </w:r>
      <w:r>
        <w:t>o</w:t>
      </w:r>
      <w:r w:rsidRPr="00A358F4">
        <w:t xml:space="preserve">n </w:t>
      </w:r>
      <w:r>
        <w:t>Mutual Legal Assistance in Crimi</w:t>
      </w:r>
      <w:r w:rsidRPr="00A358F4">
        <w:t>nal Matters</w:t>
      </w:r>
      <w:r>
        <w:t xml:space="preserve">, 28 March 2002.  </w:t>
      </w:r>
      <w:r>
        <w:rPr>
          <w:lang w:val="en-US"/>
        </w:rPr>
        <w:t>Article 1(2)(e) of the treaty specifies that mutual assistance between Nigeria and South Africa will include “transferring persons in custody for testimony or other purposes”.  Article 2 then specifies that requests pursuant to the treaty would be made through the Director-General of the Department of Justice and Constitutional Development, who would then communicate directly with the designated Nigerian official.  The treaty goes on to stipulate the form and required content of the request at Article 4.</w:t>
      </w:r>
    </w:p>
  </w:footnote>
  <w:footnote w:id="87">
    <w:p w:rsidR="00720242" w:rsidRDefault="00720242">
      <w:pPr>
        <w:pStyle w:val="FootnoteText"/>
      </w:pPr>
      <w:r w:rsidRPr="00EB3607">
        <w:rPr>
          <w:rStyle w:val="FootnoteReference"/>
        </w:rPr>
        <w:footnoteRef/>
      </w:r>
      <w:r w:rsidRPr="00EB3607">
        <w:t xml:space="preserve"> </w:t>
      </w:r>
      <w:r>
        <w:t xml:space="preserve">See </w:t>
      </w:r>
      <w:r w:rsidRPr="00EB3607">
        <w:rPr>
          <w:i/>
        </w:rPr>
        <w:t>S v Tandwa</w:t>
      </w:r>
      <w:r w:rsidRPr="00EB3607">
        <w:t xml:space="preserve"> [2007] ZASCA 34; 2008 (1) SACR 613 (SCA) </w:t>
      </w:r>
      <w:r>
        <w:t xml:space="preserve">at </w:t>
      </w:r>
      <w:r w:rsidRPr="00EB3607">
        <w:t>paras 7-9.</w:t>
      </w:r>
    </w:p>
  </w:footnote>
  <w:footnote w:id="88">
    <w:p w:rsidR="00720242" w:rsidRDefault="00720242" w:rsidP="0074715B">
      <w:pPr>
        <w:pStyle w:val="FootnoteText"/>
      </w:pPr>
      <w:r>
        <w:rPr>
          <w:rStyle w:val="FootnoteReference"/>
        </w:rPr>
        <w:footnoteRef/>
      </w:r>
      <w:r>
        <w:t xml:space="preserve"> The Vienna Convention </w:t>
      </w:r>
      <w:r w:rsidRPr="002D078A">
        <w:t>on Consular Relations</w:t>
      </w:r>
      <w:r>
        <w:t>, 24 April 1963, provides that “competent authorities of the receiving state shall . . . inform [a national of another state who has been arrested or committed to prison or to custody pending trial or is detained in any other manner] without delay of his [or her] right” to communicate with consular officials.</w:t>
      </w:r>
    </w:p>
  </w:footnote>
  <w:footnote w:id="89">
    <w:p w:rsidR="00720242" w:rsidRPr="00C70872" w:rsidRDefault="00720242" w:rsidP="0074715B">
      <w:pPr>
        <w:pStyle w:val="FootnoteText"/>
        <w:rPr>
          <w:lang w:val="en-US"/>
        </w:rPr>
      </w:pPr>
      <w:r>
        <w:rPr>
          <w:rStyle w:val="FootnoteReference"/>
        </w:rPr>
        <w:footnoteRef/>
      </w:r>
      <w:r>
        <w:t xml:space="preserve"> </w:t>
      </w:r>
      <w:r>
        <w:rPr>
          <w:lang w:val="en-US"/>
        </w:rPr>
        <w:t>[2001] ICJ Rep 466.</w:t>
      </w:r>
    </w:p>
  </w:footnote>
  <w:footnote w:id="90">
    <w:p w:rsidR="00720242" w:rsidRPr="00C70872" w:rsidRDefault="00720242" w:rsidP="0074715B">
      <w:pPr>
        <w:pStyle w:val="FootnoteText"/>
        <w:rPr>
          <w:lang w:val="en-US"/>
        </w:rPr>
      </w:pPr>
      <w:r>
        <w:rPr>
          <w:rStyle w:val="FootnoteReference"/>
        </w:rPr>
        <w:footnoteRef/>
      </w:r>
      <w:r>
        <w:t xml:space="preserve"> </w:t>
      </w:r>
      <w:r>
        <w:rPr>
          <w:lang w:val="en-US"/>
        </w:rPr>
        <w:t>Id at para 77.</w:t>
      </w:r>
    </w:p>
  </w:footnote>
  <w:footnote w:id="91">
    <w:p w:rsidR="00720242" w:rsidRDefault="00720242">
      <w:pPr>
        <w:pStyle w:val="FootnoteText"/>
      </w:pPr>
      <w:r>
        <w:rPr>
          <w:rStyle w:val="FootnoteReference"/>
        </w:rPr>
        <w:footnoteRef/>
      </w:r>
      <w:r>
        <w:t xml:space="preserve"> </w:t>
      </w:r>
      <w:r w:rsidRPr="0046516A">
        <w:t>Optional Protocol to the Vienna Convention on Consular Relations,</w:t>
      </w:r>
      <w:r>
        <w:t xml:space="preserve"> 24 April 1963.</w:t>
      </w:r>
    </w:p>
  </w:footnote>
  <w:footnote w:id="92">
    <w:p w:rsidR="00720242" w:rsidRPr="00C70872" w:rsidRDefault="00720242" w:rsidP="0074715B">
      <w:pPr>
        <w:pStyle w:val="FootnoteText"/>
        <w:rPr>
          <w:lang w:val="en-US"/>
        </w:rPr>
      </w:pPr>
      <w:r>
        <w:rPr>
          <w:rStyle w:val="FootnoteReference"/>
        </w:rPr>
        <w:footnoteRef/>
      </w:r>
      <w:r>
        <w:t xml:space="preserve"> </w:t>
      </w:r>
      <w:r>
        <w:rPr>
          <w:i/>
          <w:lang w:val="en-US"/>
        </w:rPr>
        <w:t>LaGrand</w:t>
      </w:r>
      <w:r w:rsidR="001C5D5E">
        <w:rPr>
          <w:lang w:val="en-US"/>
        </w:rPr>
        <w:t xml:space="preserve"> above n 88</w:t>
      </w:r>
      <w:r>
        <w:rPr>
          <w:lang w:val="en-US"/>
        </w:rPr>
        <w:t xml:space="preserve"> at para 125. </w:t>
      </w:r>
      <w:r w:rsidRPr="00317DA6">
        <w:rPr>
          <w:lang w:val="en-US"/>
        </w:rPr>
        <w:t xml:space="preserve"> </w:t>
      </w:r>
      <w:r>
        <w:rPr>
          <w:lang w:val="en-US"/>
        </w:rPr>
        <w:t xml:space="preserve">See also </w:t>
      </w:r>
      <w:r>
        <w:rPr>
          <w:i/>
          <w:lang w:val="en-US"/>
        </w:rPr>
        <w:t xml:space="preserve">Avena and Other Mexican Nationals (Mexico v United States of America) </w:t>
      </w:r>
      <w:r>
        <w:rPr>
          <w:lang w:val="en-US"/>
        </w:rPr>
        <w:t xml:space="preserve">[2004] ICJ Rep 12 and </w:t>
      </w:r>
      <w:r>
        <w:rPr>
          <w:i/>
          <w:lang w:val="en-US"/>
        </w:rPr>
        <w:t xml:space="preserve">Ahmadou Sadio Diallo (Guinea v Democratic Republic of Congo) </w:t>
      </w:r>
      <w:r>
        <w:rPr>
          <w:lang w:val="en-US"/>
        </w:rPr>
        <w:t>(Merits) [2010] ICJ Rep 639.</w:t>
      </w:r>
    </w:p>
  </w:footnote>
  <w:footnote w:id="93">
    <w:p w:rsidR="00720242" w:rsidRDefault="00720242">
      <w:pPr>
        <w:pStyle w:val="FootnoteText"/>
      </w:pPr>
      <w:r>
        <w:rPr>
          <w:rStyle w:val="FootnoteReference"/>
        </w:rPr>
        <w:footnoteRef/>
      </w:r>
      <w:r>
        <w:t xml:space="preserve"> See, for example, </w:t>
      </w:r>
      <w:r>
        <w:rPr>
          <w:i/>
        </w:rPr>
        <w:t xml:space="preserve">Price Waterhouse Coopers Inc v National Potato Co-operative Ltd </w:t>
      </w:r>
      <w:r>
        <w:t>[2004] ZASCA 64; 2004 (6) SA 66 (SCA) at para 50.</w:t>
      </w:r>
    </w:p>
  </w:footnote>
  <w:footnote w:id="94">
    <w:p w:rsidR="00720242" w:rsidRPr="004307CF" w:rsidRDefault="00720242" w:rsidP="00224AF7">
      <w:pPr>
        <w:pStyle w:val="FootnoteText"/>
        <w:rPr>
          <w:lang w:val="en-US"/>
        </w:rPr>
      </w:pPr>
      <w:r>
        <w:rPr>
          <w:rStyle w:val="FootnoteReference"/>
        </w:rPr>
        <w:footnoteRef/>
      </w:r>
      <w:r>
        <w:t xml:space="preserve"> </w:t>
      </w:r>
      <w:r>
        <w:rPr>
          <w:i/>
          <w:lang w:val="en-US"/>
        </w:rPr>
        <w:t>Xaba</w:t>
      </w:r>
      <w:r w:rsidR="00EF34DD">
        <w:rPr>
          <w:lang w:val="en-US"/>
        </w:rPr>
        <w:t xml:space="preserve"> above n 7</w:t>
      </w:r>
      <w:r w:rsidR="005476D5">
        <w:rPr>
          <w:lang w:val="en-US"/>
        </w:rPr>
        <w:t>8</w:t>
      </w:r>
      <w:r>
        <w:rPr>
          <w:lang w:val="en-US"/>
        </w:rPr>
        <w:t xml:space="preserve"> at 736.</w:t>
      </w:r>
    </w:p>
  </w:footnote>
  <w:footnote w:id="95">
    <w:p w:rsidR="0009551C" w:rsidRDefault="0009551C">
      <w:pPr>
        <w:pStyle w:val="FootnoteText"/>
      </w:pPr>
      <w:r>
        <w:rPr>
          <w:rStyle w:val="FootnoteReference"/>
        </w:rPr>
        <w:footnoteRef/>
      </w:r>
      <w:r>
        <w:t xml:space="preserve"> </w:t>
      </w:r>
      <w:r w:rsidR="00F63392">
        <w:rPr>
          <w:lang w:val="en-US"/>
        </w:rPr>
        <w:t>Id</w:t>
      </w:r>
      <w:r>
        <w:rPr>
          <w:lang w:val="en-US"/>
        </w:rPr>
        <w:t xml:space="preserve"> at 735</w:t>
      </w:r>
    </w:p>
  </w:footnote>
  <w:footnote w:id="96">
    <w:p w:rsidR="00720242" w:rsidRDefault="00720242" w:rsidP="00912A98">
      <w:pPr>
        <w:pStyle w:val="FootnoteText"/>
      </w:pPr>
      <w:r>
        <w:rPr>
          <w:rStyle w:val="FootnoteReference"/>
        </w:rPr>
        <w:footnoteRef/>
      </w:r>
      <w:r>
        <w:t xml:space="preserve"> See </w:t>
      </w:r>
      <w:r>
        <w:rPr>
          <w:i/>
        </w:rPr>
        <w:t xml:space="preserve">S v Nkata </w:t>
      </w:r>
      <w:r>
        <w:t>1990 (4) SA 250 (A) at 257G, where the Appellate Division admitted a special entry but held:</w:t>
      </w:r>
    </w:p>
    <w:p w:rsidR="00720242" w:rsidRPr="00B51600" w:rsidRDefault="00720242" w:rsidP="00777988">
      <w:pPr>
        <w:pStyle w:val="QUOTEINFOOTNOTE"/>
      </w:pPr>
      <w:r>
        <w:t>“Despite the comparative seriousness of the irregularity as a matter of principle, I do not think that, in the circumstances of the present case, the conviction of [the] accused . . . was in any way affected by it, and an appeal based on this special entry cannot succeed.”</w:t>
      </w:r>
    </w:p>
  </w:footnote>
  <w:footnote w:id="97">
    <w:p w:rsidR="00720242" w:rsidRDefault="00720242" w:rsidP="0074715B">
      <w:pPr>
        <w:pStyle w:val="FootnoteText"/>
      </w:pPr>
      <w:r>
        <w:rPr>
          <w:rStyle w:val="FootnoteReference"/>
        </w:rPr>
        <w:footnoteRef/>
      </w:r>
      <w:r>
        <w:t xml:space="preserve"> High Court judgment II above n 2 at para 20.</w:t>
      </w:r>
    </w:p>
  </w:footnote>
  <w:footnote w:id="98">
    <w:p w:rsidR="00720242" w:rsidRDefault="00720242" w:rsidP="0074715B">
      <w:pPr>
        <w:pStyle w:val="FootnoteText"/>
      </w:pPr>
      <w:r>
        <w:rPr>
          <w:rStyle w:val="FootnoteReference"/>
        </w:rPr>
        <w:footnoteRef/>
      </w:r>
      <w:r>
        <w:t xml:space="preserve"> Id at para 23.</w:t>
      </w:r>
    </w:p>
  </w:footnote>
  <w:footnote w:id="99">
    <w:p w:rsidR="00720242" w:rsidRDefault="00720242">
      <w:pPr>
        <w:pStyle w:val="FootnoteText"/>
      </w:pPr>
      <w:r>
        <w:rPr>
          <w:rStyle w:val="FootnoteReference"/>
        </w:rPr>
        <w:footnoteRef/>
      </w:r>
      <w:r>
        <w:t xml:space="preserve"> We interpret this comment by the trial court, of course, not a</w:t>
      </w:r>
      <w:r w:rsidR="00C5282B">
        <w:t>s gender-directed</w:t>
      </w:r>
      <w:r>
        <w:t xml:space="preserve">, but merely to </w:t>
      </w:r>
      <w:r w:rsidRPr="009A0A12">
        <w:t xml:space="preserve">emphasise that </w:t>
      </w:r>
      <w:r>
        <w:t xml:space="preserve">the consular representative, of whatever gender, </w:t>
      </w:r>
      <w:r w:rsidRPr="009A0A12">
        <w:t>was conspicuously present and, thus, r</w:t>
      </w:r>
      <w:r w:rsidR="00231F74">
        <w:t>eadily accessible to assist Mr </w:t>
      </w:r>
      <w:r w:rsidRPr="009A0A12">
        <w:t xml:space="preserve">Okah should he have wanted </w:t>
      </w:r>
      <w:r>
        <w:t>this.</w:t>
      </w:r>
    </w:p>
  </w:footnote>
  <w:footnote w:id="100">
    <w:p w:rsidR="00720242" w:rsidRDefault="00720242">
      <w:pPr>
        <w:pStyle w:val="FootnoteText"/>
      </w:pPr>
      <w:r>
        <w:rPr>
          <w:rStyle w:val="FootnoteReference"/>
        </w:rPr>
        <w:footnoteRef/>
      </w:r>
      <w:r>
        <w:t xml:space="preserve"> High Court judgment II above n 2 at para 23.</w:t>
      </w:r>
    </w:p>
  </w:footnote>
  <w:footnote w:id="101">
    <w:p w:rsidR="00720242" w:rsidRDefault="00720242" w:rsidP="0074715B">
      <w:pPr>
        <w:pStyle w:val="FootnoteText"/>
      </w:pPr>
      <w:r>
        <w:rPr>
          <w:rStyle w:val="FootnoteReference"/>
        </w:rPr>
        <w:footnoteRef/>
      </w:r>
      <w:r>
        <w:t xml:space="preserve"> Id at para 22.</w:t>
      </w:r>
    </w:p>
  </w:footnote>
  <w:footnote w:id="102">
    <w:p w:rsidR="00720242" w:rsidRDefault="00720242" w:rsidP="000372BA">
      <w:pPr>
        <w:pStyle w:val="FootnoteText"/>
      </w:pPr>
      <w:r>
        <w:rPr>
          <w:rStyle w:val="FootnoteReference"/>
        </w:rPr>
        <w:footnoteRef/>
      </w:r>
      <w:r>
        <w:t xml:space="preserve"> Id at para 23.</w:t>
      </w:r>
    </w:p>
  </w:footnote>
  <w:footnote w:id="103">
    <w:p w:rsidR="00720242" w:rsidRDefault="00720242" w:rsidP="0074715B">
      <w:pPr>
        <w:pStyle w:val="FootnoteText"/>
      </w:pPr>
      <w:r>
        <w:rPr>
          <w:rStyle w:val="FootnoteReference"/>
        </w:rPr>
        <w:footnoteRef/>
      </w:r>
      <w:r>
        <w:t xml:space="preserve"> Id at para 24.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018C" w:rsidRDefault="00AD018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242" w:rsidRDefault="00720242" w:rsidP="000F7521">
    <w:pPr>
      <w:pStyle w:val="Header"/>
      <w:tabs>
        <w:tab w:val="clear" w:pos="4680"/>
        <w:tab w:val="clear" w:pos="9360"/>
        <w:tab w:val="right" w:pos="9072"/>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018C" w:rsidRDefault="00AD018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242" w:rsidRDefault="00720242" w:rsidP="000F7521">
    <w:pPr>
      <w:pStyle w:val="Header"/>
      <w:tabs>
        <w:tab w:val="clear" w:pos="4680"/>
        <w:tab w:val="clear" w:pos="9360"/>
        <w:tab w:val="right" w:pos="9072"/>
      </w:tabs>
      <w:jc w:val="right"/>
    </w:pPr>
    <w:r>
      <w:t>CAMERON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242" w:rsidRDefault="00720242"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141B3E"/>
    <w:multiLevelType w:val="hybridMultilevel"/>
    <w:tmpl w:val="9C8A07AA"/>
    <w:lvl w:ilvl="0" w:tplc="541E5C48">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0F666F8E"/>
    <w:multiLevelType w:val="hybridMultilevel"/>
    <w:tmpl w:val="9C8A07AA"/>
    <w:lvl w:ilvl="0" w:tplc="541E5C48">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12DD5C26"/>
    <w:multiLevelType w:val="hybridMultilevel"/>
    <w:tmpl w:val="5E626658"/>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2B727B0D"/>
    <w:multiLevelType w:val="hybridMultilevel"/>
    <w:tmpl w:val="9C8A07AA"/>
    <w:lvl w:ilvl="0" w:tplc="541E5C48">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2BB579BA"/>
    <w:multiLevelType w:val="hybridMultilevel"/>
    <w:tmpl w:val="4E34ADE4"/>
    <w:lvl w:ilvl="0" w:tplc="89E6CAC4">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nsid w:val="34BF37E0"/>
    <w:multiLevelType w:val="hybridMultilevel"/>
    <w:tmpl w:val="1EF28A78"/>
    <w:lvl w:ilvl="0" w:tplc="81FE6182">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8">
    <w:nsid w:val="40F93F67"/>
    <w:multiLevelType w:val="hybridMultilevel"/>
    <w:tmpl w:val="7E68D95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nsid w:val="50C42AF7"/>
    <w:multiLevelType w:val="hybridMultilevel"/>
    <w:tmpl w:val="DC1E0CE6"/>
    <w:lvl w:ilvl="0" w:tplc="DB7A6FD6">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5C04540B"/>
    <w:multiLevelType w:val="hybridMultilevel"/>
    <w:tmpl w:val="9C8A07AA"/>
    <w:lvl w:ilvl="0" w:tplc="541E5C48">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nsid w:val="5DC35045"/>
    <w:multiLevelType w:val="hybridMultilevel"/>
    <w:tmpl w:val="4BAC6AB8"/>
    <w:lvl w:ilvl="0" w:tplc="0D34CDDC">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3">
    <w:nsid w:val="600E3E11"/>
    <w:multiLevelType w:val="hybridMultilevel"/>
    <w:tmpl w:val="3B6E4580"/>
    <w:lvl w:ilvl="0" w:tplc="BCAEF172">
      <w:start w:val="1"/>
      <w:numFmt w:val="lowerLetter"/>
      <w:lvlText w:val="(%1)"/>
      <w:lvlJc w:val="left"/>
      <w:pPr>
        <w:ind w:left="1800" w:hanging="360"/>
      </w:pPr>
      <w:rPr>
        <w:rFonts w:hint="default"/>
        <w:i/>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4">
    <w:nsid w:val="61931031"/>
    <w:multiLevelType w:val="hybridMultilevel"/>
    <w:tmpl w:val="78E44B18"/>
    <w:lvl w:ilvl="0" w:tplc="87B0DB2A">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15">
    <w:nsid w:val="6CCC180A"/>
    <w:multiLevelType w:val="hybridMultilevel"/>
    <w:tmpl w:val="6C22C602"/>
    <w:lvl w:ilvl="0" w:tplc="D3A05500">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16">
    <w:nsid w:val="7D520BCA"/>
    <w:multiLevelType w:val="hybridMultilevel"/>
    <w:tmpl w:val="1AB275BA"/>
    <w:lvl w:ilvl="0" w:tplc="0D34CDDC">
      <w:start w:val="1"/>
      <w:numFmt w:val="lowerLetter"/>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nsid w:val="7E0E4540"/>
    <w:multiLevelType w:val="hybridMultilevel"/>
    <w:tmpl w:val="E7D0CA4E"/>
    <w:lvl w:ilvl="0" w:tplc="14B252B2">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num w:numId="1">
    <w:abstractNumId w:val="0"/>
  </w:num>
  <w:num w:numId="2">
    <w:abstractNumId w:val="9"/>
  </w:num>
  <w:num w:numId="3">
    <w:abstractNumId w:val="9"/>
  </w:num>
  <w:num w:numId="4">
    <w:abstractNumId w:val="9"/>
  </w:num>
  <w:num w:numId="5">
    <w:abstractNumId w:val="9"/>
  </w:num>
  <w:num w:numId="6">
    <w:abstractNumId w:val="9"/>
  </w:num>
  <w:num w:numId="7">
    <w:abstractNumId w:val="9"/>
  </w:num>
  <w:num w:numId="8">
    <w:abstractNumId w:val="9"/>
  </w:num>
  <w:num w:numId="9">
    <w:abstractNumId w:val="9"/>
  </w:num>
  <w:num w:numId="10">
    <w:abstractNumId w:val="9"/>
  </w:num>
  <w:num w:numId="11">
    <w:abstractNumId w:val="4"/>
  </w:num>
  <w:num w:numId="12">
    <w:abstractNumId w:val="4"/>
    <w:lvlOverride w:ilvl="0">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13"/>
  </w:num>
  <w:num w:numId="17">
    <w:abstractNumId w:val="7"/>
  </w:num>
  <w:num w:numId="18">
    <w:abstractNumId w:val="14"/>
  </w:num>
  <w:num w:numId="19">
    <w:abstractNumId w:val="17"/>
  </w:num>
  <w:num w:numId="20">
    <w:abstractNumId w:val="12"/>
  </w:num>
  <w:num w:numId="21">
    <w:abstractNumId w:val="2"/>
  </w:num>
  <w:num w:numId="22">
    <w:abstractNumId w:val="11"/>
  </w:num>
  <w:num w:numId="23">
    <w:abstractNumId w:val="5"/>
  </w:num>
  <w:num w:numId="24">
    <w:abstractNumId w:val="8"/>
  </w:num>
  <w:num w:numId="25">
    <w:abstractNumId w:val="10"/>
  </w:num>
  <w:num w:numId="26">
    <w:abstractNumId w:val="6"/>
  </w:num>
  <w:num w:numId="27">
    <w:abstractNumId w:val="15"/>
  </w:num>
  <w:num w:numId="28">
    <w:abstractNumId w:val="3"/>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134D"/>
    <w:rsid w:val="00003278"/>
    <w:rsid w:val="00005105"/>
    <w:rsid w:val="00005194"/>
    <w:rsid w:val="0000616C"/>
    <w:rsid w:val="0001020C"/>
    <w:rsid w:val="00010AAE"/>
    <w:rsid w:val="00011D1C"/>
    <w:rsid w:val="00012605"/>
    <w:rsid w:val="0001449B"/>
    <w:rsid w:val="00015CB3"/>
    <w:rsid w:val="00016002"/>
    <w:rsid w:val="000170F7"/>
    <w:rsid w:val="000172CD"/>
    <w:rsid w:val="00021587"/>
    <w:rsid w:val="000219C4"/>
    <w:rsid w:val="00021B45"/>
    <w:rsid w:val="00022406"/>
    <w:rsid w:val="00022E9B"/>
    <w:rsid w:val="000246C0"/>
    <w:rsid w:val="00024E77"/>
    <w:rsid w:val="000254BC"/>
    <w:rsid w:val="00027C04"/>
    <w:rsid w:val="00030202"/>
    <w:rsid w:val="00030A23"/>
    <w:rsid w:val="00030BAE"/>
    <w:rsid w:val="00030ED8"/>
    <w:rsid w:val="0003128D"/>
    <w:rsid w:val="0003213F"/>
    <w:rsid w:val="0003222E"/>
    <w:rsid w:val="0003332C"/>
    <w:rsid w:val="0003374F"/>
    <w:rsid w:val="000372BA"/>
    <w:rsid w:val="00041929"/>
    <w:rsid w:val="00043CF5"/>
    <w:rsid w:val="00044CBC"/>
    <w:rsid w:val="00045772"/>
    <w:rsid w:val="00045EA3"/>
    <w:rsid w:val="000501D9"/>
    <w:rsid w:val="00050BFB"/>
    <w:rsid w:val="00052B17"/>
    <w:rsid w:val="00054DB8"/>
    <w:rsid w:val="00056770"/>
    <w:rsid w:val="000570BC"/>
    <w:rsid w:val="000609AD"/>
    <w:rsid w:val="00061BE6"/>
    <w:rsid w:val="00062594"/>
    <w:rsid w:val="00065CC6"/>
    <w:rsid w:val="000666F4"/>
    <w:rsid w:val="00066BA4"/>
    <w:rsid w:val="00067B3C"/>
    <w:rsid w:val="000704F2"/>
    <w:rsid w:val="000723C4"/>
    <w:rsid w:val="00073413"/>
    <w:rsid w:val="00073EF0"/>
    <w:rsid w:val="00075BE9"/>
    <w:rsid w:val="00076426"/>
    <w:rsid w:val="000764A2"/>
    <w:rsid w:val="0007686F"/>
    <w:rsid w:val="00077DFB"/>
    <w:rsid w:val="00082061"/>
    <w:rsid w:val="0008371B"/>
    <w:rsid w:val="00086732"/>
    <w:rsid w:val="00086A05"/>
    <w:rsid w:val="00087BBD"/>
    <w:rsid w:val="00087EB9"/>
    <w:rsid w:val="00090F88"/>
    <w:rsid w:val="000910B1"/>
    <w:rsid w:val="00091651"/>
    <w:rsid w:val="000921EA"/>
    <w:rsid w:val="00092841"/>
    <w:rsid w:val="0009478C"/>
    <w:rsid w:val="00094EB6"/>
    <w:rsid w:val="0009551C"/>
    <w:rsid w:val="00095A15"/>
    <w:rsid w:val="00096491"/>
    <w:rsid w:val="000974CB"/>
    <w:rsid w:val="00097C88"/>
    <w:rsid w:val="000A0D9E"/>
    <w:rsid w:val="000A11A7"/>
    <w:rsid w:val="000A2166"/>
    <w:rsid w:val="000A37B9"/>
    <w:rsid w:val="000A5338"/>
    <w:rsid w:val="000A5C3E"/>
    <w:rsid w:val="000A62D3"/>
    <w:rsid w:val="000A6628"/>
    <w:rsid w:val="000B04F3"/>
    <w:rsid w:val="000B0C92"/>
    <w:rsid w:val="000B12CE"/>
    <w:rsid w:val="000B1A07"/>
    <w:rsid w:val="000B22E6"/>
    <w:rsid w:val="000B2715"/>
    <w:rsid w:val="000B34BD"/>
    <w:rsid w:val="000B4872"/>
    <w:rsid w:val="000B6612"/>
    <w:rsid w:val="000B757C"/>
    <w:rsid w:val="000B7CDA"/>
    <w:rsid w:val="000B7DB6"/>
    <w:rsid w:val="000C0652"/>
    <w:rsid w:val="000C2086"/>
    <w:rsid w:val="000C33FB"/>
    <w:rsid w:val="000C38CF"/>
    <w:rsid w:val="000C438B"/>
    <w:rsid w:val="000C442C"/>
    <w:rsid w:val="000C4A1F"/>
    <w:rsid w:val="000C5382"/>
    <w:rsid w:val="000C57E8"/>
    <w:rsid w:val="000D05C6"/>
    <w:rsid w:val="000D19A9"/>
    <w:rsid w:val="000D1E95"/>
    <w:rsid w:val="000D264B"/>
    <w:rsid w:val="000D336E"/>
    <w:rsid w:val="000E0B3D"/>
    <w:rsid w:val="000E1D74"/>
    <w:rsid w:val="000E1EE2"/>
    <w:rsid w:val="000E374A"/>
    <w:rsid w:val="000E386D"/>
    <w:rsid w:val="000E3A38"/>
    <w:rsid w:val="000E5377"/>
    <w:rsid w:val="000E56AE"/>
    <w:rsid w:val="000F020B"/>
    <w:rsid w:val="000F0F90"/>
    <w:rsid w:val="000F3328"/>
    <w:rsid w:val="000F33D0"/>
    <w:rsid w:val="000F3DC1"/>
    <w:rsid w:val="000F51F0"/>
    <w:rsid w:val="000F5706"/>
    <w:rsid w:val="000F6179"/>
    <w:rsid w:val="000F7521"/>
    <w:rsid w:val="00101124"/>
    <w:rsid w:val="001016AC"/>
    <w:rsid w:val="00102435"/>
    <w:rsid w:val="001065E2"/>
    <w:rsid w:val="00106777"/>
    <w:rsid w:val="00110746"/>
    <w:rsid w:val="001107A1"/>
    <w:rsid w:val="001135DB"/>
    <w:rsid w:val="001160B7"/>
    <w:rsid w:val="00123561"/>
    <w:rsid w:val="0012394D"/>
    <w:rsid w:val="001253C9"/>
    <w:rsid w:val="00125D7A"/>
    <w:rsid w:val="00126112"/>
    <w:rsid w:val="0012640A"/>
    <w:rsid w:val="00126CEA"/>
    <w:rsid w:val="00130C5C"/>
    <w:rsid w:val="00130D22"/>
    <w:rsid w:val="00131C75"/>
    <w:rsid w:val="00132AD0"/>
    <w:rsid w:val="00133585"/>
    <w:rsid w:val="001346B9"/>
    <w:rsid w:val="0013666B"/>
    <w:rsid w:val="00137B8E"/>
    <w:rsid w:val="001445E6"/>
    <w:rsid w:val="001472D3"/>
    <w:rsid w:val="0014765B"/>
    <w:rsid w:val="001512BB"/>
    <w:rsid w:val="00152229"/>
    <w:rsid w:val="00152F24"/>
    <w:rsid w:val="00153CA2"/>
    <w:rsid w:val="00153F6D"/>
    <w:rsid w:val="001576AC"/>
    <w:rsid w:val="00157FE9"/>
    <w:rsid w:val="001611B1"/>
    <w:rsid w:val="00162575"/>
    <w:rsid w:val="00162829"/>
    <w:rsid w:val="0016386C"/>
    <w:rsid w:val="00164CC2"/>
    <w:rsid w:val="001665BC"/>
    <w:rsid w:val="00166B58"/>
    <w:rsid w:val="001678DE"/>
    <w:rsid w:val="00170122"/>
    <w:rsid w:val="001704EF"/>
    <w:rsid w:val="00172DC6"/>
    <w:rsid w:val="00172E44"/>
    <w:rsid w:val="00172F4D"/>
    <w:rsid w:val="001748F9"/>
    <w:rsid w:val="00174981"/>
    <w:rsid w:val="00175364"/>
    <w:rsid w:val="00176052"/>
    <w:rsid w:val="00177042"/>
    <w:rsid w:val="0017736B"/>
    <w:rsid w:val="00180F5E"/>
    <w:rsid w:val="00181588"/>
    <w:rsid w:val="001821EE"/>
    <w:rsid w:val="00182417"/>
    <w:rsid w:val="00183FC9"/>
    <w:rsid w:val="001867CF"/>
    <w:rsid w:val="0018696E"/>
    <w:rsid w:val="00186E38"/>
    <w:rsid w:val="00187C16"/>
    <w:rsid w:val="001907E6"/>
    <w:rsid w:val="00190F69"/>
    <w:rsid w:val="0019236C"/>
    <w:rsid w:val="0019274A"/>
    <w:rsid w:val="001927E9"/>
    <w:rsid w:val="00192811"/>
    <w:rsid w:val="00192A78"/>
    <w:rsid w:val="001944C5"/>
    <w:rsid w:val="00194B9C"/>
    <w:rsid w:val="0019703F"/>
    <w:rsid w:val="001A0B0F"/>
    <w:rsid w:val="001A0F3C"/>
    <w:rsid w:val="001A12B2"/>
    <w:rsid w:val="001A14F1"/>
    <w:rsid w:val="001A18E0"/>
    <w:rsid w:val="001A1D54"/>
    <w:rsid w:val="001A1ED9"/>
    <w:rsid w:val="001A27C4"/>
    <w:rsid w:val="001A36B9"/>
    <w:rsid w:val="001A3708"/>
    <w:rsid w:val="001A7C89"/>
    <w:rsid w:val="001A7E8A"/>
    <w:rsid w:val="001B3003"/>
    <w:rsid w:val="001B3CBB"/>
    <w:rsid w:val="001B410D"/>
    <w:rsid w:val="001B4A64"/>
    <w:rsid w:val="001B4C29"/>
    <w:rsid w:val="001B592C"/>
    <w:rsid w:val="001B6A03"/>
    <w:rsid w:val="001C050A"/>
    <w:rsid w:val="001C12B6"/>
    <w:rsid w:val="001C32CE"/>
    <w:rsid w:val="001C415A"/>
    <w:rsid w:val="001C5881"/>
    <w:rsid w:val="001C5D5E"/>
    <w:rsid w:val="001C7964"/>
    <w:rsid w:val="001D0170"/>
    <w:rsid w:val="001D0A3F"/>
    <w:rsid w:val="001D2AB4"/>
    <w:rsid w:val="001D31D7"/>
    <w:rsid w:val="001D6226"/>
    <w:rsid w:val="001D68A5"/>
    <w:rsid w:val="001D6D69"/>
    <w:rsid w:val="001D7BB2"/>
    <w:rsid w:val="001E1BBE"/>
    <w:rsid w:val="001E2668"/>
    <w:rsid w:val="001E3D9C"/>
    <w:rsid w:val="001E44A8"/>
    <w:rsid w:val="001E45D4"/>
    <w:rsid w:val="001E6F3D"/>
    <w:rsid w:val="001E70AB"/>
    <w:rsid w:val="001E7682"/>
    <w:rsid w:val="001F2E87"/>
    <w:rsid w:val="001F3466"/>
    <w:rsid w:val="001F511C"/>
    <w:rsid w:val="001F5EE4"/>
    <w:rsid w:val="001F5EFE"/>
    <w:rsid w:val="001F5F86"/>
    <w:rsid w:val="001F6092"/>
    <w:rsid w:val="001F6FDD"/>
    <w:rsid w:val="00200AE6"/>
    <w:rsid w:val="00201EC4"/>
    <w:rsid w:val="002020B9"/>
    <w:rsid w:val="002023E5"/>
    <w:rsid w:val="002029D7"/>
    <w:rsid w:val="002037C3"/>
    <w:rsid w:val="00204A4E"/>
    <w:rsid w:val="00206A65"/>
    <w:rsid w:val="00211397"/>
    <w:rsid w:val="00211ACD"/>
    <w:rsid w:val="002124E8"/>
    <w:rsid w:val="00212A6B"/>
    <w:rsid w:val="002153BF"/>
    <w:rsid w:val="0021679E"/>
    <w:rsid w:val="0021762E"/>
    <w:rsid w:val="0022015A"/>
    <w:rsid w:val="002208F2"/>
    <w:rsid w:val="00220A77"/>
    <w:rsid w:val="00224AF7"/>
    <w:rsid w:val="00226242"/>
    <w:rsid w:val="00230408"/>
    <w:rsid w:val="00230EE8"/>
    <w:rsid w:val="002316B9"/>
    <w:rsid w:val="00231F74"/>
    <w:rsid w:val="00232484"/>
    <w:rsid w:val="002325FB"/>
    <w:rsid w:val="00232B8F"/>
    <w:rsid w:val="00233377"/>
    <w:rsid w:val="00233479"/>
    <w:rsid w:val="0023371C"/>
    <w:rsid w:val="00233800"/>
    <w:rsid w:val="00235A88"/>
    <w:rsid w:val="00236055"/>
    <w:rsid w:val="00236875"/>
    <w:rsid w:val="00236F9A"/>
    <w:rsid w:val="0023737F"/>
    <w:rsid w:val="00237DCF"/>
    <w:rsid w:val="00240335"/>
    <w:rsid w:val="002404FC"/>
    <w:rsid w:val="00240A24"/>
    <w:rsid w:val="002426AF"/>
    <w:rsid w:val="00244563"/>
    <w:rsid w:val="002461FE"/>
    <w:rsid w:val="0024725F"/>
    <w:rsid w:val="00247D63"/>
    <w:rsid w:val="00250943"/>
    <w:rsid w:val="00250BBA"/>
    <w:rsid w:val="00251557"/>
    <w:rsid w:val="00252937"/>
    <w:rsid w:val="00253438"/>
    <w:rsid w:val="002602A3"/>
    <w:rsid w:val="00261C7B"/>
    <w:rsid w:val="00261F9A"/>
    <w:rsid w:val="002654FF"/>
    <w:rsid w:val="00265F77"/>
    <w:rsid w:val="00266C66"/>
    <w:rsid w:val="002703D8"/>
    <w:rsid w:val="002706D8"/>
    <w:rsid w:val="0027276B"/>
    <w:rsid w:val="00274373"/>
    <w:rsid w:val="00284390"/>
    <w:rsid w:val="002851BB"/>
    <w:rsid w:val="00287753"/>
    <w:rsid w:val="0029025E"/>
    <w:rsid w:val="002916F7"/>
    <w:rsid w:val="002924BA"/>
    <w:rsid w:val="00293D3F"/>
    <w:rsid w:val="002955FB"/>
    <w:rsid w:val="00295C91"/>
    <w:rsid w:val="00295FD0"/>
    <w:rsid w:val="002A0962"/>
    <w:rsid w:val="002A0D1B"/>
    <w:rsid w:val="002A1EA0"/>
    <w:rsid w:val="002A331C"/>
    <w:rsid w:val="002A3A5E"/>
    <w:rsid w:val="002A5854"/>
    <w:rsid w:val="002A7291"/>
    <w:rsid w:val="002B1127"/>
    <w:rsid w:val="002B22DF"/>
    <w:rsid w:val="002B4617"/>
    <w:rsid w:val="002B5F76"/>
    <w:rsid w:val="002B68C9"/>
    <w:rsid w:val="002C048A"/>
    <w:rsid w:val="002C1794"/>
    <w:rsid w:val="002C2DC6"/>
    <w:rsid w:val="002C36C1"/>
    <w:rsid w:val="002C3FB9"/>
    <w:rsid w:val="002C5F97"/>
    <w:rsid w:val="002C5FDA"/>
    <w:rsid w:val="002C7AC5"/>
    <w:rsid w:val="002D078A"/>
    <w:rsid w:val="002D19DC"/>
    <w:rsid w:val="002D1B40"/>
    <w:rsid w:val="002D1FD9"/>
    <w:rsid w:val="002D22BE"/>
    <w:rsid w:val="002D286C"/>
    <w:rsid w:val="002D550C"/>
    <w:rsid w:val="002D57EB"/>
    <w:rsid w:val="002D5DEB"/>
    <w:rsid w:val="002D6C9E"/>
    <w:rsid w:val="002D6E04"/>
    <w:rsid w:val="002D77C6"/>
    <w:rsid w:val="002D7D3A"/>
    <w:rsid w:val="002E02BA"/>
    <w:rsid w:val="002E1AA1"/>
    <w:rsid w:val="002E3BC3"/>
    <w:rsid w:val="002E3D6F"/>
    <w:rsid w:val="002E4857"/>
    <w:rsid w:val="002E5966"/>
    <w:rsid w:val="002F1D94"/>
    <w:rsid w:val="002F2EB4"/>
    <w:rsid w:val="002F4EB0"/>
    <w:rsid w:val="002F6A17"/>
    <w:rsid w:val="00301C4F"/>
    <w:rsid w:val="00302530"/>
    <w:rsid w:val="00305550"/>
    <w:rsid w:val="003059E1"/>
    <w:rsid w:val="003072BF"/>
    <w:rsid w:val="00310431"/>
    <w:rsid w:val="00311B85"/>
    <w:rsid w:val="003127C8"/>
    <w:rsid w:val="003128FB"/>
    <w:rsid w:val="00316BE3"/>
    <w:rsid w:val="00317CD4"/>
    <w:rsid w:val="00321634"/>
    <w:rsid w:val="00323BCA"/>
    <w:rsid w:val="00323CF3"/>
    <w:rsid w:val="0032455C"/>
    <w:rsid w:val="00325550"/>
    <w:rsid w:val="003255C7"/>
    <w:rsid w:val="00325F84"/>
    <w:rsid w:val="00326649"/>
    <w:rsid w:val="00330386"/>
    <w:rsid w:val="00331A3D"/>
    <w:rsid w:val="00331C3C"/>
    <w:rsid w:val="00333111"/>
    <w:rsid w:val="003331A4"/>
    <w:rsid w:val="0033398A"/>
    <w:rsid w:val="0034017B"/>
    <w:rsid w:val="00340AC8"/>
    <w:rsid w:val="00340B7E"/>
    <w:rsid w:val="00340DA4"/>
    <w:rsid w:val="00341131"/>
    <w:rsid w:val="003427E4"/>
    <w:rsid w:val="00342B6E"/>
    <w:rsid w:val="00344FDE"/>
    <w:rsid w:val="00345AEF"/>
    <w:rsid w:val="003462FF"/>
    <w:rsid w:val="00346927"/>
    <w:rsid w:val="00347FD0"/>
    <w:rsid w:val="003545E8"/>
    <w:rsid w:val="00355332"/>
    <w:rsid w:val="003565BF"/>
    <w:rsid w:val="003566FC"/>
    <w:rsid w:val="003567B1"/>
    <w:rsid w:val="00356B62"/>
    <w:rsid w:val="00357AAA"/>
    <w:rsid w:val="00357C0A"/>
    <w:rsid w:val="00360743"/>
    <w:rsid w:val="00360C42"/>
    <w:rsid w:val="003633E2"/>
    <w:rsid w:val="003644DF"/>
    <w:rsid w:val="00364947"/>
    <w:rsid w:val="00364A02"/>
    <w:rsid w:val="00364B4A"/>
    <w:rsid w:val="00364C40"/>
    <w:rsid w:val="00366550"/>
    <w:rsid w:val="00371DD4"/>
    <w:rsid w:val="00371FAB"/>
    <w:rsid w:val="00374503"/>
    <w:rsid w:val="00381E96"/>
    <w:rsid w:val="003837F4"/>
    <w:rsid w:val="003846AA"/>
    <w:rsid w:val="003865B2"/>
    <w:rsid w:val="003868D5"/>
    <w:rsid w:val="00386F56"/>
    <w:rsid w:val="00386FCB"/>
    <w:rsid w:val="00387038"/>
    <w:rsid w:val="00387975"/>
    <w:rsid w:val="0039018A"/>
    <w:rsid w:val="0039152F"/>
    <w:rsid w:val="003926C1"/>
    <w:rsid w:val="0039287A"/>
    <w:rsid w:val="003928D9"/>
    <w:rsid w:val="0039557C"/>
    <w:rsid w:val="0039599E"/>
    <w:rsid w:val="00397888"/>
    <w:rsid w:val="00397EA9"/>
    <w:rsid w:val="003A14DC"/>
    <w:rsid w:val="003A18CF"/>
    <w:rsid w:val="003A2AA3"/>
    <w:rsid w:val="003A3C4A"/>
    <w:rsid w:val="003A3E5C"/>
    <w:rsid w:val="003A6985"/>
    <w:rsid w:val="003A734E"/>
    <w:rsid w:val="003A7A71"/>
    <w:rsid w:val="003B06FE"/>
    <w:rsid w:val="003B12C2"/>
    <w:rsid w:val="003B13A3"/>
    <w:rsid w:val="003B2845"/>
    <w:rsid w:val="003B2FC1"/>
    <w:rsid w:val="003B3477"/>
    <w:rsid w:val="003B35A6"/>
    <w:rsid w:val="003B7BAB"/>
    <w:rsid w:val="003C0863"/>
    <w:rsid w:val="003C0BC2"/>
    <w:rsid w:val="003C3984"/>
    <w:rsid w:val="003C5230"/>
    <w:rsid w:val="003C5690"/>
    <w:rsid w:val="003C5CF6"/>
    <w:rsid w:val="003C5F3B"/>
    <w:rsid w:val="003C7B6C"/>
    <w:rsid w:val="003C7E8E"/>
    <w:rsid w:val="003D11AF"/>
    <w:rsid w:val="003D322C"/>
    <w:rsid w:val="003D3635"/>
    <w:rsid w:val="003D379E"/>
    <w:rsid w:val="003D40BD"/>
    <w:rsid w:val="003D40BF"/>
    <w:rsid w:val="003D57A3"/>
    <w:rsid w:val="003D720A"/>
    <w:rsid w:val="003D7461"/>
    <w:rsid w:val="003D7DBC"/>
    <w:rsid w:val="003D7EAD"/>
    <w:rsid w:val="003D7EC2"/>
    <w:rsid w:val="003D7F86"/>
    <w:rsid w:val="003E1A24"/>
    <w:rsid w:val="003E1D61"/>
    <w:rsid w:val="003E3E28"/>
    <w:rsid w:val="003E4B34"/>
    <w:rsid w:val="003E5651"/>
    <w:rsid w:val="003E67D1"/>
    <w:rsid w:val="003F0418"/>
    <w:rsid w:val="003F13CF"/>
    <w:rsid w:val="003F441E"/>
    <w:rsid w:val="003F4541"/>
    <w:rsid w:val="003F4C6C"/>
    <w:rsid w:val="00400437"/>
    <w:rsid w:val="0040105E"/>
    <w:rsid w:val="00403220"/>
    <w:rsid w:val="00404BA5"/>
    <w:rsid w:val="00405AD6"/>
    <w:rsid w:val="00407BD7"/>
    <w:rsid w:val="004110F6"/>
    <w:rsid w:val="004114FD"/>
    <w:rsid w:val="00413440"/>
    <w:rsid w:val="004134BC"/>
    <w:rsid w:val="004139C0"/>
    <w:rsid w:val="004149AB"/>
    <w:rsid w:val="00415DD1"/>
    <w:rsid w:val="004165D4"/>
    <w:rsid w:val="0041669E"/>
    <w:rsid w:val="00416C51"/>
    <w:rsid w:val="00421119"/>
    <w:rsid w:val="00421153"/>
    <w:rsid w:val="0042718A"/>
    <w:rsid w:val="00427451"/>
    <w:rsid w:val="00427ED4"/>
    <w:rsid w:val="00430FEC"/>
    <w:rsid w:val="0043143E"/>
    <w:rsid w:val="0043222B"/>
    <w:rsid w:val="00432444"/>
    <w:rsid w:val="00432ABF"/>
    <w:rsid w:val="00432ED3"/>
    <w:rsid w:val="004333BB"/>
    <w:rsid w:val="00433801"/>
    <w:rsid w:val="00433836"/>
    <w:rsid w:val="00434550"/>
    <w:rsid w:val="00434EF3"/>
    <w:rsid w:val="004367F9"/>
    <w:rsid w:val="00437798"/>
    <w:rsid w:val="0044210D"/>
    <w:rsid w:val="0044241F"/>
    <w:rsid w:val="00442548"/>
    <w:rsid w:val="0044313C"/>
    <w:rsid w:val="004460FA"/>
    <w:rsid w:val="00446832"/>
    <w:rsid w:val="0044763B"/>
    <w:rsid w:val="0044789D"/>
    <w:rsid w:val="00450C84"/>
    <w:rsid w:val="00452092"/>
    <w:rsid w:val="00453E1E"/>
    <w:rsid w:val="00456E12"/>
    <w:rsid w:val="004576C7"/>
    <w:rsid w:val="0046182E"/>
    <w:rsid w:val="00461DB8"/>
    <w:rsid w:val="004620BF"/>
    <w:rsid w:val="004623B1"/>
    <w:rsid w:val="00463808"/>
    <w:rsid w:val="00464C0C"/>
    <w:rsid w:val="00464DB1"/>
    <w:rsid w:val="0046516A"/>
    <w:rsid w:val="00465877"/>
    <w:rsid w:val="00467210"/>
    <w:rsid w:val="00467675"/>
    <w:rsid w:val="0047023D"/>
    <w:rsid w:val="004708A1"/>
    <w:rsid w:val="004727D4"/>
    <w:rsid w:val="00475E57"/>
    <w:rsid w:val="00480CCC"/>
    <w:rsid w:val="004828F6"/>
    <w:rsid w:val="0048290A"/>
    <w:rsid w:val="00490751"/>
    <w:rsid w:val="00490942"/>
    <w:rsid w:val="00490D11"/>
    <w:rsid w:val="00491211"/>
    <w:rsid w:val="0049139A"/>
    <w:rsid w:val="004914E4"/>
    <w:rsid w:val="004916A3"/>
    <w:rsid w:val="00491905"/>
    <w:rsid w:val="00491B06"/>
    <w:rsid w:val="0049213A"/>
    <w:rsid w:val="00493936"/>
    <w:rsid w:val="00493A31"/>
    <w:rsid w:val="004950C2"/>
    <w:rsid w:val="0049594A"/>
    <w:rsid w:val="00496CF3"/>
    <w:rsid w:val="00497583"/>
    <w:rsid w:val="0049786C"/>
    <w:rsid w:val="0049788A"/>
    <w:rsid w:val="004A14DE"/>
    <w:rsid w:val="004A328A"/>
    <w:rsid w:val="004A4D84"/>
    <w:rsid w:val="004A521F"/>
    <w:rsid w:val="004A6703"/>
    <w:rsid w:val="004B173A"/>
    <w:rsid w:val="004B2966"/>
    <w:rsid w:val="004B2DD0"/>
    <w:rsid w:val="004B3476"/>
    <w:rsid w:val="004B52D1"/>
    <w:rsid w:val="004B66EC"/>
    <w:rsid w:val="004B69F1"/>
    <w:rsid w:val="004C01FF"/>
    <w:rsid w:val="004C13D9"/>
    <w:rsid w:val="004C653D"/>
    <w:rsid w:val="004C735B"/>
    <w:rsid w:val="004C74F5"/>
    <w:rsid w:val="004C7588"/>
    <w:rsid w:val="004D02BA"/>
    <w:rsid w:val="004D1B33"/>
    <w:rsid w:val="004D1CA0"/>
    <w:rsid w:val="004D28F7"/>
    <w:rsid w:val="004D3566"/>
    <w:rsid w:val="004D3AD0"/>
    <w:rsid w:val="004D3D18"/>
    <w:rsid w:val="004D4C1E"/>
    <w:rsid w:val="004D59A2"/>
    <w:rsid w:val="004D5FEF"/>
    <w:rsid w:val="004D674A"/>
    <w:rsid w:val="004D7C63"/>
    <w:rsid w:val="004D7C85"/>
    <w:rsid w:val="004E00EA"/>
    <w:rsid w:val="004E3677"/>
    <w:rsid w:val="004E53B5"/>
    <w:rsid w:val="004E561E"/>
    <w:rsid w:val="004F196D"/>
    <w:rsid w:val="004F28AD"/>
    <w:rsid w:val="004F5FCA"/>
    <w:rsid w:val="004F604A"/>
    <w:rsid w:val="004F68E0"/>
    <w:rsid w:val="00500A83"/>
    <w:rsid w:val="00501992"/>
    <w:rsid w:val="00503030"/>
    <w:rsid w:val="005035B3"/>
    <w:rsid w:val="005055EE"/>
    <w:rsid w:val="005058CB"/>
    <w:rsid w:val="00505C62"/>
    <w:rsid w:val="00505F32"/>
    <w:rsid w:val="00506740"/>
    <w:rsid w:val="00510B7E"/>
    <w:rsid w:val="005139FB"/>
    <w:rsid w:val="00514285"/>
    <w:rsid w:val="00514C43"/>
    <w:rsid w:val="005162CB"/>
    <w:rsid w:val="005214E1"/>
    <w:rsid w:val="00522181"/>
    <w:rsid w:val="005223DE"/>
    <w:rsid w:val="00522752"/>
    <w:rsid w:val="00523442"/>
    <w:rsid w:val="005236C3"/>
    <w:rsid w:val="00523D74"/>
    <w:rsid w:val="00525736"/>
    <w:rsid w:val="00526CE6"/>
    <w:rsid w:val="005308CE"/>
    <w:rsid w:val="00530F7C"/>
    <w:rsid w:val="0053123F"/>
    <w:rsid w:val="005314E0"/>
    <w:rsid w:val="00531595"/>
    <w:rsid w:val="00533037"/>
    <w:rsid w:val="00534B67"/>
    <w:rsid w:val="00535E74"/>
    <w:rsid w:val="00536D7D"/>
    <w:rsid w:val="00541221"/>
    <w:rsid w:val="00541DCA"/>
    <w:rsid w:val="00542F53"/>
    <w:rsid w:val="0054306C"/>
    <w:rsid w:val="00544F39"/>
    <w:rsid w:val="00545666"/>
    <w:rsid w:val="005460BF"/>
    <w:rsid w:val="005460EA"/>
    <w:rsid w:val="005476D5"/>
    <w:rsid w:val="005509CA"/>
    <w:rsid w:val="00551728"/>
    <w:rsid w:val="0055195D"/>
    <w:rsid w:val="005523D7"/>
    <w:rsid w:val="0055280A"/>
    <w:rsid w:val="005563CC"/>
    <w:rsid w:val="00561A67"/>
    <w:rsid w:val="00561A81"/>
    <w:rsid w:val="005627D3"/>
    <w:rsid w:val="00563008"/>
    <w:rsid w:val="005630CA"/>
    <w:rsid w:val="00564E30"/>
    <w:rsid w:val="00565BDD"/>
    <w:rsid w:val="00566F0F"/>
    <w:rsid w:val="0056742C"/>
    <w:rsid w:val="00570B25"/>
    <w:rsid w:val="00572729"/>
    <w:rsid w:val="00573AF5"/>
    <w:rsid w:val="00573DF8"/>
    <w:rsid w:val="0057507F"/>
    <w:rsid w:val="00575FA5"/>
    <w:rsid w:val="00577503"/>
    <w:rsid w:val="00580FCE"/>
    <w:rsid w:val="00581D81"/>
    <w:rsid w:val="005833F6"/>
    <w:rsid w:val="00583501"/>
    <w:rsid w:val="0058574B"/>
    <w:rsid w:val="00585B61"/>
    <w:rsid w:val="00587892"/>
    <w:rsid w:val="00590B22"/>
    <w:rsid w:val="00592A5F"/>
    <w:rsid w:val="005935C3"/>
    <w:rsid w:val="00594EDE"/>
    <w:rsid w:val="00596F40"/>
    <w:rsid w:val="00597212"/>
    <w:rsid w:val="00597857"/>
    <w:rsid w:val="005A1591"/>
    <w:rsid w:val="005A3576"/>
    <w:rsid w:val="005A3828"/>
    <w:rsid w:val="005A398A"/>
    <w:rsid w:val="005A3EA2"/>
    <w:rsid w:val="005A58B7"/>
    <w:rsid w:val="005B4FDB"/>
    <w:rsid w:val="005B5452"/>
    <w:rsid w:val="005B59B1"/>
    <w:rsid w:val="005B5CDD"/>
    <w:rsid w:val="005B5EBA"/>
    <w:rsid w:val="005C0B37"/>
    <w:rsid w:val="005C11EC"/>
    <w:rsid w:val="005C14AB"/>
    <w:rsid w:val="005C2DBB"/>
    <w:rsid w:val="005C3897"/>
    <w:rsid w:val="005C3DDE"/>
    <w:rsid w:val="005C5325"/>
    <w:rsid w:val="005C64DC"/>
    <w:rsid w:val="005C7F89"/>
    <w:rsid w:val="005C7FD4"/>
    <w:rsid w:val="005D0029"/>
    <w:rsid w:val="005D129E"/>
    <w:rsid w:val="005D2667"/>
    <w:rsid w:val="005D2914"/>
    <w:rsid w:val="005D2C0C"/>
    <w:rsid w:val="005D44BC"/>
    <w:rsid w:val="005D62C2"/>
    <w:rsid w:val="005D7D79"/>
    <w:rsid w:val="005E0264"/>
    <w:rsid w:val="005E07C7"/>
    <w:rsid w:val="005E0E06"/>
    <w:rsid w:val="005E17AD"/>
    <w:rsid w:val="005E36A8"/>
    <w:rsid w:val="005E42E3"/>
    <w:rsid w:val="005E61EF"/>
    <w:rsid w:val="005E75CE"/>
    <w:rsid w:val="005F09C0"/>
    <w:rsid w:val="005F1740"/>
    <w:rsid w:val="005F2533"/>
    <w:rsid w:val="005F25A8"/>
    <w:rsid w:val="005F2EBC"/>
    <w:rsid w:val="005F3774"/>
    <w:rsid w:val="005F4FEA"/>
    <w:rsid w:val="005F50EC"/>
    <w:rsid w:val="005F557A"/>
    <w:rsid w:val="005F63F0"/>
    <w:rsid w:val="005F7785"/>
    <w:rsid w:val="005F7FBF"/>
    <w:rsid w:val="006005D3"/>
    <w:rsid w:val="00601A88"/>
    <w:rsid w:val="006028FF"/>
    <w:rsid w:val="00603EE8"/>
    <w:rsid w:val="0060435B"/>
    <w:rsid w:val="00604513"/>
    <w:rsid w:val="006046E4"/>
    <w:rsid w:val="00604AAA"/>
    <w:rsid w:val="00607E3E"/>
    <w:rsid w:val="00613389"/>
    <w:rsid w:val="0061435F"/>
    <w:rsid w:val="00616A46"/>
    <w:rsid w:val="0061738A"/>
    <w:rsid w:val="00617CAD"/>
    <w:rsid w:val="00621FCE"/>
    <w:rsid w:val="0062780D"/>
    <w:rsid w:val="00631FBA"/>
    <w:rsid w:val="00632775"/>
    <w:rsid w:val="00632E97"/>
    <w:rsid w:val="006352FC"/>
    <w:rsid w:val="006356DA"/>
    <w:rsid w:val="00635A50"/>
    <w:rsid w:val="00643436"/>
    <w:rsid w:val="00644FF6"/>
    <w:rsid w:val="006469DF"/>
    <w:rsid w:val="00646DF1"/>
    <w:rsid w:val="006470F7"/>
    <w:rsid w:val="0064743A"/>
    <w:rsid w:val="0064780C"/>
    <w:rsid w:val="00647A93"/>
    <w:rsid w:val="00647B4C"/>
    <w:rsid w:val="00652EF0"/>
    <w:rsid w:val="00653C63"/>
    <w:rsid w:val="00653FD6"/>
    <w:rsid w:val="00654190"/>
    <w:rsid w:val="006542B2"/>
    <w:rsid w:val="00656660"/>
    <w:rsid w:val="00657B43"/>
    <w:rsid w:val="0066252D"/>
    <w:rsid w:val="00664520"/>
    <w:rsid w:val="00665009"/>
    <w:rsid w:val="0066658E"/>
    <w:rsid w:val="006668C9"/>
    <w:rsid w:val="00666F71"/>
    <w:rsid w:val="0067159E"/>
    <w:rsid w:val="006724E0"/>
    <w:rsid w:val="00673B1F"/>
    <w:rsid w:val="006743AE"/>
    <w:rsid w:val="006744D2"/>
    <w:rsid w:val="00675E33"/>
    <w:rsid w:val="0067644D"/>
    <w:rsid w:val="00681111"/>
    <w:rsid w:val="0068219A"/>
    <w:rsid w:val="00684916"/>
    <w:rsid w:val="00685DBA"/>
    <w:rsid w:val="00685F49"/>
    <w:rsid w:val="006868EE"/>
    <w:rsid w:val="00687FE8"/>
    <w:rsid w:val="006900B2"/>
    <w:rsid w:val="006918D4"/>
    <w:rsid w:val="006930C6"/>
    <w:rsid w:val="006947D8"/>
    <w:rsid w:val="00694EBE"/>
    <w:rsid w:val="0069555E"/>
    <w:rsid w:val="0069648C"/>
    <w:rsid w:val="006964BE"/>
    <w:rsid w:val="0069672F"/>
    <w:rsid w:val="00696931"/>
    <w:rsid w:val="0069791B"/>
    <w:rsid w:val="006A0EBD"/>
    <w:rsid w:val="006A11ED"/>
    <w:rsid w:val="006A1D3E"/>
    <w:rsid w:val="006A55B8"/>
    <w:rsid w:val="006A56AA"/>
    <w:rsid w:val="006A6304"/>
    <w:rsid w:val="006A669A"/>
    <w:rsid w:val="006A7D69"/>
    <w:rsid w:val="006B09B3"/>
    <w:rsid w:val="006B1892"/>
    <w:rsid w:val="006B320A"/>
    <w:rsid w:val="006B3374"/>
    <w:rsid w:val="006B34EF"/>
    <w:rsid w:val="006B39BE"/>
    <w:rsid w:val="006B4976"/>
    <w:rsid w:val="006B660F"/>
    <w:rsid w:val="006B7906"/>
    <w:rsid w:val="006C0413"/>
    <w:rsid w:val="006C16EC"/>
    <w:rsid w:val="006C35CB"/>
    <w:rsid w:val="006C41CC"/>
    <w:rsid w:val="006C4336"/>
    <w:rsid w:val="006C52B4"/>
    <w:rsid w:val="006C5422"/>
    <w:rsid w:val="006C5794"/>
    <w:rsid w:val="006C59BD"/>
    <w:rsid w:val="006D0C44"/>
    <w:rsid w:val="006D21A9"/>
    <w:rsid w:val="006D3708"/>
    <w:rsid w:val="006D3F8A"/>
    <w:rsid w:val="006D457E"/>
    <w:rsid w:val="006D5555"/>
    <w:rsid w:val="006D5984"/>
    <w:rsid w:val="006D6EF4"/>
    <w:rsid w:val="006E015F"/>
    <w:rsid w:val="006E1DCC"/>
    <w:rsid w:val="006E2E20"/>
    <w:rsid w:val="006E3711"/>
    <w:rsid w:val="006E4FC9"/>
    <w:rsid w:val="006E50E4"/>
    <w:rsid w:val="006E546C"/>
    <w:rsid w:val="006E69BC"/>
    <w:rsid w:val="006E7921"/>
    <w:rsid w:val="006E7ECB"/>
    <w:rsid w:val="006F19C7"/>
    <w:rsid w:val="006F2CE8"/>
    <w:rsid w:val="006F349C"/>
    <w:rsid w:val="006F39FA"/>
    <w:rsid w:val="006F6A64"/>
    <w:rsid w:val="00701EED"/>
    <w:rsid w:val="007038B4"/>
    <w:rsid w:val="00704384"/>
    <w:rsid w:val="00705731"/>
    <w:rsid w:val="00706235"/>
    <w:rsid w:val="00706BAD"/>
    <w:rsid w:val="00707AA2"/>
    <w:rsid w:val="00707C78"/>
    <w:rsid w:val="007100EC"/>
    <w:rsid w:val="007103EB"/>
    <w:rsid w:val="00710BD5"/>
    <w:rsid w:val="007111EB"/>
    <w:rsid w:val="00711A0E"/>
    <w:rsid w:val="007126DF"/>
    <w:rsid w:val="00712F10"/>
    <w:rsid w:val="00713DB1"/>
    <w:rsid w:val="00716D23"/>
    <w:rsid w:val="0071745C"/>
    <w:rsid w:val="00720242"/>
    <w:rsid w:val="007202EB"/>
    <w:rsid w:val="00720F40"/>
    <w:rsid w:val="007210D9"/>
    <w:rsid w:val="00721253"/>
    <w:rsid w:val="007214EF"/>
    <w:rsid w:val="00721CFE"/>
    <w:rsid w:val="00723C5A"/>
    <w:rsid w:val="00723E39"/>
    <w:rsid w:val="007244B2"/>
    <w:rsid w:val="00724692"/>
    <w:rsid w:val="00725536"/>
    <w:rsid w:val="0072567A"/>
    <w:rsid w:val="007259D6"/>
    <w:rsid w:val="00726EA3"/>
    <w:rsid w:val="00730113"/>
    <w:rsid w:val="007307C6"/>
    <w:rsid w:val="00731EDB"/>
    <w:rsid w:val="0073385E"/>
    <w:rsid w:val="00735E88"/>
    <w:rsid w:val="007363EB"/>
    <w:rsid w:val="00736CA2"/>
    <w:rsid w:val="00737E9B"/>
    <w:rsid w:val="007410F3"/>
    <w:rsid w:val="007417B1"/>
    <w:rsid w:val="00741F39"/>
    <w:rsid w:val="007434C3"/>
    <w:rsid w:val="007459C4"/>
    <w:rsid w:val="0074715B"/>
    <w:rsid w:val="0074753B"/>
    <w:rsid w:val="0074796E"/>
    <w:rsid w:val="00750F64"/>
    <w:rsid w:val="00751529"/>
    <w:rsid w:val="007516A3"/>
    <w:rsid w:val="00752632"/>
    <w:rsid w:val="00753C4C"/>
    <w:rsid w:val="00755BF3"/>
    <w:rsid w:val="00756510"/>
    <w:rsid w:val="00756774"/>
    <w:rsid w:val="007576DE"/>
    <w:rsid w:val="0076113C"/>
    <w:rsid w:val="00762695"/>
    <w:rsid w:val="00762891"/>
    <w:rsid w:val="00763F28"/>
    <w:rsid w:val="007649BD"/>
    <w:rsid w:val="00765071"/>
    <w:rsid w:val="007651E0"/>
    <w:rsid w:val="00767FD5"/>
    <w:rsid w:val="00770F92"/>
    <w:rsid w:val="00773D73"/>
    <w:rsid w:val="00774417"/>
    <w:rsid w:val="00774FC0"/>
    <w:rsid w:val="00775DE4"/>
    <w:rsid w:val="00777988"/>
    <w:rsid w:val="007802E8"/>
    <w:rsid w:val="00782AB7"/>
    <w:rsid w:val="00786E3E"/>
    <w:rsid w:val="0078776E"/>
    <w:rsid w:val="007878DE"/>
    <w:rsid w:val="00790D73"/>
    <w:rsid w:val="00792AF1"/>
    <w:rsid w:val="00793F89"/>
    <w:rsid w:val="007947C8"/>
    <w:rsid w:val="00795CBA"/>
    <w:rsid w:val="00796BBE"/>
    <w:rsid w:val="007978DC"/>
    <w:rsid w:val="00797B30"/>
    <w:rsid w:val="007A1648"/>
    <w:rsid w:val="007A404C"/>
    <w:rsid w:val="007A544A"/>
    <w:rsid w:val="007A7AD7"/>
    <w:rsid w:val="007B0115"/>
    <w:rsid w:val="007B104B"/>
    <w:rsid w:val="007B24F3"/>
    <w:rsid w:val="007B3A8F"/>
    <w:rsid w:val="007B414C"/>
    <w:rsid w:val="007B5814"/>
    <w:rsid w:val="007B7B8E"/>
    <w:rsid w:val="007C1AC2"/>
    <w:rsid w:val="007C277F"/>
    <w:rsid w:val="007C2FC8"/>
    <w:rsid w:val="007C42AE"/>
    <w:rsid w:val="007C4840"/>
    <w:rsid w:val="007C5AF9"/>
    <w:rsid w:val="007C6B9F"/>
    <w:rsid w:val="007D21A0"/>
    <w:rsid w:val="007D51AE"/>
    <w:rsid w:val="007D54F6"/>
    <w:rsid w:val="007E23B5"/>
    <w:rsid w:val="007E3EB9"/>
    <w:rsid w:val="007E403C"/>
    <w:rsid w:val="007E484A"/>
    <w:rsid w:val="007E689D"/>
    <w:rsid w:val="007F182A"/>
    <w:rsid w:val="007F1883"/>
    <w:rsid w:val="007F18EF"/>
    <w:rsid w:val="007F19CC"/>
    <w:rsid w:val="007F1E11"/>
    <w:rsid w:val="007F3116"/>
    <w:rsid w:val="007F5796"/>
    <w:rsid w:val="007F6D2D"/>
    <w:rsid w:val="00800A3E"/>
    <w:rsid w:val="00803D1C"/>
    <w:rsid w:val="008043A2"/>
    <w:rsid w:val="0080640C"/>
    <w:rsid w:val="00807450"/>
    <w:rsid w:val="00807A5D"/>
    <w:rsid w:val="00810855"/>
    <w:rsid w:val="00810E2B"/>
    <w:rsid w:val="00811066"/>
    <w:rsid w:val="0081230A"/>
    <w:rsid w:val="0081383D"/>
    <w:rsid w:val="00814B42"/>
    <w:rsid w:val="00815D91"/>
    <w:rsid w:val="0081747D"/>
    <w:rsid w:val="00817607"/>
    <w:rsid w:val="00817FD4"/>
    <w:rsid w:val="00821519"/>
    <w:rsid w:val="0082271F"/>
    <w:rsid w:val="0082370B"/>
    <w:rsid w:val="008248D8"/>
    <w:rsid w:val="00825228"/>
    <w:rsid w:val="00825F32"/>
    <w:rsid w:val="0082687F"/>
    <w:rsid w:val="00831A63"/>
    <w:rsid w:val="00831A82"/>
    <w:rsid w:val="00831E46"/>
    <w:rsid w:val="00832A76"/>
    <w:rsid w:val="00833EB0"/>
    <w:rsid w:val="00834803"/>
    <w:rsid w:val="008355D3"/>
    <w:rsid w:val="008357FD"/>
    <w:rsid w:val="008419B5"/>
    <w:rsid w:val="00842678"/>
    <w:rsid w:val="0084480B"/>
    <w:rsid w:val="008455F2"/>
    <w:rsid w:val="00846B2B"/>
    <w:rsid w:val="00847AB4"/>
    <w:rsid w:val="00850013"/>
    <w:rsid w:val="00850E2A"/>
    <w:rsid w:val="008513D1"/>
    <w:rsid w:val="00851D8D"/>
    <w:rsid w:val="00852043"/>
    <w:rsid w:val="00852404"/>
    <w:rsid w:val="00854CF0"/>
    <w:rsid w:val="00855EA7"/>
    <w:rsid w:val="00856E9F"/>
    <w:rsid w:val="00860A91"/>
    <w:rsid w:val="00860C4E"/>
    <w:rsid w:val="00864467"/>
    <w:rsid w:val="00864C5E"/>
    <w:rsid w:val="0087071B"/>
    <w:rsid w:val="00870D1E"/>
    <w:rsid w:val="00871C74"/>
    <w:rsid w:val="00871E7F"/>
    <w:rsid w:val="0087217E"/>
    <w:rsid w:val="00872FFF"/>
    <w:rsid w:val="00874D32"/>
    <w:rsid w:val="00875345"/>
    <w:rsid w:val="008769F6"/>
    <w:rsid w:val="00881A2F"/>
    <w:rsid w:val="00882879"/>
    <w:rsid w:val="00884E6E"/>
    <w:rsid w:val="00893D01"/>
    <w:rsid w:val="00893F46"/>
    <w:rsid w:val="008940F5"/>
    <w:rsid w:val="008951A9"/>
    <w:rsid w:val="00897B62"/>
    <w:rsid w:val="00897D92"/>
    <w:rsid w:val="008A06F3"/>
    <w:rsid w:val="008A3192"/>
    <w:rsid w:val="008A353B"/>
    <w:rsid w:val="008A4524"/>
    <w:rsid w:val="008A61AE"/>
    <w:rsid w:val="008A651A"/>
    <w:rsid w:val="008A65D2"/>
    <w:rsid w:val="008A6BC8"/>
    <w:rsid w:val="008B1150"/>
    <w:rsid w:val="008B1882"/>
    <w:rsid w:val="008B1D76"/>
    <w:rsid w:val="008B2444"/>
    <w:rsid w:val="008B3266"/>
    <w:rsid w:val="008B4108"/>
    <w:rsid w:val="008B437E"/>
    <w:rsid w:val="008B4FBC"/>
    <w:rsid w:val="008B50A2"/>
    <w:rsid w:val="008B56AC"/>
    <w:rsid w:val="008B7187"/>
    <w:rsid w:val="008C071F"/>
    <w:rsid w:val="008C0E33"/>
    <w:rsid w:val="008C16CD"/>
    <w:rsid w:val="008C2231"/>
    <w:rsid w:val="008C453E"/>
    <w:rsid w:val="008C46CD"/>
    <w:rsid w:val="008C4ACD"/>
    <w:rsid w:val="008C649E"/>
    <w:rsid w:val="008C6D01"/>
    <w:rsid w:val="008C727F"/>
    <w:rsid w:val="008C7DBC"/>
    <w:rsid w:val="008D0D48"/>
    <w:rsid w:val="008D1F04"/>
    <w:rsid w:val="008D26B6"/>
    <w:rsid w:val="008D38B9"/>
    <w:rsid w:val="008D4364"/>
    <w:rsid w:val="008D439E"/>
    <w:rsid w:val="008D653C"/>
    <w:rsid w:val="008D70D2"/>
    <w:rsid w:val="008D7B72"/>
    <w:rsid w:val="008E0CBF"/>
    <w:rsid w:val="008E0E30"/>
    <w:rsid w:val="008E1236"/>
    <w:rsid w:val="008E1257"/>
    <w:rsid w:val="008E1268"/>
    <w:rsid w:val="008E30BB"/>
    <w:rsid w:val="008E319A"/>
    <w:rsid w:val="008E31EF"/>
    <w:rsid w:val="008E39DE"/>
    <w:rsid w:val="008E4A32"/>
    <w:rsid w:val="008E562C"/>
    <w:rsid w:val="008E6C1C"/>
    <w:rsid w:val="008F0708"/>
    <w:rsid w:val="008F1495"/>
    <w:rsid w:val="008F1AED"/>
    <w:rsid w:val="008F2DEB"/>
    <w:rsid w:val="008F4CE7"/>
    <w:rsid w:val="008F6465"/>
    <w:rsid w:val="008F6F7A"/>
    <w:rsid w:val="008F749F"/>
    <w:rsid w:val="009009ED"/>
    <w:rsid w:val="00904A8A"/>
    <w:rsid w:val="00904E2F"/>
    <w:rsid w:val="00905C5F"/>
    <w:rsid w:val="0090618F"/>
    <w:rsid w:val="00906654"/>
    <w:rsid w:val="009070FD"/>
    <w:rsid w:val="00907EC7"/>
    <w:rsid w:val="00910C68"/>
    <w:rsid w:val="00910D35"/>
    <w:rsid w:val="00911782"/>
    <w:rsid w:val="00912885"/>
    <w:rsid w:val="00912A14"/>
    <w:rsid w:val="00912A98"/>
    <w:rsid w:val="00914C6C"/>
    <w:rsid w:val="009178AA"/>
    <w:rsid w:val="0092415C"/>
    <w:rsid w:val="00925798"/>
    <w:rsid w:val="00926589"/>
    <w:rsid w:val="00930234"/>
    <w:rsid w:val="00930D84"/>
    <w:rsid w:val="00932F52"/>
    <w:rsid w:val="0093383F"/>
    <w:rsid w:val="00933F8B"/>
    <w:rsid w:val="00934890"/>
    <w:rsid w:val="0093730F"/>
    <w:rsid w:val="00937742"/>
    <w:rsid w:val="009378B7"/>
    <w:rsid w:val="00937AB9"/>
    <w:rsid w:val="00940386"/>
    <w:rsid w:val="00940A0D"/>
    <w:rsid w:val="009413C7"/>
    <w:rsid w:val="00941754"/>
    <w:rsid w:val="00941A76"/>
    <w:rsid w:val="00942250"/>
    <w:rsid w:val="0094308F"/>
    <w:rsid w:val="009435F7"/>
    <w:rsid w:val="00945013"/>
    <w:rsid w:val="00946040"/>
    <w:rsid w:val="009465B3"/>
    <w:rsid w:val="00946A39"/>
    <w:rsid w:val="00947180"/>
    <w:rsid w:val="00947BE5"/>
    <w:rsid w:val="00954477"/>
    <w:rsid w:val="009559B5"/>
    <w:rsid w:val="00955F40"/>
    <w:rsid w:val="00956413"/>
    <w:rsid w:val="009569B0"/>
    <w:rsid w:val="009572C8"/>
    <w:rsid w:val="00957E16"/>
    <w:rsid w:val="00961486"/>
    <w:rsid w:val="00964398"/>
    <w:rsid w:val="009648DD"/>
    <w:rsid w:val="00965900"/>
    <w:rsid w:val="00967419"/>
    <w:rsid w:val="009725FD"/>
    <w:rsid w:val="00972952"/>
    <w:rsid w:val="009739BF"/>
    <w:rsid w:val="00973AC4"/>
    <w:rsid w:val="0097549E"/>
    <w:rsid w:val="0097684F"/>
    <w:rsid w:val="00977228"/>
    <w:rsid w:val="00980FB7"/>
    <w:rsid w:val="00981882"/>
    <w:rsid w:val="00981F38"/>
    <w:rsid w:val="0098219B"/>
    <w:rsid w:val="00982394"/>
    <w:rsid w:val="00982B93"/>
    <w:rsid w:val="00983522"/>
    <w:rsid w:val="00985B69"/>
    <w:rsid w:val="0098626B"/>
    <w:rsid w:val="009865D2"/>
    <w:rsid w:val="009866AE"/>
    <w:rsid w:val="009869B0"/>
    <w:rsid w:val="00986FC1"/>
    <w:rsid w:val="00987555"/>
    <w:rsid w:val="0098784C"/>
    <w:rsid w:val="00987B57"/>
    <w:rsid w:val="009900D9"/>
    <w:rsid w:val="00991496"/>
    <w:rsid w:val="009941F7"/>
    <w:rsid w:val="009942F7"/>
    <w:rsid w:val="009943D9"/>
    <w:rsid w:val="00996076"/>
    <w:rsid w:val="009961A9"/>
    <w:rsid w:val="0099651E"/>
    <w:rsid w:val="00996AFE"/>
    <w:rsid w:val="009A00DD"/>
    <w:rsid w:val="009A0A12"/>
    <w:rsid w:val="009A305D"/>
    <w:rsid w:val="009A456B"/>
    <w:rsid w:val="009B0845"/>
    <w:rsid w:val="009B2B14"/>
    <w:rsid w:val="009B3B18"/>
    <w:rsid w:val="009C2AD2"/>
    <w:rsid w:val="009C3888"/>
    <w:rsid w:val="009C5826"/>
    <w:rsid w:val="009C5C66"/>
    <w:rsid w:val="009C6A55"/>
    <w:rsid w:val="009D15F8"/>
    <w:rsid w:val="009D1CEF"/>
    <w:rsid w:val="009D1CFE"/>
    <w:rsid w:val="009D2395"/>
    <w:rsid w:val="009D3CC5"/>
    <w:rsid w:val="009D40F0"/>
    <w:rsid w:val="009D65F9"/>
    <w:rsid w:val="009E12A3"/>
    <w:rsid w:val="009E2D98"/>
    <w:rsid w:val="009E36AB"/>
    <w:rsid w:val="009E7B1E"/>
    <w:rsid w:val="009E7DA3"/>
    <w:rsid w:val="009F0203"/>
    <w:rsid w:val="009F1445"/>
    <w:rsid w:val="009F2303"/>
    <w:rsid w:val="009F238D"/>
    <w:rsid w:val="009F3D78"/>
    <w:rsid w:val="009F5AB7"/>
    <w:rsid w:val="009F6FE4"/>
    <w:rsid w:val="00A013B3"/>
    <w:rsid w:val="00A01662"/>
    <w:rsid w:val="00A01F78"/>
    <w:rsid w:val="00A04500"/>
    <w:rsid w:val="00A060E8"/>
    <w:rsid w:val="00A11A2C"/>
    <w:rsid w:val="00A14636"/>
    <w:rsid w:val="00A16F6F"/>
    <w:rsid w:val="00A17C28"/>
    <w:rsid w:val="00A2017B"/>
    <w:rsid w:val="00A203C4"/>
    <w:rsid w:val="00A203D1"/>
    <w:rsid w:val="00A21205"/>
    <w:rsid w:val="00A23332"/>
    <w:rsid w:val="00A24477"/>
    <w:rsid w:val="00A248C5"/>
    <w:rsid w:val="00A25C83"/>
    <w:rsid w:val="00A315B0"/>
    <w:rsid w:val="00A31F9F"/>
    <w:rsid w:val="00A34718"/>
    <w:rsid w:val="00A3552A"/>
    <w:rsid w:val="00A358F4"/>
    <w:rsid w:val="00A35CE0"/>
    <w:rsid w:val="00A35CF4"/>
    <w:rsid w:val="00A3683E"/>
    <w:rsid w:val="00A413E7"/>
    <w:rsid w:val="00A4301B"/>
    <w:rsid w:val="00A43F66"/>
    <w:rsid w:val="00A54E13"/>
    <w:rsid w:val="00A56E91"/>
    <w:rsid w:val="00A626EF"/>
    <w:rsid w:val="00A62792"/>
    <w:rsid w:val="00A62B36"/>
    <w:rsid w:val="00A63A19"/>
    <w:rsid w:val="00A63AFF"/>
    <w:rsid w:val="00A661CD"/>
    <w:rsid w:val="00A668B9"/>
    <w:rsid w:val="00A72D2A"/>
    <w:rsid w:val="00A72E85"/>
    <w:rsid w:val="00A73558"/>
    <w:rsid w:val="00A751DF"/>
    <w:rsid w:val="00A772DF"/>
    <w:rsid w:val="00A81C1D"/>
    <w:rsid w:val="00A83DFD"/>
    <w:rsid w:val="00A8498F"/>
    <w:rsid w:val="00A90DA9"/>
    <w:rsid w:val="00A91DBD"/>
    <w:rsid w:val="00A93991"/>
    <w:rsid w:val="00A94040"/>
    <w:rsid w:val="00A96F27"/>
    <w:rsid w:val="00A97332"/>
    <w:rsid w:val="00AA1A32"/>
    <w:rsid w:val="00AA286A"/>
    <w:rsid w:val="00AA2DDD"/>
    <w:rsid w:val="00AA6755"/>
    <w:rsid w:val="00AB11B9"/>
    <w:rsid w:val="00AB22C5"/>
    <w:rsid w:val="00AB2554"/>
    <w:rsid w:val="00AB5058"/>
    <w:rsid w:val="00AB602D"/>
    <w:rsid w:val="00AB7EBF"/>
    <w:rsid w:val="00AC30D4"/>
    <w:rsid w:val="00AC3E7B"/>
    <w:rsid w:val="00AC689C"/>
    <w:rsid w:val="00AC6F25"/>
    <w:rsid w:val="00AC7ADA"/>
    <w:rsid w:val="00AD018C"/>
    <w:rsid w:val="00AD0414"/>
    <w:rsid w:val="00AD0E03"/>
    <w:rsid w:val="00AD24AC"/>
    <w:rsid w:val="00AD2D1A"/>
    <w:rsid w:val="00AD35F4"/>
    <w:rsid w:val="00AD3C2D"/>
    <w:rsid w:val="00AD3D28"/>
    <w:rsid w:val="00AD45F3"/>
    <w:rsid w:val="00AD4893"/>
    <w:rsid w:val="00AD4A03"/>
    <w:rsid w:val="00AD4C8B"/>
    <w:rsid w:val="00AD5AE1"/>
    <w:rsid w:val="00AE0773"/>
    <w:rsid w:val="00AE08C0"/>
    <w:rsid w:val="00AE0A03"/>
    <w:rsid w:val="00AE1728"/>
    <w:rsid w:val="00AE2055"/>
    <w:rsid w:val="00AE6014"/>
    <w:rsid w:val="00AE6ED9"/>
    <w:rsid w:val="00AE7143"/>
    <w:rsid w:val="00AE7602"/>
    <w:rsid w:val="00AF054B"/>
    <w:rsid w:val="00AF2434"/>
    <w:rsid w:val="00AF2865"/>
    <w:rsid w:val="00AF2F08"/>
    <w:rsid w:val="00AF3508"/>
    <w:rsid w:val="00AF39AB"/>
    <w:rsid w:val="00AF3BF4"/>
    <w:rsid w:val="00AF5E54"/>
    <w:rsid w:val="00AF5E8C"/>
    <w:rsid w:val="00AF65E6"/>
    <w:rsid w:val="00AF6DB1"/>
    <w:rsid w:val="00B0348E"/>
    <w:rsid w:val="00B037DE"/>
    <w:rsid w:val="00B03BC7"/>
    <w:rsid w:val="00B04637"/>
    <w:rsid w:val="00B04BBB"/>
    <w:rsid w:val="00B05DD4"/>
    <w:rsid w:val="00B05F5F"/>
    <w:rsid w:val="00B06DAD"/>
    <w:rsid w:val="00B109A3"/>
    <w:rsid w:val="00B10DAA"/>
    <w:rsid w:val="00B11FEB"/>
    <w:rsid w:val="00B13ED0"/>
    <w:rsid w:val="00B15E57"/>
    <w:rsid w:val="00B172CF"/>
    <w:rsid w:val="00B20A7C"/>
    <w:rsid w:val="00B24138"/>
    <w:rsid w:val="00B266E6"/>
    <w:rsid w:val="00B26C06"/>
    <w:rsid w:val="00B27854"/>
    <w:rsid w:val="00B31462"/>
    <w:rsid w:val="00B324DD"/>
    <w:rsid w:val="00B32AB4"/>
    <w:rsid w:val="00B36B9A"/>
    <w:rsid w:val="00B37340"/>
    <w:rsid w:val="00B40018"/>
    <w:rsid w:val="00B42173"/>
    <w:rsid w:val="00B43486"/>
    <w:rsid w:val="00B45D5E"/>
    <w:rsid w:val="00B46C9D"/>
    <w:rsid w:val="00B47AA0"/>
    <w:rsid w:val="00B50C2D"/>
    <w:rsid w:val="00B52AA8"/>
    <w:rsid w:val="00B52C8C"/>
    <w:rsid w:val="00B542F2"/>
    <w:rsid w:val="00B55ADF"/>
    <w:rsid w:val="00B61168"/>
    <w:rsid w:val="00B63927"/>
    <w:rsid w:val="00B64ADD"/>
    <w:rsid w:val="00B660D2"/>
    <w:rsid w:val="00B67959"/>
    <w:rsid w:val="00B67AAE"/>
    <w:rsid w:val="00B7017B"/>
    <w:rsid w:val="00B70353"/>
    <w:rsid w:val="00B72E64"/>
    <w:rsid w:val="00B81F77"/>
    <w:rsid w:val="00B82DE6"/>
    <w:rsid w:val="00B842F2"/>
    <w:rsid w:val="00B84C60"/>
    <w:rsid w:val="00B84D76"/>
    <w:rsid w:val="00B84E9F"/>
    <w:rsid w:val="00B8590B"/>
    <w:rsid w:val="00B859F3"/>
    <w:rsid w:val="00B86073"/>
    <w:rsid w:val="00B8607E"/>
    <w:rsid w:val="00B90231"/>
    <w:rsid w:val="00B912D9"/>
    <w:rsid w:val="00B91F43"/>
    <w:rsid w:val="00B933DA"/>
    <w:rsid w:val="00B9508D"/>
    <w:rsid w:val="00B95AEF"/>
    <w:rsid w:val="00B96BCC"/>
    <w:rsid w:val="00B977DF"/>
    <w:rsid w:val="00B97ED9"/>
    <w:rsid w:val="00B97F2B"/>
    <w:rsid w:val="00B97F49"/>
    <w:rsid w:val="00BA0592"/>
    <w:rsid w:val="00BA18D1"/>
    <w:rsid w:val="00BA2CE1"/>
    <w:rsid w:val="00BA3BEF"/>
    <w:rsid w:val="00BA3ED4"/>
    <w:rsid w:val="00BA4CF3"/>
    <w:rsid w:val="00BA55F7"/>
    <w:rsid w:val="00BA710A"/>
    <w:rsid w:val="00BB0654"/>
    <w:rsid w:val="00BB12B3"/>
    <w:rsid w:val="00BB140C"/>
    <w:rsid w:val="00BB312F"/>
    <w:rsid w:val="00BB36C9"/>
    <w:rsid w:val="00BB4820"/>
    <w:rsid w:val="00BB6FEA"/>
    <w:rsid w:val="00BC0510"/>
    <w:rsid w:val="00BC0A7C"/>
    <w:rsid w:val="00BC231D"/>
    <w:rsid w:val="00BC384A"/>
    <w:rsid w:val="00BC574D"/>
    <w:rsid w:val="00BC5A4E"/>
    <w:rsid w:val="00BC648D"/>
    <w:rsid w:val="00BC6EFB"/>
    <w:rsid w:val="00BC78D6"/>
    <w:rsid w:val="00BD0174"/>
    <w:rsid w:val="00BD61DA"/>
    <w:rsid w:val="00BE03B2"/>
    <w:rsid w:val="00BE0787"/>
    <w:rsid w:val="00BE594C"/>
    <w:rsid w:val="00BE700A"/>
    <w:rsid w:val="00BF02EB"/>
    <w:rsid w:val="00BF1A94"/>
    <w:rsid w:val="00BF1C9A"/>
    <w:rsid w:val="00BF226C"/>
    <w:rsid w:val="00BF3457"/>
    <w:rsid w:val="00BF3824"/>
    <w:rsid w:val="00BF3F43"/>
    <w:rsid w:val="00BF40F2"/>
    <w:rsid w:val="00BF41D6"/>
    <w:rsid w:val="00BF4A98"/>
    <w:rsid w:val="00BF4D49"/>
    <w:rsid w:val="00BF5213"/>
    <w:rsid w:val="00C04161"/>
    <w:rsid w:val="00C06010"/>
    <w:rsid w:val="00C066B6"/>
    <w:rsid w:val="00C06A0B"/>
    <w:rsid w:val="00C071C0"/>
    <w:rsid w:val="00C10B8B"/>
    <w:rsid w:val="00C12017"/>
    <w:rsid w:val="00C1428F"/>
    <w:rsid w:val="00C15C0A"/>
    <w:rsid w:val="00C200EE"/>
    <w:rsid w:val="00C20263"/>
    <w:rsid w:val="00C20A38"/>
    <w:rsid w:val="00C24C99"/>
    <w:rsid w:val="00C30C84"/>
    <w:rsid w:val="00C35C42"/>
    <w:rsid w:val="00C36429"/>
    <w:rsid w:val="00C40FE4"/>
    <w:rsid w:val="00C41193"/>
    <w:rsid w:val="00C41912"/>
    <w:rsid w:val="00C420A3"/>
    <w:rsid w:val="00C44207"/>
    <w:rsid w:val="00C44B8A"/>
    <w:rsid w:val="00C4657B"/>
    <w:rsid w:val="00C50E83"/>
    <w:rsid w:val="00C50EAD"/>
    <w:rsid w:val="00C51413"/>
    <w:rsid w:val="00C51CED"/>
    <w:rsid w:val="00C5282B"/>
    <w:rsid w:val="00C52D70"/>
    <w:rsid w:val="00C53F44"/>
    <w:rsid w:val="00C55CFB"/>
    <w:rsid w:val="00C56556"/>
    <w:rsid w:val="00C56A70"/>
    <w:rsid w:val="00C6034D"/>
    <w:rsid w:val="00C61D11"/>
    <w:rsid w:val="00C62881"/>
    <w:rsid w:val="00C637CA"/>
    <w:rsid w:val="00C63CCA"/>
    <w:rsid w:val="00C63EC7"/>
    <w:rsid w:val="00C67D73"/>
    <w:rsid w:val="00C71104"/>
    <w:rsid w:val="00C71E87"/>
    <w:rsid w:val="00C730F8"/>
    <w:rsid w:val="00C739DB"/>
    <w:rsid w:val="00C74057"/>
    <w:rsid w:val="00C74264"/>
    <w:rsid w:val="00C74761"/>
    <w:rsid w:val="00C7691B"/>
    <w:rsid w:val="00C76937"/>
    <w:rsid w:val="00C7730D"/>
    <w:rsid w:val="00C77CFD"/>
    <w:rsid w:val="00C80A24"/>
    <w:rsid w:val="00C810F0"/>
    <w:rsid w:val="00C83539"/>
    <w:rsid w:val="00C860B2"/>
    <w:rsid w:val="00C87D0A"/>
    <w:rsid w:val="00C9028A"/>
    <w:rsid w:val="00C905F5"/>
    <w:rsid w:val="00C90922"/>
    <w:rsid w:val="00C909DD"/>
    <w:rsid w:val="00C90A49"/>
    <w:rsid w:val="00C93710"/>
    <w:rsid w:val="00C94538"/>
    <w:rsid w:val="00C955E2"/>
    <w:rsid w:val="00C95914"/>
    <w:rsid w:val="00C9597D"/>
    <w:rsid w:val="00C95D7C"/>
    <w:rsid w:val="00CA233E"/>
    <w:rsid w:val="00CA291C"/>
    <w:rsid w:val="00CA2BF6"/>
    <w:rsid w:val="00CA3BF8"/>
    <w:rsid w:val="00CA500E"/>
    <w:rsid w:val="00CA511A"/>
    <w:rsid w:val="00CA5C60"/>
    <w:rsid w:val="00CA5F1B"/>
    <w:rsid w:val="00CA6ACC"/>
    <w:rsid w:val="00CA7037"/>
    <w:rsid w:val="00CA754C"/>
    <w:rsid w:val="00CA75A5"/>
    <w:rsid w:val="00CA7BA8"/>
    <w:rsid w:val="00CB090A"/>
    <w:rsid w:val="00CB0C34"/>
    <w:rsid w:val="00CB0CB2"/>
    <w:rsid w:val="00CB2751"/>
    <w:rsid w:val="00CB28B4"/>
    <w:rsid w:val="00CB3918"/>
    <w:rsid w:val="00CB63EA"/>
    <w:rsid w:val="00CC11A9"/>
    <w:rsid w:val="00CC14EE"/>
    <w:rsid w:val="00CC158D"/>
    <w:rsid w:val="00CC301A"/>
    <w:rsid w:val="00CC38E6"/>
    <w:rsid w:val="00CC3F48"/>
    <w:rsid w:val="00CC68DA"/>
    <w:rsid w:val="00CC6AFC"/>
    <w:rsid w:val="00CC6FCA"/>
    <w:rsid w:val="00CD009A"/>
    <w:rsid w:val="00CD2A2E"/>
    <w:rsid w:val="00CD328D"/>
    <w:rsid w:val="00CD330D"/>
    <w:rsid w:val="00CD5D81"/>
    <w:rsid w:val="00CD69C7"/>
    <w:rsid w:val="00CD6E02"/>
    <w:rsid w:val="00CD7315"/>
    <w:rsid w:val="00CE1693"/>
    <w:rsid w:val="00CE2504"/>
    <w:rsid w:val="00CE384D"/>
    <w:rsid w:val="00CE3AF8"/>
    <w:rsid w:val="00CE4E47"/>
    <w:rsid w:val="00CE5F9F"/>
    <w:rsid w:val="00CF0044"/>
    <w:rsid w:val="00CF261D"/>
    <w:rsid w:val="00CF546B"/>
    <w:rsid w:val="00CF5DA0"/>
    <w:rsid w:val="00CF6061"/>
    <w:rsid w:val="00D0049C"/>
    <w:rsid w:val="00D0285A"/>
    <w:rsid w:val="00D033C4"/>
    <w:rsid w:val="00D03E11"/>
    <w:rsid w:val="00D0497F"/>
    <w:rsid w:val="00D04CF6"/>
    <w:rsid w:val="00D05B3A"/>
    <w:rsid w:val="00D06E10"/>
    <w:rsid w:val="00D07765"/>
    <w:rsid w:val="00D10747"/>
    <w:rsid w:val="00D10D7C"/>
    <w:rsid w:val="00D12094"/>
    <w:rsid w:val="00D120F5"/>
    <w:rsid w:val="00D122F5"/>
    <w:rsid w:val="00D16186"/>
    <w:rsid w:val="00D164C8"/>
    <w:rsid w:val="00D172F0"/>
    <w:rsid w:val="00D22377"/>
    <w:rsid w:val="00D22893"/>
    <w:rsid w:val="00D25786"/>
    <w:rsid w:val="00D26A6D"/>
    <w:rsid w:val="00D271F4"/>
    <w:rsid w:val="00D277B5"/>
    <w:rsid w:val="00D30E2C"/>
    <w:rsid w:val="00D32F8C"/>
    <w:rsid w:val="00D33664"/>
    <w:rsid w:val="00D36391"/>
    <w:rsid w:val="00D37251"/>
    <w:rsid w:val="00D40635"/>
    <w:rsid w:val="00D40E5C"/>
    <w:rsid w:val="00D4142A"/>
    <w:rsid w:val="00D41C5B"/>
    <w:rsid w:val="00D4203F"/>
    <w:rsid w:val="00D4290A"/>
    <w:rsid w:val="00D4412E"/>
    <w:rsid w:val="00D448CD"/>
    <w:rsid w:val="00D460D4"/>
    <w:rsid w:val="00D47828"/>
    <w:rsid w:val="00D5080F"/>
    <w:rsid w:val="00D51D59"/>
    <w:rsid w:val="00D556A2"/>
    <w:rsid w:val="00D55E43"/>
    <w:rsid w:val="00D571A9"/>
    <w:rsid w:val="00D606C9"/>
    <w:rsid w:val="00D60989"/>
    <w:rsid w:val="00D61BCD"/>
    <w:rsid w:val="00D64843"/>
    <w:rsid w:val="00D7270E"/>
    <w:rsid w:val="00D758E7"/>
    <w:rsid w:val="00D75BC4"/>
    <w:rsid w:val="00D75D37"/>
    <w:rsid w:val="00D76121"/>
    <w:rsid w:val="00D76364"/>
    <w:rsid w:val="00D76A1F"/>
    <w:rsid w:val="00D76F32"/>
    <w:rsid w:val="00D77904"/>
    <w:rsid w:val="00D77B66"/>
    <w:rsid w:val="00D808B5"/>
    <w:rsid w:val="00D81905"/>
    <w:rsid w:val="00D81947"/>
    <w:rsid w:val="00D82BA3"/>
    <w:rsid w:val="00D83590"/>
    <w:rsid w:val="00D840E6"/>
    <w:rsid w:val="00D86ED4"/>
    <w:rsid w:val="00D87E1A"/>
    <w:rsid w:val="00D91518"/>
    <w:rsid w:val="00D919F6"/>
    <w:rsid w:val="00D91E86"/>
    <w:rsid w:val="00D932C0"/>
    <w:rsid w:val="00D946AD"/>
    <w:rsid w:val="00D96937"/>
    <w:rsid w:val="00D96A4F"/>
    <w:rsid w:val="00D97DC2"/>
    <w:rsid w:val="00D97E3A"/>
    <w:rsid w:val="00DA00B4"/>
    <w:rsid w:val="00DA028B"/>
    <w:rsid w:val="00DA1089"/>
    <w:rsid w:val="00DA2399"/>
    <w:rsid w:val="00DA26AB"/>
    <w:rsid w:val="00DA2C69"/>
    <w:rsid w:val="00DA543B"/>
    <w:rsid w:val="00DA54EC"/>
    <w:rsid w:val="00DA7997"/>
    <w:rsid w:val="00DA7CDD"/>
    <w:rsid w:val="00DB0CAC"/>
    <w:rsid w:val="00DB0DB4"/>
    <w:rsid w:val="00DB3839"/>
    <w:rsid w:val="00DB3FC8"/>
    <w:rsid w:val="00DB4070"/>
    <w:rsid w:val="00DB43EA"/>
    <w:rsid w:val="00DB5C4A"/>
    <w:rsid w:val="00DB712C"/>
    <w:rsid w:val="00DB7AF5"/>
    <w:rsid w:val="00DC3516"/>
    <w:rsid w:val="00DC4F51"/>
    <w:rsid w:val="00DC59EF"/>
    <w:rsid w:val="00DC59F8"/>
    <w:rsid w:val="00DC5A6A"/>
    <w:rsid w:val="00DC5D48"/>
    <w:rsid w:val="00DC65FB"/>
    <w:rsid w:val="00DC69DF"/>
    <w:rsid w:val="00DC702E"/>
    <w:rsid w:val="00DC75C1"/>
    <w:rsid w:val="00DC7728"/>
    <w:rsid w:val="00DC77AE"/>
    <w:rsid w:val="00DD2144"/>
    <w:rsid w:val="00DD23D8"/>
    <w:rsid w:val="00DD24C2"/>
    <w:rsid w:val="00DD32E3"/>
    <w:rsid w:val="00DD3CB0"/>
    <w:rsid w:val="00DD4B3D"/>
    <w:rsid w:val="00DD4DE4"/>
    <w:rsid w:val="00DD5E51"/>
    <w:rsid w:val="00DD5EBA"/>
    <w:rsid w:val="00DE05E2"/>
    <w:rsid w:val="00DE1AA4"/>
    <w:rsid w:val="00DE1C78"/>
    <w:rsid w:val="00DE1CDC"/>
    <w:rsid w:val="00DE1D39"/>
    <w:rsid w:val="00DE2A9F"/>
    <w:rsid w:val="00DE4CCD"/>
    <w:rsid w:val="00DE4E2F"/>
    <w:rsid w:val="00DE5414"/>
    <w:rsid w:val="00DE66E7"/>
    <w:rsid w:val="00DE7413"/>
    <w:rsid w:val="00DE74F5"/>
    <w:rsid w:val="00DE75E5"/>
    <w:rsid w:val="00DE7926"/>
    <w:rsid w:val="00DE7E61"/>
    <w:rsid w:val="00DF1D08"/>
    <w:rsid w:val="00DF2461"/>
    <w:rsid w:val="00DF425B"/>
    <w:rsid w:val="00DF4BBA"/>
    <w:rsid w:val="00DF5A45"/>
    <w:rsid w:val="00DF7B86"/>
    <w:rsid w:val="00DF7D42"/>
    <w:rsid w:val="00E01968"/>
    <w:rsid w:val="00E02355"/>
    <w:rsid w:val="00E03DB8"/>
    <w:rsid w:val="00E05EFC"/>
    <w:rsid w:val="00E0615A"/>
    <w:rsid w:val="00E064CC"/>
    <w:rsid w:val="00E1056E"/>
    <w:rsid w:val="00E12D4B"/>
    <w:rsid w:val="00E14B9E"/>
    <w:rsid w:val="00E163A5"/>
    <w:rsid w:val="00E1689D"/>
    <w:rsid w:val="00E168BC"/>
    <w:rsid w:val="00E16FF5"/>
    <w:rsid w:val="00E17C65"/>
    <w:rsid w:val="00E210D3"/>
    <w:rsid w:val="00E217EC"/>
    <w:rsid w:val="00E21CDB"/>
    <w:rsid w:val="00E22497"/>
    <w:rsid w:val="00E230D7"/>
    <w:rsid w:val="00E243D8"/>
    <w:rsid w:val="00E260DE"/>
    <w:rsid w:val="00E261D6"/>
    <w:rsid w:val="00E26647"/>
    <w:rsid w:val="00E31F02"/>
    <w:rsid w:val="00E32DAB"/>
    <w:rsid w:val="00E34D77"/>
    <w:rsid w:val="00E36771"/>
    <w:rsid w:val="00E36B99"/>
    <w:rsid w:val="00E3714D"/>
    <w:rsid w:val="00E401A9"/>
    <w:rsid w:val="00E41523"/>
    <w:rsid w:val="00E41ABB"/>
    <w:rsid w:val="00E4245F"/>
    <w:rsid w:val="00E45515"/>
    <w:rsid w:val="00E4607C"/>
    <w:rsid w:val="00E4636A"/>
    <w:rsid w:val="00E46C4A"/>
    <w:rsid w:val="00E478EB"/>
    <w:rsid w:val="00E51128"/>
    <w:rsid w:val="00E5333B"/>
    <w:rsid w:val="00E5366E"/>
    <w:rsid w:val="00E5419B"/>
    <w:rsid w:val="00E55B01"/>
    <w:rsid w:val="00E60BF3"/>
    <w:rsid w:val="00E60C57"/>
    <w:rsid w:val="00E6225D"/>
    <w:rsid w:val="00E62406"/>
    <w:rsid w:val="00E634F4"/>
    <w:rsid w:val="00E63C65"/>
    <w:rsid w:val="00E63D59"/>
    <w:rsid w:val="00E6435D"/>
    <w:rsid w:val="00E65B82"/>
    <w:rsid w:val="00E67363"/>
    <w:rsid w:val="00E70761"/>
    <w:rsid w:val="00E70FF6"/>
    <w:rsid w:val="00E7107E"/>
    <w:rsid w:val="00E7110B"/>
    <w:rsid w:val="00E7208D"/>
    <w:rsid w:val="00E74276"/>
    <w:rsid w:val="00E769A1"/>
    <w:rsid w:val="00E76FC4"/>
    <w:rsid w:val="00E7757B"/>
    <w:rsid w:val="00E81B87"/>
    <w:rsid w:val="00E82A9B"/>
    <w:rsid w:val="00E85981"/>
    <w:rsid w:val="00E86058"/>
    <w:rsid w:val="00E86A61"/>
    <w:rsid w:val="00E87E03"/>
    <w:rsid w:val="00E90887"/>
    <w:rsid w:val="00E90B75"/>
    <w:rsid w:val="00E92797"/>
    <w:rsid w:val="00E93A1B"/>
    <w:rsid w:val="00E94CC5"/>
    <w:rsid w:val="00E95CBB"/>
    <w:rsid w:val="00E96CEF"/>
    <w:rsid w:val="00EA06BF"/>
    <w:rsid w:val="00EA216D"/>
    <w:rsid w:val="00EA418D"/>
    <w:rsid w:val="00EA70E5"/>
    <w:rsid w:val="00EB1607"/>
    <w:rsid w:val="00EB1E4D"/>
    <w:rsid w:val="00EB3607"/>
    <w:rsid w:val="00EC0D82"/>
    <w:rsid w:val="00EC14EE"/>
    <w:rsid w:val="00EC1C79"/>
    <w:rsid w:val="00EC2B85"/>
    <w:rsid w:val="00EC6C84"/>
    <w:rsid w:val="00ED0404"/>
    <w:rsid w:val="00ED0FE3"/>
    <w:rsid w:val="00ED2465"/>
    <w:rsid w:val="00ED4585"/>
    <w:rsid w:val="00ED4B0A"/>
    <w:rsid w:val="00ED559E"/>
    <w:rsid w:val="00ED5AA8"/>
    <w:rsid w:val="00ED6A6A"/>
    <w:rsid w:val="00ED7938"/>
    <w:rsid w:val="00EE3468"/>
    <w:rsid w:val="00EE37E7"/>
    <w:rsid w:val="00EE3E5D"/>
    <w:rsid w:val="00EE4008"/>
    <w:rsid w:val="00EE4053"/>
    <w:rsid w:val="00EE422D"/>
    <w:rsid w:val="00EE4AB9"/>
    <w:rsid w:val="00EE74F8"/>
    <w:rsid w:val="00EF34DD"/>
    <w:rsid w:val="00EF4AF5"/>
    <w:rsid w:val="00EF4BA1"/>
    <w:rsid w:val="00EF6E28"/>
    <w:rsid w:val="00F008DA"/>
    <w:rsid w:val="00F01F63"/>
    <w:rsid w:val="00F021C2"/>
    <w:rsid w:val="00F034BF"/>
    <w:rsid w:val="00F0361E"/>
    <w:rsid w:val="00F04D7C"/>
    <w:rsid w:val="00F06FC4"/>
    <w:rsid w:val="00F07740"/>
    <w:rsid w:val="00F10546"/>
    <w:rsid w:val="00F113C0"/>
    <w:rsid w:val="00F11FC7"/>
    <w:rsid w:val="00F12B63"/>
    <w:rsid w:val="00F12F57"/>
    <w:rsid w:val="00F135EA"/>
    <w:rsid w:val="00F13FD7"/>
    <w:rsid w:val="00F167D8"/>
    <w:rsid w:val="00F1772F"/>
    <w:rsid w:val="00F21219"/>
    <w:rsid w:val="00F2123B"/>
    <w:rsid w:val="00F216A5"/>
    <w:rsid w:val="00F22517"/>
    <w:rsid w:val="00F2274C"/>
    <w:rsid w:val="00F244C2"/>
    <w:rsid w:val="00F245CE"/>
    <w:rsid w:val="00F2460B"/>
    <w:rsid w:val="00F2671B"/>
    <w:rsid w:val="00F270B1"/>
    <w:rsid w:val="00F27CB2"/>
    <w:rsid w:val="00F30B32"/>
    <w:rsid w:val="00F32898"/>
    <w:rsid w:val="00F35E4D"/>
    <w:rsid w:val="00F376A0"/>
    <w:rsid w:val="00F41BAF"/>
    <w:rsid w:val="00F41EA8"/>
    <w:rsid w:val="00F42590"/>
    <w:rsid w:val="00F443D1"/>
    <w:rsid w:val="00F44521"/>
    <w:rsid w:val="00F4492E"/>
    <w:rsid w:val="00F45DC4"/>
    <w:rsid w:val="00F464E2"/>
    <w:rsid w:val="00F468E3"/>
    <w:rsid w:val="00F46B29"/>
    <w:rsid w:val="00F479D0"/>
    <w:rsid w:val="00F52210"/>
    <w:rsid w:val="00F5450C"/>
    <w:rsid w:val="00F549F8"/>
    <w:rsid w:val="00F555D4"/>
    <w:rsid w:val="00F55D2E"/>
    <w:rsid w:val="00F60F85"/>
    <w:rsid w:val="00F616B1"/>
    <w:rsid w:val="00F63392"/>
    <w:rsid w:val="00F71A45"/>
    <w:rsid w:val="00F72956"/>
    <w:rsid w:val="00F72C68"/>
    <w:rsid w:val="00F742C0"/>
    <w:rsid w:val="00F7507B"/>
    <w:rsid w:val="00F75158"/>
    <w:rsid w:val="00F75E03"/>
    <w:rsid w:val="00F76246"/>
    <w:rsid w:val="00F76D30"/>
    <w:rsid w:val="00F77B0B"/>
    <w:rsid w:val="00F8303E"/>
    <w:rsid w:val="00F83A71"/>
    <w:rsid w:val="00F87B02"/>
    <w:rsid w:val="00F91355"/>
    <w:rsid w:val="00F91785"/>
    <w:rsid w:val="00F92F43"/>
    <w:rsid w:val="00FA0297"/>
    <w:rsid w:val="00FA0370"/>
    <w:rsid w:val="00FA1AF4"/>
    <w:rsid w:val="00FA23E0"/>
    <w:rsid w:val="00FA2ABD"/>
    <w:rsid w:val="00FA2FFE"/>
    <w:rsid w:val="00FA38D3"/>
    <w:rsid w:val="00FA447C"/>
    <w:rsid w:val="00FA4E22"/>
    <w:rsid w:val="00FA589C"/>
    <w:rsid w:val="00FA59CC"/>
    <w:rsid w:val="00FA65F0"/>
    <w:rsid w:val="00FB2616"/>
    <w:rsid w:val="00FB4261"/>
    <w:rsid w:val="00FB4C5B"/>
    <w:rsid w:val="00FB7232"/>
    <w:rsid w:val="00FB75BF"/>
    <w:rsid w:val="00FC0C6D"/>
    <w:rsid w:val="00FC182B"/>
    <w:rsid w:val="00FC679C"/>
    <w:rsid w:val="00FD274C"/>
    <w:rsid w:val="00FD4451"/>
    <w:rsid w:val="00FD45D9"/>
    <w:rsid w:val="00FD5C55"/>
    <w:rsid w:val="00FE02AE"/>
    <w:rsid w:val="00FE1928"/>
    <w:rsid w:val="00FE19A7"/>
    <w:rsid w:val="00FE1D7A"/>
    <w:rsid w:val="00FE216C"/>
    <w:rsid w:val="00FE244F"/>
    <w:rsid w:val="00FE3400"/>
    <w:rsid w:val="00FE469F"/>
    <w:rsid w:val="00FE4A15"/>
    <w:rsid w:val="00FE5DE3"/>
    <w:rsid w:val="00FE62A9"/>
    <w:rsid w:val="00FE6B1B"/>
    <w:rsid w:val="00FE7B85"/>
    <w:rsid w:val="00FF0917"/>
    <w:rsid w:val="00FF2D92"/>
    <w:rsid w:val="00FF546A"/>
    <w:rsid w:val="00FF666F"/>
    <w:rsid w:val="00FF75BC"/>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link w:val="JUDGMENTCONTINUEDChar"/>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iPriority w:val="99"/>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Appel note de bas de page,Ref,de nota al pie,註腳內容,(NECG) Footnote Reference,Footnote Reference + Superscript"/>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JUDGMENTCONTINUEDChar">
    <w:name w:val="JUDGMENT CONTINUED Char"/>
    <w:basedOn w:val="JUDGMENTNUMBEREDChar"/>
    <w:link w:val="JUDGMENTCONTINUED"/>
    <w:rsid w:val="005058CB"/>
    <w:rPr>
      <w:rFonts w:ascii="Times New Roman" w:hAnsi="Times New Roman"/>
      <w:sz w:val="26"/>
      <w:szCs w:val="22"/>
      <w:lang w:val="en-ZA"/>
    </w:rPr>
  </w:style>
  <w:style w:type="paragraph" w:customStyle="1" w:styleId="SubHEAD">
    <w:name w:val="SubHEAD"/>
    <w:basedOn w:val="JUDGMENTCONTINUED"/>
    <w:link w:val="SubHEADChar"/>
    <w:qFormat/>
    <w:rsid w:val="005058CB"/>
    <w:pPr>
      <w:ind w:firstLine="567"/>
    </w:pPr>
    <w:rPr>
      <w:rFonts w:eastAsia="Times New Roman"/>
      <w:i/>
    </w:rPr>
  </w:style>
  <w:style w:type="character" w:customStyle="1" w:styleId="SubHEADChar">
    <w:name w:val="SubHEAD Char"/>
    <w:basedOn w:val="JUDGMENTCONTINUEDChar"/>
    <w:link w:val="SubHEAD"/>
    <w:rsid w:val="005058CB"/>
    <w:rPr>
      <w:rFonts w:ascii="Times New Roman" w:eastAsia="Times New Roman" w:hAnsi="Times New Roman"/>
      <w:i/>
      <w:sz w:val="26"/>
      <w:szCs w:val="22"/>
      <w:lang w:val="en-ZA"/>
    </w:rPr>
  </w:style>
  <w:style w:type="character" w:styleId="CommentReference">
    <w:name w:val="annotation reference"/>
    <w:basedOn w:val="DefaultParagraphFont"/>
    <w:uiPriority w:val="99"/>
    <w:semiHidden/>
    <w:unhideWhenUsed/>
    <w:rsid w:val="0066658E"/>
    <w:rPr>
      <w:sz w:val="18"/>
      <w:szCs w:val="18"/>
    </w:rPr>
  </w:style>
  <w:style w:type="paragraph" w:styleId="CommentText">
    <w:name w:val="annotation text"/>
    <w:basedOn w:val="Normal"/>
    <w:link w:val="CommentTextChar"/>
    <w:uiPriority w:val="99"/>
    <w:unhideWhenUsed/>
    <w:rsid w:val="00397888"/>
    <w:pPr>
      <w:spacing w:line="240" w:lineRule="auto"/>
    </w:pPr>
    <w:rPr>
      <w:sz w:val="24"/>
      <w:szCs w:val="24"/>
    </w:rPr>
  </w:style>
  <w:style w:type="character" w:customStyle="1" w:styleId="CommentTextChar">
    <w:name w:val="Comment Text Char"/>
    <w:basedOn w:val="DefaultParagraphFont"/>
    <w:link w:val="CommentText"/>
    <w:uiPriority w:val="99"/>
    <w:rsid w:val="0066658E"/>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66658E"/>
    <w:rPr>
      <w:b/>
      <w:bCs/>
      <w:sz w:val="20"/>
      <w:szCs w:val="20"/>
    </w:rPr>
  </w:style>
  <w:style w:type="character" w:customStyle="1" w:styleId="CommentSubjectChar">
    <w:name w:val="Comment Subject Char"/>
    <w:basedOn w:val="CommentTextChar"/>
    <w:link w:val="CommentSubject"/>
    <w:uiPriority w:val="99"/>
    <w:semiHidden/>
    <w:rsid w:val="0066658E"/>
    <w:rPr>
      <w:rFonts w:ascii="Times New Roman" w:hAnsi="Times New Roman"/>
      <w:b/>
      <w:bCs/>
      <w:sz w:val="24"/>
      <w:szCs w:val="24"/>
      <w:lang w:val="en-ZA"/>
    </w:rPr>
  </w:style>
  <w:style w:type="paragraph" w:styleId="Revision">
    <w:name w:val="Revision"/>
    <w:hidden/>
    <w:uiPriority w:val="99"/>
    <w:semiHidden/>
    <w:rsid w:val="0066658E"/>
    <w:rPr>
      <w:rFonts w:ascii="Times New Roman" w:hAnsi="Times New Roman"/>
      <w:sz w:val="26"/>
      <w:szCs w:val="22"/>
      <w:lang w:val="en-ZA"/>
    </w:rPr>
  </w:style>
  <w:style w:type="character" w:styleId="Hyperlink">
    <w:name w:val="Hyperlink"/>
    <w:basedOn w:val="DefaultParagraphFont"/>
    <w:uiPriority w:val="99"/>
    <w:unhideWhenUsed/>
    <w:rsid w:val="006D5984"/>
    <w:rPr>
      <w:color w:val="0000FF" w:themeColor="hyperlink"/>
      <w:u w:val="single"/>
    </w:rPr>
  </w:style>
  <w:style w:type="character" w:styleId="FollowedHyperlink">
    <w:name w:val="FollowedHyperlink"/>
    <w:basedOn w:val="DefaultParagraphFont"/>
    <w:uiPriority w:val="99"/>
    <w:semiHidden/>
    <w:unhideWhenUsed/>
    <w:rsid w:val="00153CA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link w:val="JUDGMENTCONTINUEDChar"/>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iPriority w:val="99"/>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Appel note de bas de page,Ref,de nota al pie,註腳內容,(NECG) Footnote Reference,Footnote Reference + Superscript"/>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JUDGMENTCONTINUEDChar">
    <w:name w:val="JUDGMENT CONTINUED Char"/>
    <w:basedOn w:val="JUDGMENTNUMBEREDChar"/>
    <w:link w:val="JUDGMENTCONTINUED"/>
    <w:rsid w:val="005058CB"/>
    <w:rPr>
      <w:rFonts w:ascii="Times New Roman" w:hAnsi="Times New Roman"/>
      <w:sz w:val="26"/>
      <w:szCs w:val="22"/>
      <w:lang w:val="en-ZA"/>
    </w:rPr>
  </w:style>
  <w:style w:type="paragraph" w:customStyle="1" w:styleId="SubHEAD">
    <w:name w:val="SubHEAD"/>
    <w:basedOn w:val="JUDGMENTCONTINUED"/>
    <w:link w:val="SubHEADChar"/>
    <w:qFormat/>
    <w:rsid w:val="005058CB"/>
    <w:pPr>
      <w:ind w:firstLine="567"/>
    </w:pPr>
    <w:rPr>
      <w:rFonts w:eastAsia="Times New Roman"/>
      <w:i/>
    </w:rPr>
  </w:style>
  <w:style w:type="character" w:customStyle="1" w:styleId="SubHEADChar">
    <w:name w:val="SubHEAD Char"/>
    <w:basedOn w:val="JUDGMENTCONTINUEDChar"/>
    <w:link w:val="SubHEAD"/>
    <w:rsid w:val="005058CB"/>
    <w:rPr>
      <w:rFonts w:ascii="Times New Roman" w:eastAsia="Times New Roman" w:hAnsi="Times New Roman"/>
      <w:i/>
      <w:sz w:val="26"/>
      <w:szCs w:val="22"/>
      <w:lang w:val="en-ZA"/>
    </w:rPr>
  </w:style>
  <w:style w:type="character" w:styleId="CommentReference">
    <w:name w:val="annotation reference"/>
    <w:basedOn w:val="DefaultParagraphFont"/>
    <w:uiPriority w:val="99"/>
    <w:semiHidden/>
    <w:unhideWhenUsed/>
    <w:rsid w:val="0066658E"/>
    <w:rPr>
      <w:sz w:val="18"/>
      <w:szCs w:val="18"/>
    </w:rPr>
  </w:style>
  <w:style w:type="paragraph" w:styleId="CommentText">
    <w:name w:val="annotation text"/>
    <w:basedOn w:val="Normal"/>
    <w:link w:val="CommentTextChar"/>
    <w:uiPriority w:val="99"/>
    <w:unhideWhenUsed/>
    <w:rsid w:val="00397888"/>
    <w:pPr>
      <w:spacing w:line="240" w:lineRule="auto"/>
    </w:pPr>
    <w:rPr>
      <w:sz w:val="24"/>
      <w:szCs w:val="24"/>
    </w:rPr>
  </w:style>
  <w:style w:type="character" w:customStyle="1" w:styleId="CommentTextChar">
    <w:name w:val="Comment Text Char"/>
    <w:basedOn w:val="DefaultParagraphFont"/>
    <w:link w:val="CommentText"/>
    <w:uiPriority w:val="99"/>
    <w:rsid w:val="0066658E"/>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66658E"/>
    <w:rPr>
      <w:b/>
      <w:bCs/>
      <w:sz w:val="20"/>
      <w:szCs w:val="20"/>
    </w:rPr>
  </w:style>
  <w:style w:type="character" w:customStyle="1" w:styleId="CommentSubjectChar">
    <w:name w:val="Comment Subject Char"/>
    <w:basedOn w:val="CommentTextChar"/>
    <w:link w:val="CommentSubject"/>
    <w:uiPriority w:val="99"/>
    <w:semiHidden/>
    <w:rsid w:val="0066658E"/>
    <w:rPr>
      <w:rFonts w:ascii="Times New Roman" w:hAnsi="Times New Roman"/>
      <w:b/>
      <w:bCs/>
      <w:sz w:val="24"/>
      <w:szCs w:val="24"/>
      <w:lang w:val="en-ZA"/>
    </w:rPr>
  </w:style>
  <w:style w:type="paragraph" w:styleId="Revision">
    <w:name w:val="Revision"/>
    <w:hidden/>
    <w:uiPriority w:val="99"/>
    <w:semiHidden/>
    <w:rsid w:val="0066658E"/>
    <w:rPr>
      <w:rFonts w:ascii="Times New Roman" w:hAnsi="Times New Roman"/>
      <w:sz w:val="26"/>
      <w:szCs w:val="22"/>
      <w:lang w:val="en-ZA"/>
    </w:rPr>
  </w:style>
  <w:style w:type="character" w:styleId="Hyperlink">
    <w:name w:val="Hyperlink"/>
    <w:basedOn w:val="DefaultParagraphFont"/>
    <w:uiPriority w:val="99"/>
    <w:unhideWhenUsed/>
    <w:rsid w:val="006D5984"/>
    <w:rPr>
      <w:color w:val="0000FF" w:themeColor="hyperlink"/>
      <w:u w:val="single"/>
    </w:rPr>
  </w:style>
  <w:style w:type="character" w:styleId="FollowedHyperlink">
    <w:name w:val="FollowedHyperlink"/>
    <w:basedOn w:val="DefaultParagraphFont"/>
    <w:uiPriority w:val="99"/>
    <w:semiHidden/>
    <w:unhideWhenUsed/>
    <w:rsid w:val="00153CA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2508718">
      <w:bodyDiv w:val="1"/>
      <w:marLeft w:val="0"/>
      <w:marRight w:val="0"/>
      <w:marTop w:val="0"/>
      <w:marBottom w:val="0"/>
      <w:divBdr>
        <w:top w:val="none" w:sz="0" w:space="0" w:color="auto"/>
        <w:left w:val="none" w:sz="0" w:space="0" w:color="auto"/>
        <w:bottom w:val="none" w:sz="0" w:space="0" w:color="auto"/>
        <w:right w:val="none" w:sz="0" w:space="0" w:color="auto"/>
      </w:divBdr>
      <w:divsChild>
        <w:div w:id="1726417181">
          <w:marLeft w:val="2"/>
          <w:marRight w:val="0"/>
          <w:marTop w:val="0"/>
          <w:marBottom w:val="0"/>
          <w:divBdr>
            <w:top w:val="none" w:sz="0" w:space="0" w:color="auto"/>
            <w:left w:val="none" w:sz="0" w:space="0" w:color="auto"/>
            <w:bottom w:val="none" w:sz="0" w:space="0" w:color="auto"/>
            <w:right w:val="none" w:sz="0" w:space="0" w:color="auto"/>
          </w:divBdr>
          <w:divsChild>
            <w:div w:id="37093435">
              <w:marLeft w:val="0"/>
              <w:marRight w:val="0"/>
              <w:marTop w:val="0"/>
              <w:marBottom w:val="0"/>
              <w:divBdr>
                <w:top w:val="none" w:sz="0" w:space="0" w:color="auto"/>
                <w:left w:val="none" w:sz="0" w:space="0" w:color="auto"/>
                <w:bottom w:val="none" w:sz="0" w:space="0" w:color="auto"/>
                <w:right w:val="none" w:sz="0" w:space="0" w:color="auto"/>
              </w:divBdr>
              <w:divsChild>
                <w:div w:id="1331566190">
                  <w:marLeft w:val="0"/>
                  <w:marRight w:val="0"/>
                  <w:marTop w:val="0"/>
                  <w:marBottom w:val="0"/>
                  <w:divBdr>
                    <w:top w:val="none" w:sz="0" w:space="0" w:color="auto"/>
                    <w:left w:val="none" w:sz="0" w:space="0" w:color="auto"/>
                    <w:bottom w:val="none" w:sz="0" w:space="0" w:color="auto"/>
                    <w:right w:val="none" w:sz="0" w:space="0" w:color="auto"/>
                  </w:divBdr>
                  <w:divsChild>
                    <w:div w:id="539901882">
                      <w:marLeft w:val="0"/>
                      <w:marRight w:val="0"/>
                      <w:marTop w:val="0"/>
                      <w:marBottom w:val="0"/>
                      <w:divBdr>
                        <w:top w:val="none" w:sz="0" w:space="0" w:color="auto"/>
                        <w:left w:val="none" w:sz="0" w:space="0" w:color="auto"/>
                        <w:bottom w:val="none" w:sz="0" w:space="0" w:color="auto"/>
                        <w:right w:val="none" w:sz="0" w:space="0" w:color="auto"/>
                      </w:divBdr>
                      <w:divsChild>
                        <w:div w:id="394473906">
                          <w:marLeft w:val="0"/>
                          <w:marRight w:val="0"/>
                          <w:marTop w:val="0"/>
                          <w:marBottom w:val="0"/>
                          <w:divBdr>
                            <w:top w:val="none" w:sz="0" w:space="0" w:color="auto"/>
                            <w:left w:val="none" w:sz="0" w:space="0" w:color="auto"/>
                            <w:bottom w:val="none" w:sz="0" w:space="0" w:color="auto"/>
                            <w:right w:val="none" w:sz="0" w:space="0" w:color="auto"/>
                          </w:divBdr>
                          <w:divsChild>
                            <w:div w:id="799224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1013028">
      <w:bodyDiv w:val="1"/>
      <w:marLeft w:val="0"/>
      <w:marRight w:val="0"/>
      <w:marTop w:val="0"/>
      <w:marBottom w:val="0"/>
      <w:divBdr>
        <w:top w:val="none" w:sz="0" w:space="0" w:color="auto"/>
        <w:left w:val="none" w:sz="0" w:space="0" w:color="auto"/>
        <w:bottom w:val="none" w:sz="0" w:space="0" w:color="auto"/>
        <w:right w:val="none" w:sz="0" w:space="0" w:color="auto"/>
      </w:divBdr>
    </w:div>
    <w:div w:id="1583249617">
      <w:bodyDiv w:val="1"/>
      <w:marLeft w:val="0"/>
      <w:marRight w:val="0"/>
      <w:marTop w:val="0"/>
      <w:marBottom w:val="0"/>
      <w:divBdr>
        <w:top w:val="none" w:sz="0" w:space="0" w:color="auto"/>
        <w:left w:val="none" w:sz="0" w:space="0" w:color="auto"/>
        <w:bottom w:val="none" w:sz="0" w:space="0" w:color="auto"/>
        <w:right w:val="none" w:sz="0" w:space="0" w:color="auto"/>
      </w:divBdr>
      <w:divsChild>
        <w:div w:id="995300085">
          <w:marLeft w:val="2"/>
          <w:marRight w:val="0"/>
          <w:marTop w:val="0"/>
          <w:marBottom w:val="0"/>
          <w:divBdr>
            <w:top w:val="none" w:sz="0" w:space="0" w:color="auto"/>
            <w:left w:val="none" w:sz="0" w:space="0" w:color="auto"/>
            <w:bottom w:val="none" w:sz="0" w:space="0" w:color="auto"/>
            <w:right w:val="none" w:sz="0" w:space="0" w:color="auto"/>
          </w:divBdr>
          <w:divsChild>
            <w:div w:id="1641691218">
              <w:marLeft w:val="0"/>
              <w:marRight w:val="0"/>
              <w:marTop w:val="0"/>
              <w:marBottom w:val="0"/>
              <w:divBdr>
                <w:top w:val="none" w:sz="0" w:space="0" w:color="auto"/>
                <w:left w:val="none" w:sz="0" w:space="0" w:color="auto"/>
                <w:bottom w:val="none" w:sz="0" w:space="0" w:color="auto"/>
                <w:right w:val="none" w:sz="0" w:space="0" w:color="auto"/>
              </w:divBdr>
              <w:divsChild>
                <w:div w:id="7022297">
                  <w:marLeft w:val="0"/>
                  <w:marRight w:val="0"/>
                  <w:marTop w:val="0"/>
                  <w:marBottom w:val="0"/>
                  <w:divBdr>
                    <w:top w:val="none" w:sz="0" w:space="0" w:color="auto"/>
                    <w:left w:val="none" w:sz="0" w:space="0" w:color="auto"/>
                    <w:bottom w:val="none" w:sz="0" w:space="0" w:color="auto"/>
                    <w:right w:val="none" w:sz="0" w:space="0" w:color="auto"/>
                  </w:divBdr>
                  <w:divsChild>
                    <w:div w:id="1550453010">
                      <w:marLeft w:val="0"/>
                      <w:marRight w:val="0"/>
                      <w:marTop w:val="0"/>
                      <w:marBottom w:val="0"/>
                      <w:divBdr>
                        <w:top w:val="none" w:sz="0" w:space="0" w:color="auto"/>
                        <w:left w:val="none" w:sz="0" w:space="0" w:color="auto"/>
                        <w:bottom w:val="none" w:sz="0" w:space="0" w:color="auto"/>
                        <w:right w:val="none" w:sz="0" w:space="0" w:color="auto"/>
                      </w:divBdr>
                      <w:divsChild>
                        <w:div w:id="100228562">
                          <w:marLeft w:val="0"/>
                          <w:marRight w:val="0"/>
                          <w:marTop w:val="0"/>
                          <w:marBottom w:val="0"/>
                          <w:divBdr>
                            <w:top w:val="none" w:sz="0" w:space="0" w:color="auto"/>
                            <w:left w:val="none" w:sz="0" w:space="0" w:color="auto"/>
                            <w:bottom w:val="none" w:sz="0" w:space="0" w:color="auto"/>
                            <w:right w:val="none" w:sz="0" w:space="0" w:color="auto"/>
                          </w:divBdr>
                          <w:divsChild>
                            <w:div w:id="48359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41F86B-70D2-4909-8CC1-591188F51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7550</Words>
  <Characters>43040</Characters>
  <Application>Microsoft Office Word</Application>
  <DocSecurity>0</DocSecurity>
  <Lines>358</Lines>
  <Paragraphs>100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50490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2018-02-22T14:39:00Z</dcterms:created>
  <dcterms:modified xsi:type="dcterms:W3CDTF">2018-02-23T06:59:00Z</dcterms:modified>
</cp:coreProperties>
</file>