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D5C9E1" w14:textId="77777777" w:rsidR="003A18CF" w:rsidRDefault="0003374F" w:rsidP="003A18CF">
      <w:pPr>
        <w:spacing w:line="240" w:lineRule="auto"/>
        <w:jc w:val="center"/>
        <w:outlineLvl w:val="0"/>
      </w:pPr>
      <w:r w:rsidRPr="0003374F">
        <w:rPr>
          <w:b/>
          <w:bCs/>
          <w:noProof/>
          <w:color w:val="1F497D"/>
          <w:lang w:val="en-ZA" w:eastAsia="en-ZA"/>
        </w:rPr>
        <w:drawing>
          <wp:inline distT="0" distB="0" distL="0" distR="0" wp14:anchorId="2D76201F" wp14:editId="27BB08D9">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61AEB7C5" w14:textId="77777777" w:rsidR="003A18CF" w:rsidRDefault="003A18CF" w:rsidP="003A18CF">
      <w:pPr>
        <w:spacing w:line="240" w:lineRule="auto"/>
        <w:jc w:val="center"/>
        <w:outlineLvl w:val="0"/>
      </w:pPr>
    </w:p>
    <w:p w14:paraId="06CCE426" w14:textId="77777777" w:rsidR="003A18CF" w:rsidRPr="00271C49" w:rsidRDefault="003A18CF" w:rsidP="003A18CF">
      <w:pPr>
        <w:spacing w:line="240" w:lineRule="auto"/>
        <w:jc w:val="center"/>
        <w:outlineLvl w:val="0"/>
        <w:rPr>
          <w:b/>
        </w:rPr>
      </w:pPr>
      <w:r w:rsidRPr="00271C49">
        <w:rPr>
          <w:b/>
        </w:rPr>
        <w:t>CONSTITUTIONAL COURT OF SOUTH AFRICA</w:t>
      </w:r>
    </w:p>
    <w:p w14:paraId="7D5948A3" w14:textId="77777777" w:rsidR="003A18CF" w:rsidRDefault="003A18CF" w:rsidP="003A18CF">
      <w:pPr>
        <w:spacing w:line="240" w:lineRule="auto"/>
      </w:pPr>
    </w:p>
    <w:p w14:paraId="65449650" w14:textId="77777777" w:rsidR="003A18CF" w:rsidRPr="009C3888" w:rsidRDefault="003A18CF" w:rsidP="003A18CF">
      <w:pPr>
        <w:spacing w:line="240" w:lineRule="auto"/>
      </w:pPr>
    </w:p>
    <w:p w14:paraId="13477A12" w14:textId="77777777" w:rsidR="003A18CF" w:rsidRPr="00961263" w:rsidRDefault="003A18CF" w:rsidP="003A18CF">
      <w:pPr>
        <w:tabs>
          <w:tab w:val="right" w:pos="9029"/>
        </w:tabs>
        <w:spacing w:line="240" w:lineRule="auto"/>
      </w:pPr>
      <w:r w:rsidRPr="00961263">
        <w:tab/>
        <w:t xml:space="preserve">Case CCT </w:t>
      </w:r>
      <w:r w:rsidR="00BE4FA4">
        <w:t>234</w:t>
      </w:r>
      <w:r w:rsidRPr="00961263">
        <w:t>/</w:t>
      </w:r>
      <w:r w:rsidR="00242913">
        <w:t>16</w:t>
      </w:r>
    </w:p>
    <w:p w14:paraId="3822B372" w14:textId="77777777" w:rsidR="003A18CF" w:rsidRDefault="003A18CF" w:rsidP="003A18CF">
      <w:pPr>
        <w:tabs>
          <w:tab w:val="left" w:pos="8998"/>
        </w:tabs>
        <w:spacing w:line="240" w:lineRule="auto"/>
      </w:pPr>
      <w:bookmarkStart w:id="0" w:name="_GoBack"/>
      <w:bookmarkEnd w:id="0"/>
    </w:p>
    <w:p w14:paraId="264AEB04" w14:textId="77777777" w:rsidR="003A18CF" w:rsidRPr="00E6071A" w:rsidRDefault="003A18CF" w:rsidP="003A18CF">
      <w:pPr>
        <w:tabs>
          <w:tab w:val="left" w:pos="8998"/>
        </w:tabs>
        <w:spacing w:line="240" w:lineRule="auto"/>
      </w:pPr>
      <w:r w:rsidRPr="00E6071A">
        <w:t>In the matter between:</w:t>
      </w:r>
    </w:p>
    <w:p w14:paraId="2326C0B0" w14:textId="77777777" w:rsidR="003A18CF" w:rsidRDefault="003A18CF" w:rsidP="003A18CF">
      <w:pPr>
        <w:tabs>
          <w:tab w:val="left" w:pos="8998"/>
        </w:tabs>
        <w:spacing w:line="240" w:lineRule="auto"/>
      </w:pPr>
    </w:p>
    <w:p w14:paraId="20BAD750" w14:textId="77777777" w:rsidR="003A18CF" w:rsidRPr="009C3888" w:rsidRDefault="003A18CF" w:rsidP="003A18CF">
      <w:pPr>
        <w:tabs>
          <w:tab w:val="left" w:pos="8998"/>
        </w:tabs>
        <w:spacing w:line="240" w:lineRule="auto"/>
      </w:pPr>
    </w:p>
    <w:p w14:paraId="3AE2D475" w14:textId="77777777" w:rsidR="00BE4FA4" w:rsidRDefault="0089081A" w:rsidP="003A18CF">
      <w:pPr>
        <w:tabs>
          <w:tab w:val="right" w:pos="9029"/>
        </w:tabs>
        <w:spacing w:line="240" w:lineRule="auto"/>
        <w:rPr>
          <w:b/>
          <w:szCs w:val="26"/>
        </w:rPr>
      </w:pPr>
      <w:r>
        <w:rPr>
          <w:b/>
          <w:szCs w:val="26"/>
        </w:rPr>
        <w:t>S</w:t>
      </w:r>
      <w:r w:rsidR="00BE4FA4">
        <w:rPr>
          <w:b/>
          <w:szCs w:val="26"/>
        </w:rPr>
        <w:t xml:space="preserve">OUTH AFRICAN DIAMOND </w:t>
      </w:r>
    </w:p>
    <w:p w14:paraId="2AFD4F6B" w14:textId="77777777" w:rsidR="003A18CF" w:rsidRPr="00EE02D5" w:rsidRDefault="00352C0D" w:rsidP="003A18CF">
      <w:pPr>
        <w:tabs>
          <w:tab w:val="right" w:pos="9029"/>
        </w:tabs>
        <w:spacing w:line="240" w:lineRule="auto"/>
        <w:rPr>
          <w:szCs w:val="26"/>
        </w:rPr>
      </w:pPr>
      <w:r>
        <w:rPr>
          <w:b/>
          <w:szCs w:val="26"/>
        </w:rPr>
        <w:t xml:space="preserve">PRODUCERS </w:t>
      </w:r>
      <w:r w:rsidR="00BE4FA4">
        <w:rPr>
          <w:b/>
          <w:szCs w:val="26"/>
        </w:rPr>
        <w:t>ORGANISATION</w:t>
      </w:r>
      <w:r w:rsidR="003A18CF" w:rsidRPr="00EE02D5">
        <w:rPr>
          <w:szCs w:val="26"/>
        </w:rPr>
        <w:tab/>
        <w:t>Applicant</w:t>
      </w:r>
    </w:p>
    <w:p w14:paraId="52DC7737" w14:textId="77777777" w:rsidR="003A18CF" w:rsidRDefault="003A18CF" w:rsidP="003A18CF">
      <w:pPr>
        <w:tabs>
          <w:tab w:val="right" w:pos="9029"/>
        </w:tabs>
        <w:spacing w:line="240" w:lineRule="auto"/>
        <w:rPr>
          <w:szCs w:val="26"/>
        </w:rPr>
      </w:pPr>
    </w:p>
    <w:p w14:paraId="6ED64D6C" w14:textId="77777777" w:rsidR="00E47CF8" w:rsidRPr="00EE02D5" w:rsidRDefault="00E47CF8" w:rsidP="003A18CF">
      <w:pPr>
        <w:tabs>
          <w:tab w:val="right" w:pos="9029"/>
        </w:tabs>
        <w:spacing w:line="240" w:lineRule="auto"/>
        <w:rPr>
          <w:szCs w:val="26"/>
        </w:rPr>
      </w:pPr>
    </w:p>
    <w:p w14:paraId="2E651D46" w14:textId="77777777" w:rsidR="003A18CF" w:rsidRPr="00EE02D5" w:rsidRDefault="003A18CF" w:rsidP="003A18CF">
      <w:pPr>
        <w:spacing w:line="240" w:lineRule="auto"/>
        <w:rPr>
          <w:szCs w:val="26"/>
        </w:rPr>
      </w:pPr>
      <w:proofErr w:type="gramStart"/>
      <w:r w:rsidRPr="00EE02D5">
        <w:rPr>
          <w:szCs w:val="26"/>
        </w:rPr>
        <w:t>and</w:t>
      </w:r>
      <w:proofErr w:type="gramEnd"/>
    </w:p>
    <w:p w14:paraId="7820D5C7" w14:textId="77777777" w:rsidR="003A18CF" w:rsidRDefault="003A18CF" w:rsidP="003A18CF">
      <w:pPr>
        <w:spacing w:line="240" w:lineRule="auto"/>
        <w:rPr>
          <w:szCs w:val="26"/>
        </w:rPr>
      </w:pPr>
    </w:p>
    <w:p w14:paraId="1EB61AD9" w14:textId="77777777" w:rsidR="00E47CF8" w:rsidRPr="00EE02D5" w:rsidRDefault="00E47CF8" w:rsidP="003A18CF">
      <w:pPr>
        <w:spacing w:line="240" w:lineRule="auto"/>
        <w:rPr>
          <w:szCs w:val="26"/>
        </w:rPr>
      </w:pPr>
    </w:p>
    <w:p w14:paraId="4B30AB82" w14:textId="77777777" w:rsidR="003A18CF" w:rsidRPr="00EE02D5" w:rsidRDefault="00BE4FA4" w:rsidP="00BE4FA4">
      <w:pPr>
        <w:tabs>
          <w:tab w:val="right" w:pos="9029"/>
        </w:tabs>
        <w:spacing w:line="240" w:lineRule="auto"/>
        <w:rPr>
          <w:szCs w:val="26"/>
        </w:rPr>
      </w:pPr>
      <w:proofErr w:type="gramStart"/>
      <w:r>
        <w:rPr>
          <w:b/>
          <w:caps/>
          <w:szCs w:val="26"/>
        </w:rPr>
        <w:t>M</w:t>
      </w:r>
      <w:r w:rsidRPr="0009607D">
        <w:rPr>
          <w:b/>
          <w:caps/>
          <w:szCs w:val="26"/>
        </w:rPr>
        <w:t>inister of Minerals and Energy n.o</w:t>
      </w:r>
      <w:r w:rsidR="00DE044B">
        <w:rPr>
          <w:b/>
          <w:caps/>
          <w:szCs w:val="26"/>
        </w:rPr>
        <w:t>.</w:t>
      </w:r>
      <w:proofErr w:type="gramEnd"/>
      <w:r w:rsidR="003A18CF" w:rsidRPr="00EE02D5">
        <w:rPr>
          <w:szCs w:val="26"/>
        </w:rPr>
        <w:tab/>
      </w:r>
      <w:r>
        <w:rPr>
          <w:szCs w:val="26"/>
        </w:rPr>
        <w:t xml:space="preserve">First </w:t>
      </w:r>
      <w:r w:rsidR="003A18CF" w:rsidRPr="00EE02D5">
        <w:rPr>
          <w:szCs w:val="26"/>
        </w:rPr>
        <w:t>Respondent</w:t>
      </w:r>
    </w:p>
    <w:p w14:paraId="2530684E" w14:textId="77777777" w:rsidR="003A18CF" w:rsidRDefault="003A18CF" w:rsidP="00BE4FA4">
      <w:pPr>
        <w:spacing w:line="240" w:lineRule="auto"/>
      </w:pPr>
    </w:p>
    <w:p w14:paraId="4D1E3627" w14:textId="77777777" w:rsidR="00BE4FA4" w:rsidRPr="0009607D" w:rsidRDefault="00BE4FA4" w:rsidP="00BE4FA4">
      <w:pPr>
        <w:tabs>
          <w:tab w:val="right" w:pos="9029"/>
        </w:tabs>
        <w:spacing w:line="240" w:lineRule="auto"/>
        <w:rPr>
          <w:szCs w:val="26"/>
        </w:rPr>
      </w:pPr>
      <w:r w:rsidRPr="0009607D">
        <w:rPr>
          <w:b/>
          <w:caps/>
          <w:szCs w:val="26"/>
        </w:rPr>
        <w:t>department of Minerals and Energy</w:t>
      </w:r>
      <w:r w:rsidRPr="0009607D">
        <w:rPr>
          <w:szCs w:val="26"/>
        </w:rPr>
        <w:tab/>
        <w:t>Second Respondent</w:t>
      </w:r>
    </w:p>
    <w:p w14:paraId="1B104A64" w14:textId="77777777" w:rsidR="00BE4FA4" w:rsidRDefault="00BE4FA4" w:rsidP="00BE4FA4">
      <w:pPr>
        <w:tabs>
          <w:tab w:val="right" w:pos="9029"/>
        </w:tabs>
        <w:spacing w:line="240" w:lineRule="auto"/>
        <w:rPr>
          <w:b/>
          <w:caps/>
          <w:szCs w:val="26"/>
        </w:rPr>
      </w:pPr>
    </w:p>
    <w:p w14:paraId="5B029819" w14:textId="77777777" w:rsidR="00BE4FA4" w:rsidRPr="0009607D" w:rsidRDefault="00BE4FA4" w:rsidP="00BE4FA4">
      <w:pPr>
        <w:tabs>
          <w:tab w:val="right" w:pos="9029"/>
        </w:tabs>
        <w:spacing w:line="240" w:lineRule="auto"/>
        <w:rPr>
          <w:szCs w:val="26"/>
        </w:rPr>
      </w:pPr>
      <w:r w:rsidRPr="0009607D">
        <w:rPr>
          <w:b/>
          <w:caps/>
          <w:szCs w:val="26"/>
        </w:rPr>
        <w:t>Minister of finance</w:t>
      </w:r>
      <w:r w:rsidRPr="0009607D">
        <w:rPr>
          <w:szCs w:val="26"/>
        </w:rPr>
        <w:tab/>
        <w:t>Third Respondent</w:t>
      </w:r>
    </w:p>
    <w:p w14:paraId="0D91D2A6" w14:textId="77777777" w:rsidR="00BE4FA4" w:rsidRDefault="00BE4FA4" w:rsidP="00BE4FA4">
      <w:pPr>
        <w:tabs>
          <w:tab w:val="right" w:pos="9029"/>
        </w:tabs>
        <w:spacing w:line="240" w:lineRule="auto"/>
        <w:rPr>
          <w:caps/>
          <w:szCs w:val="26"/>
        </w:rPr>
      </w:pPr>
    </w:p>
    <w:p w14:paraId="2E4ADC6F" w14:textId="77777777" w:rsidR="00BE4FA4" w:rsidRPr="00BE4FA4" w:rsidRDefault="00BE4FA4" w:rsidP="00BE4FA4">
      <w:pPr>
        <w:tabs>
          <w:tab w:val="right" w:pos="9029"/>
        </w:tabs>
        <w:spacing w:line="240" w:lineRule="auto"/>
        <w:rPr>
          <w:szCs w:val="26"/>
        </w:rPr>
      </w:pPr>
      <w:r w:rsidRPr="00BE4FA4">
        <w:rPr>
          <w:b/>
          <w:caps/>
          <w:szCs w:val="26"/>
        </w:rPr>
        <w:t>department of finance</w:t>
      </w:r>
      <w:r w:rsidRPr="00BE4FA4">
        <w:rPr>
          <w:szCs w:val="26"/>
        </w:rPr>
        <w:tab/>
        <w:t>Fourth Respondent</w:t>
      </w:r>
    </w:p>
    <w:p w14:paraId="08F755A9" w14:textId="77777777" w:rsidR="00BE4FA4" w:rsidRDefault="00BE4FA4" w:rsidP="00BE4FA4">
      <w:pPr>
        <w:tabs>
          <w:tab w:val="right" w:pos="9029"/>
        </w:tabs>
        <w:spacing w:line="240" w:lineRule="auto"/>
        <w:rPr>
          <w:b/>
          <w:caps/>
          <w:szCs w:val="26"/>
        </w:rPr>
      </w:pPr>
    </w:p>
    <w:p w14:paraId="139DE4E0" w14:textId="77777777" w:rsidR="00BE4FA4" w:rsidRPr="0009607D" w:rsidRDefault="00BE4FA4" w:rsidP="00BE4FA4">
      <w:pPr>
        <w:tabs>
          <w:tab w:val="right" w:pos="9029"/>
        </w:tabs>
        <w:spacing w:line="240" w:lineRule="auto"/>
        <w:rPr>
          <w:b/>
          <w:caps/>
          <w:szCs w:val="26"/>
        </w:rPr>
      </w:pPr>
      <w:r w:rsidRPr="0009607D">
        <w:rPr>
          <w:b/>
          <w:caps/>
          <w:szCs w:val="26"/>
        </w:rPr>
        <w:t>south african diamond, minerals</w:t>
      </w:r>
    </w:p>
    <w:p w14:paraId="2B622CDC" w14:textId="77777777" w:rsidR="00BE4FA4" w:rsidRPr="0009607D" w:rsidRDefault="00BE4FA4" w:rsidP="00BE4FA4">
      <w:pPr>
        <w:tabs>
          <w:tab w:val="right" w:pos="9029"/>
        </w:tabs>
        <w:spacing w:line="240" w:lineRule="auto"/>
        <w:rPr>
          <w:szCs w:val="26"/>
        </w:rPr>
      </w:pPr>
      <w:r w:rsidRPr="0009607D">
        <w:rPr>
          <w:b/>
          <w:caps/>
          <w:szCs w:val="26"/>
        </w:rPr>
        <w:t>and precious metals regulator</w:t>
      </w:r>
      <w:r w:rsidRPr="0009607D">
        <w:rPr>
          <w:szCs w:val="26"/>
        </w:rPr>
        <w:tab/>
        <w:t>Fifth Respondent</w:t>
      </w:r>
    </w:p>
    <w:p w14:paraId="705FB256" w14:textId="77777777" w:rsidR="00BE4FA4" w:rsidRDefault="00BE4FA4" w:rsidP="00BE4FA4">
      <w:pPr>
        <w:tabs>
          <w:tab w:val="right" w:pos="9029"/>
        </w:tabs>
        <w:spacing w:line="240" w:lineRule="auto"/>
        <w:rPr>
          <w:b/>
          <w:caps/>
          <w:szCs w:val="26"/>
        </w:rPr>
      </w:pPr>
    </w:p>
    <w:p w14:paraId="224972D9" w14:textId="77777777" w:rsidR="00BE4FA4" w:rsidRPr="0009607D" w:rsidRDefault="00BE4FA4" w:rsidP="00BE4FA4">
      <w:pPr>
        <w:tabs>
          <w:tab w:val="right" w:pos="9029"/>
        </w:tabs>
        <w:spacing w:line="240" w:lineRule="auto"/>
        <w:rPr>
          <w:szCs w:val="26"/>
        </w:rPr>
      </w:pPr>
      <w:r w:rsidRPr="0009607D">
        <w:rPr>
          <w:b/>
          <w:caps/>
          <w:szCs w:val="26"/>
        </w:rPr>
        <w:t>state diamond trader</w:t>
      </w:r>
      <w:r w:rsidRPr="0009607D">
        <w:rPr>
          <w:szCs w:val="26"/>
        </w:rPr>
        <w:tab/>
        <w:t>Sixth Respondent</w:t>
      </w:r>
    </w:p>
    <w:p w14:paraId="76C7ADFE" w14:textId="77777777" w:rsidR="003A18CF" w:rsidRPr="009C3888" w:rsidRDefault="003A18CF" w:rsidP="003A18CF">
      <w:pPr>
        <w:spacing w:line="240" w:lineRule="auto"/>
      </w:pPr>
    </w:p>
    <w:p w14:paraId="656AEE32" w14:textId="77777777" w:rsidR="003A18CF" w:rsidRPr="009C3888" w:rsidRDefault="003A18CF" w:rsidP="003A18CF">
      <w:pPr>
        <w:spacing w:line="240" w:lineRule="auto"/>
      </w:pPr>
    </w:p>
    <w:p w14:paraId="5240D6FE" w14:textId="15A62E47" w:rsidR="003A18CF" w:rsidRPr="00F05BBD" w:rsidRDefault="003A18CF" w:rsidP="003A18CF">
      <w:pPr>
        <w:spacing w:line="240" w:lineRule="auto"/>
        <w:ind w:left="2160" w:hanging="2160"/>
      </w:pPr>
      <w:r w:rsidRPr="008B40EE">
        <w:rPr>
          <w:b/>
        </w:rPr>
        <w:t>Neutral citation:</w:t>
      </w:r>
      <w:r>
        <w:tab/>
      </w:r>
      <w:r w:rsidR="00BE4FA4" w:rsidRPr="00BE4FA4">
        <w:rPr>
          <w:i/>
        </w:rPr>
        <w:t>South African Diamond Producers Organisation v Minister of Minerals and Energy N.O. and Others</w:t>
      </w:r>
      <w:r w:rsidR="00242913" w:rsidRPr="00242913">
        <w:rPr>
          <w:i/>
        </w:rPr>
        <w:t xml:space="preserve"> </w:t>
      </w:r>
      <w:r w:rsidRPr="00242913">
        <w:t>[</w:t>
      </w:r>
      <w:r w:rsidR="00242913" w:rsidRPr="00242913">
        <w:t>2017</w:t>
      </w:r>
      <w:r w:rsidRPr="00242913">
        <w:t xml:space="preserve">] </w:t>
      </w:r>
      <w:r w:rsidRPr="00B82B7D">
        <w:t xml:space="preserve">ZACC </w:t>
      </w:r>
      <w:r w:rsidR="00D83455" w:rsidRPr="00B82B7D">
        <w:t>26</w:t>
      </w:r>
    </w:p>
    <w:p w14:paraId="1C84BE85" w14:textId="77777777" w:rsidR="003A18CF" w:rsidRDefault="003A18CF" w:rsidP="003A18CF">
      <w:pPr>
        <w:spacing w:line="240" w:lineRule="auto"/>
      </w:pPr>
    </w:p>
    <w:p w14:paraId="2B8DAB8A" w14:textId="71946974" w:rsidR="003F4729" w:rsidRPr="00161EB3" w:rsidRDefault="003A18CF" w:rsidP="00161EB3">
      <w:pPr>
        <w:spacing w:line="240" w:lineRule="auto"/>
        <w:ind w:left="2160" w:hanging="2160"/>
        <w:rPr>
          <w:szCs w:val="26"/>
        </w:rPr>
      </w:pPr>
      <w:r w:rsidRPr="008B40EE">
        <w:rPr>
          <w:b/>
        </w:rPr>
        <w:t>Coram:</w:t>
      </w:r>
      <w:r>
        <w:tab/>
      </w:r>
      <w:proofErr w:type="spellStart"/>
      <w:r w:rsidR="00BE4FA4">
        <w:t>Mogoeng</w:t>
      </w:r>
      <w:proofErr w:type="spellEnd"/>
      <w:r w:rsidR="00BE4FA4">
        <w:t xml:space="preserve"> CJ, </w:t>
      </w:r>
      <w:proofErr w:type="spellStart"/>
      <w:r w:rsidR="00BE4FA4">
        <w:t>Nkabinde</w:t>
      </w:r>
      <w:proofErr w:type="spellEnd"/>
      <w:r w:rsidR="00BE4FA4">
        <w:t xml:space="preserve"> ADCJ, Cameron J, </w:t>
      </w:r>
      <w:proofErr w:type="spellStart"/>
      <w:r w:rsidR="00BE4FA4">
        <w:t>Froneman</w:t>
      </w:r>
      <w:proofErr w:type="spellEnd"/>
      <w:r w:rsidR="00BE4FA4">
        <w:t xml:space="preserve"> J, </w:t>
      </w:r>
      <w:proofErr w:type="spellStart"/>
      <w:r w:rsidR="00BE4FA4">
        <w:t>Jafta</w:t>
      </w:r>
      <w:proofErr w:type="spellEnd"/>
      <w:r w:rsidR="00BE4FA4">
        <w:t xml:space="preserve"> J, </w:t>
      </w:r>
      <w:proofErr w:type="spellStart"/>
      <w:r w:rsidR="00BE4FA4">
        <w:t>Khampepe</w:t>
      </w:r>
      <w:proofErr w:type="spellEnd"/>
      <w:r w:rsidR="00BE4FA4">
        <w:t xml:space="preserve"> J, </w:t>
      </w:r>
      <w:proofErr w:type="spellStart"/>
      <w:r w:rsidR="00BE4FA4">
        <w:t>Madlanga</w:t>
      </w:r>
      <w:proofErr w:type="spellEnd"/>
      <w:r w:rsidR="00BE4FA4">
        <w:t xml:space="preserve"> J, </w:t>
      </w:r>
      <w:proofErr w:type="spellStart"/>
      <w:r w:rsidR="00BE4FA4">
        <w:t>Mhlantla</w:t>
      </w:r>
      <w:proofErr w:type="spellEnd"/>
      <w:r w:rsidR="00BE4FA4">
        <w:t xml:space="preserve"> J, </w:t>
      </w:r>
      <w:proofErr w:type="spellStart"/>
      <w:r w:rsidR="00BE4FA4">
        <w:t>Mojapelo</w:t>
      </w:r>
      <w:proofErr w:type="spellEnd"/>
      <w:r w:rsidR="00BE4FA4">
        <w:t xml:space="preserve"> AJ, Pretorius AJ and </w:t>
      </w:r>
      <w:proofErr w:type="spellStart"/>
      <w:r w:rsidR="00BE4FA4">
        <w:t>Zondo</w:t>
      </w:r>
      <w:proofErr w:type="spellEnd"/>
      <w:r w:rsidR="00BE4FA4">
        <w:t> J</w:t>
      </w:r>
    </w:p>
    <w:p w14:paraId="74FAA1F3" w14:textId="77777777" w:rsidR="003A18CF" w:rsidRDefault="003A18CF" w:rsidP="003A18CF">
      <w:pPr>
        <w:spacing w:line="240" w:lineRule="auto"/>
      </w:pPr>
    </w:p>
    <w:p w14:paraId="4E23D8CB" w14:textId="7202B714" w:rsidR="00AE7143" w:rsidRDefault="00AE7143" w:rsidP="005F5F6F">
      <w:pPr>
        <w:spacing w:line="240" w:lineRule="auto"/>
        <w:ind w:left="2160" w:hanging="2160"/>
      </w:pPr>
      <w:r>
        <w:rPr>
          <w:b/>
        </w:rPr>
        <w:t>Judgments</w:t>
      </w:r>
      <w:r w:rsidRPr="008B40EE">
        <w:rPr>
          <w:b/>
        </w:rPr>
        <w:t>:</w:t>
      </w:r>
      <w:r>
        <w:tab/>
      </w:r>
      <w:proofErr w:type="spellStart"/>
      <w:r w:rsidR="00E94FD6">
        <w:t>Khampepe</w:t>
      </w:r>
      <w:proofErr w:type="spellEnd"/>
      <w:r w:rsidR="00E94FD6">
        <w:t> </w:t>
      </w:r>
      <w:r w:rsidR="00161EB3">
        <w:t xml:space="preserve">J </w:t>
      </w:r>
      <w:r>
        <w:t>(</w:t>
      </w:r>
      <w:r w:rsidRPr="00A90F47">
        <w:t>unanimous)</w:t>
      </w:r>
    </w:p>
    <w:p w14:paraId="5040C4C7" w14:textId="77777777" w:rsidR="00AE7143" w:rsidRDefault="00AE7143" w:rsidP="003A18CF">
      <w:pPr>
        <w:spacing w:line="240" w:lineRule="auto"/>
      </w:pPr>
    </w:p>
    <w:p w14:paraId="5FC9E8BF" w14:textId="77777777" w:rsidR="003A18CF" w:rsidRPr="009C3888" w:rsidRDefault="003A18CF" w:rsidP="0044313C">
      <w:pPr>
        <w:spacing w:line="240" w:lineRule="auto"/>
        <w:ind w:left="2160" w:hanging="2160"/>
      </w:pPr>
      <w:r w:rsidRPr="008B40EE">
        <w:rPr>
          <w:b/>
        </w:rPr>
        <w:t>Heard on:</w:t>
      </w:r>
      <w:r>
        <w:tab/>
      </w:r>
      <w:r w:rsidR="00BE4FA4">
        <w:t>11 May</w:t>
      </w:r>
      <w:r w:rsidR="00161EB3">
        <w:t xml:space="preserve"> 2017</w:t>
      </w:r>
    </w:p>
    <w:p w14:paraId="5FF2DB26" w14:textId="77777777" w:rsidR="003A18CF" w:rsidRPr="009C3888" w:rsidRDefault="003A18CF" w:rsidP="0044313C">
      <w:pPr>
        <w:spacing w:line="240" w:lineRule="auto"/>
        <w:ind w:left="2160" w:hanging="2160"/>
      </w:pPr>
    </w:p>
    <w:p w14:paraId="02CE3300" w14:textId="6C99B91F" w:rsidR="003A18CF" w:rsidRDefault="003A18CF" w:rsidP="0044313C">
      <w:pPr>
        <w:spacing w:line="240" w:lineRule="auto"/>
        <w:ind w:left="2160" w:hanging="2160"/>
      </w:pPr>
      <w:r w:rsidRPr="008B40EE">
        <w:rPr>
          <w:b/>
        </w:rPr>
        <w:t>Decided on:</w:t>
      </w:r>
      <w:r>
        <w:tab/>
      </w:r>
      <w:r w:rsidR="00A90F47" w:rsidRPr="00B82B7D">
        <w:t>2</w:t>
      </w:r>
      <w:r w:rsidR="00F5089C" w:rsidRPr="00B82B7D">
        <w:t>4</w:t>
      </w:r>
      <w:r w:rsidR="00A90F47" w:rsidRPr="00B82B7D">
        <w:t xml:space="preserve"> July</w:t>
      </w:r>
      <w:r w:rsidR="00A90F47">
        <w:t xml:space="preserve"> </w:t>
      </w:r>
      <w:r w:rsidR="00F50619">
        <w:t>2017</w:t>
      </w:r>
    </w:p>
    <w:p w14:paraId="3B873395" w14:textId="77777777" w:rsidR="004110F6" w:rsidRDefault="004110F6" w:rsidP="003A18CF">
      <w:pPr>
        <w:spacing w:line="240" w:lineRule="auto"/>
      </w:pPr>
    </w:p>
    <w:p w14:paraId="4CD2B7E4" w14:textId="77777777" w:rsidR="00DC6E89" w:rsidRPr="00AE47F8" w:rsidRDefault="004D02BA" w:rsidP="00BE4FA4">
      <w:pPr>
        <w:spacing w:line="240" w:lineRule="auto"/>
        <w:ind w:left="2160" w:hanging="2160"/>
      </w:pPr>
      <w:r w:rsidRPr="00AE47F8">
        <w:rPr>
          <w:b/>
        </w:rPr>
        <w:t>Summary:</w:t>
      </w:r>
      <w:r w:rsidRPr="00AE47F8">
        <w:rPr>
          <w:b/>
        </w:rPr>
        <w:tab/>
      </w:r>
      <w:r w:rsidR="00DC6E89" w:rsidRPr="00AE47F8">
        <w:t>Diamonds Act 56 of 1986 — constitutionality of section 20A — section is constitutional</w:t>
      </w:r>
    </w:p>
    <w:p w14:paraId="4AE591B9" w14:textId="77777777" w:rsidR="00DC6E89" w:rsidRPr="00AE47F8" w:rsidRDefault="00DC6E89" w:rsidP="00BE4FA4">
      <w:pPr>
        <w:spacing w:line="240" w:lineRule="auto"/>
        <w:ind w:left="2160" w:hanging="2160"/>
      </w:pPr>
    </w:p>
    <w:p w14:paraId="641455A0" w14:textId="77777777" w:rsidR="00DC6E89" w:rsidRPr="00AE47F8" w:rsidRDefault="00DC6E89" w:rsidP="00BE4FA4">
      <w:pPr>
        <w:spacing w:line="240" w:lineRule="auto"/>
        <w:ind w:left="2160" w:hanging="2160"/>
      </w:pPr>
      <w:r w:rsidRPr="00AE47F8">
        <w:tab/>
        <w:t>Section 25 of the Constitution — right not to be deprived of property arbitrarily — deprivation analysis — no deprivation by section 20A — interference not substantial</w:t>
      </w:r>
    </w:p>
    <w:p w14:paraId="7B25B8C8" w14:textId="77777777" w:rsidR="00DC6E89" w:rsidRPr="00AE47F8" w:rsidRDefault="00DC6E89" w:rsidP="00BE4FA4">
      <w:pPr>
        <w:spacing w:line="240" w:lineRule="auto"/>
        <w:ind w:left="2160" w:hanging="2160"/>
      </w:pPr>
      <w:r w:rsidRPr="00AE47F8">
        <w:tab/>
      </w:r>
    </w:p>
    <w:p w14:paraId="712ED2CE" w14:textId="36CD863E" w:rsidR="004D02BA" w:rsidRPr="00AE47F8" w:rsidRDefault="00DC6E89" w:rsidP="00DC6E89">
      <w:pPr>
        <w:spacing w:line="240" w:lineRule="auto"/>
        <w:ind w:left="2160"/>
      </w:pPr>
      <w:r w:rsidRPr="00AE47F8">
        <w:t xml:space="preserve">Section 22 of the Constitution — right to choose trade, occupation or profession — no </w:t>
      </w:r>
      <w:r w:rsidR="00F67DEB">
        <w:t>limitation on choice by section </w:t>
      </w:r>
      <w:r w:rsidRPr="00AE47F8">
        <w:t>20A — rational regulation of practice</w:t>
      </w:r>
    </w:p>
    <w:p w14:paraId="2C5A164F" w14:textId="77777777" w:rsidR="004D02BA" w:rsidRDefault="004D02BA" w:rsidP="004D02BA">
      <w:pPr>
        <w:spacing w:line="240" w:lineRule="auto"/>
      </w:pPr>
    </w:p>
    <w:p w14:paraId="171696B7" w14:textId="77777777" w:rsidR="004D02BA" w:rsidRDefault="004D02BA" w:rsidP="004D02BA">
      <w:pPr>
        <w:spacing w:line="240" w:lineRule="auto"/>
      </w:pPr>
    </w:p>
    <w:p w14:paraId="58A09EEE" w14:textId="77777777" w:rsidR="004D02BA" w:rsidRPr="004110F6" w:rsidRDefault="004D02BA" w:rsidP="004D02BA">
      <w:pPr>
        <w:spacing w:line="240" w:lineRule="auto"/>
      </w:pPr>
    </w:p>
    <w:p w14:paraId="24FDEFFF" w14:textId="77777777" w:rsidR="003A18CF" w:rsidRPr="009C3888" w:rsidRDefault="003A18CF" w:rsidP="003A18CF">
      <w:pPr>
        <w:keepNext/>
        <w:pBdr>
          <w:top w:val="single" w:sz="4" w:space="1" w:color="auto"/>
          <w:bottom w:val="single" w:sz="4" w:space="1" w:color="auto"/>
        </w:pBdr>
        <w:spacing w:line="240" w:lineRule="auto"/>
        <w:jc w:val="center"/>
      </w:pPr>
    </w:p>
    <w:p w14:paraId="3CECD3D1"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6486CC05" w14:textId="77777777" w:rsidR="003A18CF" w:rsidRPr="009C3888" w:rsidRDefault="003A18CF" w:rsidP="003A18CF">
      <w:pPr>
        <w:pBdr>
          <w:top w:val="single" w:sz="4" w:space="1" w:color="auto"/>
          <w:bottom w:val="single" w:sz="4" w:space="1" w:color="auto"/>
        </w:pBdr>
        <w:spacing w:line="240" w:lineRule="auto"/>
        <w:jc w:val="center"/>
      </w:pPr>
    </w:p>
    <w:p w14:paraId="224DC684" w14:textId="77777777" w:rsidR="003A18CF" w:rsidRDefault="003A18CF" w:rsidP="003A18CF">
      <w:pPr>
        <w:spacing w:line="240" w:lineRule="auto"/>
      </w:pPr>
    </w:p>
    <w:p w14:paraId="1CC5829B" w14:textId="77777777" w:rsidR="003A18CF" w:rsidRPr="009C3888" w:rsidRDefault="003A18CF" w:rsidP="003A18CF">
      <w:pPr>
        <w:spacing w:line="240" w:lineRule="auto"/>
      </w:pPr>
    </w:p>
    <w:p w14:paraId="6030472D" w14:textId="77777777" w:rsidR="003A18CF" w:rsidRPr="000F028F" w:rsidRDefault="003A18CF" w:rsidP="000C38CF">
      <w:pPr>
        <w:pStyle w:val="JUDGMENTCONTINUED"/>
      </w:pPr>
      <w:r w:rsidRPr="00FE44B5">
        <w:t>On appeal</w:t>
      </w:r>
      <w:r w:rsidR="00161EB3" w:rsidRPr="00FE44B5">
        <w:t xml:space="preserve"> from</w:t>
      </w:r>
      <w:r w:rsidR="00161EB3" w:rsidRPr="000F028F">
        <w:t xml:space="preserve"> </w:t>
      </w:r>
      <w:r w:rsidRPr="000F028F">
        <w:t xml:space="preserve">the </w:t>
      </w:r>
      <w:r w:rsidR="000E1027">
        <w:t xml:space="preserve">High Court of South Africa, </w:t>
      </w:r>
      <w:r w:rsidR="000334EF" w:rsidRPr="0009607D">
        <w:t>Gauteng Division</w:t>
      </w:r>
      <w:r w:rsidR="000E1027">
        <w:t xml:space="preserve">, </w:t>
      </w:r>
      <w:proofErr w:type="gramStart"/>
      <w:r w:rsidR="000E1027">
        <w:t>Pretoria</w:t>
      </w:r>
      <w:proofErr w:type="gramEnd"/>
      <w:r w:rsidRPr="000F028F">
        <w:t>:</w:t>
      </w:r>
    </w:p>
    <w:p w14:paraId="37278581" w14:textId="77777777" w:rsidR="000F028F" w:rsidRPr="009C3888" w:rsidRDefault="000F028F" w:rsidP="00FE44B5">
      <w:pPr>
        <w:pStyle w:val="JUDGMENTNUMBERED"/>
        <w:numPr>
          <w:ilvl w:val="0"/>
          <w:numId w:val="0"/>
        </w:numPr>
        <w:ind w:firstLine="720"/>
      </w:pPr>
      <w:r w:rsidRPr="000F028F">
        <w:t>The following order is made:</w:t>
      </w:r>
    </w:p>
    <w:p w14:paraId="02397EE2" w14:textId="09F817F8" w:rsidR="00375400" w:rsidRDefault="00375400" w:rsidP="00375400">
      <w:pPr>
        <w:pStyle w:val="ORDER"/>
        <w:numPr>
          <w:ilvl w:val="0"/>
          <w:numId w:val="4"/>
        </w:numPr>
        <w:rPr>
          <w:lang w:val="en-AU"/>
        </w:rPr>
      </w:pPr>
      <w:r>
        <w:rPr>
          <w:lang w:val="en-AU"/>
        </w:rPr>
        <w:t>The late filing of the notice of appeal and the notice of cross-appeal is condoned.</w:t>
      </w:r>
    </w:p>
    <w:p w14:paraId="72C54F7B" w14:textId="0DBC3799" w:rsidR="00375400" w:rsidRDefault="00375400" w:rsidP="00375400">
      <w:pPr>
        <w:pStyle w:val="ORDER"/>
        <w:numPr>
          <w:ilvl w:val="0"/>
          <w:numId w:val="4"/>
        </w:numPr>
        <w:rPr>
          <w:lang w:val="en-AU"/>
        </w:rPr>
      </w:pPr>
      <w:r>
        <w:rPr>
          <w:lang w:val="en-AU"/>
        </w:rPr>
        <w:t>The cross-appeal is dismissed.</w:t>
      </w:r>
    </w:p>
    <w:p w14:paraId="16872869" w14:textId="1B5FA3AC" w:rsidR="00375400" w:rsidRDefault="009A2A4A" w:rsidP="00375400">
      <w:pPr>
        <w:pStyle w:val="ORDER"/>
        <w:numPr>
          <w:ilvl w:val="0"/>
          <w:numId w:val="4"/>
        </w:numPr>
        <w:rPr>
          <w:lang w:val="en-AU"/>
        </w:rPr>
      </w:pPr>
      <w:r w:rsidRPr="00AE0B2E">
        <w:rPr>
          <w:lang w:val="en-AU"/>
        </w:rPr>
        <w:t xml:space="preserve">The appeal against the declaration of invalidity of </w:t>
      </w:r>
      <w:r>
        <w:rPr>
          <w:lang w:val="en-AU"/>
        </w:rPr>
        <w:t>section</w:t>
      </w:r>
      <w:r w:rsidR="00DE7662">
        <w:rPr>
          <w:lang w:val="en-AU"/>
        </w:rPr>
        <w:t> </w:t>
      </w:r>
      <w:r>
        <w:rPr>
          <w:lang w:val="en-AU"/>
        </w:rPr>
        <w:t>20A of the Diamonds Act 56 of 1986</w:t>
      </w:r>
      <w:r w:rsidRPr="00AE0B2E">
        <w:rPr>
          <w:lang w:val="en-AU"/>
        </w:rPr>
        <w:t>, made by the High Court of South</w:t>
      </w:r>
      <w:r>
        <w:rPr>
          <w:lang w:val="en-AU"/>
        </w:rPr>
        <w:t> </w:t>
      </w:r>
      <w:r w:rsidRPr="00AE0B2E">
        <w:rPr>
          <w:lang w:val="en-AU"/>
        </w:rPr>
        <w:t>Africa, Gauteng Division, Pretoria</w:t>
      </w:r>
      <w:r>
        <w:rPr>
          <w:lang w:val="en-AU"/>
        </w:rPr>
        <w:t>,</w:t>
      </w:r>
      <w:r w:rsidRPr="009A2A4A">
        <w:rPr>
          <w:lang w:val="en-AU"/>
        </w:rPr>
        <w:t xml:space="preserve"> </w:t>
      </w:r>
      <w:r w:rsidRPr="00AE0B2E">
        <w:rPr>
          <w:lang w:val="en-AU"/>
        </w:rPr>
        <w:t>succeeds</w:t>
      </w:r>
      <w:r>
        <w:rPr>
          <w:lang w:val="en-AU"/>
        </w:rPr>
        <w:t>.</w:t>
      </w:r>
    </w:p>
    <w:p w14:paraId="5A25FEF6" w14:textId="77777777" w:rsidR="00375400" w:rsidRDefault="00375400" w:rsidP="00375400">
      <w:pPr>
        <w:pStyle w:val="ORDER"/>
        <w:numPr>
          <w:ilvl w:val="0"/>
          <w:numId w:val="4"/>
        </w:numPr>
        <w:rPr>
          <w:lang w:val="en-AU"/>
        </w:rPr>
      </w:pPr>
      <w:r>
        <w:rPr>
          <w:lang w:val="en-AU"/>
        </w:rPr>
        <w:t>T</w:t>
      </w:r>
      <w:r w:rsidRPr="00AE0B2E">
        <w:rPr>
          <w:lang w:val="en-AU"/>
        </w:rPr>
        <w:t>h</w:t>
      </w:r>
      <w:r>
        <w:rPr>
          <w:lang w:val="en-AU"/>
        </w:rPr>
        <w:t>e declaration of invalidity is not confirmed.</w:t>
      </w:r>
    </w:p>
    <w:p w14:paraId="7EB313C2" w14:textId="77777777" w:rsidR="00375400" w:rsidRPr="00AE0B2E" w:rsidRDefault="00375400" w:rsidP="00375400">
      <w:pPr>
        <w:pStyle w:val="ORDER"/>
        <w:numPr>
          <w:ilvl w:val="0"/>
          <w:numId w:val="4"/>
        </w:numPr>
        <w:rPr>
          <w:lang w:val="en-AU"/>
        </w:rPr>
      </w:pPr>
      <w:r>
        <w:rPr>
          <w:lang w:val="en-AU"/>
        </w:rPr>
        <w:t xml:space="preserve">The </w:t>
      </w:r>
      <w:r w:rsidRPr="00AE0B2E">
        <w:rPr>
          <w:lang w:val="en-AU"/>
        </w:rPr>
        <w:t xml:space="preserve">order </w:t>
      </w:r>
      <w:r>
        <w:rPr>
          <w:lang w:val="en-AU"/>
        </w:rPr>
        <w:t xml:space="preserve">of the High Court </w:t>
      </w:r>
      <w:r w:rsidRPr="00AE0B2E">
        <w:rPr>
          <w:lang w:val="en-AU"/>
        </w:rPr>
        <w:t>is set aside and replaced with the following:</w:t>
      </w:r>
    </w:p>
    <w:p w14:paraId="3709E500" w14:textId="77777777" w:rsidR="00375400" w:rsidRPr="000F130F" w:rsidRDefault="00375400" w:rsidP="00375400">
      <w:pPr>
        <w:pStyle w:val="ORDER"/>
        <w:ind w:firstLine="0"/>
        <w:rPr>
          <w:lang w:val="en-AU"/>
        </w:rPr>
      </w:pPr>
      <w:r w:rsidRPr="00AE0B2E">
        <w:rPr>
          <w:lang w:val="en-AU"/>
        </w:rPr>
        <w:t>“</w:t>
      </w:r>
      <w:r>
        <w:rPr>
          <w:lang w:val="en-AU"/>
        </w:rPr>
        <w:t>The application is dismissed.  No order is made as to costs.”</w:t>
      </w:r>
    </w:p>
    <w:p w14:paraId="11A2FDA8" w14:textId="77777777" w:rsidR="000334EF" w:rsidRDefault="00375400" w:rsidP="00FE4D71">
      <w:pPr>
        <w:pStyle w:val="ORDER"/>
        <w:numPr>
          <w:ilvl w:val="0"/>
          <w:numId w:val="4"/>
        </w:numPr>
      </w:pPr>
      <w:r>
        <w:t>There is no order as to costs in this Court.</w:t>
      </w:r>
    </w:p>
    <w:p w14:paraId="34E9C28A" w14:textId="77777777" w:rsidR="00F50619" w:rsidRDefault="00F50619" w:rsidP="00F50619">
      <w:pPr>
        <w:spacing w:line="240" w:lineRule="auto"/>
      </w:pPr>
    </w:p>
    <w:p w14:paraId="06D8FDEE" w14:textId="77777777" w:rsidR="001B2343" w:rsidRDefault="001B2343" w:rsidP="00F50619">
      <w:pPr>
        <w:spacing w:line="240" w:lineRule="auto"/>
      </w:pPr>
    </w:p>
    <w:p w14:paraId="4D92461D" w14:textId="77777777" w:rsidR="001B2343" w:rsidRDefault="001B2343" w:rsidP="00F50619">
      <w:pPr>
        <w:spacing w:line="240" w:lineRule="auto"/>
        <w:sectPr w:rsidR="001B2343" w:rsidSect="000F7521">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440" w:right="1440" w:bottom="1440" w:left="1440" w:header="708" w:footer="708" w:gutter="0"/>
          <w:cols w:space="708"/>
          <w:titlePg/>
          <w:docGrid w:linePitch="360"/>
        </w:sectPr>
      </w:pPr>
    </w:p>
    <w:p w14:paraId="7F989847" w14:textId="77777777" w:rsidR="000704F2" w:rsidRPr="009C3888" w:rsidRDefault="000704F2" w:rsidP="00FE44B5">
      <w:pPr>
        <w:pBdr>
          <w:top w:val="single" w:sz="4" w:space="1" w:color="auto"/>
          <w:bottom w:val="single" w:sz="4" w:space="1" w:color="auto"/>
        </w:pBdr>
        <w:spacing w:line="240" w:lineRule="auto"/>
        <w:jc w:val="center"/>
      </w:pPr>
    </w:p>
    <w:p w14:paraId="1C16E284" w14:textId="77777777" w:rsidR="00E4607C" w:rsidRPr="003A18CF" w:rsidRDefault="000704F2" w:rsidP="00FE44B5">
      <w:pPr>
        <w:pBdr>
          <w:top w:val="single" w:sz="4" w:space="1" w:color="auto"/>
          <w:bottom w:val="single" w:sz="4" w:space="1" w:color="auto"/>
        </w:pBdr>
        <w:spacing w:line="240" w:lineRule="auto"/>
        <w:jc w:val="center"/>
        <w:outlineLvl w:val="0"/>
        <w:rPr>
          <w:b/>
        </w:rPr>
      </w:pPr>
      <w:r w:rsidRPr="003A18CF">
        <w:rPr>
          <w:b/>
        </w:rPr>
        <w:t>JUDGMENT</w:t>
      </w:r>
    </w:p>
    <w:p w14:paraId="34FCAC35" w14:textId="77777777" w:rsidR="000704F2" w:rsidRPr="009C3888" w:rsidRDefault="000704F2" w:rsidP="00F50619">
      <w:pPr>
        <w:pBdr>
          <w:top w:val="single" w:sz="4" w:space="1" w:color="auto"/>
          <w:bottom w:val="single" w:sz="4" w:space="1" w:color="auto"/>
        </w:pBdr>
        <w:spacing w:line="240" w:lineRule="auto"/>
        <w:jc w:val="center"/>
      </w:pPr>
    </w:p>
    <w:p w14:paraId="5C674751" w14:textId="77777777" w:rsidR="000704F2" w:rsidRPr="009C3888" w:rsidRDefault="000704F2" w:rsidP="00F50619">
      <w:pPr>
        <w:spacing w:line="240" w:lineRule="auto"/>
      </w:pPr>
    </w:p>
    <w:p w14:paraId="0127D502" w14:textId="77777777" w:rsidR="00F12F57" w:rsidRDefault="00F12F57" w:rsidP="00F50619">
      <w:pPr>
        <w:spacing w:line="240" w:lineRule="auto"/>
      </w:pPr>
    </w:p>
    <w:p w14:paraId="54AF02A9" w14:textId="77777777" w:rsidR="00356124" w:rsidRDefault="00356124" w:rsidP="00F50619">
      <w:pPr>
        <w:spacing w:line="240" w:lineRule="auto"/>
      </w:pPr>
    </w:p>
    <w:p w14:paraId="16694FAE" w14:textId="388DB455" w:rsidR="000704F2" w:rsidRPr="009C3888" w:rsidRDefault="00242913" w:rsidP="001C050A">
      <w:pPr>
        <w:spacing w:line="240" w:lineRule="auto"/>
        <w:outlineLvl w:val="0"/>
      </w:pPr>
      <w:r>
        <w:lastRenderedPageBreak/>
        <w:t xml:space="preserve">KHAMPEPE </w:t>
      </w:r>
      <w:r w:rsidR="00AE7602" w:rsidRPr="009C3888">
        <w:t>J</w:t>
      </w:r>
      <w:r w:rsidR="003644DF">
        <w:t xml:space="preserve"> (</w:t>
      </w:r>
      <w:proofErr w:type="spellStart"/>
      <w:r w:rsidR="001470C1">
        <w:t>Mogoeng</w:t>
      </w:r>
      <w:proofErr w:type="spellEnd"/>
      <w:r w:rsidR="001470C1">
        <w:t xml:space="preserve"> CJ, </w:t>
      </w:r>
      <w:proofErr w:type="spellStart"/>
      <w:r w:rsidR="001470C1">
        <w:t>Nkabinde</w:t>
      </w:r>
      <w:proofErr w:type="spellEnd"/>
      <w:r w:rsidR="001470C1">
        <w:t xml:space="preserve"> ADCJ, Cameron J, </w:t>
      </w:r>
      <w:proofErr w:type="spellStart"/>
      <w:r w:rsidR="001470C1">
        <w:t>Froneman</w:t>
      </w:r>
      <w:proofErr w:type="spellEnd"/>
      <w:r w:rsidR="001470C1">
        <w:t xml:space="preserve"> J, </w:t>
      </w:r>
      <w:proofErr w:type="spellStart"/>
      <w:r w:rsidR="001470C1">
        <w:t>Jafta</w:t>
      </w:r>
      <w:proofErr w:type="spellEnd"/>
      <w:r w:rsidR="001470C1">
        <w:t xml:space="preserve"> J, </w:t>
      </w:r>
      <w:proofErr w:type="spellStart"/>
      <w:r w:rsidR="001470C1">
        <w:t>Madlanga</w:t>
      </w:r>
      <w:proofErr w:type="spellEnd"/>
      <w:r w:rsidR="001470C1">
        <w:t xml:space="preserve"> J, </w:t>
      </w:r>
      <w:proofErr w:type="spellStart"/>
      <w:r w:rsidR="001470C1">
        <w:t>Mhlantla</w:t>
      </w:r>
      <w:proofErr w:type="spellEnd"/>
      <w:r w:rsidR="001470C1">
        <w:t xml:space="preserve"> J, </w:t>
      </w:r>
      <w:proofErr w:type="spellStart"/>
      <w:r w:rsidR="001470C1">
        <w:t>Mojapelo</w:t>
      </w:r>
      <w:proofErr w:type="spellEnd"/>
      <w:r w:rsidR="001470C1">
        <w:t xml:space="preserve"> AJ, Pretorius AJ and </w:t>
      </w:r>
      <w:proofErr w:type="spellStart"/>
      <w:r w:rsidR="001470C1">
        <w:t>Zondo</w:t>
      </w:r>
      <w:proofErr w:type="spellEnd"/>
      <w:r w:rsidR="001470C1">
        <w:t> J</w:t>
      </w:r>
      <w:r w:rsidR="005F319F">
        <w:rPr>
          <w:szCs w:val="26"/>
        </w:rPr>
        <w:t xml:space="preserve"> </w:t>
      </w:r>
      <w:r w:rsidR="00C739DB" w:rsidRPr="00C739DB">
        <w:t>concurring</w:t>
      </w:r>
      <w:r w:rsidR="003644DF">
        <w:t>)</w:t>
      </w:r>
      <w:r w:rsidR="00AE7602" w:rsidRPr="009C3888">
        <w:t>:</w:t>
      </w:r>
    </w:p>
    <w:p w14:paraId="61229303" w14:textId="77777777" w:rsidR="00AE7602" w:rsidRPr="009C3888" w:rsidRDefault="00AE7602" w:rsidP="000704F2">
      <w:pPr>
        <w:spacing w:line="240" w:lineRule="auto"/>
      </w:pPr>
    </w:p>
    <w:p w14:paraId="066EBAE7" w14:textId="77777777" w:rsidR="00242913" w:rsidRDefault="00242913" w:rsidP="00242913">
      <w:pPr>
        <w:spacing w:line="240" w:lineRule="auto"/>
      </w:pPr>
    </w:p>
    <w:p w14:paraId="6104D71B" w14:textId="77777777" w:rsidR="00242913" w:rsidRDefault="00242913" w:rsidP="00242913">
      <w:pPr>
        <w:pStyle w:val="HEADING"/>
      </w:pPr>
      <w:r>
        <w:t>Introduction</w:t>
      </w:r>
    </w:p>
    <w:p w14:paraId="11BD0093" w14:textId="357F65A2" w:rsidR="0089081A" w:rsidRPr="0009607D" w:rsidRDefault="0089081A" w:rsidP="00E52753">
      <w:pPr>
        <w:pStyle w:val="JUDGMENTNUMBERED"/>
        <w:widowControl w:val="0"/>
        <w:numPr>
          <w:ilvl w:val="0"/>
          <w:numId w:val="2"/>
        </w:numPr>
        <w:autoSpaceDE w:val="0"/>
        <w:autoSpaceDN w:val="0"/>
        <w:ind w:left="0" w:firstLine="0"/>
      </w:pPr>
      <w:r w:rsidRPr="0009607D">
        <w:t>These are proceedings in terms of section 172(2)</w:t>
      </w:r>
      <w:r>
        <w:t>(a)</w:t>
      </w:r>
      <w:r>
        <w:rPr>
          <w:rStyle w:val="FootnoteReference"/>
        </w:rPr>
        <w:footnoteReference w:id="1"/>
      </w:r>
      <w:r w:rsidRPr="0009607D">
        <w:t xml:space="preserve"> of the Constitution for the confirmation of </w:t>
      </w:r>
      <w:r w:rsidR="00862BB3">
        <w:t xml:space="preserve">an </w:t>
      </w:r>
      <w:r w:rsidRPr="0009607D">
        <w:t xml:space="preserve">order of constitutional invalidity of </w:t>
      </w:r>
      <w:r>
        <w:t xml:space="preserve">section </w:t>
      </w:r>
      <w:r w:rsidR="00223A19">
        <w:t>20A of the Diamonds </w:t>
      </w:r>
      <w:r>
        <w:t>Act</w:t>
      </w:r>
      <w:r>
        <w:rPr>
          <w:rStyle w:val="FootnoteReference"/>
        </w:rPr>
        <w:footnoteReference w:id="2"/>
      </w:r>
      <w:r w:rsidR="000E1027">
        <w:t xml:space="preserve"> (Act)</w:t>
      </w:r>
      <w:r w:rsidR="00F46EF0">
        <w:t>,</w:t>
      </w:r>
      <w:r w:rsidRPr="0009607D">
        <w:t xml:space="preserve"> </w:t>
      </w:r>
      <w:r w:rsidR="00862BB3">
        <w:t xml:space="preserve">granted </w:t>
      </w:r>
      <w:r w:rsidRPr="0009607D">
        <w:t xml:space="preserve">by </w:t>
      </w:r>
      <w:r w:rsidR="00EA25B2">
        <w:t>V</w:t>
      </w:r>
      <w:r w:rsidRPr="0009607D">
        <w:t>a</w:t>
      </w:r>
      <w:r w:rsidR="00EA25B2">
        <w:t>n d</w:t>
      </w:r>
      <w:r w:rsidRPr="0009607D">
        <w:t xml:space="preserve">er </w:t>
      </w:r>
      <w:proofErr w:type="spellStart"/>
      <w:r w:rsidRPr="0009607D">
        <w:t>Westhuizen</w:t>
      </w:r>
      <w:proofErr w:type="spellEnd"/>
      <w:r w:rsidRPr="0009607D">
        <w:t xml:space="preserve"> AJ in the </w:t>
      </w:r>
      <w:r w:rsidR="0067572A">
        <w:t>High Court of South </w:t>
      </w:r>
      <w:r w:rsidR="000E1027">
        <w:t xml:space="preserve">Africa, </w:t>
      </w:r>
      <w:r w:rsidRPr="0009607D">
        <w:t>Gauteng Division</w:t>
      </w:r>
      <w:r w:rsidR="007C3ABB">
        <w:t>, Pretoria (High Court)</w:t>
      </w:r>
      <w:r w:rsidRPr="0009607D">
        <w:t xml:space="preserve">.  </w:t>
      </w:r>
      <w:r w:rsidR="00883DEA">
        <w:t>The High Court declared section </w:t>
      </w:r>
      <w:r w:rsidRPr="0009607D">
        <w:t>20A to be unconstitutional insofar as it infringes on the rights of persons embodied in sections</w:t>
      </w:r>
      <w:r w:rsidR="00F61ED0">
        <w:t> </w:t>
      </w:r>
      <w:r w:rsidRPr="0009607D">
        <w:t>22</w:t>
      </w:r>
      <w:r w:rsidRPr="0009607D">
        <w:rPr>
          <w:rStyle w:val="FootnoteReference"/>
        </w:rPr>
        <w:footnoteReference w:id="3"/>
      </w:r>
      <w:r w:rsidRPr="0009607D">
        <w:t xml:space="preserve"> and</w:t>
      </w:r>
      <w:r>
        <w:t> </w:t>
      </w:r>
      <w:r w:rsidRPr="0009607D">
        <w:t>25(1)</w:t>
      </w:r>
      <w:r w:rsidRPr="0009607D">
        <w:rPr>
          <w:rStyle w:val="FootnoteReference"/>
        </w:rPr>
        <w:footnoteReference w:id="4"/>
      </w:r>
      <w:r w:rsidRPr="0009607D">
        <w:t xml:space="preserve"> </w:t>
      </w:r>
      <w:r w:rsidR="00F61ED0">
        <w:t>of the Constitution.</w:t>
      </w:r>
      <w:r w:rsidR="00F61ED0">
        <w:rPr>
          <w:rStyle w:val="FootnoteReference"/>
        </w:rPr>
        <w:footnoteReference w:id="5"/>
      </w:r>
    </w:p>
    <w:p w14:paraId="1ACBD21C" w14:textId="77777777" w:rsidR="0089081A" w:rsidRPr="0009607D" w:rsidRDefault="0089081A" w:rsidP="0089081A">
      <w:pPr>
        <w:pStyle w:val="JUDGMENTCONTINUED"/>
      </w:pPr>
    </w:p>
    <w:p w14:paraId="18483352" w14:textId="77777777" w:rsidR="0089081A" w:rsidRPr="0009607D" w:rsidRDefault="0089081A" w:rsidP="00E52753">
      <w:pPr>
        <w:pStyle w:val="JUDGMENTNUMBERED"/>
        <w:widowControl w:val="0"/>
        <w:numPr>
          <w:ilvl w:val="0"/>
          <w:numId w:val="2"/>
        </w:numPr>
        <w:autoSpaceDE w:val="0"/>
        <w:autoSpaceDN w:val="0"/>
        <w:ind w:left="0" w:firstLine="0"/>
      </w:pPr>
      <w:r w:rsidRPr="0009607D">
        <w:t xml:space="preserve">The first, second and fifth respondents </w:t>
      </w:r>
      <w:r w:rsidR="00767ED7">
        <w:t xml:space="preserve">(respondents) </w:t>
      </w:r>
      <w:r w:rsidRPr="0009607D">
        <w:t>oppose the confirmation of the High</w:t>
      </w:r>
      <w:r w:rsidR="00C3562B">
        <w:t> </w:t>
      </w:r>
      <w:r w:rsidRPr="0009607D">
        <w:t>Court’s order of constitutional invalidity</w:t>
      </w:r>
      <w:r w:rsidR="00883DEA">
        <w:t>.  The fifth respondent</w:t>
      </w:r>
      <w:r w:rsidRPr="0009607D">
        <w:t xml:space="preserve"> noted an appeal </w:t>
      </w:r>
      <w:r w:rsidR="007C3ABB">
        <w:t xml:space="preserve">in terms of </w:t>
      </w:r>
      <w:r w:rsidR="000E1027">
        <w:t>r</w:t>
      </w:r>
      <w:r w:rsidR="007C3ABB">
        <w:t xml:space="preserve">ule 16(2) of the Rules of this Court </w:t>
      </w:r>
      <w:r w:rsidRPr="0009607D">
        <w:t xml:space="preserve">against the whole of the judgment </w:t>
      </w:r>
      <w:r w:rsidR="00A42C7E">
        <w:t xml:space="preserve">of the High </w:t>
      </w:r>
      <w:r w:rsidR="00A42C7E" w:rsidRPr="009A2A4A">
        <w:t>Court</w:t>
      </w:r>
      <w:r w:rsidR="00ED753B" w:rsidRPr="009A2A4A">
        <w:t>,</w:t>
      </w:r>
      <w:r w:rsidR="00ED753B">
        <w:t xml:space="preserve"> and j</w:t>
      </w:r>
      <w:r w:rsidR="00883DEA">
        <w:t>oint submissions were made on behalf of the</w:t>
      </w:r>
      <w:r w:rsidR="00B647E2">
        <w:t xml:space="preserve"> </w:t>
      </w:r>
      <w:r w:rsidR="00883DEA">
        <w:t xml:space="preserve">respondents.  </w:t>
      </w:r>
      <w:r w:rsidR="000F130F">
        <w:t>The fifth respondent has also applied for condonation for the late filing of the notice of appeal.</w:t>
      </w:r>
    </w:p>
    <w:p w14:paraId="24E59EA4" w14:textId="77777777" w:rsidR="0089081A" w:rsidRPr="0009607D" w:rsidRDefault="0089081A" w:rsidP="0089081A">
      <w:pPr>
        <w:pStyle w:val="JUDGMENTCONTINUED"/>
      </w:pPr>
    </w:p>
    <w:p w14:paraId="1803C8DB" w14:textId="77777777" w:rsidR="0089081A" w:rsidRPr="0009607D" w:rsidRDefault="0089081A" w:rsidP="00E52753">
      <w:pPr>
        <w:pStyle w:val="JUDGMENTNUMBERED"/>
        <w:widowControl w:val="0"/>
        <w:numPr>
          <w:ilvl w:val="0"/>
          <w:numId w:val="2"/>
        </w:numPr>
        <w:autoSpaceDE w:val="0"/>
        <w:autoSpaceDN w:val="0"/>
        <w:ind w:left="0" w:firstLine="0"/>
      </w:pPr>
      <w:r w:rsidRPr="0009607D">
        <w:t xml:space="preserve">The applicant noted a cross-appeal against the costs order handed down by the High Court.  </w:t>
      </w:r>
      <w:r>
        <w:t>The applicant has also applied for condonation of the late filing of its cross-appeal.</w:t>
      </w:r>
    </w:p>
    <w:p w14:paraId="643D33C7" w14:textId="77777777" w:rsidR="0089081A" w:rsidRPr="0009607D" w:rsidRDefault="0089081A" w:rsidP="0089081A">
      <w:pPr>
        <w:pStyle w:val="JUDGMENTCONTINUED"/>
      </w:pPr>
    </w:p>
    <w:p w14:paraId="1AF8384E" w14:textId="77777777" w:rsidR="0089081A" w:rsidRPr="009A2A4A" w:rsidRDefault="0089081A" w:rsidP="0089081A">
      <w:pPr>
        <w:pStyle w:val="HEADING"/>
      </w:pPr>
      <w:r w:rsidRPr="009A2A4A">
        <w:t>Parties</w:t>
      </w:r>
    </w:p>
    <w:p w14:paraId="3F94C81A" w14:textId="77777777" w:rsidR="0089081A" w:rsidRPr="009A2A4A" w:rsidRDefault="0089081A" w:rsidP="00E52753">
      <w:pPr>
        <w:pStyle w:val="JUDGMENTNUMBERED"/>
        <w:widowControl w:val="0"/>
        <w:numPr>
          <w:ilvl w:val="0"/>
          <w:numId w:val="2"/>
        </w:numPr>
        <w:autoSpaceDE w:val="0"/>
        <w:autoSpaceDN w:val="0"/>
        <w:ind w:left="0" w:firstLine="0"/>
      </w:pPr>
      <w:r w:rsidRPr="009A2A4A">
        <w:t>The applicant is the South African Diamond Producers Organisation (SADPO), a voluntary association whose aims include the streamlining of the diamond</w:t>
      </w:r>
      <w:r w:rsidR="00C3562B" w:rsidRPr="009A2A4A">
        <w:t> </w:t>
      </w:r>
      <w:r w:rsidRPr="009A2A4A">
        <w:t>producers’</w:t>
      </w:r>
      <w:r w:rsidR="00F61ED0" w:rsidRPr="009A2A4A">
        <w:t xml:space="preserve"> industry</w:t>
      </w:r>
      <w:r w:rsidR="009A2A4A" w:rsidRPr="009A2A4A">
        <w:t xml:space="preserve"> </w:t>
      </w:r>
      <w:r w:rsidR="00F61ED0" w:rsidRPr="009A2A4A">
        <w:t>and</w:t>
      </w:r>
      <w:r w:rsidRPr="009A2A4A">
        <w:t xml:space="preserve"> acting in concert with other str</w:t>
      </w:r>
      <w:r w:rsidR="00F61ED0" w:rsidRPr="009A2A4A">
        <w:t>uctures in the diamond industry</w:t>
      </w:r>
      <w:r w:rsidRPr="009A2A4A">
        <w:t>.</w:t>
      </w:r>
      <w:r w:rsidR="00F10040" w:rsidRPr="009A2A4A">
        <w:t xml:space="preserve">  Its members include diamond producers and diamond dealers.</w:t>
      </w:r>
    </w:p>
    <w:p w14:paraId="49CD5706" w14:textId="77777777" w:rsidR="0089081A" w:rsidRPr="00637CBE" w:rsidRDefault="0089081A" w:rsidP="0089081A">
      <w:pPr>
        <w:pStyle w:val="JUDGMENTCONTINUED"/>
      </w:pPr>
    </w:p>
    <w:p w14:paraId="65906941" w14:textId="6EFCDA76" w:rsidR="0089081A" w:rsidRPr="009A2A4A" w:rsidRDefault="0089081A" w:rsidP="00E52753">
      <w:pPr>
        <w:pStyle w:val="JUDGMENTNUMBERED"/>
        <w:widowControl w:val="0"/>
        <w:numPr>
          <w:ilvl w:val="0"/>
          <w:numId w:val="2"/>
        </w:numPr>
        <w:autoSpaceDE w:val="0"/>
        <w:autoSpaceDN w:val="0"/>
        <w:ind w:left="0" w:firstLine="0"/>
      </w:pPr>
      <w:r w:rsidRPr="009A2A4A">
        <w:t>The first to sixth respondents are: the Minister of Minerals and Energy</w:t>
      </w:r>
      <w:r w:rsidR="00111128">
        <w:t xml:space="preserve"> N.O.</w:t>
      </w:r>
      <w:r w:rsidRPr="009A2A4A">
        <w:t>, the Department of Minerals and Energy, the Minister of Finance, the Department of Finance, the South African Diamond, Minerals and</w:t>
      </w:r>
      <w:r w:rsidR="0067572A">
        <w:t xml:space="preserve"> Precious Metals Regulator (the </w:t>
      </w:r>
      <w:r w:rsidRPr="009A2A4A">
        <w:t>Regulator),</w:t>
      </w:r>
      <w:r w:rsidR="00F61ED0" w:rsidRPr="009A2A4A">
        <w:rPr>
          <w:rStyle w:val="FootnoteReference"/>
        </w:rPr>
        <w:footnoteReference w:id="6"/>
      </w:r>
      <w:r w:rsidRPr="009A2A4A">
        <w:t xml:space="preserve"> and the State Diamond Trader</w:t>
      </w:r>
      <w:r w:rsidR="00E54724" w:rsidRPr="009A2A4A">
        <w:t>,</w:t>
      </w:r>
      <w:r w:rsidRPr="009A2A4A">
        <w:rPr>
          <w:rStyle w:val="FootnoteReference"/>
        </w:rPr>
        <w:footnoteReference w:id="7"/>
      </w:r>
      <w:r w:rsidRPr="009A2A4A">
        <w:t xml:space="preserve"> respectively.</w:t>
      </w:r>
    </w:p>
    <w:p w14:paraId="7022C7EA" w14:textId="77777777" w:rsidR="0089081A" w:rsidRPr="0009607D" w:rsidRDefault="0089081A" w:rsidP="0089081A">
      <w:pPr>
        <w:pStyle w:val="JUDGMENTCONTINUED"/>
      </w:pPr>
    </w:p>
    <w:p w14:paraId="015C4C08" w14:textId="77777777" w:rsidR="0089081A" w:rsidRPr="0009607D" w:rsidRDefault="0089081A" w:rsidP="00E52753">
      <w:pPr>
        <w:pStyle w:val="JUDGMENTNUMBERED"/>
        <w:widowControl w:val="0"/>
        <w:numPr>
          <w:ilvl w:val="0"/>
          <w:numId w:val="2"/>
        </w:numPr>
        <w:autoSpaceDE w:val="0"/>
        <w:autoSpaceDN w:val="0"/>
        <w:ind w:left="0" w:firstLine="0"/>
      </w:pPr>
      <w:r w:rsidRPr="0009607D">
        <w:t>The State Diamond Trader</w:t>
      </w:r>
      <w:r w:rsidR="005D4C80">
        <w:t>, the sixth respondent,</w:t>
      </w:r>
      <w:r w:rsidRPr="0009607D">
        <w:t xml:space="preserve"> has filed a notice of intention to ab</w:t>
      </w:r>
      <w:r w:rsidR="00F61ED0">
        <w:t>ide the decision of this Court.</w:t>
      </w:r>
      <w:r>
        <w:t xml:space="preserve">  O</w:t>
      </w:r>
      <w:r w:rsidRPr="0009607D">
        <w:t>nly the first, s</w:t>
      </w:r>
      <w:r w:rsidR="0067225F">
        <w:t xml:space="preserve">econd and fifth respondents </w:t>
      </w:r>
      <w:r w:rsidRPr="0009607D">
        <w:t>partic</w:t>
      </w:r>
      <w:r w:rsidR="00F61ED0">
        <w:t>ipated in the</w:t>
      </w:r>
      <w:r w:rsidRPr="0009607D">
        <w:t xml:space="preserve"> proceedings</w:t>
      </w:r>
      <w:r w:rsidR="00F61ED0">
        <w:t xml:space="preserve"> in this Court</w:t>
      </w:r>
      <w:r w:rsidRPr="0009607D">
        <w:t>.</w:t>
      </w:r>
      <w:r w:rsidR="005D4C80">
        <w:t xml:space="preserve"> </w:t>
      </w:r>
    </w:p>
    <w:p w14:paraId="4CDD714C" w14:textId="77777777" w:rsidR="0089081A" w:rsidRPr="0009607D" w:rsidRDefault="0089081A" w:rsidP="0089081A">
      <w:pPr>
        <w:pStyle w:val="JUDGMENTCONTINUED"/>
      </w:pPr>
    </w:p>
    <w:p w14:paraId="665058C2" w14:textId="77777777" w:rsidR="0089081A" w:rsidRPr="0009607D" w:rsidRDefault="00F61ED0" w:rsidP="0089081A">
      <w:pPr>
        <w:pStyle w:val="HEADING"/>
      </w:pPr>
      <w:r>
        <w:t>B</w:t>
      </w:r>
      <w:r w:rsidR="0089081A" w:rsidRPr="0009607D">
        <w:t>ackground</w:t>
      </w:r>
    </w:p>
    <w:p w14:paraId="336A0237" w14:textId="77777777" w:rsidR="0089081A" w:rsidRDefault="0089081A" w:rsidP="00E52753">
      <w:pPr>
        <w:pStyle w:val="JUDGMENTNUMBERED"/>
        <w:widowControl w:val="0"/>
        <w:numPr>
          <w:ilvl w:val="0"/>
          <w:numId w:val="2"/>
        </w:numPr>
        <w:autoSpaceDE w:val="0"/>
        <w:autoSpaceDN w:val="0"/>
        <w:ind w:left="0" w:firstLine="0"/>
      </w:pPr>
      <w:r w:rsidRPr="0009607D">
        <w:t xml:space="preserve">The diamond trade </w:t>
      </w:r>
      <w:r>
        <w:t xml:space="preserve">in South Africa </w:t>
      </w:r>
      <w:r w:rsidRPr="0009607D">
        <w:t>is regulated in terms of the Act and regulations published under it.</w:t>
      </w:r>
      <w:r>
        <w:t xml:space="preserve">  The purposes of the Act include controlling the possession, purchase</w:t>
      </w:r>
      <w:r w:rsidR="00DE044B">
        <w:t>,</w:t>
      </w:r>
      <w:r>
        <w:t xml:space="preserve"> sale, processing, local beneficiation and export of diamonds.</w:t>
      </w:r>
      <w:r>
        <w:rPr>
          <w:rStyle w:val="FootnoteReference"/>
        </w:rPr>
        <w:footnoteReference w:id="8"/>
      </w:r>
      <w:r>
        <w:t xml:space="preserve">  The Act regulates, amongst other things, </w:t>
      </w:r>
      <w:r w:rsidR="00D4411F">
        <w:t xml:space="preserve">the </w:t>
      </w:r>
      <w:r>
        <w:t>possess</w:t>
      </w:r>
      <w:r w:rsidR="00D4411F">
        <w:t>ion</w:t>
      </w:r>
      <w:r>
        <w:t xml:space="preserve">, </w:t>
      </w:r>
      <w:r w:rsidR="00D4411F">
        <w:t>sale</w:t>
      </w:r>
      <w:r>
        <w:t xml:space="preserve">, </w:t>
      </w:r>
      <w:r w:rsidR="009478EB">
        <w:t>purchase</w:t>
      </w:r>
      <w:r>
        <w:t xml:space="preserve">, import and export </w:t>
      </w:r>
      <w:r w:rsidR="009B288E">
        <w:t xml:space="preserve">of </w:t>
      </w:r>
      <w:r>
        <w:t xml:space="preserve">unpolished diamonds; the </w:t>
      </w:r>
      <w:r w:rsidRPr="00F61ED0">
        <w:t>premises</w:t>
      </w:r>
      <w:r>
        <w:t xml:space="preserve"> where the sale and purchase of unpolished diamonds may take place; and the processes to be followed in order to </w:t>
      </w:r>
      <w:r w:rsidRPr="00F61ED0">
        <w:lastRenderedPageBreak/>
        <w:t>export</w:t>
      </w:r>
      <w:r>
        <w:t xml:space="preserve"> unpolished diamonds.</w:t>
      </w:r>
    </w:p>
    <w:p w14:paraId="04E3B580" w14:textId="77777777" w:rsidR="0089081A" w:rsidRDefault="0089081A" w:rsidP="0089081A">
      <w:pPr>
        <w:pStyle w:val="JUDGMENTCONTINUED"/>
      </w:pPr>
    </w:p>
    <w:p w14:paraId="2EB6A7D9" w14:textId="06B79F98" w:rsidR="0089081A" w:rsidRDefault="0089081A" w:rsidP="00E52753">
      <w:pPr>
        <w:pStyle w:val="JUDGMENTNUMBERED"/>
        <w:widowControl w:val="0"/>
        <w:numPr>
          <w:ilvl w:val="0"/>
          <w:numId w:val="2"/>
        </w:numPr>
        <w:autoSpaceDE w:val="0"/>
        <w:autoSpaceDN w:val="0"/>
        <w:ind w:left="0" w:firstLine="0"/>
      </w:pPr>
      <w:r>
        <w:t>Before the Act was amended</w:t>
      </w:r>
      <w:r w:rsidR="00F10040">
        <w:t xml:space="preserve"> in 2007</w:t>
      </w:r>
      <w:r>
        <w:t>,</w:t>
      </w:r>
      <w:r w:rsidR="00B67AFD">
        <w:rPr>
          <w:rStyle w:val="FootnoteReference"/>
        </w:rPr>
        <w:footnoteReference w:id="9"/>
      </w:r>
      <w:r>
        <w:t xml:space="preserve"> a</w:t>
      </w:r>
      <w:r w:rsidRPr="0009607D">
        <w:t xml:space="preserve"> number of SADPO members, who were licensed dealers,</w:t>
      </w:r>
      <w:r>
        <w:t xml:space="preserve"> had developed</w:t>
      </w:r>
      <w:r w:rsidRPr="0009607D">
        <w:t xml:space="preserve"> a </w:t>
      </w:r>
      <w:r w:rsidR="00775B07" w:rsidRPr="00987A6B">
        <w:t>mode of operation</w:t>
      </w:r>
      <w:r w:rsidR="00775B07">
        <w:rPr>
          <w:i/>
        </w:rPr>
        <w:t xml:space="preserve"> </w:t>
      </w:r>
      <w:r w:rsidRPr="0009607D">
        <w:t>at their licensed business premises</w:t>
      </w:r>
      <w:r w:rsidR="00775B07">
        <w:t>.</w:t>
      </w:r>
      <w:r>
        <w:rPr>
          <w:rStyle w:val="FootnoteReference"/>
        </w:rPr>
        <w:footnoteReference w:id="10"/>
      </w:r>
      <w:r w:rsidRPr="0009607D">
        <w:t xml:space="preserve"> </w:t>
      </w:r>
      <w:r w:rsidR="00987A6B">
        <w:t xml:space="preserve"> </w:t>
      </w:r>
      <w:r w:rsidR="00775B07">
        <w:t xml:space="preserve">In terms of this practice, </w:t>
      </w:r>
      <w:r w:rsidRPr="0009607D">
        <w:t>unpolished diamonds</w:t>
      </w:r>
      <w:r w:rsidR="00F10040">
        <w:t xml:space="preserve"> from local producers</w:t>
      </w:r>
      <w:r w:rsidRPr="0009607D">
        <w:t xml:space="preserve"> were offered on an anonymous tender basis to other South African licensed dealers</w:t>
      </w:r>
      <w:r>
        <w:t xml:space="preserve"> for purchasing parcels of unpolished diamonds on offer</w:t>
      </w:r>
      <w:r w:rsidRPr="0009607D">
        <w:t>.</w:t>
      </w:r>
      <w:r w:rsidR="006D6932">
        <w:t xml:space="preserve"> </w:t>
      </w:r>
      <w:r w:rsidRPr="0009607D">
        <w:t xml:space="preserve"> Non-licensed </w:t>
      </w:r>
      <w:r w:rsidR="003B417A">
        <w:t>“</w:t>
      </w:r>
      <w:r w:rsidRPr="0009607D">
        <w:t>experts</w:t>
      </w:r>
      <w:r w:rsidR="003B417A">
        <w:t>”</w:t>
      </w:r>
      <w:r w:rsidRPr="0009607D">
        <w:t xml:space="preserve">, who attended on behalf of prospective foreign buyers, </w:t>
      </w:r>
      <w:r w:rsidR="00077CF7">
        <w:t>“</w:t>
      </w:r>
      <w:r w:rsidRPr="0009607D">
        <w:t>a</w:t>
      </w:r>
      <w:r>
        <w:t>ssisted</w:t>
      </w:r>
      <w:r w:rsidR="00077CF7">
        <w:t>”</w:t>
      </w:r>
      <w:r>
        <w:t xml:space="preserve"> the licensed purchasers.  </w:t>
      </w:r>
      <w:r w:rsidR="00F10040">
        <w:t xml:space="preserve">The experts were themselves often from abroad.  </w:t>
      </w:r>
      <w:r>
        <w:t>The ultimate sale</w:t>
      </w:r>
      <w:r w:rsidRPr="0009607D">
        <w:t xml:space="preserve"> was concluded between the producer or licensed dealer and the S</w:t>
      </w:r>
      <w:r>
        <w:t>outh African licensed purchaser.  This</w:t>
      </w:r>
      <w:r w:rsidRPr="0009607D">
        <w:t xml:space="preserve"> </w:t>
      </w:r>
      <w:r w:rsidR="0067572A">
        <w:rPr>
          <w:iCs/>
        </w:rPr>
        <w:t>mode of operation</w:t>
      </w:r>
      <w:r w:rsidRPr="0009607D">
        <w:t xml:space="preserve"> allegedly not only assi</w:t>
      </w:r>
      <w:r w:rsidR="002A53B4">
        <w:t xml:space="preserve">sted in determining the </w:t>
      </w:r>
      <w:r w:rsidRPr="0009607D">
        <w:t xml:space="preserve">correct </w:t>
      </w:r>
      <w:r>
        <w:t xml:space="preserve">“international” </w:t>
      </w:r>
      <w:r w:rsidRPr="0009607D">
        <w:t>market value, but also enabled local producers to mingle with</w:t>
      </w:r>
      <w:r>
        <w:t xml:space="preserve"> prospective foreign purchasers.  The result was that </w:t>
      </w:r>
      <w:r w:rsidRPr="0009607D">
        <w:t>a prospective foreign purchaser was already lined up, should the decision be made that parcels pu</w:t>
      </w:r>
      <w:r>
        <w:t xml:space="preserve">rchased be exported and sold on.  </w:t>
      </w:r>
      <w:r w:rsidRPr="0009607D">
        <w:t xml:space="preserve">The business premises upon which </w:t>
      </w:r>
      <w:r>
        <w:t xml:space="preserve">this </w:t>
      </w:r>
      <w:r w:rsidR="00F7547E">
        <w:t xml:space="preserve">mode of operation </w:t>
      </w:r>
      <w:r w:rsidR="004350EF">
        <w:t xml:space="preserve">took place </w:t>
      </w:r>
      <w:r>
        <w:t xml:space="preserve">became known as </w:t>
      </w:r>
      <w:r w:rsidR="00F10040">
        <w:t>“</w:t>
      </w:r>
      <w:r>
        <w:t>tender h</w:t>
      </w:r>
      <w:r w:rsidRPr="0009607D">
        <w:t>ouses</w:t>
      </w:r>
      <w:r w:rsidR="00F10040">
        <w:t>”</w:t>
      </w:r>
      <w:r w:rsidRPr="0009607D">
        <w:t>.</w:t>
      </w:r>
      <w:r>
        <w:t xml:space="preserve">  The term “tender house” is not used in the Act, and no specific provision is made for this practice</w:t>
      </w:r>
      <w:r w:rsidR="002A53B4">
        <w:t>.</w:t>
      </w:r>
      <w:r>
        <w:t xml:space="preserve"> </w:t>
      </w:r>
      <w:r w:rsidR="002A53B4">
        <w:t xml:space="preserve"> T</w:t>
      </w:r>
      <w:r>
        <w:t xml:space="preserve">hose who participated in this practice </w:t>
      </w:r>
      <w:r w:rsidR="00F61ED0">
        <w:t>submit</w:t>
      </w:r>
      <w:r w:rsidR="007C3ABB">
        <w:t xml:space="preserve"> that </w:t>
      </w:r>
      <w:r>
        <w:t>it is simply a business practice that evolved within the industry.</w:t>
      </w:r>
    </w:p>
    <w:p w14:paraId="3051FA16" w14:textId="77777777" w:rsidR="0089081A" w:rsidRPr="00855DFE" w:rsidRDefault="0089081A" w:rsidP="0089081A">
      <w:pPr>
        <w:pStyle w:val="JUDGMENTCONTINUED"/>
      </w:pPr>
    </w:p>
    <w:p w14:paraId="53F3F80E" w14:textId="30CBBA12" w:rsidR="0089081A" w:rsidRPr="0009607D" w:rsidRDefault="0089081A" w:rsidP="00E52753">
      <w:pPr>
        <w:pStyle w:val="JUDGMENTNUMBERED"/>
        <w:widowControl w:val="0"/>
        <w:numPr>
          <w:ilvl w:val="0"/>
          <w:numId w:val="2"/>
        </w:numPr>
        <w:autoSpaceDE w:val="0"/>
        <w:autoSpaceDN w:val="0"/>
        <w:ind w:left="0" w:firstLine="0"/>
      </w:pPr>
      <w:r w:rsidRPr="0009607D">
        <w:t xml:space="preserve">Whether </w:t>
      </w:r>
      <w:r>
        <w:t>the conduct of business at the tender houses</w:t>
      </w:r>
      <w:r w:rsidRPr="0009607D">
        <w:t xml:space="preserve"> was lawful is the subject of dispute between the parties.</w:t>
      </w:r>
      <w:r>
        <w:t xml:space="preserve">  Whil</w:t>
      </w:r>
      <w:r w:rsidR="00831F19">
        <w:t>e</w:t>
      </w:r>
      <w:r>
        <w:t xml:space="preserve"> SADPO takes the view that this pr</w:t>
      </w:r>
      <w:r w:rsidR="009478EB">
        <w:t>actice was lawful, as the pre-amendment Act did</w:t>
      </w:r>
      <w:r>
        <w:t xml:space="preserve"> not prescribe the manner in which unpolished diamonds </w:t>
      </w:r>
      <w:r w:rsidR="00F7547E">
        <w:t xml:space="preserve">had to </w:t>
      </w:r>
      <w:r>
        <w:t xml:space="preserve">be </w:t>
      </w:r>
      <w:r w:rsidR="00474A16">
        <w:t xml:space="preserve">bought and </w:t>
      </w:r>
      <w:r>
        <w:t>sold, the respondents argue that this practice has never been lawful and exploits a loophole in the regulatory framework in order to allow unlicensed persons to participate in the diamond trade.</w:t>
      </w:r>
    </w:p>
    <w:p w14:paraId="518017A9" w14:textId="77777777" w:rsidR="0089081A" w:rsidRDefault="0089081A" w:rsidP="0089081A">
      <w:pPr>
        <w:pStyle w:val="JUDGMENTCONTINUED"/>
      </w:pPr>
    </w:p>
    <w:p w14:paraId="3A18A1C9" w14:textId="7F5C3D18" w:rsidR="0089081A" w:rsidRPr="00500F10" w:rsidRDefault="0089081A" w:rsidP="00E52753">
      <w:pPr>
        <w:pStyle w:val="JUDGMENTNUMBERED"/>
        <w:widowControl w:val="0"/>
        <w:numPr>
          <w:ilvl w:val="0"/>
          <w:numId w:val="2"/>
        </w:numPr>
        <w:autoSpaceDE w:val="0"/>
        <w:autoSpaceDN w:val="0"/>
        <w:ind w:left="0" w:firstLine="0"/>
      </w:pPr>
      <w:r>
        <w:t xml:space="preserve">The First and Second </w:t>
      </w:r>
      <w:r w:rsidR="00D83455">
        <w:t xml:space="preserve">Diamonds </w:t>
      </w:r>
      <w:r>
        <w:t>Amendment Acts came into operation on 1 July 2007.</w:t>
      </w:r>
      <w:r w:rsidR="00D109FC">
        <w:t xml:space="preserve">  </w:t>
      </w:r>
      <w:r w:rsidR="00D83455">
        <w:t>They</w:t>
      </w:r>
      <w:r>
        <w:t xml:space="preserve"> amended the Act in material respects, </w:t>
      </w:r>
      <w:r w:rsidR="00474A16">
        <w:t xml:space="preserve">including </w:t>
      </w:r>
      <w:r>
        <w:t>by providing for:</w:t>
      </w:r>
      <w:r w:rsidR="00827847">
        <w:t xml:space="preserve"> </w:t>
      </w:r>
      <w:r>
        <w:lastRenderedPageBreak/>
        <w:t>the establishment of the Regulator;</w:t>
      </w:r>
      <w:r w:rsidR="00FA6137">
        <w:rPr>
          <w:rStyle w:val="FootnoteReference"/>
        </w:rPr>
        <w:footnoteReference w:id="11"/>
      </w:r>
      <w:r w:rsidR="00827847">
        <w:t xml:space="preserve"> </w:t>
      </w:r>
      <w:r>
        <w:t>the est</w:t>
      </w:r>
      <w:r w:rsidR="00F67DEB">
        <w:t>ablishment of the State Diamond </w:t>
      </w:r>
      <w:r>
        <w:t>Trader;</w:t>
      </w:r>
      <w:r w:rsidR="00FA6137">
        <w:rPr>
          <w:rStyle w:val="FootnoteReference"/>
        </w:rPr>
        <w:footnoteReference w:id="12"/>
      </w:r>
      <w:r w:rsidR="00827847">
        <w:t xml:space="preserve"> </w:t>
      </w:r>
      <w:r>
        <w:t>the restructuring of the licensing regime;</w:t>
      </w:r>
      <w:r w:rsidR="00FA6137">
        <w:rPr>
          <w:rStyle w:val="FootnoteReference"/>
        </w:rPr>
        <w:footnoteReference w:id="13"/>
      </w:r>
      <w:r>
        <w:t xml:space="preserve"> and</w:t>
      </w:r>
      <w:r w:rsidR="00827847">
        <w:t xml:space="preserve"> </w:t>
      </w:r>
      <w:r>
        <w:t xml:space="preserve">the establishment of diamond exchange and export centres </w:t>
      </w:r>
      <w:r w:rsidR="00536592">
        <w:t>(DEECs)</w:t>
      </w:r>
      <w:r w:rsidRPr="00500F10">
        <w:t>.</w:t>
      </w:r>
      <w:r w:rsidR="004B7416">
        <w:rPr>
          <w:rStyle w:val="FootnoteReference"/>
        </w:rPr>
        <w:footnoteReference w:id="14"/>
      </w:r>
    </w:p>
    <w:p w14:paraId="5E036B5E" w14:textId="77777777" w:rsidR="0089081A" w:rsidRPr="0009607D" w:rsidRDefault="0089081A" w:rsidP="0089081A">
      <w:pPr>
        <w:pStyle w:val="JUDGMENTCONTINUED"/>
      </w:pPr>
    </w:p>
    <w:p w14:paraId="443ADCB3" w14:textId="368CF0F3" w:rsidR="0089081A" w:rsidRPr="0009607D" w:rsidRDefault="006B39EC" w:rsidP="00E52753">
      <w:pPr>
        <w:pStyle w:val="JUDGMENTNUMBERED"/>
        <w:widowControl w:val="0"/>
        <w:numPr>
          <w:ilvl w:val="0"/>
          <w:numId w:val="2"/>
        </w:numPr>
        <w:autoSpaceDE w:val="0"/>
        <w:autoSpaceDN w:val="0"/>
        <w:ind w:left="0" w:firstLine="0"/>
      </w:pPr>
      <w:r>
        <w:t>T</w:t>
      </w:r>
      <w:r w:rsidR="0089081A">
        <w:t>he Amendment Acts inserted section</w:t>
      </w:r>
      <w:r w:rsidR="00F470BB">
        <w:t> </w:t>
      </w:r>
      <w:r w:rsidR="0089081A">
        <w:t>20A – the impugned provision – into</w:t>
      </w:r>
      <w:r w:rsidR="0089081A" w:rsidRPr="0009607D">
        <w:t xml:space="preserve"> the Act</w:t>
      </w:r>
      <w:r w:rsidR="0089081A">
        <w:t>.  This section</w:t>
      </w:r>
      <w:r w:rsidR="0089081A" w:rsidRPr="0009607D">
        <w:t xml:space="preserve"> provides:</w:t>
      </w:r>
    </w:p>
    <w:p w14:paraId="213199EB" w14:textId="77777777" w:rsidR="0089081A" w:rsidRPr="0009607D" w:rsidRDefault="0089081A" w:rsidP="0089081A">
      <w:pPr>
        <w:pStyle w:val="QUOTATION"/>
      </w:pPr>
    </w:p>
    <w:p w14:paraId="06EA8C83" w14:textId="77777777" w:rsidR="0089081A" w:rsidRPr="00FE1CB7" w:rsidRDefault="006B32FF" w:rsidP="00C07169">
      <w:pPr>
        <w:pStyle w:val="QUOTATION"/>
        <w:spacing w:after="120"/>
        <w:ind w:left="1440" w:hanging="720"/>
      </w:pPr>
      <w:r>
        <w:t>“</w:t>
      </w:r>
      <w:r w:rsidR="0089081A" w:rsidRPr="0009607D">
        <w:t xml:space="preserve">(1) </w:t>
      </w:r>
      <w:r w:rsidR="00C3562B">
        <w:tab/>
      </w:r>
      <w:r w:rsidR="0089081A" w:rsidRPr="0009607D">
        <w:t>No licensee may be assisted by a non-licensee or holder of a permit referred to in section 26(e) during the viewing, purchasing or selling of unpolished diamonds at any place where unpolished diamonds are offered for sale in terms of this Act, except at a diamond exchange and export centre.</w:t>
      </w:r>
    </w:p>
    <w:p w14:paraId="6F1D43A5" w14:textId="77777777" w:rsidR="0089081A" w:rsidRPr="0009607D" w:rsidRDefault="0089081A" w:rsidP="00F1047F">
      <w:pPr>
        <w:pStyle w:val="QUOTATION"/>
        <w:spacing w:after="240"/>
        <w:ind w:left="1440" w:hanging="720"/>
      </w:pPr>
      <w:r w:rsidRPr="0009607D">
        <w:t xml:space="preserve">(2) </w:t>
      </w:r>
      <w:r w:rsidR="00C3562B">
        <w:tab/>
      </w:r>
      <w:r w:rsidRPr="0009607D">
        <w:t>No holder of a diamond trading house licence referred to in section 26(f) or any person authorized in terms of this Act to sell unpolished diamonds may allow the assistance prohibited in subsection (1).</w:t>
      </w:r>
      <w:r w:rsidR="006B32FF">
        <w:t>”</w:t>
      </w:r>
    </w:p>
    <w:p w14:paraId="50B90AC6" w14:textId="77777777" w:rsidR="0089081A" w:rsidRPr="0009607D" w:rsidRDefault="0089081A" w:rsidP="0089081A">
      <w:pPr>
        <w:pStyle w:val="JUDGMENTCONTINUED"/>
      </w:pPr>
    </w:p>
    <w:p w14:paraId="65DF3541" w14:textId="77777777" w:rsidR="0089081A" w:rsidRPr="0009607D" w:rsidRDefault="0089081A" w:rsidP="00E52753">
      <w:pPr>
        <w:pStyle w:val="JUDGMENTNUMBERED"/>
        <w:widowControl w:val="0"/>
        <w:numPr>
          <w:ilvl w:val="0"/>
          <w:numId w:val="2"/>
        </w:numPr>
        <w:autoSpaceDE w:val="0"/>
        <w:autoSpaceDN w:val="0"/>
        <w:ind w:left="0" w:firstLine="0"/>
      </w:pPr>
      <w:r>
        <w:t xml:space="preserve">Aggrieved by certain of the amendments, SADPO approached the </w:t>
      </w:r>
      <w:r w:rsidRPr="0009607D">
        <w:t>High Court t</w:t>
      </w:r>
      <w:r w:rsidR="00783FCC">
        <w:t xml:space="preserve">o </w:t>
      </w:r>
      <w:r w:rsidRPr="0009607D">
        <w:t>have various provisions of the Act, as amended, set aside.</w:t>
      </w:r>
    </w:p>
    <w:p w14:paraId="3F0AEAF6" w14:textId="77777777" w:rsidR="0089081A" w:rsidRPr="0009607D" w:rsidRDefault="0089081A" w:rsidP="0089081A">
      <w:pPr>
        <w:pStyle w:val="JUDGMENTNUMBERED"/>
        <w:numPr>
          <w:ilvl w:val="0"/>
          <w:numId w:val="0"/>
        </w:numPr>
      </w:pPr>
    </w:p>
    <w:p w14:paraId="20E4ABDF" w14:textId="77777777" w:rsidR="0089081A" w:rsidRPr="0009607D" w:rsidRDefault="0089081A" w:rsidP="0089081A">
      <w:pPr>
        <w:pStyle w:val="HEADING"/>
      </w:pPr>
      <w:r w:rsidRPr="0009607D">
        <w:t>In the High Court</w:t>
      </w:r>
    </w:p>
    <w:p w14:paraId="7FA24EF1" w14:textId="58046F52" w:rsidR="0089081A" w:rsidRDefault="0089081A" w:rsidP="00E52753">
      <w:pPr>
        <w:pStyle w:val="JUDGMENTNUMBERED"/>
        <w:widowControl w:val="0"/>
        <w:numPr>
          <w:ilvl w:val="0"/>
          <w:numId w:val="2"/>
        </w:numPr>
        <w:autoSpaceDE w:val="0"/>
        <w:autoSpaceDN w:val="0"/>
        <w:ind w:left="0" w:firstLine="0"/>
      </w:pPr>
      <w:r w:rsidRPr="0009607D">
        <w:t>Initially</w:t>
      </w:r>
      <w:r>
        <w:t>, SADPO raised</w:t>
      </w:r>
      <w:r w:rsidRPr="0009607D">
        <w:t xml:space="preserve"> </w:t>
      </w:r>
      <w:r>
        <w:t>various</w:t>
      </w:r>
      <w:r w:rsidRPr="0009607D">
        <w:t xml:space="preserve"> constitutional issues relating to a number of amendments to the Act.</w:t>
      </w:r>
      <w:r>
        <w:rPr>
          <w:rStyle w:val="FootnoteReference"/>
        </w:rPr>
        <w:footnoteReference w:id="15"/>
      </w:r>
      <w:r w:rsidRPr="0009607D">
        <w:t xml:space="preserve">  These were </w:t>
      </w:r>
      <w:r>
        <w:t xml:space="preserve">ultimately </w:t>
      </w:r>
      <w:r w:rsidRPr="0009607D">
        <w:t xml:space="preserve">narrowed down to </w:t>
      </w:r>
      <w:r w:rsidR="000E5939">
        <w:t xml:space="preserve">relate </w:t>
      </w:r>
      <w:r w:rsidRPr="0009607D">
        <w:t>only</w:t>
      </w:r>
      <w:r w:rsidR="000E5939">
        <w:t xml:space="preserve"> to</w:t>
      </w:r>
      <w:r w:rsidRPr="0009607D">
        <w:t xml:space="preserve"> section</w:t>
      </w:r>
      <w:r w:rsidR="00F470BB">
        <w:t> </w:t>
      </w:r>
      <w:r w:rsidRPr="0009607D">
        <w:t>20A of the Act.</w:t>
      </w:r>
      <w:r w:rsidR="00E52753">
        <w:rPr>
          <w:rStyle w:val="FootnoteReference"/>
        </w:rPr>
        <w:footnoteReference w:id="16"/>
      </w:r>
    </w:p>
    <w:p w14:paraId="10BB77F4" w14:textId="77777777" w:rsidR="00E52753" w:rsidRDefault="00E52753" w:rsidP="00E52753">
      <w:pPr>
        <w:pStyle w:val="JUDGMENTCONTINUED"/>
      </w:pPr>
    </w:p>
    <w:p w14:paraId="02F57D9F" w14:textId="4C514DF4" w:rsidR="00E52753" w:rsidRDefault="00E52753" w:rsidP="00D0762D">
      <w:pPr>
        <w:pStyle w:val="JUDGMENTNUMBERED"/>
        <w:widowControl w:val="0"/>
        <w:numPr>
          <w:ilvl w:val="0"/>
          <w:numId w:val="2"/>
        </w:numPr>
        <w:autoSpaceDE w:val="0"/>
        <w:autoSpaceDN w:val="0"/>
        <w:ind w:left="0" w:firstLine="0"/>
      </w:pPr>
      <w:r>
        <w:lastRenderedPageBreak/>
        <w:t>SADPO argued that section</w:t>
      </w:r>
      <w:r w:rsidR="00F470BB">
        <w:t> </w:t>
      </w:r>
      <w:r>
        <w:t xml:space="preserve">20A offends against sections 22 </w:t>
      </w:r>
      <w:r w:rsidR="00D0762D">
        <w:t xml:space="preserve">and 25 </w:t>
      </w:r>
      <w:r>
        <w:t>of the Constitution.</w:t>
      </w:r>
      <w:r w:rsidR="00A64977">
        <w:rPr>
          <w:rStyle w:val="FootnoteReference"/>
        </w:rPr>
        <w:footnoteReference w:id="17"/>
      </w:r>
      <w:r w:rsidR="00D0762D">
        <w:t xml:space="preserve">  On the section</w:t>
      </w:r>
      <w:r w:rsidR="00F470BB">
        <w:t> </w:t>
      </w:r>
      <w:r w:rsidR="00D0762D">
        <w:t>25 challenge, SADPO argued that the prohibition on unlicensed assistance in section 20A deprived SADPO’s members of their property – the right to receive full market value for the unpolished diamonds they owned – without sufficient reason.</w:t>
      </w:r>
      <w:r w:rsidR="00A64977">
        <w:rPr>
          <w:rStyle w:val="FootnoteReference"/>
        </w:rPr>
        <w:footnoteReference w:id="18"/>
      </w:r>
      <w:r w:rsidR="00D0762D">
        <w:t xml:space="preserve">  On the section</w:t>
      </w:r>
      <w:r w:rsidR="00F470BB">
        <w:t> </w:t>
      </w:r>
      <w:r w:rsidR="00D0762D">
        <w:t>22 challenge, SADPO argued that section</w:t>
      </w:r>
      <w:r w:rsidR="006E7E10">
        <w:t> </w:t>
      </w:r>
      <w:r w:rsidR="00D0762D">
        <w:t>20A is arbitrary and deprives members of their right to conduct their business in the manner they deem fit.</w:t>
      </w:r>
      <w:r w:rsidR="00A64977">
        <w:rPr>
          <w:rStyle w:val="FootnoteReference"/>
        </w:rPr>
        <w:footnoteReference w:id="19"/>
      </w:r>
      <w:r w:rsidR="00D0762D">
        <w:t xml:space="preserve">  Further, SADPO argued that there is </w:t>
      </w:r>
      <w:r w:rsidR="004125F5">
        <w:t>in</w:t>
      </w:r>
      <w:r w:rsidR="00D0762D">
        <w:t>sufficient reason for section</w:t>
      </w:r>
      <w:r w:rsidR="00F470BB">
        <w:t> </w:t>
      </w:r>
      <w:r w:rsidR="00D0762D">
        <w:t>20A; there is no rational connection between section</w:t>
      </w:r>
      <w:r w:rsidR="00F470BB">
        <w:t> </w:t>
      </w:r>
      <w:r w:rsidR="00D0762D">
        <w:t>20A and a legitimate government purpose; and section</w:t>
      </w:r>
      <w:r w:rsidR="00F470BB">
        <w:t> </w:t>
      </w:r>
      <w:r w:rsidR="00D0762D">
        <w:t>20A goes much further than necessary to achieve the legislative purpose.</w:t>
      </w:r>
      <w:r w:rsidR="00A64977">
        <w:rPr>
          <w:rStyle w:val="FootnoteReference"/>
        </w:rPr>
        <w:footnoteReference w:id="20"/>
      </w:r>
    </w:p>
    <w:p w14:paraId="1EE0F629" w14:textId="77777777" w:rsidR="00D0762D" w:rsidRDefault="00D0762D" w:rsidP="00D0762D">
      <w:pPr>
        <w:pStyle w:val="JUDGMENTCONTINUED"/>
      </w:pPr>
    </w:p>
    <w:p w14:paraId="37503B9E" w14:textId="51058ECA" w:rsidR="00D0762D" w:rsidRDefault="00D0762D" w:rsidP="00D0762D">
      <w:pPr>
        <w:pStyle w:val="JUDGMENTNUMBERED"/>
        <w:widowControl w:val="0"/>
        <w:numPr>
          <w:ilvl w:val="0"/>
          <w:numId w:val="2"/>
        </w:numPr>
        <w:autoSpaceDE w:val="0"/>
        <w:autoSpaceDN w:val="0"/>
        <w:ind w:left="0" w:firstLine="0"/>
      </w:pPr>
      <w:r>
        <w:t xml:space="preserve">The respondents argued that the High Court was bound by the decision of the Supreme Court of Appeal in </w:t>
      </w:r>
      <w:proofErr w:type="spellStart"/>
      <w:r w:rsidR="00E54724">
        <w:rPr>
          <w:i/>
        </w:rPr>
        <w:t>Saidex</w:t>
      </w:r>
      <w:proofErr w:type="spellEnd"/>
      <w:r w:rsidRPr="006843B3">
        <w:rPr>
          <w:rStyle w:val="FootnoteReference"/>
        </w:rPr>
        <w:footnoteReference w:id="21"/>
      </w:r>
      <w:r w:rsidRPr="00987A6B">
        <w:rPr>
          <w:i/>
        </w:rPr>
        <w:t xml:space="preserve"> </w:t>
      </w:r>
      <w:r w:rsidRPr="00987A6B">
        <w:t xml:space="preserve">to find </w:t>
      </w:r>
      <w:r>
        <w:t>th</w:t>
      </w:r>
      <w:r w:rsidR="00BE1651">
        <w:t>at the tender house practice had</w:t>
      </w:r>
      <w:r>
        <w:t xml:space="preserve"> always</w:t>
      </w:r>
      <w:r w:rsidR="00BE1651">
        <w:t xml:space="preserve"> been</w:t>
      </w:r>
      <w:r>
        <w:t xml:space="preserve"> unlawful.  If this practice was unlawful pre-amendment, SADPO’s members could have accrued no legally protectable rights through the tender house practice.  The respondents further argued tha</w:t>
      </w:r>
      <w:r w:rsidR="00594A8F">
        <w:t>t no property</w:t>
      </w:r>
      <w:r>
        <w:t xml:space="preserve"> was deprived through the alleged loss of income, and that in any event there was no arbitrariness.</w:t>
      </w:r>
      <w:r w:rsidR="003F40D1">
        <w:rPr>
          <w:rStyle w:val="FootnoteReference"/>
        </w:rPr>
        <w:footnoteReference w:id="22"/>
      </w:r>
      <w:r>
        <w:t xml:space="preserve">  Further, </w:t>
      </w:r>
      <w:bookmarkStart w:id="1" w:name="_Ref481737334"/>
      <w:r w:rsidR="00E54724">
        <w:t>section </w:t>
      </w:r>
      <w:r>
        <w:t xml:space="preserve">20A does not limit the freedom of choosing a trade or occupation </w:t>
      </w:r>
      <w:bookmarkEnd w:id="1"/>
      <w:r>
        <w:t>and in any event is not arbitrary.</w:t>
      </w:r>
      <w:r w:rsidR="003F40D1">
        <w:rPr>
          <w:rStyle w:val="FootnoteReference"/>
        </w:rPr>
        <w:footnoteReference w:id="23"/>
      </w:r>
      <w:r>
        <w:t xml:space="preserve">  According to the respondents, the rationale for section</w:t>
      </w:r>
      <w:r w:rsidR="00F470BB">
        <w:t> </w:t>
      </w:r>
      <w:r>
        <w:t>20A was three</w:t>
      </w:r>
      <w:r w:rsidR="00C3562B">
        <w:noBreakHyphen/>
      </w:r>
      <w:r>
        <w:t>fold: first, to promote local beneficiation of South African diamonds; second, to tighten the regulation of unpolished diamonds and eliminate illegal practices that were taking place in the diamond trade; and third, to ensure compliance with the Kimberl</w:t>
      </w:r>
      <w:r w:rsidR="00A310F6">
        <w:t>e</w:t>
      </w:r>
      <w:r>
        <w:t xml:space="preserve">y </w:t>
      </w:r>
      <w:r>
        <w:lastRenderedPageBreak/>
        <w:t>Process Certification Scheme.</w:t>
      </w:r>
      <w:r>
        <w:rPr>
          <w:rStyle w:val="FootnoteReference"/>
        </w:rPr>
        <w:footnoteReference w:id="24"/>
      </w:r>
    </w:p>
    <w:p w14:paraId="1C0BFA23" w14:textId="77777777" w:rsidR="00D0762D" w:rsidRPr="00D0762D" w:rsidRDefault="00D0762D" w:rsidP="00D0762D">
      <w:pPr>
        <w:pStyle w:val="JUDGMENTCONTINUED"/>
      </w:pPr>
    </w:p>
    <w:p w14:paraId="1287CD1C" w14:textId="3CB173C2" w:rsidR="00DE18CF" w:rsidRDefault="000A516F" w:rsidP="006B39EC">
      <w:pPr>
        <w:pStyle w:val="JUDGMENTNUMBERED"/>
        <w:widowControl w:val="0"/>
        <w:numPr>
          <w:ilvl w:val="0"/>
          <w:numId w:val="2"/>
        </w:numPr>
        <w:autoSpaceDE w:val="0"/>
        <w:autoSpaceDN w:val="0"/>
        <w:ind w:left="0" w:firstLine="0"/>
      </w:pPr>
      <w:r>
        <w:t xml:space="preserve">The High Court held that it was not bound by the decision in </w:t>
      </w:r>
      <w:proofErr w:type="spellStart"/>
      <w:r w:rsidRPr="00827847">
        <w:rPr>
          <w:i/>
        </w:rPr>
        <w:t>Saidex</w:t>
      </w:r>
      <w:proofErr w:type="spellEnd"/>
      <w:r>
        <w:t xml:space="preserve"> and that </w:t>
      </w:r>
      <w:r w:rsidRPr="00827847">
        <w:t>the</w:t>
      </w:r>
      <w:r>
        <w:t xml:space="preserve"> business of tender houses was not unlawful pre-amendment.</w:t>
      </w:r>
      <w:r>
        <w:rPr>
          <w:rStyle w:val="FootnoteReference"/>
        </w:rPr>
        <w:footnoteReference w:id="25"/>
      </w:r>
      <w:r w:rsidR="006B39EC">
        <w:t xml:space="preserve">  </w:t>
      </w:r>
      <w:r>
        <w:t xml:space="preserve">The Court </w:t>
      </w:r>
      <w:r w:rsidR="0031464F">
        <w:t>went on to consider the mischief section</w:t>
      </w:r>
      <w:r w:rsidR="00F470BB">
        <w:t> </w:t>
      </w:r>
      <w:r w:rsidR="0031464F">
        <w:t xml:space="preserve">20A was intended to address.  It </w:t>
      </w:r>
      <w:r>
        <w:t>held that the first object – the promotion of the local beneficiation of unpolished diamonds – is sufficiently addressed in sections</w:t>
      </w:r>
      <w:r w:rsidR="00F470BB">
        <w:t> </w:t>
      </w:r>
      <w:r>
        <w:t>59,</w:t>
      </w:r>
      <w:r w:rsidR="00F470BB">
        <w:t> </w:t>
      </w:r>
      <w:r>
        <w:t>59A</w:t>
      </w:r>
      <w:r w:rsidR="00F470BB">
        <w:t> </w:t>
      </w:r>
      <w:r>
        <w:t>and</w:t>
      </w:r>
      <w:r w:rsidR="00F470BB">
        <w:t> </w:t>
      </w:r>
      <w:r>
        <w:t>59B of the Act, which provide for the State Diamond Trader.</w:t>
      </w:r>
      <w:r w:rsidR="00A64977">
        <w:rPr>
          <w:rStyle w:val="FootnoteReference"/>
        </w:rPr>
        <w:footnoteReference w:id="26"/>
      </w:r>
      <w:r>
        <w:t xml:space="preserve">  </w:t>
      </w:r>
      <w:r w:rsidR="008F0DA3">
        <w:t>T</w:t>
      </w:r>
      <w:r>
        <w:t>he Court held that</w:t>
      </w:r>
      <w:r w:rsidR="008F0DA3">
        <w:t xml:space="preserve"> the second object</w:t>
      </w:r>
      <w:r>
        <w:t xml:space="preserve"> was premised on the view that the tender houses were unlawful (hence necessitating amendment by section</w:t>
      </w:r>
      <w:r w:rsidR="00F470BB">
        <w:t> </w:t>
      </w:r>
      <w:r>
        <w:t>20A).</w:t>
      </w:r>
      <w:r w:rsidR="003F40D1">
        <w:rPr>
          <w:rStyle w:val="FootnoteReference"/>
        </w:rPr>
        <w:footnoteReference w:id="27"/>
      </w:r>
      <w:r>
        <w:t xml:space="preserve">  However, the High Court found that tender houses were lawful</w:t>
      </w:r>
      <w:r w:rsidR="008B4BBB">
        <w:t xml:space="preserve"> pre-amendment</w:t>
      </w:r>
      <w:r>
        <w:t xml:space="preserve">, rendering this aim nugatory.  </w:t>
      </w:r>
      <w:r w:rsidR="00DE18CF">
        <w:t xml:space="preserve">The </w:t>
      </w:r>
      <w:r>
        <w:t xml:space="preserve">High </w:t>
      </w:r>
      <w:r w:rsidR="00DE18CF">
        <w:t>Court also appears to have accepted the argument that the monitoring of the movement of unpolished diamonds from South</w:t>
      </w:r>
      <w:r w:rsidR="00C3562B">
        <w:t> </w:t>
      </w:r>
      <w:r w:rsidR="00DE18CF">
        <w:t>Africa is adequately dealt with in numerous sections of the amended Act, and that section</w:t>
      </w:r>
      <w:r w:rsidR="00F470BB">
        <w:t> </w:t>
      </w:r>
      <w:r w:rsidR="00DE18CF">
        <w:t>20A is unnecessary for this object.</w:t>
      </w:r>
      <w:r w:rsidR="00DE18CF">
        <w:rPr>
          <w:rStyle w:val="FootnoteReference"/>
        </w:rPr>
        <w:footnoteReference w:id="28"/>
      </w:r>
    </w:p>
    <w:p w14:paraId="7ED46E14" w14:textId="77777777" w:rsidR="000A516F" w:rsidRDefault="000A516F" w:rsidP="000A516F">
      <w:pPr>
        <w:pStyle w:val="JUDGMENTCONTINUED"/>
      </w:pPr>
    </w:p>
    <w:p w14:paraId="368FFD56" w14:textId="51F838AB" w:rsidR="0089081A" w:rsidRDefault="0089081A" w:rsidP="004B7416">
      <w:pPr>
        <w:pStyle w:val="JUDGMENTNUMBERED"/>
        <w:widowControl w:val="0"/>
        <w:numPr>
          <w:ilvl w:val="0"/>
          <w:numId w:val="2"/>
        </w:numPr>
        <w:autoSpaceDE w:val="0"/>
        <w:autoSpaceDN w:val="0"/>
        <w:ind w:left="0" w:firstLine="0"/>
      </w:pPr>
      <w:r>
        <w:t xml:space="preserve">The </w:t>
      </w:r>
      <w:r w:rsidR="000A516F">
        <w:t xml:space="preserve">High </w:t>
      </w:r>
      <w:r>
        <w:t xml:space="preserve">Court </w:t>
      </w:r>
      <w:r w:rsidR="0063506E">
        <w:t xml:space="preserve">held </w:t>
      </w:r>
      <w:r>
        <w:t>that section</w:t>
      </w:r>
      <w:r w:rsidR="00F470BB">
        <w:t> </w:t>
      </w:r>
      <w:r>
        <w:t xml:space="preserve">22 of the Constitution “warrants the freedom of choosing </w:t>
      </w:r>
      <w:r w:rsidR="00EE0360">
        <w:t xml:space="preserve">of </w:t>
      </w:r>
      <w:r>
        <w:t>a trade, occupation or profession and thereby obtaining the maximum benefit and advantage accruing therefrom within the four corners of the law”.</w:t>
      </w:r>
      <w:r>
        <w:rPr>
          <w:rStyle w:val="FootnoteReference"/>
        </w:rPr>
        <w:footnoteReference w:id="29"/>
      </w:r>
      <w:r>
        <w:t xml:space="preserve">  As a result, it held that prohibiting assistance </w:t>
      </w:r>
      <w:r w:rsidR="004B7416">
        <w:t>other than at DEECs</w:t>
      </w:r>
      <w:r>
        <w:t xml:space="preserve"> constitutes a</w:t>
      </w:r>
      <w:r w:rsidR="004125F5">
        <w:t xml:space="preserve"> limitation</w:t>
      </w:r>
      <w:r>
        <w:t xml:space="preserve"> </w:t>
      </w:r>
      <w:r w:rsidR="00CE7F96">
        <w:t xml:space="preserve">of </w:t>
      </w:r>
      <w:r w:rsidR="00057212">
        <w:t xml:space="preserve">the </w:t>
      </w:r>
      <w:r w:rsidR="00CE7F96">
        <w:t>rights entrenched in section</w:t>
      </w:r>
      <w:r w:rsidR="00F470BB">
        <w:t> </w:t>
      </w:r>
      <w:r>
        <w:t>22.</w:t>
      </w:r>
      <w:r w:rsidR="00111128">
        <w:rPr>
          <w:rStyle w:val="FootnoteReference"/>
        </w:rPr>
        <w:footnoteReference w:id="30"/>
      </w:r>
      <w:r>
        <w:t xml:space="preserve">  </w:t>
      </w:r>
      <w:r w:rsidR="0031464F">
        <w:t>The Court also accepted that there was a deprivation of property, which it held was “irrational, arbitrary and disproportional”</w:t>
      </w:r>
      <w:r w:rsidR="003F40D1">
        <w:t>.</w:t>
      </w:r>
      <w:r w:rsidR="003F40D1">
        <w:rPr>
          <w:rStyle w:val="FootnoteReference"/>
        </w:rPr>
        <w:footnoteReference w:id="31"/>
      </w:r>
      <w:r w:rsidR="004B7416">
        <w:t xml:space="preserve">  </w:t>
      </w:r>
      <w:r w:rsidR="00FE67A3">
        <w:t xml:space="preserve">It held </w:t>
      </w:r>
      <w:r>
        <w:t xml:space="preserve">that the respondents had failed to discharge their onus to prove the limitations </w:t>
      </w:r>
      <w:r>
        <w:lastRenderedPageBreak/>
        <w:t>justified in terms of s</w:t>
      </w:r>
      <w:r w:rsidR="003F40D1">
        <w:t>ection</w:t>
      </w:r>
      <w:r w:rsidR="00F470BB">
        <w:t> </w:t>
      </w:r>
      <w:r w:rsidR="003F40D1">
        <w:t>36 of the Constitution.</w:t>
      </w:r>
      <w:r w:rsidR="003F40D1">
        <w:rPr>
          <w:rStyle w:val="FootnoteReference"/>
        </w:rPr>
        <w:footnoteReference w:id="32"/>
      </w:r>
    </w:p>
    <w:p w14:paraId="4CF6A0B0" w14:textId="77777777" w:rsidR="0089081A" w:rsidRPr="00E92C05" w:rsidRDefault="0089081A" w:rsidP="0089081A">
      <w:pPr>
        <w:pStyle w:val="JUDGMENTCONTINUED"/>
      </w:pPr>
    </w:p>
    <w:p w14:paraId="2C7F4E9D" w14:textId="2CE0B07B" w:rsidR="0089081A" w:rsidRDefault="0089081A" w:rsidP="00E52753">
      <w:pPr>
        <w:pStyle w:val="JUDGMENTNUMBERED"/>
        <w:widowControl w:val="0"/>
        <w:numPr>
          <w:ilvl w:val="0"/>
          <w:numId w:val="2"/>
        </w:numPr>
        <w:autoSpaceDE w:val="0"/>
        <w:autoSpaceDN w:val="0"/>
        <w:ind w:left="0" w:firstLine="0"/>
      </w:pPr>
      <w:r>
        <w:t>The High Court declared section</w:t>
      </w:r>
      <w:r w:rsidR="00F470BB">
        <w:t> </w:t>
      </w:r>
      <w:r>
        <w:t>20A of the Act to be unconstitutional insofar as it infringes on the rights embodied in section</w:t>
      </w:r>
      <w:r w:rsidR="00F470BB">
        <w:t> </w:t>
      </w:r>
      <w:r>
        <w:t>22 and also declared the arbitrary deprivation in terms of section</w:t>
      </w:r>
      <w:r w:rsidR="00F470BB">
        <w:t> </w:t>
      </w:r>
      <w:r>
        <w:t>25(1) of the Constitution of the rights accrued by persons who perform the functions of tender houses to be unconstitutional.</w:t>
      </w:r>
      <w:r w:rsidR="00111128">
        <w:rPr>
          <w:rStyle w:val="FootnoteReference"/>
        </w:rPr>
        <w:footnoteReference w:id="33"/>
      </w:r>
      <w:r>
        <w:t xml:space="preserve">  The Court also ordered that, pending confirmation of the declaration of invalidity, </w:t>
      </w:r>
      <w:r w:rsidR="008B4BBB">
        <w:t xml:space="preserve">the respondents be interdicted </w:t>
      </w:r>
      <w:r>
        <w:t xml:space="preserve">from implementing section 20A, and ordered </w:t>
      </w:r>
      <w:r w:rsidR="00165DE4">
        <w:t xml:space="preserve">the six respondents to pay </w:t>
      </w:r>
      <w:r>
        <w:t>the costs of the application</w:t>
      </w:r>
      <w:r w:rsidR="00165DE4">
        <w:t>.</w:t>
      </w:r>
      <w:r w:rsidR="00EE0360">
        <w:rPr>
          <w:rStyle w:val="FootnoteReference"/>
        </w:rPr>
        <w:footnoteReference w:id="34"/>
      </w:r>
    </w:p>
    <w:p w14:paraId="2AF7AC3C" w14:textId="77777777" w:rsidR="00AC2A5A" w:rsidRPr="00AC2A5A" w:rsidRDefault="00AC2A5A" w:rsidP="00AC2A5A">
      <w:pPr>
        <w:pStyle w:val="JUDGMENTCONTINUED"/>
      </w:pPr>
    </w:p>
    <w:p w14:paraId="7A975368" w14:textId="77777777" w:rsidR="0089081A" w:rsidRDefault="0089081A" w:rsidP="0089081A">
      <w:pPr>
        <w:pStyle w:val="HEADING"/>
      </w:pPr>
      <w:r w:rsidRPr="0009607D">
        <w:t>In this Court</w:t>
      </w:r>
    </w:p>
    <w:p w14:paraId="1A67C647" w14:textId="66F709D0" w:rsidR="0089081A" w:rsidRDefault="0089081A" w:rsidP="00E52753">
      <w:pPr>
        <w:pStyle w:val="JUDGMENTNUMBERED"/>
        <w:widowControl w:val="0"/>
        <w:numPr>
          <w:ilvl w:val="0"/>
          <w:numId w:val="2"/>
        </w:numPr>
        <w:autoSpaceDE w:val="0"/>
        <w:autoSpaceDN w:val="0"/>
        <w:ind w:left="0" w:firstLine="0"/>
      </w:pPr>
      <w:r>
        <w:t>The matter was then referred to this Court in accordance with section</w:t>
      </w:r>
      <w:r w:rsidR="00F470BB">
        <w:t> </w:t>
      </w:r>
      <w:r>
        <w:t>172(2</w:t>
      </w:r>
      <w:proofErr w:type="gramStart"/>
      <w:r>
        <w:t>)</w:t>
      </w:r>
      <w:r w:rsidR="008B4BBB">
        <w:t>(</w:t>
      </w:r>
      <w:proofErr w:type="gramEnd"/>
      <w:r w:rsidR="008B4BBB">
        <w:t>a)</w:t>
      </w:r>
      <w:r>
        <w:t xml:space="preserve"> of the Constitution for the confirmation of the order of constitutional invalidity.  </w:t>
      </w:r>
      <w:r w:rsidR="00BE1651">
        <w:t>As explained above, the respondents appeal against the entire judgment and order of the High Court.</w:t>
      </w:r>
    </w:p>
    <w:p w14:paraId="1A2E5143" w14:textId="77777777" w:rsidR="00AC2A5A" w:rsidRPr="00AC2A5A" w:rsidRDefault="00AC2A5A" w:rsidP="00AC2A5A">
      <w:pPr>
        <w:pStyle w:val="JUDGMENTCONTINUED"/>
      </w:pPr>
    </w:p>
    <w:p w14:paraId="7DF0250B" w14:textId="77777777" w:rsidR="0089081A" w:rsidRDefault="0089081A" w:rsidP="0089081A">
      <w:pPr>
        <w:pStyle w:val="HEADING"/>
        <w:ind w:firstLine="720"/>
      </w:pPr>
      <w:r w:rsidRPr="0009607D">
        <w:t>Applicant’s submissions</w:t>
      </w:r>
    </w:p>
    <w:p w14:paraId="00CA0F8F" w14:textId="5D272D38" w:rsidR="009C54CE" w:rsidRDefault="009C54CE" w:rsidP="009557B9">
      <w:pPr>
        <w:pStyle w:val="JUDGMENTNUMBERED"/>
        <w:widowControl w:val="0"/>
        <w:numPr>
          <w:ilvl w:val="0"/>
          <w:numId w:val="2"/>
        </w:numPr>
        <w:autoSpaceDE w:val="0"/>
        <w:autoSpaceDN w:val="0"/>
        <w:ind w:left="0" w:firstLine="0"/>
      </w:pPr>
      <w:r>
        <w:t>First, SADPO argues that section</w:t>
      </w:r>
      <w:r w:rsidR="00F470BB">
        <w:t> </w:t>
      </w:r>
      <w:r>
        <w:t xml:space="preserve">20A </w:t>
      </w:r>
      <w:r w:rsidR="00D755D8">
        <w:t xml:space="preserve">allows for the arbitrary deprivation of </w:t>
      </w:r>
      <w:r w:rsidR="0092523E">
        <w:t>“</w:t>
      </w:r>
      <w:r w:rsidR="00D755D8">
        <w:t>the rights</w:t>
      </w:r>
      <w:r w:rsidR="0092523E">
        <w:t>”</w:t>
      </w:r>
      <w:r w:rsidR="00D755D8">
        <w:t xml:space="preserve"> of those</w:t>
      </w:r>
      <w:r>
        <w:t xml:space="preserve"> </w:t>
      </w:r>
      <w:r w:rsidR="00D755D8">
        <w:t xml:space="preserve">SADPO members who are </w:t>
      </w:r>
      <w:r>
        <w:t>producers</w:t>
      </w:r>
      <w:r w:rsidR="00D755D8">
        <w:t xml:space="preserve"> of diamonds</w:t>
      </w:r>
      <w:r>
        <w:t>,</w:t>
      </w:r>
      <w:r w:rsidR="00D755D8">
        <w:t xml:space="preserve"> who had conducted business as tender houses, and who were </w:t>
      </w:r>
      <w:r>
        <w:t>holders of diamond exchange certificates</w:t>
      </w:r>
      <w:r w:rsidR="00D755D8">
        <w:t>.  SADPO argues that p</w:t>
      </w:r>
      <w:r>
        <w:t xml:space="preserve">roducers </w:t>
      </w:r>
      <w:r w:rsidRPr="00C07169">
        <w:rPr>
          <w:iCs/>
          <w:szCs w:val="26"/>
          <w:lang w:val="en-ZA"/>
        </w:rPr>
        <w:t>have</w:t>
      </w:r>
      <w:r w:rsidRPr="00D6142C">
        <w:rPr>
          <w:szCs w:val="26"/>
        </w:rPr>
        <w:t xml:space="preserve"> </w:t>
      </w:r>
      <w:r>
        <w:t xml:space="preserve">been deprived of </w:t>
      </w:r>
      <w:r w:rsidRPr="00AE3DCA">
        <w:t>the right to realise the full market value of the diamonds they own as a result of the prohibition on unlicensed assistance.</w:t>
      </w:r>
      <w:r w:rsidR="008B4BBB">
        <w:rPr>
          <w:rStyle w:val="FootnoteReference"/>
        </w:rPr>
        <w:footnoteReference w:id="35"/>
      </w:r>
      <w:r w:rsidRPr="00AE3DCA">
        <w:t xml:space="preserve">  </w:t>
      </w:r>
      <w:r w:rsidR="00D755D8">
        <w:t xml:space="preserve">This right forms part of their </w:t>
      </w:r>
      <w:proofErr w:type="spellStart"/>
      <w:r w:rsidR="00D755D8" w:rsidRPr="00D755D8">
        <w:rPr>
          <w:i/>
        </w:rPr>
        <w:t>ius</w:t>
      </w:r>
      <w:proofErr w:type="spellEnd"/>
      <w:r w:rsidR="00D755D8" w:rsidRPr="00D755D8">
        <w:rPr>
          <w:i/>
        </w:rPr>
        <w:t xml:space="preserve"> </w:t>
      </w:r>
      <w:proofErr w:type="spellStart"/>
      <w:r w:rsidR="00D755D8" w:rsidRPr="00D755D8">
        <w:rPr>
          <w:i/>
        </w:rPr>
        <w:t>disponendi</w:t>
      </w:r>
      <w:proofErr w:type="spellEnd"/>
      <w:r w:rsidR="004B7416">
        <w:rPr>
          <w:i/>
        </w:rPr>
        <w:t xml:space="preserve"> </w:t>
      </w:r>
      <w:r w:rsidR="004B7416">
        <w:t>(right to alienate their property)</w:t>
      </w:r>
      <w:r w:rsidR="00D755D8">
        <w:t>.  Additionally, d</w:t>
      </w:r>
      <w:r w:rsidRPr="00AE3DCA">
        <w:t>ealers</w:t>
      </w:r>
      <w:r w:rsidR="008B4BBB">
        <w:t xml:space="preserve"> </w:t>
      </w:r>
      <w:r w:rsidRPr="00AE3DCA">
        <w:t xml:space="preserve">have been deprived of their right to receive </w:t>
      </w:r>
      <w:r w:rsidR="00072C88">
        <w:t xml:space="preserve">full </w:t>
      </w:r>
      <w:r w:rsidRPr="00AE3DCA">
        <w:t xml:space="preserve">market value for their diamonds when selling, as they can only market to local </w:t>
      </w:r>
      <w:r w:rsidRPr="00AE3DCA">
        <w:lastRenderedPageBreak/>
        <w:t>licensees.</w:t>
      </w:r>
      <w:r w:rsidR="008B4BBB">
        <w:rPr>
          <w:rStyle w:val="FootnoteReference"/>
        </w:rPr>
        <w:footnoteReference w:id="36"/>
      </w:r>
      <w:r w:rsidR="00957364">
        <w:t xml:space="preserve">  Similarly, previous holders of diamond exchange certificates have been deprived of the right to sell to the export market.  </w:t>
      </w:r>
      <w:r>
        <w:t>The Amendment Acts abolished diamond exchanges; under the new regime, previous holders of diamond exchange certificates may apply for a trading house licence under section</w:t>
      </w:r>
      <w:r w:rsidR="00F470BB">
        <w:t> </w:t>
      </w:r>
      <w:r>
        <w:t>26(f).  SADPO argues that the trading house l</w:t>
      </w:r>
      <w:r w:rsidR="00957364">
        <w:t>icence affords far fewer rights than the diamond exchange certificate did, as</w:t>
      </w:r>
      <w:r w:rsidR="0092523E">
        <w:t xml:space="preserve"> </w:t>
      </w:r>
      <w:r>
        <w:t xml:space="preserve">a trading house can only market to a local licensee; no foreign assistance is allowed; and </w:t>
      </w:r>
      <w:r w:rsidR="00F65899">
        <w:t xml:space="preserve">trading house </w:t>
      </w:r>
      <w:r>
        <w:t>licensees may no longer export.</w:t>
      </w:r>
      <w:r w:rsidR="009557B9">
        <w:t xml:space="preserve">  </w:t>
      </w:r>
      <w:r w:rsidR="00957364">
        <w:t xml:space="preserve">Further, </w:t>
      </w:r>
      <w:r>
        <w:t xml:space="preserve">SADPO submits that the alleged deprivations are arbitrary as the law does not provide sufficient reason for the deprivation. </w:t>
      </w:r>
    </w:p>
    <w:p w14:paraId="62C39E77" w14:textId="77777777" w:rsidR="009C54CE" w:rsidRDefault="009C54CE" w:rsidP="009C54CE">
      <w:pPr>
        <w:pStyle w:val="JUDGMENTCONTINUED"/>
      </w:pPr>
    </w:p>
    <w:p w14:paraId="05A319F2" w14:textId="30E415FF" w:rsidR="009557B9" w:rsidRDefault="009C54CE" w:rsidP="00E52753">
      <w:pPr>
        <w:pStyle w:val="JUDGMENTNUMBERED"/>
        <w:widowControl w:val="0"/>
        <w:numPr>
          <w:ilvl w:val="0"/>
          <w:numId w:val="2"/>
        </w:numPr>
        <w:autoSpaceDE w:val="0"/>
        <w:autoSpaceDN w:val="0"/>
        <w:ind w:left="0" w:firstLine="0"/>
      </w:pPr>
      <w:r>
        <w:t xml:space="preserve">Second, SADPO submits </w:t>
      </w:r>
      <w:r w:rsidR="009557B9">
        <w:t>that section</w:t>
      </w:r>
      <w:r w:rsidR="00F470BB">
        <w:t> </w:t>
      </w:r>
      <w:r w:rsidR="009557B9">
        <w:t xml:space="preserve">20A infringes the rights of </w:t>
      </w:r>
      <w:r w:rsidR="00165DE4">
        <w:t>i</w:t>
      </w:r>
      <w:r w:rsidR="00F6163C">
        <w:t>ts</w:t>
      </w:r>
      <w:r w:rsidR="009557B9">
        <w:t xml:space="preserve"> members under section</w:t>
      </w:r>
      <w:r w:rsidR="00F470BB">
        <w:t> </w:t>
      </w:r>
      <w:r w:rsidR="009557B9">
        <w:t>22 of the Constitution in that it limits their right to choose and practise their trade freely, without sufficient reason or a rational basis having been shown by the respondents.</w:t>
      </w:r>
    </w:p>
    <w:p w14:paraId="5D270844" w14:textId="77777777" w:rsidR="009C54CE" w:rsidRDefault="009C54CE" w:rsidP="009C54CE">
      <w:pPr>
        <w:pStyle w:val="JUDGMENTCONTINUED"/>
      </w:pPr>
    </w:p>
    <w:p w14:paraId="3D75111D" w14:textId="77777777" w:rsidR="009C54CE" w:rsidRPr="00856DB0" w:rsidRDefault="009C54CE" w:rsidP="00E52753">
      <w:pPr>
        <w:pStyle w:val="JUDGMENTNUMBERED"/>
        <w:widowControl w:val="0"/>
        <w:numPr>
          <w:ilvl w:val="0"/>
          <w:numId w:val="2"/>
        </w:numPr>
        <w:autoSpaceDE w:val="0"/>
        <w:autoSpaceDN w:val="0"/>
        <w:ind w:left="0" w:firstLine="0"/>
      </w:pPr>
      <w:r>
        <w:t xml:space="preserve">Third, on the cross-appeal on costs, SADPO submits that the High Court should have awarded costs </w:t>
      </w:r>
      <w:r w:rsidR="00F65899">
        <w:t>“</w:t>
      </w:r>
      <w:r>
        <w:t xml:space="preserve">including the costs of two </w:t>
      </w:r>
      <w:proofErr w:type="gramStart"/>
      <w:r>
        <w:t>counsel</w:t>
      </w:r>
      <w:proofErr w:type="gramEnd"/>
      <w:r w:rsidR="00B903F8">
        <w:t>”</w:t>
      </w:r>
      <w:r>
        <w:t xml:space="preserve"> (as opposed to simply ordering costs).  In addition, SADPO argues that the High Court should have ordered that the costs be paid by the respondents jointly and severally.</w:t>
      </w:r>
    </w:p>
    <w:p w14:paraId="4F1E5B67" w14:textId="77777777" w:rsidR="009C54CE" w:rsidRDefault="009C54CE" w:rsidP="00F65899">
      <w:pPr>
        <w:pStyle w:val="JUDGMENTCONTINUED"/>
      </w:pPr>
    </w:p>
    <w:p w14:paraId="5AA55E66" w14:textId="77777777" w:rsidR="009C54CE" w:rsidRPr="000500F7" w:rsidRDefault="009C54CE" w:rsidP="009C54CE">
      <w:pPr>
        <w:pStyle w:val="HEADING"/>
        <w:ind w:left="720"/>
      </w:pPr>
      <w:r w:rsidRPr="0009607D">
        <w:t>Respondents’ submissions</w:t>
      </w:r>
    </w:p>
    <w:p w14:paraId="1523630C" w14:textId="392CB73F" w:rsidR="009C54CE" w:rsidRDefault="00165DE4" w:rsidP="00E52753">
      <w:pPr>
        <w:pStyle w:val="JUDGMENTNUMBERED"/>
        <w:widowControl w:val="0"/>
        <w:numPr>
          <w:ilvl w:val="0"/>
          <w:numId w:val="2"/>
        </w:numPr>
        <w:autoSpaceDE w:val="0"/>
        <w:autoSpaceDN w:val="0"/>
        <w:ind w:left="0" w:firstLine="0"/>
      </w:pPr>
      <w:r>
        <w:t>T</w:t>
      </w:r>
      <w:r w:rsidR="009C54CE">
        <w:t xml:space="preserve">he respondents argue that there is no legal right from which the practice of tender houses arose.  The practice of tender houses was illegal, and therefore could not </w:t>
      </w:r>
      <w:r w:rsidR="008517E9">
        <w:t xml:space="preserve">have </w:t>
      </w:r>
      <w:r w:rsidR="009C54CE">
        <w:t>produce</w:t>
      </w:r>
      <w:r w:rsidR="008517E9">
        <w:t>d</w:t>
      </w:r>
      <w:r w:rsidR="009C54CE">
        <w:t xml:space="preserve"> anything close to a legal right.  As a result, SADPO’s members do not </w:t>
      </w:r>
      <w:r w:rsidR="00F65899">
        <w:t xml:space="preserve">have </w:t>
      </w:r>
      <w:r w:rsidR="009C54CE">
        <w:t>protectable right</w:t>
      </w:r>
      <w:r w:rsidR="00F65899">
        <w:t>s</w:t>
      </w:r>
      <w:r w:rsidR="009C54CE">
        <w:t xml:space="preserve"> in terms of section</w:t>
      </w:r>
      <w:r w:rsidR="00F470BB">
        <w:t> </w:t>
      </w:r>
      <w:r w:rsidR="009C54CE">
        <w:t>25(1) of the Constitution.</w:t>
      </w:r>
    </w:p>
    <w:p w14:paraId="099B7DBB" w14:textId="77777777" w:rsidR="009C54CE" w:rsidRDefault="009C54CE" w:rsidP="009C54CE">
      <w:pPr>
        <w:pStyle w:val="JUDGMENTCONTINUED"/>
      </w:pPr>
    </w:p>
    <w:p w14:paraId="2D333584" w14:textId="39412561" w:rsidR="009C54CE" w:rsidRPr="00754E0B" w:rsidRDefault="009C54CE" w:rsidP="00E52753">
      <w:pPr>
        <w:pStyle w:val="JUDGMENTNUMBERED"/>
        <w:widowControl w:val="0"/>
        <w:numPr>
          <w:ilvl w:val="0"/>
          <w:numId w:val="2"/>
        </w:numPr>
        <w:autoSpaceDE w:val="0"/>
        <w:autoSpaceDN w:val="0"/>
        <w:ind w:left="0" w:firstLine="0"/>
      </w:pPr>
      <w:r>
        <w:t xml:space="preserve"> </w:t>
      </w:r>
      <w:r w:rsidR="00165DE4">
        <w:t>T</w:t>
      </w:r>
      <w:r>
        <w:t xml:space="preserve">he respondents </w:t>
      </w:r>
      <w:r w:rsidR="007504AA">
        <w:t xml:space="preserve">further </w:t>
      </w:r>
      <w:r>
        <w:t>submit</w:t>
      </w:r>
      <w:r w:rsidR="007504AA">
        <w:t xml:space="preserve"> </w:t>
      </w:r>
      <w:r>
        <w:t>that the purpose of section</w:t>
      </w:r>
      <w:r w:rsidR="00F470BB">
        <w:t> </w:t>
      </w:r>
      <w:r>
        <w:t>20A is to prohibit assistance by unlicensed persons in the dealing of unpolished diamonds.  The</w:t>
      </w:r>
      <w:r w:rsidR="00A90D11">
        <w:t>y</w:t>
      </w:r>
      <w:r>
        <w:t xml:space="preserve"> had </w:t>
      </w:r>
      <w:r>
        <w:lastRenderedPageBreak/>
        <w:t>identified the practice of tender houses as unlawful, which resulted in the prohibition in section</w:t>
      </w:r>
      <w:r w:rsidR="00F470BB">
        <w:t> </w:t>
      </w:r>
      <w:r>
        <w:t>20A.  The “nuisance” sought to be dealt with was unlicensed persons assisting local licensed dealers when viewing and buying unpolished diamonds in South Africa, and the resulting export of unpolished diamonds to these “experts” whose identities remained unknown to government.</w:t>
      </w:r>
    </w:p>
    <w:p w14:paraId="2098E6D7" w14:textId="77777777" w:rsidR="009C54CE" w:rsidRDefault="009C54CE" w:rsidP="009C54CE">
      <w:pPr>
        <w:pStyle w:val="JUDGMENTNUMBERED"/>
        <w:widowControl w:val="0"/>
        <w:numPr>
          <w:ilvl w:val="0"/>
          <w:numId w:val="0"/>
        </w:numPr>
        <w:autoSpaceDE w:val="0"/>
        <w:autoSpaceDN w:val="0"/>
      </w:pPr>
    </w:p>
    <w:p w14:paraId="24DC9070" w14:textId="38002827" w:rsidR="009C54CE" w:rsidRDefault="0036333C" w:rsidP="0036333C">
      <w:pPr>
        <w:pStyle w:val="JUDGMENTNUMBERED"/>
        <w:widowControl w:val="0"/>
        <w:numPr>
          <w:ilvl w:val="0"/>
          <w:numId w:val="2"/>
        </w:numPr>
        <w:autoSpaceDE w:val="0"/>
        <w:autoSpaceDN w:val="0"/>
        <w:ind w:left="0" w:firstLine="0"/>
      </w:pPr>
      <w:r>
        <w:t xml:space="preserve">On the </w:t>
      </w:r>
      <w:r w:rsidR="00B903F8">
        <w:t xml:space="preserve">challenge </w:t>
      </w:r>
      <w:r>
        <w:t>based on section</w:t>
      </w:r>
      <w:r w:rsidR="00F470BB">
        <w:t> </w:t>
      </w:r>
      <w:r>
        <w:t xml:space="preserve">22 of the Constitution, the respondents submit that the opportunity to earn an additional 30% from the tender house practice has no basis in law.  </w:t>
      </w:r>
      <w:r w:rsidR="009C54CE">
        <w:t>They also submit that, even if that opportunity is a legally protectable right, government has the power in terms of section</w:t>
      </w:r>
      <w:r w:rsidR="00F470BB">
        <w:t> </w:t>
      </w:r>
      <w:r w:rsidR="009C54CE">
        <w:t>22 to regulate the trade of a diamond dealer.</w:t>
      </w:r>
    </w:p>
    <w:p w14:paraId="3C9DD35B" w14:textId="77777777" w:rsidR="009C54CE" w:rsidRDefault="009C54CE" w:rsidP="009C54CE">
      <w:pPr>
        <w:pStyle w:val="JUDGMENTCONTINUED"/>
      </w:pPr>
    </w:p>
    <w:p w14:paraId="0DC22C85" w14:textId="70B7F4A5" w:rsidR="009C54CE" w:rsidRDefault="00A90D11" w:rsidP="0036333C">
      <w:pPr>
        <w:pStyle w:val="JUDGMENTNUMBERED"/>
        <w:widowControl w:val="0"/>
        <w:numPr>
          <w:ilvl w:val="0"/>
          <w:numId w:val="2"/>
        </w:numPr>
        <w:autoSpaceDE w:val="0"/>
        <w:autoSpaceDN w:val="0"/>
        <w:ind w:left="0" w:firstLine="0"/>
      </w:pPr>
      <w:r>
        <w:t xml:space="preserve">The respondents </w:t>
      </w:r>
      <w:r w:rsidR="009C54CE">
        <w:t>submit that section</w:t>
      </w:r>
      <w:r w:rsidR="007014F5">
        <w:t> </w:t>
      </w:r>
      <w:r w:rsidR="009C54CE">
        <w:t>20A is intended to play an important role in the regulation of trading in unpolished diamonds.  The</w:t>
      </w:r>
      <w:r>
        <w:t>y</w:t>
      </w:r>
      <w:r w:rsidR="009C54CE">
        <w:t xml:space="preserve"> state that the purposes of section</w:t>
      </w:r>
      <w:r w:rsidR="00F470BB">
        <w:t> </w:t>
      </w:r>
      <w:r w:rsidR="009C54CE">
        <w:t>20A are:</w:t>
      </w:r>
      <w:r w:rsidR="0036333C">
        <w:t xml:space="preserve"> </w:t>
      </w:r>
      <w:r w:rsidR="009C54CE">
        <w:t>to promote the local beneficiation of South African diamonds;</w:t>
      </w:r>
      <w:r w:rsidR="0036333C">
        <w:t xml:space="preserve"> </w:t>
      </w:r>
      <w:r w:rsidR="009C54CE">
        <w:t>to tighten the regulation of the diamond trade and eliminate illegal activities that were occurring in the diamond trade; and</w:t>
      </w:r>
      <w:r w:rsidR="0036333C">
        <w:t xml:space="preserve"> </w:t>
      </w:r>
      <w:r w:rsidR="009C54CE">
        <w:t>to comply with the Kimberl</w:t>
      </w:r>
      <w:r w:rsidR="00A310F6">
        <w:t>e</w:t>
      </w:r>
      <w:r w:rsidR="009C54CE">
        <w:t>y Process Certification</w:t>
      </w:r>
      <w:r w:rsidR="00B903F8">
        <w:t xml:space="preserve"> Scheme</w:t>
      </w:r>
      <w:r w:rsidR="009C54CE">
        <w:t>.</w:t>
      </w:r>
      <w:r w:rsidR="0036333C">
        <w:t xml:space="preserve">  </w:t>
      </w:r>
      <w:r w:rsidR="009C54CE">
        <w:t xml:space="preserve">As a result, the respondents submit that there are legitimate purposes behind section 20A, and that </w:t>
      </w:r>
      <w:r>
        <w:t xml:space="preserve">that </w:t>
      </w:r>
      <w:r w:rsidR="009C54CE">
        <w:t>section is rationally related to those purposes.</w:t>
      </w:r>
    </w:p>
    <w:p w14:paraId="6D32915A" w14:textId="77777777" w:rsidR="009C54CE" w:rsidRPr="00F733F6" w:rsidRDefault="009C54CE" w:rsidP="009C54CE">
      <w:pPr>
        <w:pStyle w:val="JUDGMENTCONTINUED"/>
      </w:pPr>
    </w:p>
    <w:p w14:paraId="47FF1BE3" w14:textId="5C31468A" w:rsidR="009C54CE" w:rsidRDefault="009C54CE" w:rsidP="00E52753">
      <w:pPr>
        <w:pStyle w:val="JUDGMENTNUMBERED"/>
        <w:widowControl w:val="0"/>
        <w:numPr>
          <w:ilvl w:val="0"/>
          <w:numId w:val="2"/>
        </w:numPr>
        <w:autoSpaceDE w:val="0"/>
        <w:autoSpaceDN w:val="0"/>
        <w:ind w:left="0" w:firstLine="0"/>
      </w:pPr>
      <w:r>
        <w:t>In the event that this Court decides that section</w:t>
      </w:r>
      <w:r w:rsidR="00F470BB">
        <w:t> </w:t>
      </w:r>
      <w:r>
        <w:t>20A does limit any of SADPO’s members’ rights, the respondents submit that any limita</w:t>
      </w:r>
      <w:r w:rsidR="00594A8F">
        <w:t>tion is reasonable and justifiable</w:t>
      </w:r>
      <w:r>
        <w:t xml:space="preserve"> in terms of section 36(1) of the Constitution.</w:t>
      </w:r>
    </w:p>
    <w:p w14:paraId="20DDA66A" w14:textId="77777777" w:rsidR="000073D7" w:rsidRPr="000073D7" w:rsidRDefault="000073D7" w:rsidP="000073D7">
      <w:pPr>
        <w:pStyle w:val="JUDGMENTCONTINUED"/>
      </w:pPr>
    </w:p>
    <w:p w14:paraId="7245E6E7" w14:textId="77777777" w:rsidR="00EC49BD" w:rsidRDefault="0089081A" w:rsidP="00F6163C">
      <w:pPr>
        <w:pStyle w:val="HEADING"/>
      </w:pPr>
      <w:r>
        <w:t>Issues</w:t>
      </w:r>
    </w:p>
    <w:p w14:paraId="7EB8272C" w14:textId="12E88221" w:rsidR="0089081A" w:rsidRDefault="0089081A" w:rsidP="00C07169">
      <w:pPr>
        <w:pStyle w:val="JUDGMENTNUMBERED"/>
        <w:widowControl w:val="0"/>
        <w:numPr>
          <w:ilvl w:val="0"/>
          <w:numId w:val="2"/>
        </w:numPr>
        <w:autoSpaceDE w:val="0"/>
        <w:autoSpaceDN w:val="0"/>
        <w:spacing w:after="120"/>
        <w:ind w:left="0" w:firstLine="0"/>
      </w:pPr>
      <w:r>
        <w:t>This mat</w:t>
      </w:r>
      <w:r w:rsidR="00D02BB4">
        <w:t>ter raises two principal issues—</w:t>
      </w:r>
    </w:p>
    <w:p w14:paraId="79C3BB8A" w14:textId="78EA92B4" w:rsidR="0089081A" w:rsidRDefault="00D02BB4" w:rsidP="00D02BB4">
      <w:pPr>
        <w:pStyle w:val="List1"/>
        <w:numPr>
          <w:ilvl w:val="1"/>
          <w:numId w:val="2"/>
        </w:numPr>
        <w:spacing w:after="120"/>
        <w:ind w:left="1440" w:hanging="720"/>
      </w:pPr>
      <w:r>
        <w:t>w</w:t>
      </w:r>
      <w:r w:rsidR="0089081A">
        <w:t>hether section 20A of the Act arbitrarily deprives SADPO’s members of prope</w:t>
      </w:r>
      <w:r w:rsidR="005B2F71">
        <w:t>rty, as envisaged in section 25</w:t>
      </w:r>
      <w:r w:rsidR="00DF7CF4">
        <w:t xml:space="preserve"> of the Constitution</w:t>
      </w:r>
      <w:r w:rsidR="005B2F71">
        <w:t>; and</w:t>
      </w:r>
    </w:p>
    <w:p w14:paraId="64FEA760" w14:textId="12E3B543" w:rsidR="005B2F71" w:rsidRPr="005B2F71" w:rsidRDefault="00D02BB4" w:rsidP="00D02BB4">
      <w:pPr>
        <w:pStyle w:val="List1"/>
        <w:numPr>
          <w:ilvl w:val="1"/>
          <w:numId w:val="2"/>
        </w:numPr>
        <w:spacing w:after="120"/>
        <w:ind w:left="1440" w:hanging="720"/>
      </w:pPr>
      <w:proofErr w:type="gramStart"/>
      <w:r>
        <w:lastRenderedPageBreak/>
        <w:t>w</w:t>
      </w:r>
      <w:r w:rsidR="005B2F71">
        <w:t>hether</w:t>
      </w:r>
      <w:proofErr w:type="gramEnd"/>
      <w:r w:rsidR="005B2F71">
        <w:t xml:space="preserve"> section 20A of the Act violates the right of SADPO’s members to choose their trade, occupation or profession freely, as enshrined in section 22 of the Constitution.</w:t>
      </w:r>
    </w:p>
    <w:p w14:paraId="1867ECA9" w14:textId="77777777" w:rsidR="0089081A" w:rsidRDefault="0089081A" w:rsidP="0089081A">
      <w:pPr>
        <w:pStyle w:val="JUDGMENTCONTINUED"/>
      </w:pPr>
    </w:p>
    <w:p w14:paraId="65EEE09D" w14:textId="54F8E16B" w:rsidR="0089081A" w:rsidRDefault="0089081A" w:rsidP="00E52753">
      <w:pPr>
        <w:pStyle w:val="JUDGMENTNUMBERED"/>
        <w:widowControl w:val="0"/>
        <w:numPr>
          <w:ilvl w:val="0"/>
          <w:numId w:val="2"/>
        </w:numPr>
        <w:autoSpaceDE w:val="0"/>
        <w:autoSpaceDN w:val="0"/>
        <w:ind w:left="0" w:firstLine="0"/>
      </w:pPr>
      <w:r>
        <w:t xml:space="preserve">I deal with each of these issues </w:t>
      </w:r>
      <w:r w:rsidR="00E01B2E">
        <w:t>below</w:t>
      </w:r>
      <w:r>
        <w:t>.  Though much is made of it in the papers, the issue whether the tender house practice was lawful</w:t>
      </w:r>
      <w:r w:rsidR="005646EF">
        <w:t xml:space="preserve"> before the Act was amended is</w:t>
      </w:r>
      <w:r>
        <w:t xml:space="preserve"> not relevant to determi</w:t>
      </w:r>
      <w:r w:rsidR="005B2F71">
        <w:t xml:space="preserve">ning the matter.  I proceed on </w:t>
      </w:r>
      <w:r>
        <w:t>the assumption that the practice was previously lawful.</w:t>
      </w:r>
    </w:p>
    <w:p w14:paraId="182BE358" w14:textId="77777777" w:rsidR="00EC49BD" w:rsidRDefault="00EC49BD" w:rsidP="00EC49BD">
      <w:pPr>
        <w:pStyle w:val="JUDGMENTNUMBERED"/>
        <w:widowControl w:val="0"/>
        <w:numPr>
          <w:ilvl w:val="0"/>
          <w:numId w:val="0"/>
        </w:numPr>
        <w:autoSpaceDE w:val="0"/>
        <w:autoSpaceDN w:val="0"/>
      </w:pPr>
    </w:p>
    <w:p w14:paraId="66BD678E" w14:textId="77777777" w:rsidR="000073D7" w:rsidRDefault="000073D7" w:rsidP="000073D7">
      <w:pPr>
        <w:pStyle w:val="HEADING"/>
      </w:pPr>
      <w:r>
        <w:t xml:space="preserve">Preliminary </w:t>
      </w:r>
      <w:r w:rsidR="00F6163C">
        <w:t>issues: j</w:t>
      </w:r>
      <w:r>
        <w:t>urisdiction and condonation</w:t>
      </w:r>
    </w:p>
    <w:p w14:paraId="0B3AA275" w14:textId="77777777" w:rsidR="000073D7" w:rsidRDefault="000073D7" w:rsidP="000073D7">
      <w:pPr>
        <w:pStyle w:val="JUDGMENTNUMBERED"/>
        <w:widowControl w:val="0"/>
        <w:numPr>
          <w:ilvl w:val="0"/>
          <w:numId w:val="2"/>
        </w:numPr>
        <w:autoSpaceDE w:val="0"/>
        <w:autoSpaceDN w:val="0"/>
        <w:ind w:left="0" w:firstLine="0"/>
      </w:pPr>
      <w:r>
        <w:t>As these are confirmation proceedings in terms of section 167(5) of the Constitution, this Court’s jurisdiction is necessarily engaged.</w:t>
      </w:r>
    </w:p>
    <w:p w14:paraId="63771D3F" w14:textId="77777777" w:rsidR="000073D7" w:rsidRPr="000073D7" w:rsidRDefault="000073D7" w:rsidP="000073D7">
      <w:pPr>
        <w:pStyle w:val="JUDGMENTCONTINUED"/>
      </w:pPr>
    </w:p>
    <w:p w14:paraId="6BA9E34F" w14:textId="1AB693BB" w:rsidR="000073D7" w:rsidRDefault="000073D7" w:rsidP="000073D7">
      <w:pPr>
        <w:pStyle w:val="JUDGMENTNUMBERED"/>
        <w:widowControl w:val="0"/>
        <w:numPr>
          <w:ilvl w:val="0"/>
          <w:numId w:val="2"/>
        </w:numPr>
        <w:autoSpaceDE w:val="0"/>
        <w:autoSpaceDN w:val="0"/>
        <w:ind w:left="0" w:firstLine="0"/>
      </w:pPr>
      <w:r>
        <w:t>The fifth respondent has applied for condonation of the late filing of its notice of appeal.  The notice was filed one day late, on 28 September 2016.  The reason for the delay was that, when the candidate attorney attempted to file the notice on 27</w:t>
      </w:r>
      <w:r w:rsidR="00C3562B">
        <w:t> </w:t>
      </w:r>
      <w:r>
        <w:t xml:space="preserve">September 2016, the Registrar quite properly declined to accept the document as there was no proof of agreement between the parties for service by email; nor was there acknowledgement of receipt from all of the respondents.  The defect was remedied and the notice </w:t>
      </w:r>
      <w:r w:rsidR="00E01B2E">
        <w:t xml:space="preserve">was </w:t>
      </w:r>
      <w:r>
        <w:t xml:space="preserve">filed </w:t>
      </w:r>
      <w:r w:rsidR="00E01B2E">
        <w:t xml:space="preserve">on </w:t>
      </w:r>
      <w:r>
        <w:t xml:space="preserve">the following day.  </w:t>
      </w:r>
      <w:r w:rsidR="00E01B2E">
        <w:t>T</w:t>
      </w:r>
      <w:r>
        <w:t xml:space="preserve">his explanation is </w:t>
      </w:r>
      <w:r w:rsidR="00E01B2E">
        <w:t xml:space="preserve">satisfactory and the delay is </w:t>
      </w:r>
      <w:r w:rsidR="00F6163C">
        <w:t>minimal.</w:t>
      </w:r>
      <w:r>
        <w:t xml:space="preserve">  </w:t>
      </w:r>
      <w:r w:rsidR="004269D7">
        <w:t xml:space="preserve">This matter engages important constitutional issues and involves a declaration of invalidity of a legislative provision.  Moreover, there has been no prejudice to the applicant, particularly as service was </w:t>
      </w:r>
      <w:proofErr w:type="gramStart"/>
      <w:r w:rsidR="004269D7">
        <w:t>effected</w:t>
      </w:r>
      <w:proofErr w:type="gramEnd"/>
      <w:r w:rsidR="004269D7">
        <w:t xml:space="preserve"> timeously.  </w:t>
      </w:r>
      <w:r w:rsidR="003C1018">
        <w:t>It is in the interests of justice that condonation be granted.</w:t>
      </w:r>
      <w:r w:rsidR="003C1018">
        <w:rPr>
          <w:rStyle w:val="FootnoteReference"/>
        </w:rPr>
        <w:footnoteReference w:id="37"/>
      </w:r>
    </w:p>
    <w:p w14:paraId="6F823D57" w14:textId="77777777" w:rsidR="006C74A8" w:rsidRDefault="006C74A8" w:rsidP="006C74A8">
      <w:pPr>
        <w:pStyle w:val="JUDGMENTCONTINUED"/>
      </w:pPr>
    </w:p>
    <w:p w14:paraId="72782551" w14:textId="70B7B637" w:rsidR="006C74A8" w:rsidRDefault="006C74A8" w:rsidP="006C74A8">
      <w:pPr>
        <w:pStyle w:val="JUDGMENTNUMBERED"/>
        <w:ind w:left="0" w:firstLine="0"/>
      </w:pPr>
      <w:r>
        <w:t xml:space="preserve">The applicant has applied for condonation for the late filing of its notice of cross-appeal.  The applicant states that it assumed that it had </w:t>
      </w:r>
      <w:r w:rsidR="00C3562B">
        <w:t>10</w:t>
      </w:r>
      <w:r>
        <w:t xml:space="preserve"> days after the date of the fifth respondent’s notice of appeal to file its cross-appeal, as an application for </w:t>
      </w:r>
      <w:r>
        <w:lastRenderedPageBreak/>
        <w:t xml:space="preserve">leave to cross-appeal in terms of </w:t>
      </w:r>
      <w:r w:rsidR="00C3562B">
        <w:t>r</w:t>
      </w:r>
      <w:r>
        <w:t>ule 19 of the Rules of this Court must be filed within 10 days of the filing of the application for leave to appeal.  In this instance, however, there was no application for</w:t>
      </w:r>
      <w:r w:rsidR="00F6163C">
        <w:t xml:space="preserve"> leave to appeal filed in terms</w:t>
      </w:r>
      <w:r>
        <w:t xml:space="preserve"> of </w:t>
      </w:r>
      <w:r w:rsidR="00C3562B">
        <w:t>r</w:t>
      </w:r>
      <w:r>
        <w:t xml:space="preserve">ule 19, as the notice of appeal was lodged in terms of </w:t>
      </w:r>
      <w:r w:rsidR="00C3562B">
        <w:t>r</w:t>
      </w:r>
      <w:r>
        <w:t xml:space="preserve">ule 16, which does not require an application for leave to appeal.  Rule 16 does not specify time-limits for the noting of a cross-appeal.  The applicant notes that the reference to an appeal in </w:t>
      </w:r>
      <w:r w:rsidR="00C3562B">
        <w:t>r</w:t>
      </w:r>
      <w:r>
        <w:t>ule 16 may include a cross-appeal, which would mean that the notice of cross-appeal was required to be lodged by the same date as the fifth respondent’s notice of appeal – 27</w:t>
      </w:r>
      <w:r w:rsidR="00C3562B">
        <w:t> </w:t>
      </w:r>
      <w:r>
        <w:t>September 201</w:t>
      </w:r>
      <w:r w:rsidR="001E13C6">
        <w:t>6</w:t>
      </w:r>
      <w:r>
        <w:t>.  The applicant therefore requests condonation for the lat</w:t>
      </w:r>
      <w:r w:rsidR="001C38A4">
        <w:t>e filing of the notice of cross</w:t>
      </w:r>
      <w:r w:rsidR="001C38A4">
        <w:noBreakHyphen/>
      </w:r>
      <w:r>
        <w:t>appeal to the extent necessary.</w:t>
      </w:r>
    </w:p>
    <w:p w14:paraId="063C983A" w14:textId="77777777" w:rsidR="006C74A8" w:rsidRDefault="006C74A8" w:rsidP="006C74A8">
      <w:pPr>
        <w:pStyle w:val="JUDGMENTCONTINUED"/>
      </w:pPr>
    </w:p>
    <w:p w14:paraId="5DA8B007" w14:textId="77777777" w:rsidR="005D70E0" w:rsidRPr="005D70E0" w:rsidRDefault="006C74A8" w:rsidP="005D70E0">
      <w:pPr>
        <w:pStyle w:val="JUDGMENTNUMBERED"/>
        <w:ind w:left="0" w:firstLine="0"/>
      </w:pPr>
      <w:r>
        <w:t xml:space="preserve">The applicant’s cross-appeal is in effect an appeal against the </w:t>
      </w:r>
      <w:r w:rsidR="005D70E0">
        <w:t>order of the High</w:t>
      </w:r>
      <w:r w:rsidR="00DE044B">
        <w:t> </w:t>
      </w:r>
      <w:r w:rsidR="005D70E0">
        <w:t xml:space="preserve">Court, and is governed by </w:t>
      </w:r>
      <w:r w:rsidR="00C3562B">
        <w:t>r</w:t>
      </w:r>
      <w:r w:rsidR="005D70E0">
        <w:t xml:space="preserve">ule 16.  The time periods in </w:t>
      </w:r>
      <w:r w:rsidR="00222A47">
        <w:t>r</w:t>
      </w:r>
      <w:r w:rsidR="005D70E0">
        <w:t>ule 16 therefore apply, and the notice was required to be filed by 27 September 201</w:t>
      </w:r>
      <w:r w:rsidR="00111128">
        <w:t>6</w:t>
      </w:r>
      <w:r w:rsidR="005D70E0">
        <w:t xml:space="preserve">.  </w:t>
      </w:r>
      <w:r>
        <w:t>The applicant’s notice of cross-appeal was filed on 14 Octob</w:t>
      </w:r>
      <w:r w:rsidR="005D70E0">
        <w:t>er 201</w:t>
      </w:r>
      <w:r w:rsidR="00111128">
        <w:t>6</w:t>
      </w:r>
      <w:r w:rsidR="005D70E0">
        <w:t xml:space="preserve"> – two and a half weeks late.  Again, the delay is not significant, and there has been no prejudice to the respondents.</w:t>
      </w:r>
      <w:r w:rsidR="00452733">
        <w:t xml:space="preserve"> </w:t>
      </w:r>
      <w:r w:rsidR="005D70E0">
        <w:t xml:space="preserve"> Given the narrow issues raised by the cross-appeal, which deals only with the costs award, </w:t>
      </w:r>
      <w:r w:rsidR="00AC50C0">
        <w:t xml:space="preserve">it </w:t>
      </w:r>
      <w:r w:rsidR="005D70E0">
        <w:t>is in the interests of justice that condonation be granted.</w:t>
      </w:r>
    </w:p>
    <w:p w14:paraId="2B75D6E8" w14:textId="77777777" w:rsidR="000073D7" w:rsidRPr="000073D7" w:rsidRDefault="000073D7" w:rsidP="000073D7">
      <w:pPr>
        <w:pStyle w:val="JUDGMENTCONTINUED"/>
      </w:pPr>
    </w:p>
    <w:p w14:paraId="62C25E5E" w14:textId="77777777" w:rsidR="008D7482" w:rsidRDefault="0089081A" w:rsidP="00F6163C">
      <w:pPr>
        <w:pStyle w:val="HEADING"/>
      </w:pPr>
      <w:r>
        <w:t>The challenge based on section 25</w:t>
      </w:r>
    </w:p>
    <w:p w14:paraId="55AB1F0E" w14:textId="0E5ED7D6" w:rsidR="009857A6" w:rsidRDefault="009857A6" w:rsidP="009857A6">
      <w:pPr>
        <w:pStyle w:val="JUDGMENTNUMBERED"/>
        <w:ind w:left="0" w:firstLine="0"/>
      </w:pPr>
      <w:r w:rsidRPr="008D7482">
        <w:t>Section</w:t>
      </w:r>
      <w:r w:rsidR="00F470BB">
        <w:t> </w:t>
      </w:r>
      <w:r w:rsidRPr="008D7482">
        <w:t>25(1) provides that “no one may be deprived of property except in terms of law of general application, and no law may permit arbitrary deprivation of property”.  In order for there to be an infringement of section</w:t>
      </w:r>
      <w:r w:rsidR="00F470BB">
        <w:t> </w:t>
      </w:r>
      <w:r w:rsidR="001C38A4">
        <w:t>25(1), (1</w:t>
      </w:r>
      <w:r w:rsidRPr="008D7482">
        <w:t>) the thing i</w:t>
      </w:r>
      <w:r w:rsidR="001C38A4">
        <w:t>n question must be property; (2</w:t>
      </w:r>
      <w:r w:rsidRPr="008D7482">
        <w:t>) there</w:t>
      </w:r>
      <w:r w:rsidR="001C38A4">
        <w:t xml:space="preserve"> must be a deprivation; and (3</w:t>
      </w:r>
      <w:r w:rsidRPr="008D7482">
        <w:t>) the deprivation must be arbitrary.</w:t>
      </w:r>
      <w:r w:rsidR="006D10E5">
        <w:rPr>
          <w:rStyle w:val="FootnoteReference"/>
        </w:rPr>
        <w:footnoteReference w:id="38"/>
      </w:r>
      <w:r w:rsidR="00883925">
        <w:t xml:space="preserve">  The test was enunciated by this Court in </w:t>
      </w:r>
      <w:r w:rsidR="00883925">
        <w:rPr>
          <w:i/>
        </w:rPr>
        <w:t>FNB</w:t>
      </w:r>
      <w:r w:rsidR="00883925" w:rsidRPr="00883925">
        <w:t>:</w:t>
      </w:r>
    </w:p>
    <w:p w14:paraId="20D32CF0" w14:textId="77777777" w:rsidR="00883925" w:rsidRDefault="00883925" w:rsidP="00883925">
      <w:pPr>
        <w:pStyle w:val="QUOTATION"/>
        <w:ind w:left="1440" w:hanging="720"/>
      </w:pPr>
    </w:p>
    <w:p w14:paraId="606FA649" w14:textId="6088BDCD" w:rsidR="00883925" w:rsidRPr="00883925" w:rsidRDefault="00883925" w:rsidP="00883925">
      <w:pPr>
        <w:pStyle w:val="QUOTATION"/>
        <w:ind w:left="1440" w:hanging="720"/>
      </w:pPr>
      <w:r>
        <w:t>“</w:t>
      </w:r>
      <w:r w:rsidRPr="00883925">
        <w:t>(</w:t>
      </w:r>
      <w:proofErr w:type="gramStart"/>
      <w:r w:rsidRPr="00883925">
        <w:t>a</w:t>
      </w:r>
      <w:proofErr w:type="gramEnd"/>
      <w:r w:rsidRPr="00883925">
        <w:t>)</w:t>
      </w:r>
      <w:r>
        <w:tab/>
      </w:r>
      <w:r w:rsidRPr="00883925">
        <w:t xml:space="preserve">Does that which is taken away from FNB </w:t>
      </w:r>
      <w:r>
        <w:t xml:space="preserve">by the operation of </w:t>
      </w:r>
      <w:r w:rsidRPr="00883925">
        <w:t>s</w:t>
      </w:r>
      <w:r>
        <w:t>ection</w:t>
      </w:r>
      <w:r w:rsidRPr="00883925">
        <w:t xml:space="preserve"> 114 amount to </w:t>
      </w:r>
      <w:r w:rsidR="004E417F">
        <w:t>‘</w:t>
      </w:r>
      <w:r w:rsidRPr="00883925">
        <w:t>property</w:t>
      </w:r>
      <w:r w:rsidR="004E417F">
        <w:t>’</w:t>
      </w:r>
      <w:r w:rsidRPr="00883925">
        <w:t xml:space="preserve"> for purpose of s</w:t>
      </w:r>
      <w:r w:rsidR="007232A2">
        <w:t>ection</w:t>
      </w:r>
      <w:r w:rsidR="00697A25">
        <w:t> </w:t>
      </w:r>
      <w:r w:rsidRPr="00883925">
        <w:t>25?</w:t>
      </w:r>
    </w:p>
    <w:p w14:paraId="364B3A14" w14:textId="77777777" w:rsidR="00883925" w:rsidRPr="00883925" w:rsidRDefault="00883925" w:rsidP="00883925">
      <w:pPr>
        <w:pStyle w:val="QUOTATION"/>
      </w:pPr>
      <w:r w:rsidRPr="00883925">
        <w:t>(b)</w:t>
      </w:r>
      <w:r>
        <w:tab/>
      </w:r>
      <w:r w:rsidRPr="00883925">
        <w:t>Has there been a deprivation of such property by the Commissioner?</w:t>
      </w:r>
    </w:p>
    <w:p w14:paraId="7EFFD8E5" w14:textId="78E6523D" w:rsidR="00883925" w:rsidRPr="00883925" w:rsidRDefault="00883925" w:rsidP="00BC1524">
      <w:pPr>
        <w:pStyle w:val="QUOTATION"/>
        <w:ind w:left="1440" w:hanging="720"/>
      </w:pPr>
      <w:r w:rsidRPr="00883925">
        <w:lastRenderedPageBreak/>
        <w:t>(c)</w:t>
      </w:r>
      <w:r>
        <w:tab/>
      </w:r>
      <w:r w:rsidRPr="00883925">
        <w:t>If there has, is such deprivation co</w:t>
      </w:r>
      <w:r>
        <w:t xml:space="preserve">nsistent with the provisions of </w:t>
      </w:r>
      <w:r w:rsidRPr="00883925">
        <w:t>s</w:t>
      </w:r>
      <w:r w:rsidR="00697A25">
        <w:t>ection </w:t>
      </w:r>
      <w:r w:rsidRPr="00883925">
        <w:t>25(1)?</w:t>
      </w:r>
    </w:p>
    <w:p w14:paraId="3830BBE8" w14:textId="36EDD629" w:rsidR="00883925" w:rsidRPr="00883925" w:rsidRDefault="00883925" w:rsidP="00883925">
      <w:pPr>
        <w:pStyle w:val="QUOTATION"/>
      </w:pPr>
      <w:r w:rsidRPr="00883925">
        <w:t>(</w:t>
      </w:r>
      <w:proofErr w:type="gramStart"/>
      <w:r w:rsidRPr="00883925">
        <w:t>d</w:t>
      </w:r>
      <w:proofErr w:type="gramEnd"/>
      <w:r w:rsidRPr="00883925">
        <w:t>)</w:t>
      </w:r>
      <w:r>
        <w:tab/>
      </w:r>
      <w:r w:rsidRPr="00883925">
        <w:t>If not, is such deprivation justified under s</w:t>
      </w:r>
      <w:r w:rsidR="00697A25">
        <w:t>ection </w:t>
      </w:r>
      <w:r w:rsidRPr="00883925">
        <w:t>36 of the Constitution?</w:t>
      </w:r>
    </w:p>
    <w:p w14:paraId="40A590B8" w14:textId="252AC236" w:rsidR="00883925" w:rsidRPr="000B0695" w:rsidRDefault="00883925" w:rsidP="00883925">
      <w:pPr>
        <w:pStyle w:val="QUOTATION"/>
      </w:pPr>
      <w:r w:rsidRPr="00AC50C0">
        <w:t>(e)</w:t>
      </w:r>
      <w:r w:rsidRPr="00AC50C0">
        <w:tab/>
        <w:t xml:space="preserve">If it is, does it amount to expropriation for purpose of </w:t>
      </w:r>
      <w:r w:rsidR="00697A25">
        <w:t>section </w:t>
      </w:r>
      <w:r w:rsidRPr="00AC50C0">
        <w:t>25(2)?</w:t>
      </w:r>
    </w:p>
    <w:p w14:paraId="2AADA9BA" w14:textId="688ABFF5" w:rsidR="00883925" w:rsidRPr="00FC096A" w:rsidRDefault="001C38A4" w:rsidP="00BC1524">
      <w:pPr>
        <w:pStyle w:val="QUOTATION"/>
        <w:ind w:left="1440" w:hanging="720"/>
      </w:pPr>
      <w:r>
        <w:t>(f)</w:t>
      </w:r>
      <w:r>
        <w:tab/>
      </w:r>
      <w:r w:rsidR="00883925" w:rsidRPr="000B0695">
        <w:t>If so, does the deprivation comply with the requirements of s</w:t>
      </w:r>
      <w:r w:rsidR="00697A25">
        <w:t>ections </w:t>
      </w:r>
      <w:r w:rsidR="00883925" w:rsidRPr="000B0695">
        <w:t>25(2</w:t>
      </w:r>
      <w:proofErr w:type="gramStart"/>
      <w:r w:rsidR="00883925" w:rsidRPr="000B0695">
        <w:t>)(</w:t>
      </w:r>
      <w:proofErr w:type="gramEnd"/>
      <w:r w:rsidR="00883925" w:rsidRPr="000B0695">
        <w:t>a)</w:t>
      </w:r>
      <w:r w:rsidR="00697A25">
        <w:t> </w:t>
      </w:r>
      <w:r w:rsidR="00883925" w:rsidRPr="000B0695">
        <w:t>and</w:t>
      </w:r>
      <w:r w:rsidR="00697A25">
        <w:t> </w:t>
      </w:r>
      <w:r w:rsidR="00883925" w:rsidRPr="000B0695">
        <w:t>(b)?</w:t>
      </w:r>
    </w:p>
    <w:p w14:paraId="635517F7" w14:textId="26BC3FE0" w:rsidR="009857A6" w:rsidRDefault="00883925" w:rsidP="00883925">
      <w:pPr>
        <w:pStyle w:val="QUOTATION"/>
      </w:pPr>
      <w:r w:rsidRPr="0070765A">
        <w:t>(</w:t>
      </w:r>
      <w:proofErr w:type="gramStart"/>
      <w:r w:rsidRPr="0070765A">
        <w:t>g</w:t>
      </w:r>
      <w:proofErr w:type="gramEnd"/>
      <w:r w:rsidRPr="0070765A">
        <w:t>)</w:t>
      </w:r>
      <w:r w:rsidRPr="0070765A">
        <w:tab/>
        <w:t xml:space="preserve">If not, is the expropriation justified under </w:t>
      </w:r>
      <w:r w:rsidR="00203CD5">
        <w:t>section </w:t>
      </w:r>
      <w:r w:rsidRPr="0070765A">
        <w:t>36?”</w:t>
      </w:r>
      <w:r w:rsidR="001A4D3A" w:rsidRPr="0070765A">
        <w:rPr>
          <w:rStyle w:val="FootnoteReference"/>
        </w:rPr>
        <w:footnoteReference w:id="39"/>
      </w:r>
    </w:p>
    <w:p w14:paraId="52853EF0" w14:textId="77777777" w:rsidR="00883925" w:rsidRPr="00883925" w:rsidRDefault="00883925" w:rsidP="00883925">
      <w:pPr>
        <w:pStyle w:val="JUDGMENTCONTINUED"/>
      </w:pPr>
    </w:p>
    <w:p w14:paraId="5CCC5FB7" w14:textId="77777777" w:rsidR="009857A6" w:rsidRDefault="009857A6" w:rsidP="009857A6">
      <w:pPr>
        <w:pStyle w:val="JUDGMENTNUMBERED"/>
        <w:widowControl w:val="0"/>
        <w:numPr>
          <w:ilvl w:val="0"/>
          <w:numId w:val="2"/>
        </w:numPr>
        <w:autoSpaceDE w:val="0"/>
        <w:autoSpaceDN w:val="0"/>
        <w:ind w:left="0" w:firstLine="0"/>
      </w:pPr>
      <w:r>
        <w:t xml:space="preserve">SADPO argues that the property </w:t>
      </w:r>
      <w:r w:rsidRPr="008F39D4">
        <w:t xml:space="preserve">rights in issue are twofold: the ownership of the </w:t>
      </w:r>
      <w:r w:rsidRPr="008F39D4">
        <w:rPr>
          <w:i/>
        </w:rPr>
        <w:t>diamonds</w:t>
      </w:r>
      <w:r w:rsidRPr="008F39D4">
        <w:t xml:space="preserve"> won by the producers and bought and sold by the dealers; and the ownership of the diamond dealer </w:t>
      </w:r>
      <w:r w:rsidRPr="008F39D4">
        <w:rPr>
          <w:i/>
        </w:rPr>
        <w:t>licences</w:t>
      </w:r>
      <w:r>
        <w:t xml:space="preserve"> and concomitant </w:t>
      </w:r>
      <w:r w:rsidR="002D592E">
        <w:t>ownership of their businesses.</w:t>
      </w:r>
    </w:p>
    <w:p w14:paraId="2780EA37" w14:textId="77777777" w:rsidR="009459C0" w:rsidRDefault="009459C0" w:rsidP="009459C0">
      <w:pPr>
        <w:pStyle w:val="JUDGMENTCONTINUED"/>
      </w:pPr>
    </w:p>
    <w:p w14:paraId="17A607B1" w14:textId="16587896" w:rsidR="009459C0" w:rsidRPr="00B84E45" w:rsidRDefault="00C777DA" w:rsidP="009459C0">
      <w:pPr>
        <w:pStyle w:val="JUDGMENTNUMBERED"/>
        <w:widowControl w:val="0"/>
        <w:numPr>
          <w:ilvl w:val="0"/>
          <w:numId w:val="2"/>
        </w:numPr>
        <w:autoSpaceDE w:val="0"/>
        <w:autoSpaceDN w:val="0"/>
        <w:ind w:left="0" w:firstLine="0"/>
      </w:pPr>
      <w:r w:rsidRPr="00B84E45">
        <w:t xml:space="preserve">In relation to the diamonds, </w:t>
      </w:r>
      <w:r w:rsidR="009459C0" w:rsidRPr="00B84E45">
        <w:t>SADPO contends that producers and dealers are deprived of 30% of the market value of the diamonds they sell, because section 20A prohibits a key part of the price-forming mechanism – unlicensed expert assistance.  Without this assistance, producers and dealers are unable to obtain the prices they were previously able to obtain, and suffer a</w:t>
      </w:r>
      <w:r w:rsidR="00CF231F">
        <w:t xml:space="preserve"> loss of 30% compared to the prices they were previously able to obtain</w:t>
      </w:r>
      <w:r w:rsidR="009459C0" w:rsidRPr="00B84E45">
        <w:t xml:space="preserve">.  On SADPO’s argument, this constitutes interference with their members’ </w:t>
      </w:r>
      <w:proofErr w:type="spellStart"/>
      <w:r w:rsidR="009459C0" w:rsidRPr="00B84E45">
        <w:rPr>
          <w:i/>
        </w:rPr>
        <w:t>ius</w:t>
      </w:r>
      <w:proofErr w:type="spellEnd"/>
      <w:r w:rsidR="009459C0" w:rsidRPr="00B84E45">
        <w:rPr>
          <w:i/>
        </w:rPr>
        <w:t> </w:t>
      </w:r>
      <w:proofErr w:type="spellStart"/>
      <w:r w:rsidR="009459C0" w:rsidRPr="00B84E45">
        <w:rPr>
          <w:i/>
        </w:rPr>
        <w:t>disponendi</w:t>
      </w:r>
      <w:proofErr w:type="spellEnd"/>
      <w:r w:rsidR="009459C0" w:rsidRPr="00B84E45">
        <w:rPr>
          <w:i/>
        </w:rPr>
        <w:t xml:space="preserve"> </w:t>
      </w:r>
      <w:r w:rsidR="009459C0" w:rsidRPr="00B84E45">
        <w:t>which, they argue, includes the right to obtain the highest possible price for that property.</w:t>
      </w:r>
      <w:r w:rsidRPr="00B84E45">
        <w:t xml:space="preserve">  In relation to the licences, SADPO contends that diamond dealers have been deprived of property in that the activities they were previously entitled to engage in under their licences have been limited.</w:t>
      </w:r>
    </w:p>
    <w:p w14:paraId="5781BE42" w14:textId="77777777" w:rsidR="00C777DA" w:rsidRPr="00B84E45" w:rsidRDefault="00C777DA" w:rsidP="00C777DA">
      <w:pPr>
        <w:pStyle w:val="JUDGMENTCONTINUED"/>
      </w:pPr>
    </w:p>
    <w:p w14:paraId="276CC338" w14:textId="7F9D0F0F" w:rsidR="00DB63FE" w:rsidRDefault="00082BBA" w:rsidP="0051152C">
      <w:pPr>
        <w:pStyle w:val="JUDGMENTNUMBERED"/>
        <w:widowControl w:val="0"/>
        <w:numPr>
          <w:ilvl w:val="0"/>
          <w:numId w:val="2"/>
        </w:numPr>
        <w:autoSpaceDE w:val="0"/>
        <w:autoSpaceDN w:val="0"/>
        <w:ind w:left="0" w:firstLine="0"/>
      </w:pPr>
      <w:r>
        <w:t xml:space="preserve">The test laid down by this Court in </w:t>
      </w:r>
      <w:r>
        <w:rPr>
          <w:i/>
        </w:rPr>
        <w:t xml:space="preserve">FNB </w:t>
      </w:r>
      <w:r>
        <w:t>requires us to ask, first, whether the things at issue here constitute property; second, whether there has been a deprivation; and third, whether the deprivation is contrary to section</w:t>
      </w:r>
      <w:r w:rsidR="00F470BB">
        <w:t> </w:t>
      </w:r>
      <w:r>
        <w:t>25(1) (in that it is arbitrary).</w:t>
      </w:r>
      <w:r w:rsidR="000B0695">
        <w:rPr>
          <w:rStyle w:val="FootnoteReference"/>
        </w:rPr>
        <w:footnoteReference w:id="40"/>
      </w:r>
      <w:r>
        <w:t xml:space="preserve">  </w:t>
      </w:r>
      <w:r>
        <w:lastRenderedPageBreak/>
        <w:t>SADPO’s contention is that its membe</w:t>
      </w:r>
      <w:r w:rsidR="00CF231F">
        <w:t>rs have been deprived of (1) 30</w:t>
      </w:r>
      <w:r>
        <w:t>% of the value of the diamonds they purchase and sell</w:t>
      </w:r>
      <w:r w:rsidR="0051152C">
        <w:t>; and (2) the right to engage in activities they were previously entitled to engage in</w:t>
      </w:r>
      <w:r w:rsidR="00EC7969">
        <w:t xml:space="preserve"> in terms of their licences</w:t>
      </w:r>
      <w:r w:rsidR="0051152C">
        <w:t xml:space="preserve">.  When approaching the </w:t>
      </w:r>
      <w:r w:rsidR="0051152C" w:rsidRPr="00F1047F">
        <w:rPr>
          <w:i/>
        </w:rPr>
        <w:t>FNB</w:t>
      </w:r>
      <w:r w:rsidR="0051152C">
        <w:t xml:space="preserve"> enquiry on these facts, there appear to be </w:t>
      </w:r>
      <w:r w:rsidR="00B43AB5">
        <w:t>two possible ways to approach</w:t>
      </w:r>
      <w:r w:rsidR="0051152C">
        <w:t xml:space="preserve"> the first two legs of the test (“property” and “deprivation”).  </w:t>
      </w:r>
    </w:p>
    <w:p w14:paraId="1289FBA3" w14:textId="77777777" w:rsidR="00DB63FE" w:rsidRDefault="00DB63FE" w:rsidP="00F6163C">
      <w:pPr>
        <w:pStyle w:val="JUDGMENTNUMBERED"/>
        <w:widowControl w:val="0"/>
        <w:numPr>
          <w:ilvl w:val="0"/>
          <w:numId w:val="0"/>
        </w:numPr>
        <w:autoSpaceDE w:val="0"/>
        <w:autoSpaceDN w:val="0"/>
      </w:pPr>
    </w:p>
    <w:p w14:paraId="528749D8" w14:textId="558C1B59" w:rsidR="000D468A" w:rsidRPr="00623F20" w:rsidRDefault="00D3465D" w:rsidP="0051152C">
      <w:pPr>
        <w:pStyle w:val="JUDGMENTNUMBERED"/>
        <w:widowControl w:val="0"/>
        <w:numPr>
          <w:ilvl w:val="0"/>
          <w:numId w:val="2"/>
        </w:numPr>
        <w:autoSpaceDE w:val="0"/>
        <w:autoSpaceDN w:val="0"/>
        <w:ind w:left="0" w:firstLine="0"/>
      </w:pPr>
      <w:r>
        <w:t>On one approach</w:t>
      </w:r>
      <w:r w:rsidR="00C777DA" w:rsidRPr="00B84E45">
        <w:t xml:space="preserve">, </w:t>
      </w:r>
      <w:r w:rsidR="009819EE" w:rsidRPr="00B84E45">
        <w:t>we</w:t>
      </w:r>
      <w:r w:rsidR="00C777DA" w:rsidRPr="00B84E45">
        <w:t xml:space="preserve"> could proceed on the basis that the “property” in issue is the diamonds and the licences, and then, at the “deprivation” stage of the enquiry, consider whether what has been taken away from licensees </w:t>
      </w:r>
      <w:r w:rsidR="00F0646C" w:rsidRPr="00B84E45">
        <w:t xml:space="preserve">(30% of the previous market value, and the entitlement to engage in business in a particular way) </w:t>
      </w:r>
      <w:r w:rsidR="00C777DA" w:rsidRPr="00B84E45">
        <w:t xml:space="preserve">constitutes a right or interest worthy of protection, and is substantial enough that its removal constitutes “deprivation”.  </w:t>
      </w:r>
      <w:r w:rsidR="0051152C">
        <w:t xml:space="preserve">From there, if there is a deprivation of property, we would proceed to the arbitrariness analysis.  </w:t>
      </w:r>
      <w:r w:rsidR="009819EE" w:rsidRPr="00B84E45">
        <w:t>An alternative approach would be to</w:t>
      </w:r>
      <w:r w:rsidR="00C777DA" w:rsidRPr="00B84E45">
        <w:t xml:space="preserve"> begin by enquiring what it is that has been taken away</w:t>
      </w:r>
      <w:r w:rsidR="009819EE" w:rsidRPr="00B84E45">
        <w:t xml:space="preserve"> (30% of the previous market value</w:t>
      </w:r>
      <w:r w:rsidR="00F0646C" w:rsidRPr="00B84E45">
        <w:t>, and the entitlement to engage in business in a particular way</w:t>
      </w:r>
      <w:r w:rsidR="009819EE" w:rsidRPr="00B84E45">
        <w:t>)</w:t>
      </w:r>
      <w:r w:rsidR="00C777DA" w:rsidRPr="00B84E45">
        <w:t xml:space="preserve">, and consider whether those </w:t>
      </w:r>
      <w:r w:rsidR="00F0646C" w:rsidRPr="00B84E45">
        <w:t>“</w:t>
      </w:r>
      <w:r w:rsidR="00C777DA" w:rsidRPr="00B84E45">
        <w:t>rights</w:t>
      </w:r>
      <w:r w:rsidR="00F0646C" w:rsidRPr="00B84E45">
        <w:t>”</w:t>
      </w:r>
      <w:r w:rsidR="00C777DA" w:rsidRPr="00B84E45">
        <w:t xml:space="preserve"> or interests constitute “property” for the purposes of section</w:t>
      </w:r>
      <w:r w:rsidR="00F470BB">
        <w:t> </w:t>
      </w:r>
      <w:r w:rsidR="00C777DA" w:rsidRPr="00B84E45">
        <w:t>25.</w:t>
      </w:r>
      <w:r w:rsidR="0051152C">
        <w:t xml:space="preserve">  Only if those </w:t>
      </w:r>
      <w:r w:rsidR="0051152C" w:rsidRPr="00623F20">
        <w:t>rights or interests constitute property would we move on</w:t>
      </w:r>
      <w:r w:rsidR="00B43AB5" w:rsidRPr="00623F20">
        <w:t xml:space="preserve"> </w:t>
      </w:r>
      <w:r w:rsidR="00C32649" w:rsidRPr="00623F20">
        <w:t>to the next stages of the test.</w:t>
      </w:r>
    </w:p>
    <w:p w14:paraId="2B28D510" w14:textId="77777777" w:rsidR="000D468A" w:rsidRPr="00623F20" w:rsidRDefault="000D468A" w:rsidP="00F1047F">
      <w:pPr>
        <w:pStyle w:val="JUDGMENTCONTINUED"/>
      </w:pPr>
    </w:p>
    <w:p w14:paraId="58828860" w14:textId="77777777" w:rsidR="00C777DA" w:rsidRPr="00623F20" w:rsidRDefault="005646EF" w:rsidP="009819EE">
      <w:pPr>
        <w:pStyle w:val="JUDGMENTNUMBERED"/>
        <w:widowControl w:val="0"/>
        <w:numPr>
          <w:ilvl w:val="0"/>
          <w:numId w:val="2"/>
        </w:numPr>
        <w:autoSpaceDE w:val="0"/>
        <w:autoSpaceDN w:val="0"/>
        <w:ind w:left="0" w:firstLine="0"/>
      </w:pPr>
      <w:r w:rsidRPr="00623F20">
        <w:t>T</w:t>
      </w:r>
      <w:r w:rsidR="009819EE" w:rsidRPr="00623F20">
        <w:t>he former approach is preferable</w:t>
      </w:r>
      <w:r w:rsidR="00F0646C" w:rsidRPr="00623F20">
        <w:t xml:space="preserve"> in this instance</w:t>
      </w:r>
      <w:r w:rsidR="009819EE" w:rsidRPr="00623F20">
        <w:t xml:space="preserve">.  The “property” at issue </w:t>
      </w:r>
      <w:r w:rsidR="00222A47" w:rsidRPr="00623F20">
        <w:t xml:space="preserve">here </w:t>
      </w:r>
      <w:r w:rsidR="009819EE" w:rsidRPr="00623F20">
        <w:t>is the ownership of the diamonds, and the ownership of the licences</w:t>
      </w:r>
      <w:r w:rsidR="00B84E45" w:rsidRPr="00623F20">
        <w:t xml:space="preserve"> (assuming the licences are property)</w:t>
      </w:r>
      <w:r w:rsidR="009819EE" w:rsidRPr="00623F20">
        <w:t xml:space="preserve">.  That ownership brings with it certain rights and entitlements. </w:t>
      </w:r>
      <w:r w:rsidR="00EF3FBF" w:rsidRPr="00623F20">
        <w:t xml:space="preserve"> </w:t>
      </w:r>
      <w:r w:rsidR="009819EE" w:rsidRPr="00623F20">
        <w:t xml:space="preserve">SADPO alleges that these include the interests it seeks to protect on behalf of its members.  </w:t>
      </w:r>
    </w:p>
    <w:p w14:paraId="22B6A23E" w14:textId="77777777" w:rsidR="00C777DA" w:rsidRPr="00C777DA" w:rsidRDefault="00C777DA" w:rsidP="00C777DA">
      <w:pPr>
        <w:pStyle w:val="JUDGMENTCONTINUED"/>
      </w:pPr>
    </w:p>
    <w:p w14:paraId="537AF66B" w14:textId="77777777" w:rsidR="009459C0" w:rsidRPr="009459C0" w:rsidRDefault="00C777DA" w:rsidP="00B01EF6">
      <w:pPr>
        <w:pStyle w:val="JUDGMENTNUMBERED"/>
        <w:widowControl w:val="0"/>
        <w:numPr>
          <w:ilvl w:val="0"/>
          <w:numId w:val="2"/>
        </w:numPr>
        <w:autoSpaceDE w:val="0"/>
        <w:autoSpaceDN w:val="0"/>
        <w:ind w:left="0" w:firstLine="0"/>
      </w:pPr>
      <w:r>
        <w:lastRenderedPageBreak/>
        <w:t xml:space="preserve">Below, </w:t>
      </w:r>
      <w:r w:rsidR="00B01EF6">
        <w:t xml:space="preserve">I consider </w:t>
      </w:r>
      <w:r w:rsidR="00B01EF6" w:rsidRPr="008F39D4">
        <w:t xml:space="preserve">the ownership of the </w:t>
      </w:r>
      <w:r w:rsidR="00B01EF6" w:rsidRPr="008F39D4">
        <w:rPr>
          <w:i/>
        </w:rPr>
        <w:t>diamonds</w:t>
      </w:r>
      <w:r w:rsidR="00B01EF6" w:rsidRPr="008F39D4">
        <w:t xml:space="preserve"> won by the producers and</w:t>
      </w:r>
      <w:r w:rsidR="00B01EF6">
        <w:t xml:space="preserve"> bought and sold by the dealers</w:t>
      </w:r>
      <w:r w:rsidR="00B01EF6" w:rsidRPr="008F39D4">
        <w:t xml:space="preserve"> and the </w:t>
      </w:r>
      <w:r w:rsidR="0051152C">
        <w:t xml:space="preserve">purported </w:t>
      </w:r>
      <w:r w:rsidR="00B01EF6" w:rsidRPr="008F39D4">
        <w:t xml:space="preserve">ownership of the diamond dealer </w:t>
      </w:r>
      <w:r w:rsidR="00B01EF6" w:rsidRPr="008F39D4">
        <w:rPr>
          <w:i/>
        </w:rPr>
        <w:t>licences</w:t>
      </w:r>
      <w:r w:rsidR="00B01EF6">
        <w:t xml:space="preserve"> in turn, </w:t>
      </w:r>
      <w:r>
        <w:t>in order to determine whether section 20A permits the arbitrary deprivation of property.</w:t>
      </w:r>
    </w:p>
    <w:p w14:paraId="2F4C552B" w14:textId="77777777" w:rsidR="009857A6" w:rsidRPr="008F000B" w:rsidRDefault="009857A6" w:rsidP="009857A6">
      <w:pPr>
        <w:pStyle w:val="JUDGMENTCONTINUED"/>
      </w:pPr>
    </w:p>
    <w:p w14:paraId="1E6C147C" w14:textId="77777777" w:rsidR="009857A6" w:rsidRPr="004648C7" w:rsidRDefault="009857A6" w:rsidP="009857A6">
      <w:pPr>
        <w:pStyle w:val="HEADING"/>
        <w:ind w:left="720"/>
      </w:pPr>
      <w:r>
        <w:t>Ownership of diamonds</w:t>
      </w:r>
    </w:p>
    <w:p w14:paraId="335AA5ED" w14:textId="710F7D5D" w:rsidR="009857A6" w:rsidRDefault="009857A6" w:rsidP="00F470BB">
      <w:pPr>
        <w:pStyle w:val="JUDGMENTNUMBERED"/>
        <w:widowControl w:val="0"/>
        <w:numPr>
          <w:ilvl w:val="0"/>
          <w:numId w:val="2"/>
        </w:numPr>
        <w:autoSpaceDE w:val="0"/>
        <w:autoSpaceDN w:val="0"/>
        <w:ind w:left="0" w:firstLine="0"/>
      </w:pPr>
      <w:r>
        <w:t>The ownership of a corporeal movable object has long been recognised as property, both under common law and for the purpose of section</w:t>
      </w:r>
      <w:r w:rsidR="004A16FB">
        <w:t> </w:t>
      </w:r>
      <w:r>
        <w:t>25.</w:t>
      </w:r>
      <w:r w:rsidR="006D10E5">
        <w:rPr>
          <w:rStyle w:val="FootnoteReference"/>
        </w:rPr>
        <w:footnoteReference w:id="41"/>
      </w:r>
      <w:r>
        <w:t xml:space="preserve">  That SADPO’s members hold constitutionally protectable property in the physical dia</w:t>
      </w:r>
      <w:r w:rsidR="00594A8F">
        <w:t xml:space="preserve">monds they buy and sell is </w:t>
      </w:r>
      <w:r>
        <w:t>uncontroversial: the diamonds are clearly property for the purposes of section</w:t>
      </w:r>
      <w:r w:rsidR="00F470BB">
        <w:t> </w:t>
      </w:r>
      <w:r>
        <w:t>25.</w:t>
      </w:r>
    </w:p>
    <w:p w14:paraId="379C3683" w14:textId="77777777" w:rsidR="009857A6" w:rsidRPr="008F39D4" w:rsidRDefault="009857A6" w:rsidP="009857A6">
      <w:pPr>
        <w:pStyle w:val="JUDGMENTCONTINUED"/>
      </w:pPr>
    </w:p>
    <w:p w14:paraId="7EE40904" w14:textId="696C0BD9" w:rsidR="00BB20AA" w:rsidRDefault="000334EF" w:rsidP="00BB20AA">
      <w:pPr>
        <w:pStyle w:val="JUDGMENTNUMBERED"/>
        <w:widowControl w:val="0"/>
        <w:numPr>
          <w:ilvl w:val="0"/>
          <w:numId w:val="2"/>
        </w:numPr>
        <w:autoSpaceDE w:val="0"/>
        <w:autoSpaceDN w:val="0"/>
        <w:ind w:left="0" w:firstLine="0"/>
      </w:pPr>
      <w:r>
        <w:t xml:space="preserve">The more </w:t>
      </w:r>
      <w:r w:rsidR="002762A1">
        <w:t xml:space="preserve">complex </w:t>
      </w:r>
      <w:r>
        <w:t>question is whether</w:t>
      </w:r>
      <w:r w:rsidR="009857A6">
        <w:t xml:space="preserve"> </w:t>
      </w:r>
      <w:r>
        <w:t>section</w:t>
      </w:r>
      <w:r w:rsidR="004A16FB">
        <w:t> </w:t>
      </w:r>
      <w:r>
        <w:t xml:space="preserve">20A deprives </w:t>
      </w:r>
      <w:r w:rsidR="009857A6">
        <w:t>producers and dealers of ownership of their diamonds</w:t>
      </w:r>
      <w:r>
        <w:t>.</w:t>
      </w:r>
      <w:r w:rsidR="009857A6">
        <w:t xml:space="preserve">  </w:t>
      </w:r>
      <w:r w:rsidR="00BB20AA">
        <w:t xml:space="preserve">The deprivation enquiry was </w:t>
      </w:r>
      <w:r w:rsidR="00C32649">
        <w:t xml:space="preserve">first </w:t>
      </w:r>
      <w:r w:rsidR="00BB20AA">
        <w:t xml:space="preserve">encapsulated by this Court in </w:t>
      </w:r>
      <w:proofErr w:type="spellStart"/>
      <w:r w:rsidR="00BB20AA">
        <w:rPr>
          <w:i/>
        </w:rPr>
        <w:t>Mkontwana</w:t>
      </w:r>
      <w:proofErr w:type="spellEnd"/>
      <w:r w:rsidR="00BB20AA">
        <w:t>:</w:t>
      </w:r>
    </w:p>
    <w:p w14:paraId="0D3ADEF5" w14:textId="77777777" w:rsidR="00BB20AA" w:rsidRDefault="00BB20AA" w:rsidP="00BB20AA">
      <w:pPr>
        <w:pStyle w:val="QUOTATION"/>
      </w:pPr>
    </w:p>
    <w:p w14:paraId="26882443" w14:textId="2D938646" w:rsidR="00BB20AA" w:rsidRDefault="00BB20AA" w:rsidP="00BB20AA">
      <w:pPr>
        <w:pStyle w:val="QUOTATION"/>
      </w:pPr>
      <w:r>
        <w:t xml:space="preserve">“Whether there has been a deprivation depends on the </w:t>
      </w:r>
      <w:r w:rsidRPr="00BB20AA">
        <w:rPr>
          <w:i/>
        </w:rPr>
        <w:t>extent of the interference</w:t>
      </w:r>
      <w:r>
        <w:t xml:space="preserve"> with or limitation of use, enjoyment or exploitation. </w:t>
      </w:r>
      <w:r w:rsidR="00EF3FBF">
        <w:t xml:space="preserve"> </w:t>
      </w:r>
      <w:r>
        <w:t>It is not necessary in this case to determine precisely what constitutes deprivation.</w:t>
      </w:r>
      <w:r w:rsidR="00EF3FBF">
        <w:t xml:space="preserve"> </w:t>
      </w:r>
      <w:r>
        <w:t xml:space="preserve"> No more need be said </w:t>
      </w:r>
      <w:proofErr w:type="spellStart"/>
      <w:r>
        <w:t>than</w:t>
      </w:r>
      <w:proofErr w:type="spellEnd"/>
      <w:r>
        <w:t xml:space="preserve"> that at the very least, </w:t>
      </w:r>
      <w:r w:rsidRPr="00BB20AA">
        <w:rPr>
          <w:i/>
        </w:rPr>
        <w:t xml:space="preserve">substantial interference </w:t>
      </w:r>
      <w:r w:rsidRPr="00CF231F">
        <w:t>or</w:t>
      </w:r>
      <w:r w:rsidRPr="00BB20AA">
        <w:rPr>
          <w:i/>
        </w:rPr>
        <w:t xml:space="preserve"> </w:t>
      </w:r>
      <w:r w:rsidRPr="00BB20AA">
        <w:t>limitation</w:t>
      </w:r>
      <w:r>
        <w:t xml:space="preserve"> that </w:t>
      </w:r>
      <w:r w:rsidRPr="00F1047F">
        <w:t>goes beyond the normal restrictions on property use or enjoyment found in an open and democratic society</w:t>
      </w:r>
      <w:r w:rsidR="005B41A4">
        <w:t xml:space="preserve"> would amount to deprivation.”</w:t>
      </w:r>
      <w:r>
        <w:rPr>
          <w:rStyle w:val="FootnoteReference"/>
        </w:rPr>
        <w:footnoteReference w:id="42"/>
      </w:r>
    </w:p>
    <w:p w14:paraId="4FE3EE36" w14:textId="77777777" w:rsidR="00BB20AA" w:rsidRPr="00BB20AA" w:rsidRDefault="00BB20AA" w:rsidP="00BB20AA">
      <w:pPr>
        <w:pStyle w:val="JUDGMENTCONTINUED"/>
      </w:pPr>
    </w:p>
    <w:p w14:paraId="76367F95" w14:textId="77777777" w:rsidR="006C348C" w:rsidRDefault="00BB20AA" w:rsidP="006C348C">
      <w:pPr>
        <w:pStyle w:val="JUDGMENTNUMBERED"/>
        <w:widowControl w:val="0"/>
        <w:numPr>
          <w:ilvl w:val="0"/>
          <w:numId w:val="2"/>
        </w:numPr>
        <w:autoSpaceDE w:val="0"/>
        <w:autoSpaceDN w:val="0"/>
        <w:ind w:left="0" w:firstLine="0"/>
      </w:pPr>
      <w:r>
        <w:t xml:space="preserve">The Court in </w:t>
      </w:r>
      <w:proofErr w:type="spellStart"/>
      <w:r w:rsidRPr="00E943FC">
        <w:rPr>
          <w:i/>
        </w:rPr>
        <w:t>Mkontwana</w:t>
      </w:r>
      <w:proofErr w:type="spellEnd"/>
      <w:r>
        <w:t xml:space="preserve"> thus did not delineate the precise ambit of what constitutes “deprivation”</w:t>
      </w:r>
      <w:r w:rsidR="000334EF">
        <w:t>, but noted that</w:t>
      </w:r>
      <w:r>
        <w:t xml:space="preserve"> a substantial limitation, beyond the normal expected restrictions on property, would constitute deprivation.</w:t>
      </w:r>
    </w:p>
    <w:p w14:paraId="23C95B89" w14:textId="77777777" w:rsidR="003C7DED" w:rsidRDefault="003C7DED" w:rsidP="003C7DED">
      <w:pPr>
        <w:pStyle w:val="JUDGMENTNUMBERED"/>
        <w:widowControl w:val="0"/>
        <w:numPr>
          <w:ilvl w:val="0"/>
          <w:numId w:val="0"/>
        </w:numPr>
        <w:autoSpaceDE w:val="0"/>
        <w:autoSpaceDN w:val="0"/>
      </w:pPr>
    </w:p>
    <w:p w14:paraId="7EC95987" w14:textId="77777777" w:rsidR="003C7DED" w:rsidRPr="00102383" w:rsidRDefault="003C7DED" w:rsidP="003C7DED">
      <w:pPr>
        <w:pStyle w:val="JUDGMENTNUMBERED"/>
        <w:widowControl w:val="0"/>
        <w:numPr>
          <w:ilvl w:val="0"/>
          <w:numId w:val="2"/>
        </w:numPr>
        <w:autoSpaceDE w:val="0"/>
        <w:autoSpaceDN w:val="0"/>
        <w:ind w:left="0" w:firstLine="0"/>
      </w:pPr>
      <w:r w:rsidRPr="00102383">
        <w:t xml:space="preserve">This Court again had occasion to comment on the deprivation analysis in </w:t>
      </w:r>
      <w:proofErr w:type="spellStart"/>
      <w:r w:rsidRPr="00102383">
        <w:rPr>
          <w:i/>
        </w:rPr>
        <w:t>Offit</w:t>
      </w:r>
      <w:proofErr w:type="spellEnd"/>
      <w:r w:rsidRPr="00102383">
        <w:t>.  It affirmed that there must be a “substantial interference”, and developed the enquiry:</w:t>
      </w:r>
    </w:p>
    <w:p w14:paraId="0D7C8A2E" w14:textId="77777777" w:rsidR="003C7DED" w:rsidRPr="00102383" w:rsidRDefault="003C7DED" w:rsidP="003C7DED">
      <w:pPr>
        <w:pStyle w:val="QUOTATION"/>
      </w:pPr>
    </w:p>
    <w:p w14:paraId="7DCDBD2E" w14:textId="4A3DEBF4" w:rsidR="003C7DED" w:rsidRPr="00102383" w:rsidRDefault="003C7DED" w:rsidP="003C7DED">
      <w:pPr>
        <w:pStyle w:val="QUOTATION"/>
      </w:pPr>
      <w:r w:rsidRPr="00102383">
        <w:t>“Our jurisprudence is clear that t</w:t>
      </w:r>
      <w:r w:rsidR="001007A9">
        <w:t>he physical taking of property</w:t>
      </w:r>
      <w:r w:rsidRPr="00102383">
        <w:t xml:space="preserve"> is not required to constitute a deprivation, and it suffices for one or more of the entitlements of ownership to be impacted upon. </w:t>
      </w:r>
      <w:r w:rsidR="00EF3FBF">
        <w:t xml:space="preserve"> </w:t>
      </w:r>
      <w:r w:rsidRPr="00102383">
        <w:t xml:space="preserve">Whilst direct or physical interference is not necessary, the impact must be of </w:t>
      </w:r>
      <w:r w:rsidRPr="00102383">
        <w:rPr>
          <w:i/>
        </w:rPr>
        <w:t>sufficient magnitude to warrant constitutional engagement</w:t>
      </w:r>
      <w:r w:rsidRPr="00102383">
        <w:t>.</w:t>
      </w:r>
      <w:r w:rsidR="00EF3FBF">
        <w:t xml:space="preserve"> </w:t>
      </w:r>
      <w:r w:rsidRPr="00102383">
        <w:t xml:space="preserve"> A court must give consideration to the extent to which the u</w:t>
      </w:r>
      <w:r w:rsidR="001007A9">
        <w:t>se and the enjoyment of land have</w:t>
      </w:r>
      <w:r w:rsidRPr="00102383">
        <w:t xml:space="preserve"> been diminished.”</w:t>
      </w:r>
      <w:r w:rsidRPr="00D551C2">
        <w:rPr>
          <w:vertAlign w:val="superscript"/>
        </w:rPr>
        <w:footnoteReference w:id="43"/>
      </w:r>
    </w:p>
    <w:p w14:paraId="58DF8FEF" w14:textId="77777777" w:rsidR="003C7DED" w:rsidRPr="00102383" w:rsidRDefault="003C7DED" w:rsidP="00C07169">
      <w:pPr>
        <w:pStyle w:val="JUDGMENTCONTINUED"/>
      </w:pPr>
    </w:p>
    <w:p w14:paraId="13A1B857" w14:textId="1E2EFB31" w:rsidR="003C7DED" w:rsidRPr="00102383" w:rsidRDefault="0062612E" w:rsidP="003C7DED">
      <w:pPr>
        <w:pStyle w:val="JUDGMENTNUMBERED"/>
        <w:widowControl w:val="0"/>
        <w:numPr>
          <w:ilvl w:val="0"/>
          <w:numId w:val="2"/>
        </w:numPr>
        <w:autoSpaceDE w:val="0"/>
        <w:autoSpaceDN w:val="0"/>
        <w:ind w:left="0" w:firstLine="0"/>
      </w:pPr>
      <w:r>
        <w:t>T</w:t>
      </w:r>
      <w:r w:rsidR="003C7DED" w:rsidRPr="00102383">
        <w:t xml:space="preserve">he Court in </w:t>
      </w:r>
      <w:proofErr w:type="spellStart"/>
      <w:r w:rsidR="003C7DED" w:rsidRPr="00102383">
        <w:rPr>
          <w:i/>
        </w:rPr>
        <w:t>Offit</w:t>
      </w:r>
      <w:proofErr w:type="spellEnd"/>
      <w:r w:rsidR="003C7DED" w:rsidRPr="00102383">
        <w:t xml:space="preserve"> rejected an argument that the continued threat of expropriation, which could have a negative effect on the market value of the property, was sufficient to constitute a deprivation of property as envisaged in section</w:t>
      </w:r>
      <w:r w:rsidR="00A11253">
        <w:t> </w:t>
      </w:r>
      <w:r w:rsidR="003C7DED" w:rsidRPr="00102383">
        <w:t>25(1).</w:t>
      </w:r>
      <w:r w:rsidR="00F0646C" w:rsidRPr="00102383">
        <w:rPr>
          <w:rStyle w:val="FootnoteReference"/>
        </w:rPr>
        <w:footnoteReference w:id="44"/>
      </w:r>
    </w:p>
    <w:p w14:paraId="3E29A664" w14:textId="77777777" w:rsidR="0012280D" w:rsidRPr="00102383" w:rsidRDefault="0012280D" w:rsidP="0012280D">
      <w:pPr>
        <w:pStyle w:val="JUDGMENTCONTINUED"/>
      </w:pPr>
    </w:p>
    <w:p w14:paraId="5EE11A6D" w14:textId="63AD9A99" w:rsidR="0012280D" w:rsidRPr="00102383" w:rsidRDefault="0012280D" w:rsidP="006177A7">
      <w:pPr>
        <w:pStyle w:val="JUDGMENTNUMBERED"/>
        <w:widowControl w:val="0"/>
        <w:numPr>
          <w:ilvl w:val="0"/>
          <w:numId w:val="2"/>
        </w:numPr>
        <w:autoSpaceDE w:val="0"/>
        <w:autoSpaceDN w:val="0"/>
        <w:ind w:left="0" w:firstLine="0"/>
      </w:pPr>
      <w:r w:rsidRPr="00102383">
        <w:t xml:space="preserve">This Court also had occasion to consider its approach to the deprivation analysis in </w:t>
      </w:r>
      <w:r w:rsidRPr="00102383">
        <w:rPr>
          <w:i/>
        </w:rPr>
        <w:t>Link Africa</w:t>
      </w:r>
      <w:r w:rsidRPr="00102383">
        <w:t>.</w:t>
      </w:r>
      <w:r w:rsidRPr="00102383">
        <w:rPr>
          <w:rStyle w:val="FootnoteReference"/>
        </w:rPr>
        <w:footnoteReference w:id="45"/>
      </w:r>
      <w:r w:rsidR="006177A7" w:rsidRPr="00102383">
        <w:t xml:space="preserve">  </w:t>
      </w:r>
      <w:r w:rsidRPr="00102383">
        <w:t>Dealing with section</w:t>
      </w:r>
      <w:r w:rsidR="00F470BB">
        <w:t> </w:t>
      </w:r>
      <w:r w:rsidRPr="00102383">
        <w:t>22 of the Electronic Communications Act,</w:t>
      </w:r>
      <w:r w:rsidRPr="00102383">
        <w:rPr>
          <w:rStyle w:val="FootnoteReference"/>
        </w:rPr>
        <w:footnoteReference w:id="46"/>
      </w:r>
      <w:r w:rsidR="006177A7" w:rsidRPr="00102383">
        <w:t xml:space="preserve"> which permitted electronic communications network service licensees to enter onto municipal land and install and maintain communications infrastructure,</w:t>
      </w:r>
      <w:r w:rsidRPr="00102383">
        <w:t xml:space="preserve"> the Court set out the enquiry as follows:</w:t>
      </w:r>
    </w:p>
    <w:p w14:paraId="7CBFA81A" w14:textId="77777777" w:rsidR="0012280D" w:rsidRPr="00102383" w:rsidRDefault="0012280D" w:rsidP="0012280D">
      <w:pPr>
        <w:pStyle w:val="QUOTATION"/>
      </w:pPr>
    </w:p>
    <w:p w14:paraId="5FA0EBD9" w14:textId="77777777" w:rsidR="0012280D" w:rsidRPr="00102383" w:rsidRDefault="0012280D" w:rsidP="0012280D">
      <w:pPr>
        <w:pStyle w:val="QUOTATION"/>
      </w:pPr>
      <w:r w:rsidRPr="00102383">
        <w:t xml:space="preserve">“Does section 22 inflict a deprivation?  This </w:t>
      </w:r>
      <w:r w:rsidRPr="00102383">
        <w:rPr>
          <w:i/>
        </w:rPr>
        <w:t>depends on the extent of the intrusion</w:t>
      </w:r>
      <w:r w:rsidRPr="00102383">
        <w:t xml:space="preserve"> in the property or limitation of its use or enjoyment.  </w:t>
      </w:r>
      <w:r w:rsidRPr="00102383">
        <w:rPr>
          <w:shd w:val="clear" w:color="auto" w:fill="FFFFFF"/>
        </w:rPr>
        <w:t>There must be interference with property</w:t>
      </w:r>
      <w:r w:rsidR="006177A7" w:rsidRPr="00102383">
        <w:rPr>
          <w:shd w:val="clear" w:color="auto" w:fill="FFFFFF"/>
        </w:rPr>
        <w:t xml:space="preserve"> that is significant enough to ‘</w:t>
      </w:r>
      <w:r w:rsidRPr="00102383">
        <w:rPr>
          <w:shd w:val="clear" w:color="auto" w:fill="FFFFFF"/>
        </w:rPr>
        <w:t xml:space="preserve">have a legally relevant impact on the rights of the affected party before deprivation of property </w:t>
      </w:r>
      <w:r w:rsidR="006177A7" w:rsidRPr="00102383">
        <w:rPr>
          <w:shd w:val="clear" w:color="auto" w:fill="FFFFFF"/>
        </w:rPr>
        <w:t>under section 25 is established’</w:t>
      </w:r>
      <w:r w:rsidRPr="00102383">
        <w:rPr>
          <w:shd w:val="clear" w:color="auto" w:fill="FFFFFF"/>
        </w:rPr>
        <w:t>.</w:t>
      </w:r>
      <w:r w:rsidR="006177A7" w:rsidRPr="00102383">
        <w:rPr>
          <w:shd w:val="clear" w:color="auto" w:fill="FFFFFF"/>
        </w:rPr>
        <w:t>”</w:t>
      </w:r>
      <w:r w:rsidRPr="00102383">
        <w:rPr>
          <w:shd w:val="clear" w:color="auto" w:fill="FFFFFF"/>
          <w:vertAlign w:val="superscript"/>
        </w:rPr>
        <w:footnoteReference w:id="47"/>
      </w:r>
    </w:p>
    <w:p w14:paraId="3B84CE28" w14:textId="77777777" w:rsidR="0012280D" w:rsidRPr="00102383" w:rsidRDefault="0012280D" w:rsidP="0012280D">
      <w:pPr>
        <w:pStyle w:val="JUDGMENTCONTINUED"/>
      </w:pPr>
    </w:p>
    <w:p w14:paraId="70E5A4B4" w14:textId="77777777" w:rsidR="006177A7" w:rsidRPr="00102383" w:rsidRDefault="006177A7" w:rsidP="006177A7">
      <w:pPr>
        <w:pStyle w:val="JUDGMENTNUMBERED"/>
        <w:widowControl w:val="0"/>
        <w:numPr>
          <w:ilvl w:val="0"/>
          <w:numId w:val="2"/>
        </w:numPr>
        <w:autoSpaceDE w:val="0"/>
        <w:autoSpaceDN w:val="0"/>
        <w:ind w:left="0" w:firstLine="0"/>
      </w:pPr>
      <w:r w:rsidRPr="00102383">
        <w:t>In that case, it was held that there was no deprivation, as it had not been shown that Link Africa’s intended actions amounted to substantial interference with the City’s infrastructure:</w:t>
      </w:r>
    </w:p>
    <w:p w14:paraId="34EC74DE" w14:textId="77777777" w:rsidR="006177A7" w:rsidRPr="00102383" w:rsidRDefault="006177A7" w:rsidP="006177A7">
      <w:pPr>
        <w:pStyle w:val="QUOTATION"/>
      </w:pPr>
    </w:p>
    <w:p w14:paraId="6E4C3CA4" w14:textId="15B25048" w:rsidR="006177A7" w:rsidRPr="00102383" w:rsidRDefault="00EA25B2" w:rsidP="006177A7">
      <w:pPr>
        <w:pStyle w:val="QUOTATION"/>
      </w:pPr>
      <w:r>
        <w:lastRenderedPageBreak/>
        <w:t>“In this c</w:t>
      </w:r>
      <w:r w:rsidR="001007A9">
        <w:t>ourt</w:t>
      </w:r>
      <w:r w:rsidR="006177A7" w:rsidRPr="00102383">
        <w:t xml:space="preserve"> the City has equally shown no harm. . . .  There is no iota of evidence that installing Link Africa’s electronic communications network damages or impairs City infrastructure.  Nor is there any evidence that it could cause harm or prejudice to the City or its people.  Precisely put, the City has</w:t>
      </w:r>
      <w:r w:rsidR="00CB4758">
        <w:t xml:space="preserve"> provided no evidence that Link </w:t>
      </w:r>
      <w:r w:rsidR="006177A7" w:rsidRPr="00102383">
        <w:t>Africa’s installation of fibre-optic cables is beyond normal restriction of use and enjoyment of the property where the cables are installed.”</w:t>
      </w:r>
      <w:r w:rsidR="006177A7" w:rsidRPr="00102383">
        <w:rPr>
          <w:rStyle w:val="FootnoteReference"/>
        </w:rPr>
        <w:footnoteReference w:id="48"/>
      </w:r>
    </w:p>
    <w:p w14:paraId="7DBF512A" w14:textId="77777777" w:rsidR="006177A7" w:rsidRPr="00102383" w:rsidRDefault="006177A7" w:rsidP="006177A7">
      <w:pPr>
        <w:pStyle w:val="JUDGMENTNUMBERED"/>
        <w:numPr>
          <w:ilvl w:val="0"/>
          <w:numId w:val="0"/>
        </w:numPr>
      </w:pPr>
    </w:p>
    <w:p w14:paraId="2F99C68C" w14:textId="2C73C2E2" w:rsidR="006177A7" w:rsidRPr="006177A7" w:rsidRDefault="006177A7" w:rsidP="006177A7">
      <w:pPr>
        <w:pStyle w:val="JUDGMENTNUMBERED"/>
        <w:widowControl w:val="0"/>
        <w:numPr>
          <w:ilvl w:val="0"/>
          <w:numId w:val="2"/>
        </w:numPr>
        <w:autoSpaceDE w:val="0"/>
        <w:autoSpaceDN w:val="0"/>
        <w:ind w:left="0" w:firstLine="0"/>
      </w:pPr>
      <w:r w:rsidRPr="00102383">
        <w:t xml:space="preserve">This Court’s approach to the deprivation enquiry may be summarised thus: there will be a deprivation only where the </w:t>
      </w:r>
      <w:r w:rsidR="00F6011C">
        <w:t>interference</w:t>
      </w:r>
      <w:r w:rsidR="00C32649">
        <w:t xml:space="preserve"> is “substantial”</w:t>
      </w:r>
      <w:r w:rsidR="00DE044B">
        <w:t xml:space="preserve"> – </w:t>
      </w:r>
      <w:r w:rsidR="000C59C0">
        <w:t xml:space="preserve">meaning that </w:t>
      </w:r>
      <w:r w:rsidR="00C32649">
        <w:t xml:space="preserve">the </w:t>
      </w:r>
      <w:r>
        <w:t xml:space="preserve">intrusion </w:t>
      </w:r>
      <w:r w:rsidR="00C32649">
        <w:t>must be</w:t>
      </w:r>
      <w:r>
        <w:t xml:space="preserve"> </w:t>
      </w:r>
      <w:r w:rsidR="006F2030">
        <w:t xml:space="preserve">so extensive </w:t>
      </w:r>
      <w:r>
        <w:t xml:space="preserve">that it has a legally </w:t>
      </w:r>
      <w:r w:rsidR="00EA25B2">
        <w:t>relevant</w:t>
      </w:r>
      <w:r>
        <w:t xml:space="preserve"> impact o</w:t>
      </w:r>
      <w:r w:rsidR="009D22F4">
        <w:t>n</w:t>
      </w:r>
      <w:r>
        <w:t xml:space="preserve"> the </w:t>
      </w:r>
      <w:r w:rsidR="001007A9">
        <w:t>rights of the affected party.</w:t>
      </w:r>
    </w:p>
    <w:p w14:paraId="3962C04D" w14:textId="77777777" w:rsidR="006177A7" w:rsidRPr="006177A7" w:rsidRDefault="006177A7" w:rsidP="006177A7">
      <w:pPr>
        <w:pStyle w:val="JUDGMENTCONTINUED"/>
      </w:pPr>
    </w:p>
    <w:p w14:paraId="1C7822D7" w14:textId="305D65C1" w:rsidR="009857A6" w:rsidRPr="00D3465D" w:rsidRDefault="001678F8" w:rsidP="0062612E">
      <w:pPr>
        <w:pStyle w:val="JUDGMENTNUMBERED"/>
        <w:widowControl w:val="0"/>
        <w:numPr>
          <w:ilvl w:val="0"/>
          <w:numId w:val="2"/>
        </w:numPr>
        <w:autoSpaceDE w:val="0"/>
        <w:autoSpaceDN w:val="0"/>
        <w:ind w:left="0" w:firstLine="0"/>
      </w:pPr>
      <w:r>
        <w:t>In order to consider whether there has been a deprivation in this instance</w:t>
      </w:r>
      <w:r w:rsidR="009857A6" w:rsidRPr="003B1984">
        <w:t>, we must consider what it is that section</w:t>
      </w:r>
      <w:r w:rsidR="0059538E">
        <w:t> </w:t>
      </w:r>
      <w:r w:rsidR="009857A6" w:rsidRPr="003B1984">
        <w:t>20A takes away from producers and dealers.</w:t>
      </w:r>
      <w:r w:rsidR="009857A6">
        <w:t xml:space="preserve"> </w:t>
      </w:r>
      <w:r w:rsidR="0062612E">
        <w:t xml:space="preserve"> </w:t>
      </w:r>
      <w:r w:rsidR="00FC2EB4">
        <w:t xml:space="preserve">As explained above, </w:t>
      </w:r>
      <w:r w:rsidR="009857A6">
        <w:t>SADPO contends that producers and dealers are deprived of 30% of the market value of the diamonds they sell</w:t>
      </w:r>
      <w:r w:rsidR="00FC2EB4">
        <w:t>.  T</w:t>
      </w:r>
      <w:r w:rsidR="009857A6">
        <w:t xml:space="preserve">his constitutes interference with their </w:t>
      </w:r>
      <w:r w:rsidR="009857A6" w:rsidRPr="00D3465D">
        <w:t xml:space="preserve">members’ </w:t>
      </w:r>
      <w:r w:rsidR="00F0646C" w:rsidRPr="00D3465D">
        <w:t>right to alienate the</w:t>
      </w:r>
      <w:r w:rsidR="006809FF">
        <w:t>ir</w:t>
      </w:r>
      <w:r w:rsidR="00F0646C" w:rsidRPr="00D3465D">
        <w:t xml:space="preserve"> property</w:t>
      </w:r>
      <w:r w:rsidR="009D22F4">
        <w:t>, which</w:t>
      </w:r>
      <w:r w:rsidR="009857A6" w:rsidRPr="00D3465D">
        <w:t xml:space="preserve"> </w:t>
      </w:r>
      <w:r w:rsidR="0062612E" w:rsidRPr="00D3465D">
        <w:t>they argue</w:t>
      </w:r>
      <w:r w:rsidR="009857A6" w:rsidRPr="00D3465D">
        <w:t xml:space="preserve"> includes the right to obtain the highest possible price for that property.</w:t>
      </w:r>
    </w:p>
    <w:p w14:paraId="47DD55EA" w14:textId="77777777" w:rsidR="009857A6" w:rsidRPr="00D3465D" w:rsidRDefault="009857A6" w:rsidP="009857A6">
      <w:pPr>
        <w:pStyle w:val="JUDGMENTCONTINUED"/>
      </w:pPr>
    </w:p>
    <w:p w14:paraId="1135DA9C" w14:textId="4100DA87" w:rsidR="00402108" w:rsidRPr="00D3465D" w:rsidRDefault="009857A6" w:rsidP="00402108">
      <w:pPr>
        <w:pStyle w:val="JUDGMENTNUMBERED"/>
        <w:widowControl w:val="0"/>
        <w:numPr>
          <w:ilvl w:val="0"/>
          <w:numId w:val="2"/>
        </w:numPr>
        <w:autoSpaceDE w:val="0"/>
        <w:autoSpaceDN w:val="0"/>
        <w:ind w:left="0" w:firstLine="0"/>
      </w:pPr>
      <w:r w:rsidRPr="00D3465D">
        <w:t>Does section</w:t>
      </w:r>
      <w:r w:rsidR="0059538E">
        <w:t> </w:t>
      </w:r>
      <w:r w:rsidRPr="00D3465D">
        <w:t xml:space="preserve">20A interfere with </w:t>
      </w:r>
      <w:r w:rsidR="00D44D1A" w:rsidRPr="00D3465D">
        <w:t xml:space="preserve">producers’ and dealers’ </w:t>
      </w:r>
      <w:r w:rsidR="00F73429" w:rsidRPr="00D3465D">
        <w:t xml:space="preserve">right to alienate </w:t>
      </w:r>
      <w:r w:rsidRPr="00D3465D">
        <w:t>the</w:t>
      </w:r>
      <w:r w:rsidR="00D44D1A" w:rsidRPr="00D3465D">
        <w:t>ir</w:t>
      </w:r>
      <w:r w:rsidRPr="00D3465D">
        <w:t xml:space="preserve"> diamonds in a legally </w:t>
      </w:r>
      <w:r w:rsidR="006809FF">
        <w:t>relevant</w:t>
      </w:r>
      <w:r w:rsidRPr="00D3465D">
        <w:t xml:space="preserve"> way?</w:t>
      </w:r>
      <w:r w:rsidR="00537845">
        <w:t xml:space="preserve"> </w:t>
      </w:r>
      <w:r w:rsidRPr="00D3465D">
        <w:t xml:space="preserve"> Surely not. </w:t>
      </w:r>
      <w:r w:rsidR="00402108" w:rsidRPr="00D3465D">
        <w:t xml:space="preserve"> The first hurdle for SADPO is that the deprivation analysis requires an enquiry into the extent of the interference with the right in question.  Even assuming that the involvement of an unlicensed foreigner is necessary to determining, and thus obtaining, the full market value of unpolished diamonds, on the facts before the Court it is impossible to quantify the “loss” SADPO’s members have suffered as a direct result of section</w:t>
      </w:r>
      <w:r w:rsidR="004A16FB">
        <w:t> </w:t>
      </w:r>
      <w:r w:rsidR="00402108" w:rsidRPr="00D3465D">
        <w:t>20A.  SADPO argues that the price of diamonds has dropped by 30% since the presence of unlicensed persons has been prohibited by section</w:t>
      </w:r>
      <w:r w:rsidR="004A16FB">
        <w:t> </w:t>
      </w:r>
      <w:r w:rsidR="00402108" w:rsidRPr="00D3465D">
        <w:t>20A.  As a result, it contends that producers and dealers are deprived of 30% of the value of their diamo</w:t>
      </w:r>
      <w:r w:rsidR="000513BB">
        <w:t xml:space="preserve">nds.  The respondents, however, </w:t>
      </w:r>
      <w:r w:rsidR="00402108" w:rsidRPr="00D3465D">
        <w:t xml:space="preserve">allege that the 30% referred to is actually </w:t>
      </w:r>
      <w:r w:rsidR="00402108" w:rsidRPr="00F51E07">
        <w:t xml:space="preserve">the lost commission opportunity, </w:t>
      </w:r>
      <w:r w:rsidR="00402108" w:rsidRPr="00F51E07">
        <w:lastRenderedPageBreak/>
        <w:t xml:space="preserve">rather than the fair market value of the diamonds.  </w:t>
      </w:r>
      <w:r w:rsidR="00B1215D" w:rsidRPr="00F51E07">
        <w:t xml:space="preserve">Nothing in the way of empirical evidence for this alleged drop in price is included in the papers.  SADPO’s argument on this score is vague and speculative.  </w:t>
      </w:r>
      <w:r w:rsidR="003F41D8" w:rsidRPr="00F51E07">
        <w:t xml:space="preserve">As was the case in </w:t>
      </w:r>
      <w:r w:rsidR="003F41D8" w:rsidRPr="00F51E07">
        <w:rPr>
          <w:i/>
        </w:rPr>
        <w:t>Link Africa</w:t>
      </w:r>
      <w:r w:rsidR="003F41D8" w:rsidRPr="00F51E07">
        <w:t xml:space="preserve">, no loss has been proved.  </w:t>
      </w:r>
      <w:r w:rsidR="00402108" w:rsidRPr="00F51E07">
        <w:t>It is not clear how the Court can, in the circumstances, make a finding that there has been interference to the extent</w:t>
      </w:r>
      <w:r w:rsidR="00402108" w:rsidRPr="00D3465D">
        <w:t xml:space="preserve"> that constitutes a “deprivation”.  It is not even clear on the facts whether the interference has any impact on the value of SADPO’s members’ property at all.</w:t>
      </w:r>
    </w:p>
    <w:p w14:paraId="5A105C07" w14:textId="77777777" w:rsidR="00402108" w:rsidRPr="00D3465D" w:rsidRDefault="00402108" w:rsidP="00402108">
      <w:pPr>
        <w:pStyle w:val="JUDGMENTCONTINUED"/>
      </w:pPr>
    </w:p>
    <w:p w14:paraId="40A74BB7" w14:textId="16E6BFEE" w:rsidR="00402108" w:rsidRPr="009127FA" w:rsidRDefault="00402108" w:rsidP="005D5274">
      <w:pPr>
        <w:pStyle w:val="JUDGMENTNUMBERED"/>
        <w:widowControl w:val="0"/>
        <w:numPr>
          <w:ilvl w:val="0"/>
          <w:numId w:val="2"/>
        </w:numPr>
        <w:autoSpaceDE w:val="0"/>
        <w:autoSpaceDN w:val="0"/>
        <w:ind w:left="0" w:firstLine="0"/>
      </w:pPr>
      <w:r w:rsidRPr="009127FA">
        <w:t>Further, an attempt to calculate the alleged loss in value is beset by the difficulty of locating the point in time at which the “loss” is to be measured.</w:t>
      </w:r>
      <w:r w:rsidR="00726C8D" w:rsidRPr="009127FA">
        <w:t xml:space="preserve">  Measuring the extent of the loss entails comparing the price of unpolished diamonds at a past point in time, to the price sometime after the amendments were effected.  But which future price are we to use for purposes of comparison</w:t>
      </w:r>
      <w:r w:rsidR="005D5274" w:rsidRPr="009127FA">
        <w:t>?  Should this be t</w:t>
      </w:r>
      <w:r w:rsidRPr="009127FA">
        <w:t>he price directly aft</w:t>
      </w:r>
      <w:r w:rsidR="005D5274" w:rsidRPr="009127FA">
        <w:t>er the amendments were effected?  The price a year later, once the market has adapted to the new regulations?  T</w:t>
      </w:r>
      <w:r w:rsidRPr="009127FA">
        <w:t xml:space="preserve">he </w:t>
      </w:r>
      <w:proofErr w:type="gramStart"/>
      <w:r w:rsidRPr="009127FA">
        <w:t>price at the time papers were</w:t>
      </w:r>
      <w:proofErr w:type="gramEnd"/>
      <w:r w:rsidRPr="009127FA">
        <w:t xml:space="preserve"> filed</w:t>
      </w:r>
      <w:r w:rsidR="005D5274" w:rsidRPr="009127FA">
        <w:t xml:space="preserve">?  In any market, business adapts to new regulation and creates new business practices around that regulation.  </w:t>
      </w:r>
      <w:r w:rsidRPr="009127FA">
        <w:t>A market is an ever-changing place, with the market value of goods similarly fluid.  It is not possible to consider the effect of section</w:t>
      </w:r>
      <w:r w:rsidR="0059538E">
        <w:t> </w:t>
      </w:r>
      <w:r w:rsidRPr="009127FA">
        <w:t>20A as though the market would not otherwise have changed.  Again, it seems it is not possible on the facts before us to assess whether the interference in question is sufficiently substantial to constitute a “deprivation”.</w:t>
      </w:r>
    </w:p>
    <w:p w14:paraId="6D1076C8" w14:textId="77777777" w:rsidR="00402108" w:rsidRPr="00402108" w:rsidRDefault="00402108" w:rsidP="00F1047F">
      <w:pPr>
        <w:pStyle w:val="JUDGMENTCONTINUED"/>
      </w:pPr>
    </w:p>
    <w:p w14:paraId="2BA9C58D" w14:textId="1DF7C241" w:rsidR="00DD46FA" w:rsidRDefault="00A054D3" w:rsidP="00F1047F">
      <w:pPr>
        <w:pStyle w:val="JUDGMENTNUMBERED"/>
        <w:widowControl w:val="0"/>
        <w:numPr>
          <w:ilvl w:val="0"/>
          <w:numId w:val="2"/>
        </w:numPr>
        <w:autoSpaceDE w:val="0"/>
        <w:autoSpaceDN w:val="0"/>
        <w:ind w:left="0" w:firstLine="0"/>
      </w:pPr>
      <w:r>
        <w:t>Moreover</w:t>
      </w:r>
      <w:r w:rsidR="00402108">
        <w:t>, even if the loss were proved to our satisfaction,</w:t>
      </w:r>
      <w:r w:rsidR="009857A6" w:rsidRPr="00102383">
        <w:t xml:space="preserve"> </w:t>
      </w:r>
      <w:r w:rsidR="00402108">
        <w:t>there would still be no deprivation, as n</w:t>
      </w:r>
      <w:r w:rsidR="006177A7" w:rsidRPr="00102383">
        <w:t>o legal</w:t>
      </w:r>
      <w:r w:rsidR="009B52D1" w:rsidRPr="00102383">
        <w:t xml:space="preserve">ly protectable interest or </w:t>
      </w:r>
      <w:r w:rsidR="006177A7" w:rsidRPr="00102383">
        <w:t>entitlement is removed by section</w:t>
      </w:r>
      <w:r w:rsidR="0025449A">
        <w:t> </w:t>
      </w:r>
      <w:r w:rsidR="006177A7" w:rsidRPr="00102383">
        <w:t xml:space="preserve">20A.  </w:t>
      </w:r>
      <w:r w:rsidR="00402108">
        <w:t>P</w:t>
      </w:r>
      <w:r w:rsidR="009857A6" w:rsidRPr="00102383">
        <w:t>roducers and dealers are still permitted to sell their diamonds, and to realise full market value</w:t>
      </w:r>
      <w:r w:rsidR="00F230D2" w:rsidRPr="00102383">
        <w:t xml:space="preserve"> for them</w:t>
      </w:r>
      <w:r w:rsidR="009857A6" w:rsidRPr="00102383">
        <w:t xml:space="preserve">. </w:t>
      </w:r>
      <w:r w:rsidR="00EF3FBF">
        <w:t xml:space="preserve"> </w:t>
      </w:r>
      <w:r w:rsidR="009857A6" w:rsidRPr="00102383">
        <w:t>Section</w:t>
      </w:r>
      <w:r w:rsidR="0059538E">
        <w:t> </w:t>
      </w:r>
      <w:r w:rsidR="009857A6" w:rsidRPr="00102383">
        <w:t xml:space="preserve">20A does not prohibit sale, nor does it require that a portion of the proceeds be donated to the state. </w:t>
      </w:r>
      <w:r w:rsidR="00F230D2" w:rsidRPr="00102383">
        <w:t xml:space="preserve"> What is limited is the way in which producers and dealers are to conduct sales – not the right to sell itself.  </w:t>
      </w:r>
      <w:r w:rsidR="00DD46FA">
        <w:t>P</w:t>
      </w:r>
      <w:r w:rsidR="009B52D1" w:rsidRPr="00102383">
        <w:t>roducers and dealers still have the same right as before to obtain the highest possible price for the</w:t>
      </w:r>
      <w:r w:rsidR="00F230D2" w:rsidRPr="00102383">
        <w:t xml:space="preserve"> diamonds they sell.  </w:t>
      </w:r>
      <w:r w:rsidR="00DD46FA">
        <w:t xml:space="preserve">What has changed is (1) the </w:t>
      </w:r>
      <w:r w:rsidR="00DD46FA" w:rsidRPr="009127FA">
        <w:rPr>
          <w:i/>
        </w:rPr>
        <w:t>manner</w:t>
      </w:r>
      <w:r w:rsidR="00DD46FA">
        <w:t xml:space="preserve"> in which they may </w:t>
      </w:r>
      <w:r w:rsidR="00402108">
        <w:t>alienate their diamonds</w:t>
      </w:r>
      <w:r w:rsidR="00DD46FA">
        <w:t xml:space="preserve">; and (2) </w:t>
      </w:r>
      <w:r w:rsidR="009B52D1" w:rsidRPr="00102383">
        <w:t xml:space="preserve">the market conditions that determine </w:t>
      </w:r>
      <w:r w:rsidR="00EA25B2">
        <w:t>what the</w:t>
      </w:r>
      <w:r w:rsidR="00F230D2" w:rsidRPr="00102383">
        <w:t xml:space="preserve"> </w:t>
      </w:r>
      <w:r w:rsidR="00F230D2" w:rsidRPr="009127FA">
        <w:rPr>
          <w:i/>
        </w:rPr>
        <w:lastRenderedPageBreak/>
        <w:t>highest price</w:t>
      </w:r>
      <w:r w:rsidR="00F230D2" w:rsidRPr="00102383">
        <w:t xml:space="preserve"> will be, as producers and dealers are no longer entitled to obtain the assistance of unlicensed persons when determining the price of their diamonds</w:t>
      </w:r>
      <w:r w:rsidR="00745490">
        <w:t>, except at a DEEC</w:t>
      </w:r>
      <w:r w:rsidR="00F230D2" w:rsidRPr="00102383">
        <w:t>.</w:t>
      </w:r>
    </w:p>
    <w:p w14:paraId="2B0C8578" w14:textId="77777777" w:rsidR="009127FA" w:rsidRPr="009127FA" w:rsidRDefault="009127FA" w:rsidP="009127FA">
      <w:pPr>
        <w:pStyle w:val="JUDGMENTCONTINUED"/>
      </w:pPr>
    </w:p>
    <w:p w14:paraId="1A691EDE" w14:textId="77777777" w:rsidR="00DD46FA" w:rsidRDefault="00B43AB5" w:rsidP="00402108">
      <w:pPr>
        <w:pStyle w:val="JUDGMENTNUMBERED"/>
        <w:widowControl w:val="0"/>
        <w:numPr>
          <w:ilvl w:val="0"/>
          <w:numId w:val="2"/>
        </w:numPr>
        <w:autoSpaceDE w:val="0"/>
        <w:autoSpaceDN w:val="0"/>
        <w:ind w:left="0" w:firstLine="0"/>
      </w:pPr>
      <w:r>
        <w:t>T</w:t>
      </w:r>
      <w:r w:rsidR="00DD46FA">
        <w:t xml:space="preserve">he limitation on the manner in which producers and dealers may alienate their diamonds is not sufficiently substantial to constitute a “deprivation” of property in those diamonds.  Producers and dealers do not </w:t>
      </w:r>
      <w:r w:rsidR="0025449A">
        <w:t xml:space="preserve">generally </w:t>
      </w:r>
      <w:r w:rsidR="00DD46FA">
        <w:t xml:space="preserve">have a legally protectable interest in conducting a </w:t>
      </w:r>
      <w:r w:rsidR="00DD46FA" w:rsidRPr="000C59C0">
        <w:t xml:space="preserve">sale </w:t>
      </w:r>
      <w:r w:rsidR="00DD46FA" w:rsidRPr="00B43AB5">
        <w:t>according to a particular</w:t>
      </w:r>
      <w:r w:rsidR="00DD46FA">
        <w:t xml:space="preserve"> practice.  </w:t>
      </w:r>
      <w:r>
        <w:t>And</w:t>
      </w:r>
      <w:r w:rsidR="00402108">
        <w:t>, a</w:t>
      </w:r>
      <w:r w:rsidR="00F230D2" w:rsidRPr="00102383">
        <w:t xml:space="preserve"> </w:t>
      </w:r>
      <w:r w:rsidR="009B52D1" w:rsidRPr="00102383">
        <w:t xml:space="preserve">market is an inherently regulated space, and prices obtainable in that market are necessarily impacted by government regulation.  </w:t>
      </w:r>
      <w:r w:rsidR="00F230D2" w:rsidRPr="00102383">
        <w:t>A property holder does not</w:t>
      </w:r>
      <w:r w:rsidR="00537845">
        <w:t xml:space="preserve"> generally</w:t>
      </w:r>
      <w:r w:rsidR="00F230D2" w:rsidRPr="00102383">
        <w:t xml:space="preserve"> have a legally protectable interest </w:t>
      </w:r>
      <w:r w:rsidR="00402108">
        <w:t xml:space="preserve">either </w:t>
      </w:r>
      <w:r w:rsidR="00F230D2" w:rsidRPr="00102383">
        <w:t>in obtaining a specific value for his goods</w:t>
      </w:r>
      <w:r w:rsidR="00DD46FA">
        <w:t>, or in valuing his goods according to a particular method</w:t>
      </w:r>
      <w:r w:rsidR="00F230D2" w:rsidRPr="00102383">
        <w:t>.</w:t>
      </w:r>
    </w:p>
    <w:p w14:paraId="4DD1EF0F" w14:textId="77777777" w:rsidR="00DD46FA" w:rsidRDefault="00DD46FA" w:rsidP="00F1047F">
      <w:pPr>
        <w:pStyle w:val="JUDGMENTNUMBERED"/>
        <w:widowControl w:val="0"/>
        <w:numPr>
          <w:ilvl w:val="0"/>
          <w:numId w:val="0"/>
        </w:numPr>
        <w:autoSpaceDE w:val="0"/>
        <w:autoSpaceDN w:val="0"/>
      </w:pPr>
    </w:p>
    <w:p w14:paraId="09CCE613" w14:textId="046E5E72" w:rsidR="009857A6" w:rsidRDefault="00402108" w:rsidP="00F0646C">
      <w:pPr>
        <w:pStyle w:val="JUDGMENTNUMBERED"/>
        <w:widowControl w:val="0"/>
        <w:numPr>
          <w:ilvl w:val="0"/>
          <w:numId w:val="2"/>
        </w:numPr>
        <w:autoSpaceDE w:val="0"/>
        <w:autoSpaceDN w:val="0"/>
        <w:ind w:left="0" w:firstLine="0"/>
      </w:pPr>
      <w:r>
        <w:t>As a result, t</w:t>
      </w:r>
      <w:r w:rsidR="00F6011C">
        <w:t>he limitation imposed by section</w:t>
      </w:r>
      <w:r w:rsidR="0059538E">
        <w:t> </w:t>
      </w:r>
      <w:r w:rsidR="00F6011C">
        <w:t xml:space="preserve">20A clearly does not </w:t>
      </w:r>
      <w:r w:rsidR="00B43AB5">
        <w:t>constitute</w:t>
      </w:r>
      <w:r w:rsidR="00F6011C">
        <w:t xml:space="preserve"> a</w:t>
      </w:r>
      <w:r w:rsidR="009857A6" w:rsidRPr="00102383">
        <w:t xml:space="preserve"> substan</w:t>
      </w:r>
      <w:r w:rsidR="00B84E45" w:rsidRPr="00102383">
        <w:t>tial interference with licensee</w:t>
      </w:r>
      <w:r w:rsidR="009857A6" w:rsidRPr="00102383">
        <w:t>s</w:t>
      </w:r>
      <w:r w:rsidR="00B84E45" w:rsidRPr="00102383">
        <w:t>’</w:t>
      </w:r>
      <w:r w:rsidR="009857A6" w:rsidRPr="00102383">
        <w:t xml:space="preserve"> rights of ownership in their diamonds</w:t>
      </w:r>
      <w:r w:rsidR="00F230D2" w:rsidRPr="00102383">
        <w:t>, and there is no</w:t>
      </w:r>
      <w:r w:rsidR="009857A6" w:rsidRPr="00102383">
        <w:t xml:space="preserve"> deprivation of property.</w:t>
      </w:r>
    </w:p>
    <w:p w14:paraId="14A30F4B" w14:textId="77777777" w:rsidR="006779C8" w:rsidRDefault="006779C8" w:rsidP="00F1047F">
      <w:pPr>
        <w:pStyle w:val="JUDGMENTCONTINUED"/>
      </w:pPr>
    </w:p>
    <w:p w14:paraId="4E8E600D" w14:textId="775442CB" w:rsidR="006779C8" w:rsidRPr="006779C8" w:rsidRDefault="006779C8" w:rsidP="00F1047F">
      <w:pPr>
        <w:pStyle w:val="JUDGMENTNUMBERED"/>
        <w:widowControl w:val="0"/>
        <w:numPr>
          <w:ilvl w:val="0"/>
          <w:numId w:val="2"/>
        </w:numPr>
        <w:autoSpaceDE w:val="0"/>
        <w:autoSpaceDN w:val="0"/>
        <w:ind w:left="0" w:firstLine="0"/>
      </w:pPr>
      <w:r>
        <w:t xml:space="preserve">In the result, the test laid down in </w:t>
      </w:r>
      <w:r>
        <w:rPr>
          <w:i/>
        </w:rPr>
        <w:t xml:space="preserve">FNB </w:t>
      </w:r>
      <w:r>
        <w:t>has not been met: diamond producers and dealers have not been deprived of property in their diamonds and there is accordingly no infringement of section</w:t>
      </w:r>
      <w:r w:rsidR="0059538E">
        <w:t> </w:t>
      </w:r>
      <w:r>
        <w:t>25(1).</w:t>
      </w:r>
    </w:p>
    <w:p w14:paraId="4707A837" w14:textId="77777777" w:rsidR="006D10E5" w:rsidRPr="006D10E5" w:rsidRDefault="006D10E5" w:rsidP="006D10E5">
      <w:pPr>
        <w:pStyle w:val="JUDGMENTCONTINUED"/>
      </w:pPr>
    </w:p>
    <w:p w14:paraId="0BCD297D" w14:textId="77777777" w:rsidR="009857A6" w:rsidRPr="008F39D4" w:rsidRDefault="000C59C0" w:rsidP="009857A6">
      <w:pPr>
        <w:pStyle w:val="HEADING"/>
        <w:ind w:left="720"/>
      </w:pPr>
      <w:r>
        <w:t>“</w:t>
      </w:r>
      <w:r w:rsidR="009857A6">
        <w:t>Ownership</w:t>
      </w:r>
      <w:r>
        <w:t>”</w:t>
      </w:r>
      <w:r w:rsidR="009857A6">
        <w:t xml:space="preserve"> of licences</w:t>
      </w:r>
    </w:p>
    <w:p w14:paraId="58BD5C47" w14:textId="77777777" w:rsidR="009857A6" w:rsidRDefault="009857A6" w:rsidP="009857A6">
      <w:pPr>
        <w:pStyle w:val="JUDGMENTNUMBERED"/>
        <w:widowControl w:val="0"/>
        <w:numPr>
          <w:ilvl w:val="0"/>
          <w:numId w:val="2"/>
        </w:numPr>
        <w:autoSpaceDE w:val="0"/>
        <w:autoSpaceDN w:val="0"/>
        <w:ind w:left="0" w:firstLine="0"/>
      </w:pPr>
      <w:r>
        <w:t xml:space="preserve">SADPO also submits that its members are deprived of property in their </w:t>
      </w:r>
      <w:r w:rsidRPr="008F39D4">
        <w:t xml:space="preserve">diamond dealer’s </w:t>
      </w:r>
      <w:r w:rsidRPr="00CB4758">
        <w:t>licences</w:t>
      </w:r>
      <w:r>
        <w:t>.</w:t>
      </w:r>
    </w:p>
    <w:p w14:paraId="7389EEA6" w14:textId="77777777" w:rsidR="009857A6" w:rsidRDefault="009857A6" w:rsidP="009857A6">
      <w:pPr>
        <w:pStyle w:val="JUDGMENTNUMBERED"/>
        <w:widowControl w:val="0"/>
        <w:numPr>
          <w:ilvl w:val="0"/>
          <w:numId w:val="0"/>
        </w:numPr>
        <w:autoSpaceDE w:val="0"/>
        <w:autoSpaceDN w:val="0"/>
      </w:pPr>
    </w:p>
    <w:p w14:paraId="0D9554DD" w14:textId="789AA817" w:rsidR="009857A6" w:rsidRDefault="009857A6" w:rsidP="006D10E5">
      <w:pPr>
        <w:pStyle w:val="JUDGMENTNUMBERED"/>
        <w:widowControl w:val="0"/>
        <w:numPr>
          <w:ilvl w:val="0"/>
          <w:numId w:val="2"/>
        </w:numPr>
        <w:autoSpaceDE w:val="0"/>
        <w:autoSpaceDN w:val="0"/>
        <w:ind w:left="0" w:firstLine="0"/>
      </w:pPr>
      <w:r>
        <w:t>Do these licences constitute “property” for the purposes of section</w:t>
      </w:r>
      <w:r w:rsidR="0059538E">
        <w:t> </w:t>
      </w:r>
      <w:r>
        <w:t>25?  This Court</w:t>
      </w:r>
      <w:r w:rsidR="00B43AB5">
        <w:t xml:space="preserve"> </w:t>
      </w:r>
      <w:r>
        <w:t xml:space="preserve">in </w:t>
      </w:r>
      <w:r w:rsidRPr="00186E42">
        <w:rPr>
          <w:i/>
        </w:rPr>
        <w:t xml:space="preserve">Shoprite </w:t>
      </w:r>
      <w:r w:rsidR="00B43AB5">
        <w:t>held</w:t>
      </w:r>
      <w:r>
        <w:t xml:space="preserve"> that licences may, in some inst</w:t>
      </w:r>
      <w:r w:rsidR="006D10E5">
        <w:t>ances, be considered property.</w:t>
      </w:r>
      <w:r w:rsidR="006D10E5" w:rsidRPr="006D10E5">
        <w:rPr>
          <w:rStyle w:val="FootnoteReference"/>
        </w:rPr>
        <w:footnoteReference w:id="49"/>
      </w:r>
      <w:r w:rsidR="00577B75">
        <w:t xml:space="preserve">  In that case,</w:t>
      </w:r>
      <w:r w:rsidR="008E4FA3">
        <w:t xml:space="preserve"> </w:t>
      </w:r>
      <w:r w:rsidR="0096477C">
        <w:t xml:space="preserve">the </w:t>
      </w:r>
      <w:r w:rsidR="008E4FA3">
        <w:t>majority</w:t>
      </w:r>
      <w:r w:rsidR="008E4FA3">
        <w:rPr>
          <w:rStyle w:val="FootnoteReference"/>
        </w:rPr>
        <w:footnoteReference w:id="50"/>
      </w:r>
      <w:r w:rsidR="00577B75">
        <w:t xml:space="preserve"> </w:t>
      </w:r>
      <w:r w:rsidR="0006020F">
        <w:t>held that a grocer’s wine licence is property</w:t>
      </w:r>
      <w:r w:rsidR="008E4FA3">
        <w:t>.</w:t>
      </w:r>
      <w:r w:rsidR="006D10E5">
        <w:t xml:space="preserve">  </w:t>
      </w:r>
      <w:r w:rsidR="00771132">
        <w:t xml:space="preserve">However, it </w:t>
      </w:r>
      <w:r w:rsidR="00771132">
        <w:lastRenderedPageBreak/>
        <w:t>is not necessary</w:t>
      </w:r>
      <w:r>
        <w:t xml:space="preserve"> to answer this question in this matter.</w:t>
      </w:r>
      <w:r w:rsidR="00FC096A">
        <w:rPr>
          <w:rStyle w:val="FootnoteReference"/>
        </w:rPr>
        <w:footnoteReference w:id="51"/>
      </w:r>
      <w:r>
        <w:t xml:space="preserve">  Assuming that the licences in issue do constitute property, I am nevertheless of the view that there is no deprivation.</w:t>
      </w:r>
    </w:p>
    <w:p w14:paraId="34E54DD2" w14:textId="77777777" w:rsidR="009857A6" w:rsidRPr="008F39D4" w:rsidRDefault="009857A6" w:rsidP="009857A6">
      <w:pPr>
        <w:pStyle w:val="JUDGMENTCONTINUED"/>
      </w:pPr>
    </w:p>
    <w:p w14:paraId="5BE73938" w14:textId="3B87B40E" w:rsidR="009857A6" w:rsidRDefault="009857A6" w:rsidP="009857A6">
      <w:pPr>
        <w:pStyle w:val="JUDGMENTNUMBERED"/>
        <w:widowControl w:val="0"/>
        <w:numPr>
          <w:ilvl w:val="0"/>
          <w:numId w:val="2"/>
        </w:numPr>
        <w:autoSpaceDE w:val="0"/>
        <w:autoSpaceDN w:val="0"/>
        <w:ind w:left="0" w:firstLine="0"/>
      </w:pPr>
      <w:r>
        <w:t>SADPO contends that diamond dealers have been deprived of property in that the activities they were previously entitled to engage in under their licences have been limited.  Again, the question is whether there is a substantial interference</w:t>
      </w:r>
      <w:r w:rsidR="00537845">
        <w:t xml:space="preserve">:  is the extent of the intrusion such that it has a legally </w:t>
      </w:r>
      <w:r w:rsidR="00CB4758">
        <w:t>relevan</w:t>
      </w:r>
      <w:r w:rsidR="00537845">
        <w:t>t impact o</w:t>
      </w:r>
      <w:r w:rsidR="00CB4758">
        <w:t>n</w:t>
      </w:r>
      <w:r w:rsidR="00537845">
        <w:t xml:space="preserve"> the rights of the affected party?</w:t>
      </w:r>
    </w:p>
    <w:p w14:paraId="508B0191" w14:textId="77777777" w:rsidR="009857A6" w:rsidRPr="003B1984" w:rsidRDefault="009857A6" w:rsidP="009857A6">
      <w:pPr>
        <w:pStyle w:val="JUDGMENTCONTINUED"/>
      </w:pPr>
    </w:p>
    <w:p w14:paraId="7FC80AE9" w14:textId="405B0E40" w:rsidR="000334EF" w:rsidRDefault="009857A6" w:rsidP="000334EF">
      <w:pPr>
        <w:pStyle w:val="JUDGMENTNUMBERED"/>
        <w:widowControl w:val="0"/>
        <w:numPr>
          <w:ilvl w:val="0"/>
          <w:numId w:val="2"/>
        </w:numPr>
        <w:autoSpaceDE w:val="0"/>
        <w:autoSpaceDN w:val="0"/>
        <w:ind w:left="0" w:firstLine="0"/>
      </w:pPr>
      <w:r>
        <w:t>How does section</w:t>
      </w:r>
      <w:r w:rsidR="0059538E">
        <w:t> </w:t>
      </w:r>
      <w:r w:rsidR="000513BB">
        <w:t>20A interfere with dealer</w:t>
      </w:r>
      <w:r>
        <w:t>s</w:t>
      </w:r>
      <w:r w:rsidR="000513BB">
        <w:t>’</w:t>
      </w:r>
      <w:r>
        <w:t xml:space="preserve"> licences?  These licences entitle dealers to buy, sell, import and export unpolished diamonds.  None of those entitlements is removed by section</w:t>
      </w:r>
      <w:r w:rsidR="0059538E">
        <w:t> </w:t>
      </w:r>
      <w:r>
        <w:t>20A.  What is removed (assuming the tender house practice was previously lawful) is their entitlement to be assisted in these activities by unlicensed foreigners</w:t>
      </w:r>
      <w:r w:rsidR="00972367">
        <w:t xml:space="preserve"> at locations other than a DEEC</w:t>
      </w:r>
      <w:r>
        <w:t xml:space="preserve">.  This entitlement was never subject to a licence, but was rather a business practice that grew up </w:t>
      </w:r>
      <w:r w:rsidR="000D468A">
        <w:t xml:space="preserve">in relation to </w:t>
      </w:r>
      <w:r>
        <w:t xml:space="preserve">the </w:t>
      </w:r>
      <w:r w:rsidRPr="003B1984">
        <w:t xml:space="preserve">permissions granted in terms of the licence.  </w:t>
      </w:r>
      <w:r w:rsidR="000334EF">
        <w:t xml:space="preserve">This may be contrasted to the situation in </w:t>
      </w:r>
      <w:r w:rsidR="000334EF">
        <w:rPr>
          <w:i/>
        </w:rPr>
        <w:t>Shoprite</w:t>
      </w:r>
      <w:r w:rsidR="000334EF">
        <w:t>, where a legal entitlement previously conferred by the licence in question was removed.</w:t>
      </w:r>
      <w:r w:rsidR="00E72FA9">
        <w:rPr>
          <w:rStyle w:val="FootnoteReference"/>
        </w:rPr>
        <w:footnoteReference w:id="52"/>
      </w:r>
    </w:p>
    <w:p w14:paraId="38579AC9" w14:textId="77777777" w:rsidR="000334EF" w:rsidRPr="000334EF" w:rsidRDefault="000334EF" w:rsidP="000334EF">
      <w:pPr>
        <w:pStyle w:val="JUDGMENTCONTINUED"/>
      </w:pPr>
    </w:p>
    <w:p w14:paraId="13D9DA87" w14:textId="77777777" w:rsidR="000D468A" w:rsidRDefault="009857A6" w:rsidP="000334EF">
      <w:pPr>
        <w:pStyle w:val="JUDGMENTNUMBERED"/>
        <w:widowControl w:val="0"/>
        <w:numPr>
          <w:ilvl w:val="0"/>
          <w:numId w:val="2"/>
        </w:numPr>
        <w:autoSpaceDE w:val="0"/>
        <w:autoSpaceDN w:val="0"/>
        <w:ind w:left="0" w:firstLine="0"/>
      </w:pPr>
      <w:r w:rsidRPr="003B1984">
        <w:t xml:space="preserve">What SADPO seeks to protect is their members’ interest in conducting their </w:t>
      </w:r>
      <w:r w:rsidRPr="003B1984">
        <w:lastRenderedPageBreak/>
        <w:t>business in terms of their licences according to a particular preferred strategy.</w:t>
      </w:r>
      <w:r>
        <w:t xml:space="preserve">  </w:t>
      </w:r>
      <w:r w:rsidR="005646EF">
        <w:t>T</w:t>
      </w:r>
      <w:r>
        <w:t xml:space="preserve">here can be no deprivation in a change of regulation that alters the strategies licensees are entitled to pursue in the course of conducting licensed activities.  </w:t>
      </w:r>
      <w:r w:rsidRPr="00555624">
        <w:t>Favourable business conditions</w:t>
      </w:r>
      <w:r>
        <w:t>, including favourable regulatory conditions,</w:t>
      </w:r>
      <w:r w:rsidRPr="00555624">
        <w:t xml:space="preserve"> are transient</w:t>
      </w:r>
      <w:r w:rsidRPr="000334EF">
        <w:rPr>
          <w:i/>
          <w:iCs/>
        </w:rPr>
        <w:t xml:space="preserve"> </w:t>
      </w:r>
      <w:r w:rsidRPr="00555624">
        <w:t>circumstances, subject to inevitable changes.</w:t>
      </w:r>
    </w:p>
    <w:p w14:paraId="27A127CA" w14:textId="77777777" w:rsidR="000D468A" w:rsidRPr="000D468A" w:rsidRDefault="000D468A" w:rsidP="00F1047F">
      <w:pPr>
        <w:pStyle w:val="JUDGMENTCONTINUED"/>
      </w:pPr>
    </w:p>
    <w:p w14:paraId="6C803371" w14:textId="6D81BB74" w:rsidR="009857A6" w:rsidRDefault="009857A6" w:rsidP="000334EF">
      <w:pPr>
        <w:pStyle w:val="JUDGMENTNUMBERED"/>
        <w:widowControl w:val="0"/>
        <w:numPr>
          <w:ilvl w:val="0"/>
          <w:numId w:val="2"/>
        </w:numPr>
        <w:autoSpaceDE w:val="0"/>
        <w:autoSpaceDN w:val="0"/>
        <w:ind w:left="0" w:firstLine="0"/>
      </w:pPr>
      <w:r w:rsidRPr="00555624">
        <w:t xml:space="preserve">It cannot be that, every time a government decision or regulation makes a particular business strategy unlawful, persons </w:t>
      </w:r>
      <w:r>
        <w:t>who preferred to conduct their business in accordance with that strategy</w:t>
      </w:r>
      <w:r w:rsidRPr="00555624">
        <w:t xml:space="preserve"> have been deprived of property.</w:t>
      </w:r>
      <w:r>
        <w:t xml:space="preserve">  </w:t>
      </w:r>
      <w:r w:rsidR="0074398C">
        <w:t>As explicated above, a</w:t>
      </w:r>
      <w:r>
        <w:t xml:space="preserve"> market is an inherently regulated space, and </w:t>
      </w:r>
      <w:r w:rsidR="0074398C">
        <w:t>i</w:t>
      </w:r>
      <w:r>
        <w:t xml:space="preserve">t cannot be that any alteration to the way in which market forces play out constitutes a deprivation of property.  </w:t>
      </w:r>
      <w:r w:rsidR="00771132">
        <w:t>T</w:t>
      </w:r>
      <w:r w:rsidR="0074398C">
        <w:t xml:space="preserve">o the extent that the licences in issue are in fact property, </w:t>
      </w:r>
      <w:r>
        <w:t>the limitation imposed by section</w:t>
      </w:r>
      <w:r w:rsidR="00537845">
        <w:t> </w:t>
      </w:r>
      <w:r>
        <w:t xml:space="preserve">20A </w:t>
      </w:r>
      <w:r w:rsidR="00537845">
        <w:t xml:space="preserve">is not substantial, as it does not have a legally </w:t>
      </w:r>
      <w:r w:rsidR="00CB4758">
        <w:t>relevant</w:t>
      </w:r>
      <w:r w:rsidR="00D961BD">
        <w:t xml:space="preserve"> </w:t>
      </w:r>
      <w:r w:rsidR="00537845">
        <w:t>impact o</w:t>
      </w:r>
      <w:r w:rsidR="00CB4758">
        <w:t>n</w:t>
      </w:r>
      <w:r w:rsidR="00537845">
        <w:t xml:space="preserve"> the rights of the affected party.</w:t>
      </w:r>
    </w:p>
    <w:p w14:paraId="0D4265B3" w14:textId="77777777" w:rsidR="009857A6" w:rsidRPr="00D517EB" w:rsidRDefault="009857A6" w:rsidP="009857A6">
      <w:pPr>
        <w:pStyle w:val="JUDGMENTCONTINUED"/>
      </w:pPr>
    </w:p>
    <w:p w14:paraId="47442A04" w14:textId="77777777" w:rsidR="009857A6" w:rsidRDefault="009857A6" w:rsidP="009857A6">
      <w:pPr>
        <w:pStyle w:val="HEADING"/>
      </w:pPr>
      <w:r>
        <w:tab/>
        <w:t>Diamond exchange certificates</w:t>
      </w:r>
    </w:p>
    <w:p w14:paraId="1D0CB8D1" w14:textId="2C704FEB" w:rsidR="009857A6" w:rsidRPr="002F777A" w:rsidRDefault="009857A6" w:rsidP="009857A6">
      <w:pPr>
        <w:pStyle w:val="JUDGMENTNUMBERED"/>
        <w:widowControl w:val="0"/>
        <w:numPr>
          <w:ilvl w:val="0"/>
          <w:numId w:val="2"/>
        </w:numPr>
        <w:autoSpaceDE w:val="0"/>
        <w:autoSpaceDN w:val="0"/>
        <w:ind w:left="0" w:firstLine="0"/>
      </w:pPr>
      <w:r>
        <w:t xml:space="preserve">SADPO also argues that holders of </w:t>
      </w:r>
      <w:r w:rsidRPr="00C52185">
        <w:t xml:space="preserve">diamond exchange certificates have been deprived of property.  The argument </w:t>
      </w:r>
      <w:r>
        <w:t>is</w:t>
      </w:r>
      <w:r w:rsidRPr="00C52185">
        <w:t xml:space="preserve"> that, because t</w:t>
      </w:r>
      <w:r>
        <w:t xml:space="preserve">he First and Second </w:t>
      </w:r>
      <w:r w:rsidR="00D961BD">
        <w:t>Diamond</w:t>
      </w:r>
      <w:r w:rsidR="00D83455">
        <w:t>s</w:t>
      </w:r>
      <w:r w:rsidR="00D961BD">
        <w:t xml:space="preserve"> </w:t>
      </w:r>
      <w:r>
        <w:t>Amendment Acts abolished diamond exchanges and replaced them with trading house licences, previous exchange licensees who paid R500</w:t>
      </w:r>
      <w:r w:rsidR="00ED5AD8">
        <w:t> </w:t>
      </w:r>
      <w:r>
        <w:t>000 for their licences have been deprived of property.  SADPO argues that the trading house licence affords far fewer rights.  However, it is not clear how the rights of these licensees are affected by section</w:t>
      </w:r>
      <w:r w:rsidR="0059538E">
        <w:t> </w:t>
      </w:r>
      <w:r>
        <w:t>20A in particular.  If the complaint is with the change in the licensing regime, the attack should have been brought against the relevant provisions.  Section</w:t>
      </w:r>
      <w:r w:rsidR="0059538E">
        <w:t> </w:t>
      </w:r>
      <w:r>
        <w:t>20A neither abolishes diamond exchange licences nor establishes trading house licences.</w:t>
      </w:r>
    </w:p>
    <w:p w14:paraId="0C1AE9D8" w14:textId="77777777" w:rsidR="008D7482" w:rsidRPr="0084562A" w:rsidRDefault="008D7482" w:rsidP="008D7482">
      <w:pPr>
        <w:pStyle w:val="JUDGMENTCONTINUED"/>
      </w:pPr>
    </w:p>
    <w:p w14:paraId="7F89B49E" w14:textId="125903C1" w:rsidR="007469EC" w:rsidRPr="007469EC" w:rsidRDefault="007469EC" w:rsidP="006158EC">
      <w:pPr>
        <w:pStyle w:val="JUDGMENTNUMBERED"/>
        <w:ind w:left="0" w:firstLine="0"/>
      </w:pPr>
      <w:r>
        <w:t>In the result, t</w:t>
      </w:r>
      <w:r w:rsidR="008D7482">
        <w:t>here is no limitation of the rights of SADPO’s members under section</w:t>
      </w:r>
      <w:r w:rsidR="0059538E">
        <w:t> </w:t>
      </w:r>
      <w:r w:rsidR="008D7482">
        <w:t>25 of the Constitution</w:t>
      </w:r>
      <w:r w:rsidR="00917CB6">
        <w:t>.  T</w:t>
      </w:r>
      <w:r w:rsidR="008D7482">
        <w:t>he order of invalidity based on section</w:t>
      </w:r>
      <w:r w:rsidR="0059538E">
        <w:t> </w:t>
      </w:r>
      <w:r w:rsidR="008D7482">
        <w:t xml:space="preserve">25 of the Constitution </w:t>
      </w:r>
      <w:r w:rsidR="00ED5AD8">
        <w:t>cannot</w:t>
      </w:r>
      <w:r w:rsidR="008D7482">
        <w:t xml:space="preserve"> be confirmed.</w:t>
      </w:r>
    </w:p>
    <w:p w14:paraId="60E31798" w14:textId="77777777" w:rsidR="009C54CE" w:rsidRDefault="009C54CE" w:rsidP="007A0B41">
      <w:pPr>
        <w:pStyle w:val="JUDGMENTCONTINUED"/>
      </w:pPr>
    </w:p>
    <w:p w14:paraId="030D085A" w14:textId="7BF1B2B0" w:rsidR="009C54CE" w:rsidRPr="0089081A" w:rsidRDefault="009C54CE" w:rsidP="009127FA">
      <w:pPr>
        <w:pStyle w:val="HEADING"/>
      </w:pPr>
      <w:r>
        <w:lastRenderedPageBreak/>
        <w:t>The challenge based on section</w:t>
      </w:r>
      <w:r w:rsidR="0059538E">
        <w:t> </w:t>
      </w:r>
      <w:r>
        <w:t xml:space="preserve">22 </w:t>
      </w:r>
    </w:p>
    <w:p w14:paraId="260607EA" w14:textId="02611742" w:rsidR="002D5377" w:rsidRDefault="002D5377" w:rsidP="002D5377">
      <w:pPr>
        <w:pStyle w:val="JUDGMENTNUMBERED"/>
        <w:widowControl w:val="0"/>
        <w:numPr>
          <w:ilvl w:val="0"/>
          <w:numId w:val="2"/>
        </w:numPr>
        <w:autoSpaceDE w:val="0"/>
        <w:autoSpaceDN w:val="0"/>
        <w:ind w:left="0" w:firstLine="0"/>
      </w:pPr>
      <w:r>
        <w:t>Section</w:t>
      </w:r>
      <w:r w:rsidR="0059538E">
        <w:t> </w:t>
      </w:r>
      <w:r>
        <w:t>22 provides:</w:t>
      </w:r>
    </w:p>
    <w:p w14:paraId="506A5DB9" w14:textId="77777777" w:rsidR="002D5377" w:rsidRDefault="002D5377" w:rsidP="002D5377">
      <w:pPr>
        <w:pStyle w:val="QUOTATION"/>
      </w:pPr>
    </w:p>
    <w:p w14:paraId="1B9A5827" w14:textId="77777777" w:rsidR="002D5377" w:rsidRPr="00F61197" w:rsidRDefault="002D5377" w:rsidP="002D5377">
      <w:pPr>
        <w:pStyle w:val="QUOTATION"/>
      </w:pPr>
      <w:r>
        <w:t>“</w:t>
      </w:r>
      <w:r w:rsidRPr="00AE3626">
        <w:t xml:space="preserve">Every citizen has the right to choose their trade, occupation or profession freely. </w:t>
      </w:r>
      <w:r w:rsidR="00C50A00">
        <w:t xml:space="preserve"> </w:t>
      </w:r>
      <w:r w:rsidRPr="00AE3626">
        <w:t>The practice of a trade, occupation or profession may be regulated by law.”</w:t>
      </w:r>
    </w:p>
    <w:p w14:paraId="0B3490C2" w14:textId="77777777" w:rsidR="002D5377" w:rsidRPr="007D6F52" w:rsidRDefault="002D5377" w:rsidP="002D5377">
      <w:pPr>
        <w:pStyle w:val="JUDGMENTNUMBERED"/>
        <w:numPr>
          <w:ilvl w:val="0"/>
          <w:numId w:val="0"/>
        </w:numPr>
      </w:pPr>
    </w:p>
    <w:p w14:paraId="7AA22BFA" w14:textId="3C91B4D8" w:rsidR="002D5377" w:rsidRDefault="00594A8F" w:rsidP="002D5377">
      <w:pPr>
        <w:pStyle w:val="JUDGMENTNUMBERED"/>
        <w:widowControl w:val="0"/>
        <w:numPr>
          <w:ilvl w:val="0"/>
          <w:numId w:val="2"/>
        </w:numPr>
        <w:autoSpaceDE w:val="0"/>
        <w:autoSpaceDN w:val="0"/>
        <w:ind w:left="0" w:firstLine="0"/>
      </w:pPr>
      <w:r>
        <w:t>Section</w:t>
      </w:r>
      <w:r w:rsidR="0059538E">
        <w:t> </w:t>
      </w:r>
      <w:r>
        <w:t xml:space="preserve">22 </w:t>
      </w:r>
      <w:r w:rsidR="00EA25B2">
        <w:t>comprises two elements:</w:t>
      </w:r>
      <w:r w:rsidR="002D5377">
        <w:t xml:space="preserve"> the right to </w:t>
      </w:r>
      <w:r w:rsidR="002D5377" w:rsidRPr="004948F1">
        <w:rPr>
          <w:i/>
        </w:rPr>
        <w:t>choose</w:t>
      </w:r>
      <w:r w:rsidR="002D5377">
        <w:t xml:space="preserve"> a trade, occupation or profession freely, and the proviso that the </w:t>
      </w:r>
      <w:r w:rsidR="002D5377" w:rsidRPr="004948F1">
        <w:rPr>
          <w:i/>
        </w:rPr>
        <w:t>practice</w:t>
      </w:r>
      <w:r w:rsidR="002D5377">
        <w:t xml:space="preserve"> of a trade, occupation or profession may be regulated by law.  Though both the “choice” of trade and its “practice” are protected by section</w:t>
      </w:r>
      <w:r w:rsidR="0059538E">
        <w:t> </w:t>
      </w:r>
      <w:r w:rsidR="002D5377">
        <w:t>22,</w:t>
      </w:r>
      <w:r w:rsidR="002D5377" w:rsidRPr="00567527">
        <w:rPr>
          <w:vertAlign w:val="superscript"/>
        </w:rPr>
        <w:footnoteReference w:id="53"/>
      </w:r>
      <w:r w:rsidR="002D5377">
        <w:t xml:space="preserve"> the level of constitutional scrutiny</w:t>
      </w:r>
      <w:r w:rsidR="005148AB">
        <w:t xml:space="preserve"> that attaches to limitations on</w:t>
      </w:r>
      <w:r w:rsidR="002D5377">
        <w:t xml:space="preserve"> each of these aspects differs.</w:t>
      </w:r>
      <w:r w:rsidR="00F5506D">
        <w:t xml:space="preserve"> </w:t>
      </w:r>
      <w:r w:rsidR="002D5377">
        <w:t xml:space="preserve"> If a legislative provision would, if </w:t>
      </w:r>
      <w:r w:rsidR="002D5377" w:rsidRPr="00567527">
        <w:t>analysed objectively, have a negative impact on choice of trade,</w:t>
      </w:r>
      <w:r w:rsidR="002D5377">
        <w:t xml:space="preserve"> occupation or profession,</w:t>
      </w:r>
      <w:r w:rsidR="002D5377" w:rsidRPr="00567527">
        <w:t xml:space="preserve"> it must be tested in terms of </w:t>
      </w:r>
      <w:r w:rsidR="002D5377">
        <w:t>t</w:t>
      </w:r>
      <w:r w:rsidR="002D5377" w:rsidRPr="00567527">
        <w:t xml:space="preserve">he criterion of </w:t>
      </w:r>
      <w:r w:rsidR="00805977">
        <w:t>reasonableness in</w:t>
      </w:r>
      <w:r w:rsidR="0059538E">
        <w:t xml:space="preserve"> </w:t>
      </w:r>
      <w:r w:rsidR="00805977">
        <w:t>section </w:t>
      </w:r>
      <w:r w:rsidR="002D5377">
        <w:t>36(1)</w:t>
      </w:r>
      <w:r w:rsidR="002D5377" w:rsidRPr="00567527">
        <w:t>.  If, however, the provision only regulates the practice of that trade and doe</w:t>
      </w:r>
      <w:r w:rsidR="002D5377">
        <w:t>s</w:t>
      </w:r>
      <w:r w:rsidR="002D5377" w:rsidRPr="00567527">
        <w:t xml:space="preserve"> not affect negatively the choice of trade,</w:t>
      </w:r>
      <w:r w:rsidR="002D5377">
        <w:t xml:space="preserve"> occupation or profession,</w:t>
      </w:r>
      <w:r w:rsidR="002D5377" w:rsidRPr="00567527">
        <w:t xml:space="preserve"> the provision will pass constitutional muster so long as it passes the</w:t>
      </w:r>
      <w:r w:rsidR="002D5377">
        <w:t xml:space="preserve"> rationality test and does not violate</w:t>
      </w:r>
      <w:r w:rsidR="002D5377" w:rsidRPr="00567527">
        <w:t xml:space="preserve"> any other rights in the Bill of Rights.</w:t>
      </w:r>
      <w:r w:rsidR="002D5377">
        <w:rPr>
          <w:rStyle w:val="FootnoteReference"/>
        </w:rPr>
        <w:footnoteReference w:id="54"/>
      </w:r>
      <w:r w:rsidR="002D5377">
        <w:t xml:space="preserve"> </w:t>
      </w:r>
      <w:r w:rsidR="002D5377" w:rsidRPr="00567527">
        <w:t xml:space="preserve"> In that case, there is no limitation of section</w:t>
      </w:r>
      <w:r w:rsidR="0059538E">
        <w:t> </w:t>
      </w:r>
      <w:r w:rsidR="002D5377" w:rsidRPr="00567527">
        <w:t>22 and no section</w:t>
      </w:r>
      <w:r w:rsidR="0059538E">
        <w:t> </w:t>
      </w:r>
      <w:r w:rsidR="002D5377" w:rsidRPr="00567527">
        <w:t xml:space="preserve">36 analysis is required.  </w:t>
      </w:r>
      <w:r w:rsidR="00092E66">
        <w:t xml:space="preserve">As </w:t>
      </w:r>
      <w:r w:rsidR="002D5377" w:rsidRPr="00567527">
        <w:t xml:space="preserve">this Court held in </w:t>
      </w:r>
      <w:r w:rsidR="002D5377" w:rsidRPr="008B65CA">
        <w:rPr>
          <w:i/>
        </w:rPr>
        <w:t>Affordable Medicines</w:t>
      </w:r>
      <w:r w:rsidR="00092E66">
        <w:t>,</w:t>
      </w:r>
      <w:r w:rsidR="002D5377" w:rsidRPr="00567527">
        <w:t xml:space="preserve"> “restrictions on the right to practise a profession are subject to a less stringent test than restrictions on the choice of a profession”.</w:t>
      </w:r>
      <w:r w:rsidR="002D5377" w:rsidRPr="00567527">
        <w:rPr>
          <w:vertAlign w:val="superscript"/>
        </w:rPr>
        <w:footnoteReference w:id="55"/>
      </w:r>
    </w:p>
    <w:p w14:paraId="3A7E1D4B" w14:textId="77777777" w:rsidR="002D5377" w:rsidRDefault="002D5377" w:rsidP="002D5377">
      <w:pPr>
        <w:pStyle w:val="JUDGMENTCONTINUED"/>
      </w:pPr>
    </w:p>
    <w:p w14:paraId="1336894F" w14:textId="04E70414" w:rsidR="002D5377" w:rsidRDefault="00092E66" w:rsidP="00092E66">
      <w:pPr>
        <w:pStyle w:val="JUDGMENTNUMBERED"/>
        <w:widowControl w:val="0"/>
        <w:numPr>
          <w:ilvl w:val="0"/>
          <w:numId w:val="2"/>
        </w:numPr>
        <w:autoSpaceDE w:val="0"/>
        <w:autoSpaceDN w:val="0"/>
        <w:ind w:left="0" w:firstLine="0"/>
      </w:pPr>
      <w:r>
        <w:t>The first question, then, is whether section</w:t>
      </w:r>
      <w:r w:rsidR="0059538E">
        <w:t> </w:t>
      </w:r>
      <w:r>
        <w:t xml:space="preserve">20A imposes restrictions on the choice of a trade, occupation or profession, or only on its practice.  </w:t>
      </w:r>
      <w:r w:rsidR="002D5377">
        <w:t xml:space="preserve">This Court has not </w:t>
      </w:r>
      <w:r w:rsidR="004948F1">
        <w:t>yet laid down specific guidance</w:t>
      </w:r>
      <w:r w:rsidR="002D5377">
        <w:t xml:space="preserve"> for determining when a legislative provision “is likely to impact negatively on the choice” of profession, trade or occupation, as opposed to simply regulating the practice of that trade, occupation or profession.  </w:t>
      </w:r>
      <w:r>
        <w:t xml:space="preserve">However, some guidance may be sought from </w:t>
      </w:r>
      <w:r>
        <w:rPr>
          <w:i/>
        </w:rPr>
        <w:t>Affordable Medic</w:t>
      </w:r>
      <w:r w:rsidR="00805977">
        <w:rPr>
          <w:i/>
        </w:rPr>
        <w:t>ines</w:t>
      </w:r>
      <w:r w:rsidR="00805977">
        <w:t>, the leading judgment on the interpretation of section</w:t>
      </w:r>
      <w:r w:rsidR="00776B58">
        <w:t> </w:t>
      </w:r>
      <w:r w:rsidR="00805977">
        <w:t>22.</w:t>
      </w:r>
    </w:p>
    <w:p w14:paraId="2E3E64FB" w14:textId="77777777" w:rsidR="002D5377" w:rsidRPr="000A36C5" w:rsidRDefault="002D5377" w:rsidP="002D5377">
      <w:pPr>
        <w:pStyle w:val="JUDGMENTCONTINUED"/>
      </w:pPr>
    </w:p>
    <w:p w14:paraId="2AB4BD63" w14:textId="12C68065" w:rsidR="002D5377" w:rsidRDefault="002D5377" w:rsidP="002D5377">
      <w:pPr>
        <w:pStyle w:val="JUDGMENTNUMBERED"/>
        <w:widowControl w:val="0"/>
        <w:numPr>
          <w:ilvl w:val="0"/>
          <w:numId w:val="2"/>
        </w:numPr>
        <w:autoSpaceDE w:val="0"/>
        <w:autoSpaceDN w:val="0"/>
        <w:ind w:left="0" w:firstLine="0"/>
      </w:pPr>
      <w:r>
        <w:t xml:space="preserve">In </w:t>
      </w:r>
      <w:r>
        <w:rPr>
          <w:i/>
        </w:rPr>
        <w:t>Affordable Medicines</w:t>
      </w:r>
      <w:r>
        <w:t>, this</w:t>
      </w:r>
      <w:r w:rsidRPr="000A36C5">
        <w:t xml:space="preserve"> Court held that a law requiring medical </w:t>
      </w:r>
      <w:proofErr w:type="gramStart"/>
      <w:r w:rsidRPr="000A36C5">
        <w:t>practitioners</w:t>
      </w:r>
      <w:proofErr w:type="gramEnd"/>
      <w:r w:rsidRPr="000A36C5">
        <w:t xml:space="preserve"> who wished to dispense medicines to obtain a licence, did not have the effect of influencing negatively a person’s decision whether to become a medical practitioner.  This was because the provision did not purport to regulate entry into the medical profession, nor did it affect </w:t>
      </w:r>
      <w:r w:rsidR="00EA25B2">
        <w:t xml:space="preserve">the </w:t>
      </w:r>
      <w:r w:rsidRPr="000A36C5">
        <w:t>continuing choice of practitioners as to whether to remain medical practitioners or not.</w:t>
      </w:r>
      <w:r w:rsidRPr="000A36C5">
        <w:rPr>
          <w:vertAlign w:val="superscript"/>
        </w:rPr>
        <w:footnoteReference w:id="56"/>
      </w:r>
      <w:r w:rsidR="002C226A">
        <w:t xml:space="preserve"> </w:t>
      </w:r>
      <w:r>
        <w:t xml:space="preserve"> It merely regulated </w:t>
      </w:r>
      <w:r w:rsidRPr="000A36C5">
        <w:t>the specific circumstances in which medical practitioners may, if they choose, dispense medicines</w:t>
      </w:r>
      <w:r w:rsidRPr="000A36C5">
        <w:rPr>
          <w:rFonts w:asciiTheme="minorHAnsi" w:hAnsiTheme="minorHAnsi"/>
          <w:sz w:val="22"/>
        </w:rPr>
        <w:t>.</w:t>
      </w:r>
      <w:r>
        <w:rPr>
          <w:rFonts w:asciiTheme="minorHAnsi" w:hAnsiTheme="minorHAnsi"/>
          <w:sz w:val="22"/>
        </w:rPr>
        <w:t xml:space="preserve">  </w:t>
      </w:r>
      <w:r w:rsidRPr="000A36C5">
        <w:t xml:space="preserve">The Court </w:t>
      </w:r>
      <w:r>
        <w:t xml:space="preserve">further </w:t>
      </w:r>
      <w:r w:rsidRPr="000A36C5">
        <w:t>held that it was “difficult to fathom” how a person who has chosen to pursue a medical profession could be “deterred from that ambition by the requirement that, if, upon qualification, he or she wishes to dispense medicine as part of his or her practice, he or she would be required, among other things, to dispense medicines from premises that comply with good dispensing practice.”</w:t>
      </w:r>
      <w:r w:rsidRPr="000A36C5">
        <w:rPr>
          <w:rStyle w:val="FootnoteReference"/>
        </w:rPr>
        <w:footnoteReference w:id="57"/>
      </w:r>
    </w:p>
    <w:p w14:paraId="72D24E63" w14:textId="77777777" w:rsidR="002D5377" w:rsidRDefault="002D5377" w:rsidP="002D5377">
      <w:pPr>
        <w:pStyle w:val="JUDGMENTCONTINUED"/>
      </w:pPr>
    </w:p>
    <w:p w14:paraId="09161A7D" w14:textId="27D5B63D" w:rsidR="000D468A" w:rsidRDefault="002D5377" w:rsidP="00805977">
      <w:pPr>
        <w:pStyle w:val="JUDGMENTNUMBERED"/>
        <w:widowControl w:val="0"/>
        <w:numPr>
          <w:ilvl w:val="0"/>
          <w:numId w:val="2"/>
        </w:numPr>
        <w:autoSpaceDE w:val="0"/>
        <w:autoSpaceDN w:val="0"/>
        <w:ind w:left="0" w:firstLine="0"/>
      </w:pPr>
      <w:r>
        <w:t>Clearly</w:t>
      </w:r>
      <w:r w:rsidR="00776B58">
        <w:t>,</w:t>
      </w:r>
      <w:r w:rsidR="00092E66">
        <w:t xml:space="preserve"> then</w:t>
      </w:r>
      <w:r>
        <w:t>, a law prohibiting certain persons from entering into a specific trade, or providing that certain persons m</w:t>
      </w:r>
      <w:r w:rsidR="008C62DF">
        <w:t>ay no longer continue to practis</w:t>
      </w:r>
      <w:r>
        <w:t>e that trade, would limit the choice element of section</w:t>
      </w:r>
      <w:r w:rsidR="00776B58">
        <w:t> </w:t>
      </w:r>
      <w:r>
        <w:t>22</w:t>
      </w:r>
      <w:r w:rsidR="009525F3">
        <w:t>; in these</w:t>
      </w:r>
      <w:r w:rsidR="004948F1">
        <w:t xml:space="preserve"> cases there is a </w:t>
      </w:r>
      <w:r w:rsidR="004948F1" w:rsidRPr="004948F1">
        <w:rPr>
          <w:i/>
        </w:rPr>
        <w:t>legal barrier</w:t>
      </w:r>
      <w:r w:rsidR="004948F1">
        <w:t xml:space="preserve"> to choice</w:t>
      </w:r>
      <w:r>
        <w:t xml:space="preserve">.  </w:t>
      </w:r>
      <w:r w:rsidR="008C62DF">
        <w:t>This would be the case</w:t>
      </w:r>
      <w:r w:rsidR="00F5506D">
        <w:t xml:space="preserve"> where, for instance, a licence is necessary to conduct a particular trade, and that licence is withdrawn.  </w:t>
      </w:r>
      <w:r>
        <w:t xml:space="preserve">However, </w:t>
      </w:r>
      <w:r w:rsidR="004948F1">
        <w:t>one may also</w:t>
      </w:r>
      <w:r>
        <w:t xml:space="preserve"> conceive of legislative provisions that, whil</w:t>
      </w:r>
      <w:r w:rsidR="00831F19">
        <w:t>e</w:t>
      </w:r>
      <w:r>
        <w:t xml:space="preserve"> not explicitly ruling out a group of persons from choosing a particular trade, does so in effect, by making the practice of that trade or profession so undesirable, difficult or unprofitable that the choice to enter into it is in fact limited.</w:t>
      </w:r>
    </w:p>
    <w:p w14:paraId="3002DDE4" w14:textId="77777777" w:rsidR="000D468A" w:rsidRPr="000D468A" w:rsidRDefault="000D468A" w:rsidP="00F1047F">
      <w:pPr>
        <w:pStyle w:val="JUDGMENTCONTINUED"/>
      </w:pPr>
    </w:p>
    <w:p w14:paraId="79073B4E" w14:textId="77777777" w:rsidR="002D5377" w:rsidRDefault="009525F3" w:rsidP="00805977">
      <w:pPr>
        <w:pStyle w:val="JUDGMENTNUMBERED"/>
        <w:widowControl w:val="0"/>
        <w:numPr>
          <w:ilvl w:val="0"/>
          <w:numId w:val="2"/>
        </w:numPr>
        <w:autoSpaceDE w:val="0"/>
        <w:autoSpaceDN w:val="0"/>
        <w:ind w:left="0" w:firstLine="0"/>
      </w:pPr>
      <w:r>
        <w:t>These</w:t>
      </w:r>
      <w:r w:rsidR="004948F1">
        <w:t xml:space="preserve"> provisions must also fall within the ambit of provisions that limit choice, as they create an </w:t>
      </w:r>
      <w:r w:rsidR="004948F1" w:rsidRPr="00805977">
        <w:rPr>
          <w:i/>
        </w:rPr>
        <w:t>effective limit</w:t>
      </w:r>
      <w:r w:rsidR="004948F1">
        <w:t xml:space="preserve"> on choice.  Indeed, this Court </w:t>
      </w:r>
      <w:r w:rsidR="002D5377">
        <w:t xml:space="preserve">in </w:t>
      </w:r>
      <w:r w:rsidR="002D5377" w:rsidRPr="00805977">
        <w:rPr>
          <w:i/>
        </w:rPr>
        <w:t>Affordable Medicines</w:t>
      </w:r>
      <w:r w:rsidR="004948F1">
        <w:t xml:space="preserve"> </w:t>
      </w:r>
      <w:r w:rsidR="00092E66">
        <w:t>seems to have taken</w:t>
      </w:r>
      <w:r w:rsidR="002D5377">
        <w:t xml:space="preserve"> into account both the fact that the legislation in issue did not </w:t>
      </w:r>
      <w:r w:rsidR="004948F1">
        <w:t xml:space="preserve">present a legal barrier to </w:t>
      </w:r>
      <w:r w:rsidR="002D5377">
        <w:t xml:space="preserve">entry into the profession, and that it did not impose an effective limit on that choice in that it would not “deter” persons from entering into </w:t>
      </w:r>
      <w:r w:rsidR="002D5377">
        <w:lastRenderedPageBreak/>
        <w:t>the profession.</w:t>
      </w:r>
    </w:p>
    <w:p w14:paraId="257B2A7B" w14:textId="77777777" w:rsidR="002D5377" w:rsidRDefault="002D5377" w:rsidP="002D5377">
      <w:pPr>
        <w:pStyle w:val="JUDGMENTCONTINUED"/>
      </w:pPr>
    </w:p>
    <w:p w14:paraId="01197001" w14:textId="6490D1AD" w:rsidR="004948F1" w:rsidRDefault="00092E66" w:rsidP="002D5377">
      <w:pPr>
        <w:pStyle w:val="JUDGMENTNUMBERED"/>
        <w:widowControl w:val="0"/>
        <w:numPr>
          <w:ilvl w:val="0"/>
          <w:numId w:val="2"/>
        </w:numPr>
        <w:autoSpaceDE w:val="0"/>
        <w:autoSpaceDN w:val="0"/>
        <w:ind w:left="0" w:firstLine="0"/>
      </w:pPr>
      <w:r>
        <w:t>On this understanding of what it means to limit choice for the purposes of section</w:t>
      </w:r>
      <w:r w:rsidR="00776B58">
        <w:t> </w:t>
      </w:r>
      <w:r>
        <w:t>22, d</w:t>
      </w:r>
      <w:r w:rsidR="002D5377">
        <w:t>oes section</w:t>
      </w:r>
      <w:r w:rsidR="00776B58">
        <w:t> </w:t>
      </w:r>
      <w:r w:rsidR="002D5377">
        <w:t>20A limit the right</w:t>
      </w:r>
      <w:r w:rsidR="004948F1">
        <w:t xml:space="preserve"> of SADPO’s members</w:t>
      </w:r>
      <w:r w:rsidR="002D5377">
        <w:t xml:space="preserve"> to </w:t>
      </w:r>
      <w:r w:rsidR="002D5377" w:rsidRPr="004948F1">
        <w:t>choose</w:t>
      </w:r>
      <w:r w:rsidR="002D5377">
        <w:t xml:space="preserve"> </w:t>
      </w:r>
      <w:r w:rsidR="004948F1">
        <w:t>their</w:t>
      </w:r>
      <w:r w:rsidR="002D5377">
        <w:t xml:space="preserve"> trade, profession or occupation?  No</w:t>
      </w:r>
      <w:r w:rsidR="006F28CD">
        <w:t>.</w:t>
      </w:r>
      <w:r w:rsidR="002D5377">
        <w:t xml:space="preserve">  Not only does section</w:t>
      </w:r>
      <w:r w:rsidR="00776B58">
        <w:t> </w:t>
      </w:r>
      <w:r w:rsidR="002D5377">
        <w:t xml:space="preserve">20A not impose a formal legal bar to choosing </w:t>
      </w:r>
      <w:r w:rsidR="004948F1">
        <w:t>to practise the trade of diamond dealer or producer</w:t>
      </w:r>
      <w:r w:rsidR="002D5377">
        <w:t>, but no case has been made out that section</w:t>
      </w:r>
      <w:r w:rsidR="00776B58">
        <w:t> </w:t>
      </w:r>
      <w:r w:rsidR="002D5377">
        <w:t xml:space="preserve">20A presents an effective bar to choosing to practise these trades. </w:t>
      </w:r>
      <w:r w:rsidR="004948F1">
        <w:t xml:space="preserve"> All section </w:t>
      </w:r>
      <w:r w:rsidR="002D5377">
        <w:t>20A does is prohibit licensees from being assisted by unlicensed persons when viewing, purchasing or selling unpolished diamonds, except at a DEEC.  Producers and dealers are still able to obtain assistance if they so wish, but that assistance must either be rendered by a licensed person (outside a DEEC) or, if they specifically seek the assistance of a person who is not licensed, this assistanc</w:t>
      </w:r>
      <w:r w:rsidR="000372FB">
        <w:t>e may</w:t>
      </w:r>
      <w:r w:rsidR="002D5377">
        <w:t xml:space="preserve"> be rendered </w:t>
      </w:r>
      <w:r w:rsidR="000372FB">
        <w:t xml:space="preserve">only </w:t>
      </w:r>
      <w:r w:rsidR="002D5377">
        <w:t>at a DEEC.</w:t>
      </w:r>
      <w:r w:rsidR="00504104">
        <w:t xml:space="preserve"> </w:t>
      </w:r>
      <w:r w:rsidR="002D5377">
        <w:t xml:space="preserve"> </w:t>
      </w:r>
      <w:r>
        <w:t>This cannot, without more, render</w:t>
      </w:r>
      <w:r w:rsidR="002D5377">
        <w:t xml:space="preserve"> trading as a </w:t>
      </w:r>
      <w:r w:rsidR="00A17D1E">
        <w:t xml:space="preserve">diamond </w:t>
      </w:r>
      <w:r w:rsidR="002D5377">
        <w:t xml:space="preserve">producer or dealer so unprofitable as to </w:t>
      </w:r>
      <w:r w:rsidR="00ED5AD8">
        <w:t>obviate</w:t>
      </w:r>
      <w:r w:rsidR="002D5377">
        <w:t xml:space="preserve"> choice.</w:t>
      </w:r>
    </w:p>
    <w:p w14:paraId="47EA7622" w14:textId="77777777" w:rsidR="004948F1" w:rsidRPr="004948F1" w:rsidRDefault="004948F1" w:rsidP="004948F1">
      <w:pPr>
        <w:pStyle w:val="JUDGMENTCONTINUED"/>
      </w:pPr>
    </w:p>
    <w:p w14:paraId="08C2D0CB" w14:textId="30CBC0E7" w:rsidR="002D5377" w:rsidRDefault="002D5377" w:rsidP="002D5377">
      <w:pPr>
        <w:pStyle w:val="JUDGMENTNUMBERED"/>
        <w:widowControl w:val="0"/>
        <w:numPr>
          <w:ilvl w:val="0"/>
          <w:numId w:val="2"/>
        </w:numPr>
        <w:autoSpaceDE w:val="0"/>
        <w:autoSpaceDN w:val="0"/>
        <w:ind w:left="0" w:firstLine="0"/>
      </w:pPr>
      <w:r>
        <w:t>Accordingly, the freedom to choose one’s trade, occupation or profession is not limited by section</w:t>
      </w:r>
      <w:r w:rsidR="00776B58">
        <w:t> </w:t>
      </w:r>
      <w:r>
        <w:t>20A.  The impugned provision simply regulates the practice of the trade</w:t>
      </w:r>
      <w:r w:rsidR="007A3003">
        <w:t>s</w:t>
      </w:r>
      <w:r>
        <w:t xml:space="preserve"> of diamond producing and dealing.</w:t>
      </w:r>
    </w:p>
    <w:p w14:paraId="34D0C3E7" w14:textId="77777777" w:rsidR="002D5377" w:rsidRDefault="002D5377" w:rsidP="002D5377">
      <w:pPr>
        <w:pStyle w:val="JUDGMENTCONTINUED"/>
      </w:pPr>
    </w:p>
    <w:p w14:paraId="47F84BAF" w14:textId="467C7CC7" w:rsidR="002D5377" w:rsidRDefault="004948F1" w:rsidP="002D5377">
      <w:pPr>
        <w:pStyle w:val="JUDGMENTNUMBERED"/>
        <w:widowControl w:val="0"/>
        <w:numPr>
          <w:ilvl w:val="0"/>
          <w:numId w:val="2"/>
        </w:numPr>
        <w:autoSpaceDE w:val="0"/>
        <w:autoSpaceDN w:val="0"/>
        <w:ind w:left="0" w:firstLine="0"/>
      </w:pPr>
      <w:r>
        <w:t xml:space="preserve">The next question is then whether </w:t>
      </w:r>
      <w:r w:rsidR="002D5377">
        <w:t>section</w:t>
      </w:r>
      <w:r w:rsidR="00776B58">
        <w:t> </w:t>
      </w:r>
      <w:r w:rsidR="002D5377">
        <w:t>20A regulate</w:t>
      </w:r>
      <w:r>
        <w:t>s</w:t>
      </w:r>
      <w:r w:rsidR="00805977">
        <w:t xml:space="preserve"> these</w:t>
      </w:r>
      <w:r w:rsidR="002D5377">
        <w:t xml:space="preserve"> trade</w:t>
      </w:r>
      <w:r w:rsidR="00805977">
        <w:t>s</w:t>
      </w:r>
      <w:r w:rsidR="002D5377">
        <w:t xml:space="preserve"> within cons</w:t>
      </w:r>
      <w:r>
        <w:t>titutionally permissible limits.</w:t>
      </w:r>
      <w:r w:rsidR="002D5377">
        <w:t xml:space="preserve">  The test is one of rationality.  This test was first proposed in </w:t>
      </w:r>
      <w:r w:rsidR="002D5377" w:rsidRPr="00B62981">
        <w:rPr>
          <w:i/>
        </w:rPr>
        <w:t>Lawrence</w:t>
      </w:r>
      <w:r w:rsidR="002D5377" w:rsidRPr="00E057E7">
        <w:rPr>
          <w:rStyle w:val="FootnoteReference"/>
        </w:rPr>
        <w:footnoteReference w:id="58"/>
      </w:r>
      <w:r w:rsidR="002D5377">
        <w:t xml:space="preserve"> in the context of section</w:t>
      </w:r>
      <w:r w:rsidR="00287B96">
        <w:t> </w:t>
      </w:r>
      <w:r w:rsidR="002D5377">
        <w:t>22’s predecessor, section</w:t>
      </w:r>
      <w:r w:rsidR="00287B96">
        <w:t> </w:t>
      </w:r>
      <w:r w:rsidR="00805977">
        <w:t>26 of the Interim Constitution.  In that case,</w:t>
      </w:r>
      <w:r w:rsidR="002D5377">
        <w:t xml:space="preserve"> this Court stated the test as follows:</w:t>
      </w:r>
    </w:p>
    <w:p w14:paraId="1B7C5F74" w14:textId="77777777" w:rsidR="002D5377" w:rsidRDefault="002D5377" w:rsidP="002D5377">
      <w:pPr>
        <w:pStyle w:val="QUOTATION"/>
      </w:pPr>
    </w:p>
    <w:p w14:paraId="0D66A7AE" w14:textId="750679F5" w:rsidR="002D5377" w:rsidRDefault="002D5377" w:rsidP="002D5377">
      <w:pPr>
        <w:pStyle w:val="QUOTATION"/>
      </w:pPr>
      <w:r>
        <w:t>“Th</w:t>
      </w:r>
      <w:r w:rsidRPr="00225375">
        <w:t xml:space="preserve">e requirement that the measures be justifiable in an open and democratic society based on freedom and equality means that there must be a rational connection between means and ends. </w:t>
      </w:r>
      <w:r w:rsidR="00653C24">
        <w:t xml:space="preserve"> </w:t>
      </w:r>
      <w:r w:rsidRPr="00225375">
        <w:t>Otherwise the measure is arbitrary and arbitrariness is incompatible with such a society.</w:t>
      </w:r>
      <w:r>
        <w:t>”</w:t>
      </w:r>
      <w:r>
        <w:rPr>
          <w:rStyle w:val="FootnoteReference"/>
        </w:rPr>
        <w:footnoteReference w:id="59"/>
      </w:r>
    </w:p>
    <w:p w14:paraId="363B7D14" w14:textId="77777777" w:rsidR="002D5377" w:rsidRDefault="002D5377" w:rsidP="002D5377">
      <w:pPr>
        <w:pStyle w:val="JUDGMENTCONTINUED"/>
      </w:pPr>
    </w:p>
    <w:p w14:paraId="233A2AF4" w14:textId="560196F3" w:rsidR="002D5377" w:rsidRDefault="002D5377" w:rsidP="002D5377">
      <w:pPr>
        <w:pStyle w:val="JUDGMENTNUMBERED"/>
        <w:widowControl w:val="0"/>
        <w:numPr>
          <w:ilvl w:val="0"/>
          <w:numId w:val="2"/>
        </w:numPr>
        <w:autoSpaceDE w:val="0"/>
        <w:autoSpaceDN w:val="0"/>
        <w:ind w:left="0" w:firstLine="0"/>
      </w:pPr>
      <w:r>
        <w:lastRenderedPageBreak/>
        <w:t>The rationality test was also accepted in relation to section</w:t>
      </w:r>
      <w:r w:rsidR="00647522">
        <w:t> </w:t>
      </w:r>
      <w:r>
        <w:t xml:space="preserve">22 of the Final Constitution in </w:t>
      </w:r>
      <w:r w:rsidRPr="00E057E7">
        <w:rPr>
          <w:i/>
        </w:rPr>
        <w:t>Affordable Medicines</w:t>
      </w:r>
      <w:r>
        <w:t xml:space="preserve">, </w:t>
      </w:r>
      <w:r w:rsidR="004A1D92">
        <w:t xml:space="preserve">where </w:t>
      </w:r>
      <w:r>
        <w:t xml:space="preserve">the </w:t>
      </w:r>
      <w:r w:rsidR="004A1D92">
        <w:t xml:space="preserve">Court rejected the </w:t>
      </w:r>
      <w:r>
        <w:t xml:space="preserve">suggestion that </w:t>
      </w:r>
      <w:r w:rsidR="00805977">
        <w:t>a reasonableness test applied</w:t>
      </w:r>
      <w:r>
        <w:t>.</w:t>
      </w:r>
      <w:r>
        <w:rPr>
          <w:rStyle w:val="FootnoteReference"/>
        </w:rPr>
        <w:footnoteReference w:id="60"/>
      </w:r>
      <w:r>
        <w:t xml:space="preserve">  The Court held </w:t>
      </w:r>
      <w:r w:rsidRPr="00E057E7">
        <w:t>that the standard for determining whether the regulation of the practice of a profession falls within the purview of section</w:t>
      </w:r>
      <w:r w:rsidR="004A16FB">
        <w:t> </w:t>
      </w:r>
      <w:r w:rsidRPr="00E057E7">
        <w:t>22 is whether the regulation of the practice of a profession is rationally related to a legitimate government purpose and does not infringe any of the rights in the Bill of Rights.</w:t>
      </w:r>
    </w:p>
    <w:p w14:paraId="098E9F72" w14:textId="77777777" w:rsidR="002D5377" w:rsidRDefault="002D5377" w:rsidP="002D5377">
      <w:pPr>
        <w:pStyle w:val="JUDGMENTCONTINUED"/>
      </w:pPr>
    </w:p>
    <w:p w14:paraId="3F8792DC" w14:textId="77777777" w:rsidR="002D5377" w:rsidRDefault="002D5377" w:rsidP="002D5377">
      <w:pPr>
        <w:pStyle w:val="JUDGMENTNUMBERED"/>
        <w:widowControl w:val="0"/>
        <w:numPr>
          <w:ilvl w:val="0"/>
          <w:numId w:val="2"/>
        </w:numPr>
        <w:autoSpaceDE w:val="0"/>
        <w:autoSpaceDN w:val="0"/>
        <w:ind w:left="0" w:firstLine="0"/>
      </w:pPr>
      <w:r>
        <w:t xml:space="preserve">The rationality standard is </w:t>
      </w:r>
      <w:r w:rsidR="00A17D1E">
        <w:t>aimed at achieving</w:t>
      </w:r>
      <w:r w:rsidRPr="00E057E7">
        <w:t xml:space="preserve"> a proper balance between the </w:t>
      </w:r>
      <w:proofErr w:type="gramStart"/>
      <w:r w:rsidRPr="00E057E7">
        <w:t>role</w:t>
      </w:r>
      <w:proofErr w:type="gramEnd"/>
      <w:r w:rsidRPr="00E057E7">
        <w:t xml:space="preserve"> of the legislature on the one hand, and the role of the courts on the other.</w:t>
      </w:r>
      <w:r w:rsidRPr="00E057E7">
        <w:rPr>
          <w:rStyle w:val="FootnoteReference"/>
        </w:rPr>
        <w:footnoteReference w:id="61"/>
      </w:r>
      <w:r>
        <w:t xml:space="preserve"> </w:t>
      </w:r>
      <w:r w:rsidR="00C50A00">
        <w:t xml:space="preserve"> </w:t>
      </w:r>
      <w:r>
        <w:t xml:space="preserve">As this Court held in </w:t>
      </w:r>
      <w:r>
        <w:rPr>
          <w:i/>
        </w:rPr>
        <w:t xml:space="preserve">Affordable </w:t>
      </w:r>
      <w:r w:rsidRPr="00C07169">
        <w:rPr>
          <w:i/>
        </w:rPr>
        <w:t>Medicines</w:t>
      </w:r>
      <w:r>
        <w:t>:</w:t>
      </w:r>
    </w:p>
    <w:p w14:paraId="4F19CF79" w14:textId="77777777" w:rsidR="002D5377" w:rsidRDefault="002D5377" w:rsidP="002D5377">
      <w:pPr>
        <w:pStyle w:val="QUOTATION"/>
      </w:pPr>
    </w:p>
    <w:p w14:paraId="2C392EB9" w14:textId="4FA1E240" w:rsidR="002D5377" w:rsidRPr="00934928" w:rsidRDefault="002D5377" w:rsidP="002D5377">
      <w:pPr>
        <w:pStyle w:val="QUOTATION"/>
      </w:pPr>
      <w:r>
        <w:t>“</w:t>
      </w:r>
      <w:r w:rsidRPr="00E057E7">
        <w:t>The</w:t>
      </w:r>
      <w:r w:rsidRPr="00934928">
        <w:t xml:space="preserve"> rational basis test involves restraint on the part of the Court.  It respects the respective roles of the courts and the </w:t>
      </w:r>
      <w:r w:rsidR="00EA5217">
        <w:t>L</w:t>
      </w:r>
      <w:r w:rsidRPr="00934928">
        <w:t xml:space="preserve">egislature.  In the exercise of its legislative powers, the </w:t>
      </w:r>
      <w:r w:rsidR="00EA5217">
        <w:t>L</w:t>
      </w:r>
      <w:r w:rsidRPr="00934928">
        <w:t>egislature has the widest possible latitude within the limits of the Constitution.  In the exercise of their power to review legislation, courts should strive to pre</w:t>
      </w:r>
      <w:r w:rsidR="000372FB">
        <w:t>serve to the L</w:t>
      </w:r>
      <w:r w:rsidRPr="00934928">
        <w:t>egislature its rightful role in a democratic society.  It is this guiding principle that should inform the test for determining whether legislation that regulates practice but does not, objectively viewed, impact negatively on choice, passes constitutional scrutiny.</w:t>
      </w:r>
      <w:r>
        <w:t>”</w:t>
      </w:r>
      <w:r>
        <w:rPr>
          <w:rStyle w:val="FootnoteReference"/>
        </w:rPr>
        <w:footnoteReference w:id="62"/>
      </w:r>
    </w:p>
    <w:p w14:paraId="28C239EA" w14:textId="77777777" w:rsidR="002D5377" w:rsidRDefault="002D5377" w:rsidP="002D5377">
      <w:pPr>
        <w:pStyle w:val="JUDGMENTNUMBERED"/>
        <w:numPr>
          <w:ilvl w:val="0"/>
          <w:numId w:val="0"/>
        </w:numPr>
      </w:pPr>
    </w:p>
    <w:p w14:paraId="3E347D28" w14:textId="1327D127" w:rsidR="002D5377" w:rsidRDefault="002D5377" w:rsidP="00A17D1E">
      <w:pPr>
        <w:pStyle w:val="JUDGMENTNUMBERED"/>
        <w:widowControl w:val="0"/>
        <w:numPr>
          <w:ilvl w:val="0"/>
          <w:numId w:val="2"/>
        </w:numPr>
        <w:autoSpaceDE w:val="0"/>
        <w:autoSpaceDN w:val="0"/>
        <w:ind w:left="0" w:firstLine="0"/>
      </w:pPr>
      <w:r>
        <w:t xml:space="preserve">This means that the question </w:t>
      </w:r>
      <w:r w:rsidR="00504104">
        <w:t xml:space="preserve">is </w:t>
      </w:r>
      <w:r>
        <w:t>whether there is a</w:t>
      </w:r>
      <w:r w:rsidR="00805977">
        <w:t xml:space="preserve"> rational basis for section</w:t>
      </w:r>
      <w:r w:rsidR="00647522">
        <w:t> </w:t>
      </w:r>
      <w:r w:rsidR="00805977">
        <w:t>20A</w:t>
      </w:r>
      <w:r w:rsidR="006716A7">
        <w:t xml:space="preserve">; </w:t>
      </w:r>
      <w:r w:rsidR="00805977">
        <w:t>w</w:t>
      </w:r>
      <w:r>
        <w:t>hether another measure may have been more effective, or less disruptive, is not relevant.</w:t>
      </w:r>
      <w:r w:rsidR="004948F1">
        <w:t xml:space="preserve">  In</w:t>
      </w:r>
      <w:r>
        <w:t xml:space="preserve"> </w:t>
      </w:r>
      <w:r>
        <w:rPr>
          <w:i/>
        </w:rPr>
        <w:t>Lawrence</w:t>
      </w:r>
      <w:r>
        <w:t>, this Court held that legislation should not be set aside</w:t>
      </w:r>
      <w:r w:rsidR="0067225F">
        <w:t xml:space="preserve"> by a court</w:t>
      </w:r>
      <w:r>
        <w:t xml:space="preserve"> as infringing economic freedom</w:t>
      </w:r>
      <w:r w:rsidRPr="00DC654F">
        <w:t xml:space="preserve"> </w:t>
      </w:r>
      <w:r>
        <w:t>“</w:t>
      </w:r>
      <w:r w:rsidRPr="00DC654F">
        <w:t>simply because it may consider the legislation to be ineffective or is of the opinion that there are other and better ways of dealing with the problems”.</w:t>
      </w:r>
      <w:r>
        <w:rPr>
          <w:rStyle w:val="FootnoteReference"/>
        </w:rPr>
        <w:footnoteReference w:id="63"/>
      </w:r>
    </w:p>
    <w:p w14:paraId="7EB23561" w14:textId="77777777" w:rsidR="00A17D1E" w:rsidRPr="00A17D1E" w:rsidRDefault="00A17D1E" w:rsidP="00A17D1E">
      <w:pPr>
        <w:pStyle w:val="JUDGMENTCONTINUED"/>
      </w:pPr>
    </w:p>
    <w:p w14:paraId="15B6BFE1" w14:textId="1A409D6D" w:rsidR="000D468A" w:rsidRDefault="002D5377" w:rsidP="00F5506D">
      <w:pPr>
        <w:pStyle w:val="JUDGMENTNUMBERED"/>
        <w:widowControl w:val="0"/>
        <w:numPr>
          <w:ilvl w:val="0"/>
          <w:numId w:val="2"/>
        </w:numPr>
        <w:autoSpaceDE w:val="0"/>
        <w:autoSpaceDN w:val="0"/>
        <w:ind w:left="0" w:firstLine="0"/>
      </w:pPr>
      <w:r>
        <w:t>Is there a rational basis for section</w:t>
      </w:r>
      <w:r w:rsidR="00056AA3">
        <w:t> </w:t>
      </w:r>
      <w:r>
        <w:t xml:space="preserve">20A?  </w:t>
      </w:r>
      <w:r w:rsidR="00F5506D">
        <w:t xml:space="preserve">First, we must look to its purpose.  Some guidance is found in the preamble to the Second </w:t>
      </w:r>
      <w:r w:rsidR="00D83455">
        <w:t xml:space="preserve">Diamonds </w:t>
      </w:r>
      <w:r w:rsidR="00F5506D">
        <w:t>Amendment Act, which introduced section</w:t>
      </w:r>
      <w:r w:rsidR="00056AA3">
        <w:t> </w:t>
      </w:r>
      <w:r w:rsidR="00F5506D">
        <w:t xml:space="preserve">20A.  It provides that the Second </w:t>
      </w:r>
      <w:r w:rsidR="00D83455">
        <w:t xml:space="preserve">Diamonds </w:t>
      </w:r>
      <w:r w:rsidR="00F5506D">
        <w:t>Amendment Act se</w:t>
      </w:r>
      <w:r w:rsidR="00EA25B2">
        <w:t xml:space="preserve">eks, amongst other objects, “to </w:t>
      </w:r>
      <w:r w:rsidR="00F5506D">
        <w:t>prohibit assistance to licensees by non-licensed persons at any place where unpolished diamonds are offered for sale”.  Section</w:t>
      </w:r>
      <w:r w:rsidR="00056AA3">
        <w:t> </w:t>
      </w:r>
      <w:r w:rsidR="00F5506D">
        <w:t>20A achieves this object, by prohibiting unlicensed assistance</w:t>
      </w:r>
      <w:r w:rsidR="00F5506D" w:rsidRPr="00F5506D">
        <w:t xml:space="preserve"> </w:t>
      </w:r>
      <w:r w:rsidR="00F5506D">
        <w:t>at all places where unpolished diamonds are offered for sale, with the exception of the DEECs.  This does not, however, assist in ascertaining the purpose of section</w:t>
      </w:r>
      <w:r w:rsidR="00056AA3">
        <w:t> </w:t>
      </w:r>
      <w:r w:rsidR="00F5506D">
        <w:t>20A –</w:t>
      </w:r>
      <w:r w:rsidR="004C25EA">
        <w:t xml:space="preserve"> </w:t>
      </w:r>
      <w:r w:rsidR="00F5506D" w:rsidRPr="004C25EA">
        <w:rPr>
          <w:i/>
        </w:rPr>
        <w:t>why</w:t>
      </w:r>
      <w:r w:rsidR="00F5506D">
        <w:t xml:space="preserve"> this prohibition was put into effect.</w:t>
      </w:r>
    </w:p>
    <w:p w14:paraId="1EEBD51C" w14:textId="77777777" w:rsidR="000D468A" w:rsidRPr="000D468A" w:rsidRDefault="000D468A" w:rsidP="00F1047F">
      <w:pPr>
        <w:pStyle w:val="JUDGMENTCONTINUED"/>
      </w:pPr>
    </w:p>
    <w:p w14:paraId="585B59C1" w14:textId="6BB6C2C9" w:rsidR="002D5377" w:rsidRDefault="002D5377" w:rsidP="00F5506D">
      <w:pPr>
        <w:pStyle w:val="JUDGMENTNUMBERED"/>
        <w:widowControl w:val="0"/>
        <w:numPr>
          <w:ilvl w:val="0"/>
          <w:numId w:val="2"/>
        </w:numPr>
        <w:autoSpaceDE w:val="0"/>
        <w:autoSpaceDN w:val="0"/>
        <w:ind w:left="0" w:firstLine="0"/>
      </w:pPr>
      <w:r>
        <w:t xml:space="preserve">The respondents submit that the prohibition on assistance from unlicensed persons in places other than the </w:t>
      </w:r>
      <w:r w:rsidR="00805977">
        <w:t>s</w:t>
      </w:r>
      <w:r>
        <w:t>tate’s DEECs serves two key purposes: promoting local beneficiation of unpolished diamonds, thereby regulating the diamond trade in the public interest; and ensuring that the movement of unpolished diamonds is properly monitored and recorded, in furtherance of the country’s obligations under the Kimberley</w:t>
      </w:r>
      <w:r w:rsidR="008D7482">
        <w:t xml:space="preserve"> Process Certification Scheme.</w:t>
      </w:r>
      <w:r w:rsidR="00F5506D" w:rsidRPr="00F5506D">
        <w:t xml:space="preserve"> </w:t>
      </w:r>
      <w:r w:rsidR="00F56DDF">
        <w:t xml:space="preserve"> </w:t>
      </w:r>
      <w:r w:rsidR="00F5506D">
        <w:t xml:space="preserve">That these were the purposes sought to be achieved by the First and Second </w:t>
      </w:r>
      <w:r w:rsidR="00D83455">
        <w:t xml:space="preserve">Diamonds </w:t>
      </w:r>
      <w:r w:rsidR="00F5506D">
        <w:t>Amendment Acts is clear from the Memorandum on the Objects of the Diamonds Amendment Bill that was published at the time the amendments were first proposed.</w:t>
      </w:r>
    </w:p>
    <w:p w14:paraId="438F1F00" w14:textId="77777777" w:rsidR="002D5377" w:rsidRDefault="002D5377" w:rsidP="002D5377">
      <w:pPr>
        <w:pStyle w:val="JUDGMENTCONTINUED"/>
      </w:pPr>
    </w:p>
    <w:p w14:paraId="64A50D54" w14:textId="798F926A" w:rsidR="002D5377" w:rsidRDefault="002D5377" w:rsidP="002D5377">
      <w:pPr>
        <w:pStyle w:val="JUDGMENTNUMBERED"/>
        <w:widowControl w:val="0"/>
        <w:numPr>
          <w:ilvl w:val="0"/>
          <w:numId w:val="2"/>
        </w:numPr>
        <w:autoSpaceDE w:val="0"/>
        <w:autoSpaceDN w:val="0"/>
        <w:ind w:left="0" w:firstLine="0"/>
      </w:pPr>
      <w:r>
        <w:t xml:space="preserve">These are clearly legitimate government purposes, and SADPO does not argue that they are not.  </w:t>
      </w:r>
      <w:r w:rsidR="00BC6457">
        <w:t>Its</w:t>
      </w:r>
      <w:r>
        <w:t xml:space="preserve"> complaint, however, is that section</w:t>
      </w:r>
      <w:r w:rsidR="00E90A64">
        <w:t> </w:t>
      </w:r>
      <w:r>
        <w:t xml:space="preserve">20A does not achieve these purposes; as a result, it is irrational. </w:t>
      </w:r>
      <w:r w:rsidR="00F56DDF">
        <w:t xml:space="preserve"> </w:t>
      </w:r>
      <w:r>
        <w:t>On local beneficiation, SADPO argues that this purpose is sufficiently achieved through other provisions of the Act.  On monitoring, it argues that the previous system provided for adequate monitoring of unpolished diamonds, and that section</w:t>
      </w:r>
      <w:r w:rsidR="004A16FB">
        <w:t> </w:t>
      </w:r>
      <w:r>
        <w:t>20A adds nothing to the system that was already in place.</w:t>
      </w:r>
    </w:p>
    <w:p w14:paraId="2AFD308D" w14:textId="77777777" w:rsidR="002D5377" w:rsidRDefault="002D5377" w:rsidP="002D5377">
      <w:pPr>
        <w:pStyle w:val="JUDGMENTCONTINUED"/>
      </w:pPr>
    </w:p>
    <w:p w14:paraId="4E3C4D51" w14:textId="71F1FFEC" w:rsidR="002D5377" w:rsidRDefault="009525F3" w:rsidP="00D374D0">
      <w:pPr>
        <w:pStyle w:val="JUDGMENTNUMBERED"/>
        <w:widowControl w:val="0"/>
        <w:numPr>
          <w:ilvl w:val="0"/>
          <w:numId w:val="2"/>
        </w:numPr>
        <w:autoSpaceDE w:val="0"/>
        <w:autoSpaceDN w:val="0"/>
        <w:ind w:left="0" w:firstLine="0"/>
      </w:pPr>
      <w:r>
        <w:t>This argument is</w:t>
      </w:r>
      <w:r w:rsidR="008D7482">
        <w:t xml:space="preserve"> unsustainable. </w:t>
      </w:r>
      <w:r w:rsidR="00504104">
        <w:t xml:space="preserve"> </w:t>
      </w:r>
      <w:r w:rsidR="002D5377">
        <w:t>It is not difficult to imagine that creating a</w:t>
      </w:r>
      <w:r w:rsidR="00F5506D">
        <w:t xml:space="preserve"> one-stop shop, in the form of s</w:t>
      </w:r>
      <w:r w:rsidR="002D5377">
        <w:t xml:space="preserve">tate-run DEECs, for exports of all unpolished diamonds, and prohibiting unlicensed persons from being involved in trade except at </w:t>
      </w:r>
      <w:r w:rsidR="002D5377">
        <w:lastRenderedPageBreak/>
        <w:t xml:space="preserve">these centralised locations, is rationally related to the legitimate purpose of monitoring the movement of unpolished diamonds. </w:t>
      </w:r>
      <w:r w:rsidR="00F56DDF">
        <w:t xml:space="preserve"> </w:t>
      </w:r>
      <w:r w:rsidR="002D5377">
        <w:t>The more involvement unlicensed persons are permitted to have in the process of buying, selling and exporting unpolished diamonds, the greater the risk of illegal transactions going unnoticed.</w:t>
      </w:r>
      <w:r w:rsidR="00D374D0">
        <w:t xml:space="preserve">  </w:t>
      </w:r>
      <w:r w:rsidR="002D5377">
        <w:t xml:space="preserve">It is </w:t>
      </w:r>
      <w:r w:rsidR="00F10040">
        <w:t>plausible</w:t>
      </w:r>
      <w:r w:rsidR="002D5377">
        <w:t xml:space="preserve"> that it </w:t>
      </w:r>
      <w:r w:rsidR="00A17D1E">
        <w:t>would</w:t>
      </w:r>
      <w:r w:rsidR="00805977">
        <w:t xml:space="preserve"> be easier for the s</w:t>
      </w:r>
      <w:r w:rsidR="002D5377">
        <w:t xml:space="preserve">tate to control and monitor </w:t>
      </w:r>
      <w:r w:rsidR="00730B4A">
        <w:t>diamond trading</w:t>
      </w:r>
      <w:r w:rsidR="002D5377">
        <w:t xml:space="preserve"> if all persons who engage in the trading process outside the D</w:t>
      </w:r>
      <w:r w:rsidR="00805977">
        <w:t>EECs are at least known to the s</w:t>
      </w:r>
      <w:r w:rsidR="002D5377">
        <w:t xml:space="preserve">tate through a licensing process. </w:t>
      </w:r>
      <w:r w:rsidR="008D7482">
        <w:t xml:space="preserve"> </w:t>
      </w:r>
      <w:r w:rsidR="000C126D">
        <w:t>Based on th</w:t>
      </w:r>
      <w:r w:rsidR="00FB20F5">
        <w:t>i</w:t>
      </w:r>
      <w:r w:rsidR="000C126D">
        <w:t xml:space="preserve">s purpose alone, </w:t>
      </w:r>
      <w:r w:rsidR="00730B4A">
        <w:t>section</w:t>
      </w:r>
      <w:r w:rsidR="00E90A64">
        <w:t> </w:t>
      </w:r>
      <w:r w:rsidR="00730B4A">
        <w:t>20A is not irrational in the manner in which it seeks to</w:t>
      </w:r>
      <w:r w:rsidR="002D5377">
        <w:t xml:space="preserve"> regulate the trade of diamond producing and dealing.  As a result, there is no limitation of section</w:t>
      </w:r>
      <w:r w:rsidR="00504104">
        <w:t> </w:t>
      </w:r>
      <w:r w:rsidR="002D5377">
        <w:t>22</w:t>
      </w:r>
      <w:r w:rsidR="00E72031">
        <w:t xml:space="preserve"> of the Constitution</w:t>
      </w:r>
      <w:r w:rsidR="002D5377">
        <w:t xml:space="preserve">, and the order of invalidity based on </w:t>
      </w:r>
      <w:r w:rsidR="00E72031">
        <w:t xml:space="preserve">that </w:t>
      </w:r>
      <w:r w:rsidR="002D5377">
        <w:t>secti</w:t>
      </w:r>
      <w:r w:rsidR="007E0849">
        <w:t>on can</w:t>
      </w:r>
      <w:r w:rsidR="002D5377">
        <w:t>not be confirmed.</w:t>
      </w:r>
    </w:p>
    <w:p w14:paraId="7A6EE9D3" w14:textId="77777777" w:rsidR="008D7482" w:rsidRPr="008D7482" w:rsidRDefault="008D7482" w:rsidP="008D7482">
      <w:pPr>
        <w:pStyle w:val="JUDGMENTCONTINUED"/>
      </w:pPr>
    </w:p>
    <w:p w14:paraId="0C0D35D9" w14:textId="77777777" w:rsidR="008D7482" w:rsidRPr="008D7482" w:rsidRDefault="008D7482" w:rsidP="008D7482">
      <w:pPr>
        <w:pStyle w:val="JUDGMENTNUMBERED"/>
        <w:widowControl w:val="0"/>
        <w:numPr>
          <w:ilvl w:val="0"/>
          <w:numId w:val="2"/>
        </w:numPr>
        <w:autoSpaceDE w:val="0"/>
        <w:autoSpaceDN w:val="0"/>
        <w:ind w:left="0" w:firstLine="0"/>
      </w:pPr>
      <w:r>
        <w:t>Accordingly, I decline to confirm the declaration of invalidity and uphold the appeal of the first, second and fifth respondents.</w:t>
      </w:r>
    </w:p>
    <w:p w14:paraId="71D77269" w14:textId="77777777" w:rsidR="00EC49BD" w:rsidRDefault="00EC49BD" w:rsidP="00F1047F">
      <w:pPr>
        <w:pStyle w:val="JUDGMENTCONTINUED"/>
      </w:pPr>
    </w:p>
    <w:p w14:paraId="714D2944" w14:textId="77777777" w:rsidR="00EC49BD" w:rsidRDefault="00EC49BD" w:rsidP="00EC49BD">
      <w:pPr>
        <w:pStyle w:val="HEADING"/>
      </w:pPr>
      <w:r>
        <w:t>Costs</w:t>
      </w:r>
    </w:p>
    <w:p w14:paraId="3835111C" w14:textId="77777777" w:rsidR="00EC49BD" w:rsidRDefault="005558C9" w:rsidP="00EC49BD">
      <w:pPr>
        <w:pStyle w:val="JUDGMENTNUMBERED"/>
        <w:widowControl w:val="0"/>
        <w:numPr>
          <w:ilvl w:val="0"/>
          <w:numId w:val="2"/>
        </w:numPr>
        <w:autoSpaceDE w:val="0"/>
        <w:autoSpaceDN w:val="0"/>
        <w:ind w:left="0" w:firstLine="0"/>
      </w:pPr>
      <w:r>
        <w:t xml:space="preserve">According to </w:t>
      </w:r>
      <w:proofErr w:type="spellStart"/>
      <w:r w:rsidR="00EC49BD" w:rsidRPr="00EC49BD">
        <w:rPr>
          <w:i/>
        </w:rPr>
        <w:t>Biowatch</w:t>
      </w:r>
      <w:proofErr w:type="spellEnd"/>
      <w:r>
        <w:t>,</w:t>
      </w:r>
      <w:r w:rsidR="00D374D0">
        <w:rPr>
          <w:rStyle w:val="FootnoteReference"/>
        </w:rPr>
        <w:footnoteReference w:id="64"/>
      </w:r>
      <w:r w:rsidR="009127FA">
        <w:t xml:space="preserve"> </w:t>
      </w:r>
      <w:r>
        <w:t>n</w:t>
      </w:r>
      <w:r w:rsidR="00EC49BD">
        <w:t>o costs ought to be awarded.</w:t>
      </w:r>
    </w:p>
    <w:p w14:paraId="66DE3F4E" w14:textId="77777777" w:rsidR="00EC49BD" w:rsidRDefault="00EC49BD" w:rsidP="00EC49BD">
      <w:pPr>
        <w:pStyle w:val="JUDGMENTCONTINUED"/>
      </w:pPr>
    </w:p>
    <w:p w14:paraId="772F6EE5" w14:textId="77777777" w:rsidR="00EC49BD" w:rsidRPr="00EC49BD" w:rsidRDefault="00EC49BD" w:rsidP="00EC49BD">
      <w:pPr>
        <w:pStyle w:val="JUDGMENTNUMBERED"/>
        <w:widowControl w:val="0"/>
        <w:numPr>
          <w:ilvl w:val="0"/>
          <w:numId w:val="2"/>
        </w:numPr>
        <w:autoSpaceDE w:val="0"/>
        <w:autoSpaceDN w:val="0"/>
        <w:ind w:left="0" w:firstLine="0"/>
      </w:pPr>
      <w:r>
        <w:t xml:space="preserve">As </w:t>
      </w:r>
      <w:r w:rsidR="004B5879">
        <w:t xml:space="preserve">I decline to confirm </w:t>
      </w:r>
      <w:r>
        <w:t xml:space="preserve">the High Court’s order, </w:t>
      </w:r>
      <w:r w:rsidR="004B5879">
        <w:t>including its order on costs</w:t>
      </w:r>
      <w:r w:rsidR="00730B4A">
        <w:t>,</w:t>
      </w:r>
      <w:r>
        <w:t xml:space="preserve"> </w:t>
      </w:r>
      <w:r w:rsidR="00730B4A">
        <w:t>i</w:t>
      </w:r>
      <w:r>
        <w:t xml:space="preserve">t </w:t>
      </w:r>
      <w:r w:rsidR="00CF4D51">
        <w:t>follow</w:t>
      </w:r>
      <w:r w:rsidR="00B40481">
        <w:t>s</w:t>
      </w:r>
      <w:r w:rsidR="00CF4D51">
        <w:t xml:space="preserve"> that </w:t>
      </w:r>
      <w:r>
        <w:t>SADPO’s cross</w:t>
      </w:r>
      <w:r w:rsidR="00730B4A">
        <w:noBreakHyphen/>
      </w:r>
      <w:r>
        <w:t>appeal</w:t>
      </w:r>
      <w:r w:rsidR="004B5879">
        <w:t xml:space="preserve"> on costs</w:t>
      </w:r>
      <w:r w:rsidR="00CF4D51">
        <w:t xml:space="preserve"> fail</w:t>
      </w:r>
      <w:r w:rsidR="00B40481">
        <w:t>s</w:t>
      </w:r>
      <w:r>
        <w:t>.</w:t>
      </w:r>
    </w:p>
    <w:p w14:paraId="71BE460B" w14:textId="77777777" w:rsidR="00EC49BD" w:rsidRPr="00EC49BD" w:rsidRDefault="00EC49BD" w:rsidP="00EC49BD">
      <w:pPr>
        <w:pStyle w:val="JUDGMENTCONTINUED"/>
      </w:pPr>
    </w:p>
    <w:p w14:paraId="2B9201C5" w14:textId="77777777" w:rsidR="00860C4E" w:rsidRPr="00BE700A" w:rsidRDefault="00860C4E" w:rsidP="00937742">
      <w:pPr>
        <w:pStyle w:val="HEADING"/>
      </w:pPr>
      <w:r w:rsidRPr="00BE700A">
        <w:t>Order</w:t>
      </w:r>
    </w:p>
    <w:p w14:paraId="1B5A9A17" w14:textId="77777777" w:rsidR="00860C4E" w:rsidRPr="009C3888" w:rsidRDefault="00860C4E" w:rsidP="00E52753">
      <w:pPr>
        <w:pStyle w:val="JUDGMENTNUMBERED"/>
        <w:widowControl w:val="0"/>
        <w:numPr>
          <w:ilvl w:val="0"/>
          <w:numId w:val="2"/>
        </w:numPr>
        <w:autoSpaceDE w:val="0"/>
        <w:autoSpaceDN w:val="0"/>
        <w:ind w:left="0" w:firstLine="0"/>
      </w:pPr>
      <w:r w:rsidRPr="009C3888">
        <w:t>The following order is made:</w:t>
      </w:r>
    </w:p>
    <w:p w14:paraId="7DD62EAE" w14:textId="77777777" w:rsidR="004269D7" w:rsidRDefault="004269D7" w:rsidP="0086359F">
      <w:pPr>
        <w:pStyle w:val="ORDER"/>
        <w:numPr>
          <w:ilvl w:val="0"/>
          <w:numId w:val="5"/>
        </w:numPr>
        <w:rPr>
          <w:lang w:val="en-AU"/>
        </w:rPr>
      </w:pPr>
      <w:r>
        <w:rPr>
          <w:lang w:val="en-AU"/>
        </w:rPr>
        <w:t xml:space="preserve">The late filing of the notice of appeal </w:t>
      </w:r>
      <w:r w:rsidR="0086359F">
        <w:rPr>
          <w:lang w:val="en-AU"/>
        </w:rPr>
        <w:t xml:space="preserve">and the notice of cross-appeal </w:t>
      </w:r>
      <w:r>
        <w:rPr>
          <w:lang w:val="en-AU"/>
        </w:rPr>
        <w:t xml:space="preserve">is condoned. </w:t>
      </w:r>
    </w:p>
    <w:p w14:paraId="1CC9D09C" w14:textId="77777777" w:rsidR="0086359F" w:rsidRDefault="0086359F" w:rsidP="0086359F">
      <w:pPr>
        <w:pStyle w:val="ORDER"/>
        <w:numPr>
          <w:ilvl w:val="0"/>
          <w:numId w:val="5"/>
        </w:numPr>
        <w:rPr>
          <w:lang w:val="en-AU"/>
        </w:rPr>
      </w:pPr>
      <w:r>
        <w:rPr>
          <w:lang w:val="en-AU"/>
        </w:rPr>
        <w:t xml:space="preserve">The cross-appeal is dismissed. </w:t>
      </w:r>
    </w:p>
    <w:p w14:paraId="0554ACD8" w14:textId="13F0F721" w:rsidR="00DE4252" w:rsidRPr="009127FA" w:rsidRDefault="009127FA" w:rsidP="009127FA">
      <w:pPr>
        <w:pStyle w:val="ORDER"/>
        <w:numPr>
          <w:ilvl w:val="0"/>
          <w:numId w:val="5"/>
        </w:numPr>
        <w:rPr>
          <w:lang w:val="en-AU"/>
        </w:rPr>
      </w:pPr>
      <w:r w:rsidRPr="00AE0B2E">
        <w:rPr>
          <w:lang w:val="en-AU"/>
        </w:rPr>
        <w:t xml:space="preserve">The appeal against the declaration of invalidity of </w:t>
      </w:r>
      <w:r>
        <w:rPr>
          <w:lang w:val="en-AU"/>
        </w:rPr>
        <w:t>section</w:t>
      </w:r>
      <w:r w:rsidR="004A16FB">
        <w:rPr>
          <w:lang w:val="en-AU"/>
        </w:rPr>
        <w:t> </w:t>
      </w:r>
      <w:r>
        <w:rPr>
          <w:lang w:val="en-AU"/>
        </w:rPr>
        <w:t>20A of the Diamonds Act 56 of 1986</w:t>
      </w:r>
      <w:r w:rsidRPr="00AE0B2E">
        <w:rPr>
          <w:lang w:val="en-AU"/>
        </w:rPr>
        <w:t>, made by the High Court of South</w:t>
      </w:r>
      <w:r>
        <w:rPr>
          <w:lang w:val="en-AU"/>
        </w:rPr>
        <w:t> </w:t>
      </w:r>
      <w:r w:rsidRPr="00AE0B2E">
        <w:rPr>
          <w:lang w:val="en-AU"/>
        </w:rPr>
        <w:t>Africa, Gauteng Division, Pretoria</w:t>
      </w:r>
      <w:r>
        <w:rPr>
          <w:lang w:val="en-AU"/>
        </w:rPr>
        <w:t>,</w:t>
      </w:r>
      <w:r w:rsidRPr="00AE0B2E">
        <w:rPr>
          <w:lang w:val="en-AU"/>
        </w:rPr>
        <w:t xml:space="preserve"> succeeds</w:t>
      </w:r>
      <w:r>
        <w:rPr>
          <w:lang w:val="en-AU"/>
        </w:rPr>
        <w:t>.</w:t>
      </w:r>
    </w:p>
    <w:p w14:paraId="1C77887A" w14:textId="77777777" w:rsidR="00CF4D51" w:rsidRDefault="00DE4252" w:rsidP="00CF4D51">
      <w:pPr>
        <w:pStyle w:val="ORDER"/>
        <w:numPr>
          <w:ilvl w:val="0"/>
          <w:numId w:val="5"/>
        </w:numPr>
        <w:rPr>
          <w:lang w:val="en-AU"/>
        </w:rPr>
      </w:pPr>
      <w:r>
        <w:rPr>
          <w:lang w:val="en-AU"/>
        </w:rPr>
        <w:lastRenderedPageBreak/>
        <w:t>T</w:t>
      </w:r>
      <w:r w:rsidR="000F130F" w:rsidRPr="00AE0B2E">
        <w:rPr>
          <w:lang w:val="en-AU"/>
        </w:rPr>
        <w:t>h</w:t>
      </w:r>
      <w:r w:rsidR="00CF4D51">
        <w:rPr>
          <w:lang w:val="en-AU"/>
        </w:rPr>
        <w:t>e declaration of invalidity is not confirmed.</w:t>
      </w:r>
    </w:p>
    <w:p w14:paraId="30BB7807" w14:textId="77777777" w:rsidR="000F130F" w:rsidRPr="00AE0B2E" w:rsidRDefault="00CF4D51" w:rsidP="0086359F">
      <w:pPr>
        <w:pStyle w:val="ORDER"/>
        <w:numPr>
          <w:ilvl w:val="0"/>
          <w:numId w:val="5"/>
        </w:numPr>
        <w:rPr>
          <w:lang w:val="en-AU"/>
        </w:rPr>
      </w:pPr>
      <w:r>
        <w:rPr>
          <w:lang w:val="en-AU"/>
        </w:rPr>
        <w:t xml:space="preserve">The </w:t>
      </w:r>
      <w:r w:rsidR="000F130F" w:rsidRPr="00AE0B2E">
        <w:rPr>
          <w:lang w:val="en-AU"/>
        </w:rPr>
        <w:t xml:space="preserve">order </w:t>
      </w:r>
      <w:r>
        <w:rPr>
          <w:lang w:val="en-AU"/>
        </w:rPr>
        <w:t xml:space="preserve">of the High Court </w:t>
      </w:r>
      <w:r w:rsidR="000F130F" w:rsidRPr="00AE0B2E">
        <w:rPr>
          <w:lang w:val="en-AU"/>
        </w:rPr>
        <w:t>is set aside and replaced with the following:</w:t>
      </w:r>
    </w:p>
    <w:p w14:paraId="22F877DE" w14:textId="77777777" w:rsidR="000F130F" w:rsidRPr="000F130F" w:rsidRDefault="000F130F" w:rsidP="000F130F">
      <w:pPr>
        <w:pStyle w:val="ORDER"/>
        <w:ind w:firstLine="0"/>
        <w:rPr>
          <w:lang w:val="en-AU"/>
        </w:rPr>
      </w:pPr>
      <w:r w:rsidRPr="00AE0B2E">
        <w:rPr>
          <w:lang w:val="en-AU"/>
        </w:rPr>
        <w:t>“</w:t>
      </w:r>
      <w:r w:rsidR="00ED753B">
        <w:rPr>
          <w:lang w:val="en-AU"/>
        </w:rPr>
        <w:t>The application is dismissed</w:t>
      </w:r>
      <w:r>
        <w:rPr>
          <w:lang w:val="en-AU"/>
        </w:rPr>
        <w:t>.</w:t>
      </w:r>
      <w:r w:rsidR="00ED753B">
        <w:rPr>
          <w:lang w:val="en-AU"/>
        </w:rPr>
        <w:t xml:space="preserve">  No order is made as to costs.</w:t>
      </w:r>
      <w:r>
        <w:rPr>
          <w:lang w:val="en-AU"/>
        </w:rPr>
        <w:t>”</w:t>
      </w:r>
    </w:p>
    <w:p w14:paraId="311B3287" w14:textId="77777777" w:rsidR="0086359F" w:rsidRDefault="00273DFC" w:rsidP="0086359F">
      <w:pPr>
        <w:pStyle w:val="ORDER"/>
        <w:numPr>
          <w:ilvl w:val="0"/>
          <w:numId w:val="5"/>
        </w:numPr>
      </w:pPr>
      <w:r>
        <w:t>There is no order as to costs</w:t>
      </w:r>
      <w:r w:rsidR="00DE4252">
        <w:t xml:space="preserve"> in this Court</w:t>
      </w:r>
      <w:r>
        <w:t>.</w:t>
      </w:r>
    </w:p>
    <w:p w14:paraId="7B6E2554" w14:textId="77777777" w:rsidR="00CE5F9F" w:rsidRDefault="00CE5F9F" w:rsidP="000C38CF">
      <w:pPr>
        <w:pStyle w:val="JUDGMENTCONTINUED"/>
      </w:pPr>
    </w:p>
    <w:p w14:paraId="4B9B01E0" w14:textId="77777777" w:rsidR="00CE5F9F" w:rsidRPr="00CE5F9F" w:rsidRDefault="00CE5F9F" w:rsidP="000C38CF">
      <w:pPr>
        <w:pStyle w:val="JUDGMENTCONTINUED"/>
        <w:sectPr w:rsidR="00CE5F9F" w:rsidRPr="00CE5F9F" w:rsidSect="00FE44B5">
          <w:headerReference w:type="default" r:id="rId16"/>
          <w:headerReference w:type="first" r:id="rId17"/>
          <w:type w:val="continuous"/>
          <w:pgSz w:w="11907" w:h="16839" w:code="9"/>
          <w:pgMar w:top="1440" w:right="1440" w:bottom="1440" w:left="1440" w:header="708" w:footer="708" w:gutter="0"/>
          <w:cols w:space="708"/>
          <w:docGrid w:linePitch="360"/>
        </w:sectPr>
      </w:pPr>
    </w:p>
    <w:p w14:paraId="14A3B9AE" w14:textId="77777777" w:rsidR="00236F9A" w:rsidRPr="009C3888" w:rsidRDefault="00236F9A" w:rsidP="00860C4E">
      <w:pPr>
        <w:sectPr w:rsidR="00236F9A" w:rsidRPr="009C3888" w:rsidSect="009559B5">
          <w:headerReference w:type="default" r:id="rId18"/>
          <w:footerReference w:type="default" r:id="rId19"/>
          <w:pgSz w:w="11907" w:h="16839" w:code="9"/>
          <w:pgMar w:top="1440" w:right="1440" w:bottom="1440" w:left="1440" w:header="708" w:footer="708" w:gutter="0"/>
          <w:pgNumType w:start="1"/>
          <w:cols w:space="708"/>
          <w:docGrid w:linePitch="360"/>
        </w:sectPr>
      </w:pPr>
    </w:p>
    <w:p w14:paraId="681710BD" w14:textId="77777777" w:rsidR="00CC158D" w:rsidRPr="009C3888" w:rsidRDefault="00860C4E" w:rsidP="00CC158D">
      <w:pPr>
        <w:pStyle w:val="COUNSELDETAILS"/>
      </w:pPr>
      <w:r w:rsidRPr="009C3888">
        <w:lastRenderedPageBreak/>
        <w:t>For the Applicant:</w:t>
      </w:r>
    </w:p>
    <w:p w14:paraId="57EA1C45" w14:textId="77777777" w:rsidR="00860C4E" w:rsidRPr="009C3888" w:rsidRDefault="00860C4E" w:rsidP="00CC158D">
      <w:pPr>
        <w:pStyle w:val="COUNSELDETAILS"/>
      </w:pPr>
    </w:p>
    <w:p w14:paraId="4B4B5556" w14:textId="77777777" w:rsidR="00242913" w:rsidRDefault="00242913" w:rsidP="00CC158D">
      <w:pPr>
        <w:pStyle w:val="COUNSELDETAILS"/>
      </w:pPr>
    </w:p>
    <w:p w14:paraId="2415AF04" w14:textId="77777777" w:rsidR="00860C4E" w:rsidRPr="009C3888" w:rsidRDefault="00860C4E" w:rsidP="00CC158D">
      <w:pPr>
        <w:pStyle w:val="COUNSELDETAILS"/>
      </w:pPr>
      <w:r w:rsidRPr="009C3888">
        <w:t xml:space="preserve">For the </w:t>
      </w:r>
      <w:r w:rsidR="00380247">
        <w:t xml:space="preserve">First, Second and Fifth </w:t>
      </w:r>
      <w:r w:rsidR="00242913">
        <w:t>Respondent</w:t>
      </w:r>
      <w:r w:rsidR="00380247">
        <w:t>s</w:t>
      </w:r>
      <w:r w:rsidRPr="009C3888">
        <w:t>:</w:t>
      </w:r>
    </w:p>
    <w:p w14:paraId="6EE80012" w14:textId="77777777" w:rsidR="00860C4E" w:rsidRPr="009C3888" w:rsidRDefault="00860C4E" w:rsidP="00CC158D">
      <w:pPr>
        <w:pStyle w:val="COUNSELDETAILS"/>
      </w:pPr>
    </w:p>
    <w:p w14:paraId="5557A7A7" w14:textId="77777777" w:rsidR="00860C4E" w:rsidRPr="009C3888" w:rsidRDefault="00860C4E" w:rsidP="00CC158D">
      <w:pPr>
        <w:pStyle w:val="COUNSELDETAILS"/>
      </w:pPr>
    </w:p>
    <w:p w14:paraId="1EC787EA" w14:textId="2828B7C2" w:rsidR="00295C91" w:rsidRPr="00242913" w:rsidRDefault="00236F9A" w:rsidP="00242913">
      <w:pPr>
        <w:spacing w:line="240" w:lineRule="auto"/>
      </w:pPr>
      <w:r w:rsidRPr="009C3888">
        <w:br w:type="column"/>
      </w:r>
      <w:r w:rsidR="0089081A">
        <w:rPr>
          <w:lang w:val="en-AU"/>
        </w:rPr>
        <w:lastRenderedPageBreak/>
        <w:t>J L</w:t>
      </w:r>
      <w:r w:rsidR="0089081A" w:rsidRPr="00D96652">
        <w:rPr>
          <w:lang w:val="en-AU"/>
        </w:rPr>
        <w:t xml:space="preserve"> </w:t>
      </w:r>
      <w:proofErr w:type="spellStart"/>
      <w:r w:rsidR="0089081A" w:rsidRPr="00D96652">
        <w:rPr>
          <w:lang w:val="en-AU"/>
        </w:rPr>
        <w:t>Gildenhuys</w:t>
      </w:r>
      <w:proofErr w:type="spellEnd"/>
      <w:r w:rsidR="00860C4E" w:rsidRPr="009C3888">
        <w:t xml:space="preserve"> instructed by </w:t>
      </w:r>
      <w:proofErr w:type="spellStart"/>
      <w:r w:rsidR="0089081A" w:rsidRPr="0089081A">
        <w:t>Cranko</w:t>
      </w:r>
      <w:proofErr w:type="spellEnd"/>
      <w:r w:rsidR="0089081A" w:rsidRPr="0089081A">
        <w:t xml:space="preserve"> Karp &amp; Associate</w:t>
      </w:r>
      <w:r w:rsidR="00A14A66">
        <w:t>s</w:t>
      </w:r>
      <w:r w:rsidR="0089081A" w:rsidRPr="0089081A">
        <w:t xml:space="preserve"> </w:t>
      </w:r>
      <w:proofErr w:type="spellStart"/>
      <w:r w:rsidR="0089081A" w:rsidRPr="0089081A">
        <w:t>Inc</w:t>
      </w:r>
      <w:proofErr w:type="spellEnd"/>
    </w:p>
    <w:p w14:paraId="67B5D21B" w14:textId="77777777" w:rsidR="00860C4E" w:rsidRPr="009C3888" w:rsidRDefault="00860C4E" w:rsidP="00CC158D">
      <w:pPr>
        <w:pStyle w:val="COUNSELDETAILS"/>
      </w:pPr>
    </w:p>
    <w:p w14:paraId="454A3531" w14:textId="77777777" w:rsidR="00242913" w:rsidRPr="00242913" w:rsidRDefault="0089081A" w:rsidP="00242913">
      <w:pPr>
        <w:spacing w:line="240" w:lineRule="auto"/>
        <w:rPr>
          <w:b/>
        </w:rPr>
      </w:pPr>
      <w:r>
        <w:t xml:space="preserve">I </w:t>
      </w:r>
      <w:proofErr w:type="gramStart"/>
      <w:r>
        <w:t>A</w:t>
      </w:r>
      <w:proofErr w:type="gramEnd"/>
      <w:r>
        <w:t xml:space="preserve"> M </w:t>
      </w:r>
      <w:proofErr w:type="spellStart"/>
      <w:r>
        <w:t>Semenya</w:t>
      </w:r>
      <w:proofErr w:type="spellEnd"/>
      <w:r>
        <w:t xml:space="preserve"> SC and</w:t>
      </w:r>
      <w:r w:rsidR="00860C4E" w:rsidRPr="009C3888">
        <w:t xml:space="preserve"> </w:t>
      </w:r>
      <w:r w:rsidRPr="003F1B59">
        <w:t xml:space="preserve">T J </w:t>
      </w:r>
      <w:proofErr w:type="spellStart"/>
      <w:r w:rsidRPr="003F1B59">
        <w:t>Machaba</w:t>
      </w:r>
      <w:proofErr w:type="spellEnd"/>
      <w:r w:rsidRPr="009C3888">
        <w:t xml:space="preserve"> </w:t>
      </w:r>
      <w:r w:rsidR="00860C4E" w:rsidRPr="009C3888">
        <w:t xml:space="preserve">instructed </w:t>
      </w:r>
      <w:r w:rsidRPr="00D96652">
        <w:rPr>
          <w:lang w:val="en-US"/>
        </w:rPr>
        <w:t xml:space="preserve">by </w:t>
      </w:r>
      <w:proofErr w:type="spellStart"/>
      <w:r w:rsidRPr="0089081A">
        <w:t>Mkhabela</w:t>
      </w:r>
      <w:proofErr w:type="spellEnd"/>
      <w:r w:rsidRPr="0089081A">
        <w:t xml:space="preserve"> Huntley </w:t>
      </w:r>
      <w:proofErr w:type="spellStart"/>
      <w:r w:rsidRPr="0089081A">
        <w:t>Adeyeke</w:t>
      </w:r>
      <w:proofErr w:type="spellEnd"/>
      <w:r w:rsidRPr="0089081A">
        <w:t xml:space="preserve"> </w:t>
      </w:r>
      <w:proofErr w:type="spellStart"/>
      <w:r w:rsidRPr="0089081A">
        <w:t>Inc</w:t>
      </w:r>
      <w:proofErr w:type="spellEnd"/>
    </w:p>
    <w:p w14:paraId="4AE77B68" w14:textId="77777777" w:rsidR="00242913" w:rsidRPr="009C3888" w:rsidRDefault="00242913" w:rsidP="00CC158D">
      <w:pPr>
        <w:pStyle w:val="COUNSELDETAILS"/>
      </w:pPr>
    </w:p>
    <w:sectPr w:rsidR="00242913" w:rsidRPr="009C3888" w:rsidSect="009559B5">
      <w:type w:val="continuous"/>
      <w:pgSz w:w="11907" w:h="16839" w:code="9"/>
      <w:pgMar w:top="1440" w:right="1440" w:bottom="1440" w:left="1440" w:header="708" w:footer="708" w:gutter="0"/>
      <w:pgNumType w:start="1"/>
      <w:cols w:num="2"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46B50C2" w15:done="0"/>
  <w15:commentEx w15:paraId="54061AE3" w15:done="0"/>
  <w15:commentEx w15:paraId="09424C69" w15:done="0"/>
  <w15:commentEx w15:paraId="6A5B03CA" w15:done="0"/>
  <w15:commentEx w15:paraId="4F7A18BB" w15:done="0"/>
  <w15:commentEx w15:paraId="4DB72A67" w15:done="0"/>
  <w15:commentEx w15:paraId="18DCE824" w15:done="0"/>
  <w15:commentEx w15:paraId="2A484491" w15:done="0"/>
  <w15:commentEx w15:paraId="5FFFEA20" w15:done="0"/>
  <w15:commentEx w15:paraId="5CD47311" w15:done="0"/>
  <w15:commentEx w15:paraId="596DC352" w15:done="0"/>
  <w15:commentEx w15:paraId="4634CB4A" w15:done="0"/>
  <w15:commentEx w15:paraId="7190FA17" w15:done="0"/>
  <w15:commentEx w15:paraId="0CC93679" w15:done="0"/>
  <w15:commentEx w15:paraId="2BABED49" w15:done="0"/>
  <w15:commentEx w15:paraId="5BE2D43E" w15:done="0"/>
  <w15:commentEx w15:paraId="1F3D7ED0" w15:done="0"/>
  <w15:commentEx w15:paraId="445C3C94" w15:done="0"/>
  <w15:commentEx w15:paraId="0EB80D4D" w15:done="0"/>
  <w15:commentEx w15:paraId="45EABBED" w15:done="0"/>
  <w15:commentEx w15:paraId="3EC6701C" w15:done="0"/>
  <w15:commentEx w15:paraId="6D8E20D1" w15:done="0"/>
  <w15:commentEx w15:paraId="298A3471" w15:done="0"/>
  <w15:commentEx w15:paraId="00671B8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84C898" w14:textId="77777777" w:rsidR="006C59C3" w:rsidRDefault="006C59C3" w:rsidP="00E4607C">
      <w:pPr>
        <w:spacing w:line="240" w:lineRule="auto"/>
      </w:pPr>
      <w:r>
        <w:separator/>
      </w:r>
    </w:p>
  </w:endnote>
  <w:endnote w:type="continuationSeparator" w:id="0">
    <w:p w14:paraId="5E40B623" w14:textId="77777777" w:rsidR="006C59C3" w:rsidRDefault="006C59C3"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HiddenHorzOCR">
    <w:altName w:val="Arial Unicode MS"/>
    <w:panose1 w:val="00000000000000000000"/>
    <w:charset w:val="80"/>
    <w:family w:val="auto"/>
    <w:notTrueType/>
    <w:pitch w:val="default"/>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9CDF06" w14:textId="77777777" w:rsidR="0049564C" w:rsidRDefault="0049564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509448" w14:textId="77777777" w:rsidR="001007A9" w:rsidRDefault="001007A9" w:rsidP="0087217E">
    <w:pPr>
      <w:pStyle w:val="Footer"/>
      <w:jc w:val="center"/>
    </w:pPr>
    <w:r>
      <w:fldChar w:fldCharType="begin"/>
    </w:r>
    <w:r>
      <w:instrText xml:space="preserve"> PAGE   \* MERGEFORMAT </w:instrText>
    </w:r>
    <w:r>
      <w:fldChar w:fldCharType="separate"/>
    </w:r>
    <w:r w:rsidR="0049564C">
      <w:rPr>
        <w:noProof/>
      </w:rPr>
      <w:t>29</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0F0F7" w14:textId="77777777" w:rsidR="0049564C" w:rsidRDefault="0049564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455B5" w14:textId="77777777" w:rsidR="001007A9" w:rsidRDefault="001007A9"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EAC7AC" w14:textId="77777777" w:rsidR="006C59C3" w:rsidRDefault="006C59C3" w:rsidP="00E4607C">
      <w:pPr>
        <w:spacing w:line="240" w:lineRule="auto"/>
      </w:pPr>
      <w:r>
        <w:separator/>
      </w:r>
    </w:p>
  </w:footnote>
  <w:footnote w:type="continuationSeparator" w:id="0">
    <w:p w14:paraId="63D1F8EF" w14:textId="77777777" w:rsidR="006C59C3" w:rsidRDefault="006C59C3" w:rsidP="00E4607C">
      <w:pPr>
        <w:spacing w:line="240" w:lineRule="auto"/>
      </w:pPr>
      <w:r>
        <w:continuationSeparator/>
      </w:r>
    </w:p>
  </w:footnote>
  <w:footnote w:id="1">
    <w:p w14:paraId="096A8DD0" w14:textId="77777777" w:rsidR="001007A9" w:rsidRDefault="001007A9" w:rsidP="0089081A">
      <w:pPr>
        <w:pStyle w:val="FootnoteText"/>
      </w:pPr>
      <w:r>
        <w:rPr>
          <w:rStyle w:val="FootnoteReference"/>
        </w:rPr>
        <w:footnoteRef/>
      </w:r>
      <w:r>
        <w:t xml:space="preserve"> This section provides:</w:t>
      </w:r>
    </w:p>
    <w:p w14:paraId="57CF0B13" w14:textId="77777777" w:rsidR="001007A9" w:rsidRPr="000C783F" w:rsidRDefault="001007A9" w:rsidP="000C783F">
      <w:pPr>
        <w:pStyle w:val="QUOTEINFOOTNOTE"/>
      </w:pPr>
      <w:r>
        <w:t>“The Supreme Court of Appeal, the High Court of South Africa or a court of similar status may make an order concerning the constitutional validity of an Act of Parliament, a provincial Act or any conduct of the President, but an order of constitutional invalidity has no force unless it is confirmed by the Constitutional Court.”</w:t>
      </w:r>
    </w:p>
  </w:footnote>
  <w:footnote w:id="2">
    <w:p w14:paraId="3CE8BFAE" w14:textId="37006880" w:rsidR="001007A9" w:rsidRDefault="001007A9" w:rsidP="0089081A">
      <w:pPr>
        <w:pStyle w:val="FootnoteText"/>
      </w:pPr>
      <w:r>
        <w:rPr>
          <w:rStyle w:val="FootnoteReference"/>
        </w:rPr>
        <w:footnoteRef/>
      </w:r>
      <w:r>
        <w:t xml:space="preserve"> </w:t>
      </w:r>
      <w:proofErr w:type="gramStart"/>
      <w:r w:rsidRPr="0009607D">
        <w:t>56 of 1986</w:t>
      </w:r>
      <w:r>
        <w:t xml:space="preserve">, </w:t>
      </w:r>
      <w:r w:rsidRPr="00F46EF0">
        <w:t xml:space="preserve">as amended by the First and </w:t>
      </w:r>
      <w:r>
        <w:t>Second Diamonds Amendment Acts 29 and 30 of 2005, respectively.</w:t>
      </w:r>
      <w:proofErr w:type="gramEnd"/>
    </w:p>
  </w:footnote>
  <w:footnote w:id="3">
    <w:p w14:paraId="480E3FA4" w14:textId="77777777" w:rsidR="001007A9" w:rsidRDefault="001007A9" w:rsidP="0089081A">
      <w:pPr>
        <w:pStyle w:val="FootnoteText1"/>
      </w:pPr>
      <w:r>
        <w:rPr>
          <w:rStyle w:val="FootnoteReference"/>
        </w:rPr>
        <w:footnoteRef/>
      </w:r>
      <w:r>
        <w:t xml:space="preserve"> Section 22 provides:</w:t>
      </w:r>
    </w:p>
    <w:p w14:paraId="65AC50B7" w14:textId="11B3C04E" w:rsidR="001007A9" w:rsidRPr="0067225F" w:rsidRDefault="001007A9" w:rsidP="0067225F">
      <w:pPr>
        <w:pStyle w:val="QUOTEINFOOTNOTE"/>
      </w:pPr>
      <w:r>
        <w:t>“</w:t>
      </w:r>
      <w:r w:rsidRPr="00AE3626">
        <w:t xml:space="preserve">Every citizen has the right to choose their trade, occupation or profession freely. </w:t>
      </w:r>
      <w:r>
        <w:t xml:space="preserve"> </w:t>
      </w:r>
      <w:r w:rsidR="00F67DEB">
        <w:t>The </w:t>
      </w:r>
      <w:r w:rsidRPr="00AE3626">
        <w:t>practice of a trade, occupation or profession may be regulated by law.”</w:t>
      </w:r>
    </w:p>
  </w:footnote>
  <w:footnote w:id="4">
    <w:p w14:paraId="1EA16A07" w14:textId="77777777" w:rsidR="001007A9" w:rsidRDefault="001007A9" w:rsidP="0089081A">
      <w:pPr>
        <w:pStyle w:val="FootnoteText"/>
      </w:pPr>
      <w:r>
        <w:rPr>
          <w:rStyle w:val="FootnoteReference"/>
        </w:rPr>
        <w:footnoteRef/>
      </w:r>
      <w:r>
        <w:t xml:space="preserve"> Section 25(1) provides:</w:t>
      </w:r>
    </w:p>
    <w:p w14:paraId="316D5773" w14:textId="77777777" w:rsidR="001007A9" w:rsidRPr="00AE3626" w:rsidRDefault="001007A9" w:rsidP="0089081A">
      <w:pPr>
        <w:pStyle w:val="QUOTEINFOOTNOTE"/>
        <w:rPr>
          <w:rFonts w:ascii="Arial" w:hAnsi="Arial" w:cs="Arial"/>
        </w:rPr>
      </w:pPr>
      <w:r w:rsidRPr="00AE3626">
        <w:t>“</w:t>
      </w:r>
      <w:r w:rsidRPr="00AE3626">
        <w:rPr>
          <w:noProof/>
        </w:rPr>
        <w:t>No one may be deprived of property except in terms of law of general application, and no law may permit arbitrary deprivation of property.</w:t>
      </w:r>
      <w:r>
        <w:t>”</w:t>
      </w:r>
    </w:p>
  </w:footnote>
  <w:footnote w:id="5">
    <w:p w14:paraId="4AC0A680" w14:textId="77777777" w:rsidR="001007A9" w:rsidRPr="0086151D" w:rsidRDefault="001007A9" w:rsidP="0086151D">
      <w:pPr>
        <w:pStyle w:val="FootnoteText1"/>
      </w:pPr>
      <w:r>
        <w:rPr>
          <w:rStyle w:val="FootnoteReference"/>
        </w:rPr>
        <w:footnoteRef/>
      </w:r>
      <w:r>
        <w:t xml:space="preserve"> </w:t>
      </w:r>
      <w:proofErr w:type="gramStart"/>
      <w:r w:rsidRPr="0086151D">
        <w:rPr>
          <w:i/>
        </w:rPr>
        <w:t>South African Diamond Producers Organisation v Minister of Minerals and Energy N.O.</w:t>
      </w:r>
      <w:r w:rsidRPr="0086151D">
        <w:t xml:space="preserve"> [2016] ZAGPPHC 817</w:t>
      </w:r>
      <w:r w:rsidRPr="0086151D">
        <w:rPr>
          <w:lang w:val="en-ZA"/>
        </w:rPr>
        <w:t xml:space="preserve"> (High Court judgment).</w:t>
      </w:r>
      <w:proofErr w:type="gramEnd"/>
    </w:p>
  </w:footnote>
  <w:footnote w:id="6">
    <w:p w14:paraId="5BC06087" w14:textId="2B6651D3" w:rsidR="001007A9" w:rsidRPr="00F61ED0" w:rsidRDefault="001007A9">
      <w:pPr>
        <w:pStyle w:val="FootnoteText"/>
        <w:rPr>
          <w:lang w:val="en-ZA"/>
        </w:rPr>
      </w:pPr>
      <w:r>
        <w:rPr>
          <w:rStyle w:val="FootnoteReference"/>
        </w:rPr>
        <w:footnoteRef/>
      </w:r>
      <w:r>
        <w:t xml:space="preserve"> </w:t>
      </w:r>
      <w:r>
        <w:rPr>
          <w:lang w:val="en-ZA"/>
        </w:rPr>
        <w:t xml:space="preserve">The Regulator </w:t>
      </w:r>
      <w:r w:rsidRPr="00FB6BB3">
        <w:t>is an entity es</w:t>
      </w:r>
      <w:r>
        <w:t>tablished in terms of section 3 of the Act</w:t>
      </w:r>
      <w:r w:rsidRPr="00FB6BB3">
        <w:t>.</w:t>
      </w:r>
      <w:r>
        <w:t xml:space="preserve">  Its objects are to ensure that the diamond resources of South Africa are exploited and developed in the best i</w:t>
      </w:r>
      <w:r w:rsidR="00F67DEB">
        <w:t>nterests of the people of South </w:t>
      </w:r>
      <w:r>
        <w:t xml:space="preserve">Africa; to promote equitable access to and local beneficiation of South Africa’s diamonds; and to ensure compliance with the Kimberley Process Certification Scheme (see section 4 of the Act). </w:t>
      </w:r>
    </w:p>
  </w:footnote>
  <w:footnote w:id="7">
    <w:p w14:paraId="7E4407AF" w14:textId="4ECFE938" w:rsidR="001007A9" w:rsidRDefault="001007A9" w:rsidP="0089081A">
      <w:pPr>
        <w:pStyle w:val="FootnoteText"/>
      </w:pPr>
      <w:r w:rsidRPr="00FB6BB3">
        <w:rPr>
          <w:rStyle w:val="FootnoteReference"/>
        </w:rPr>
        <w:footnoteRef/>
      </w:r>
      <w:r w:rsidRPr="00FB6BB3">
        <w:t xml:space="preserve"> The State Diamond Trader is an entity established in terms of section 14 of the</w:t>
      </w:r>
      <w:r w:rsidR="00F67DEB">
        <w:t xml:space="preserve"> Act.  The objects of the State </w:t>
      </w:r>
      <w:r w:rsidRPr="00FB6BB3">
        <w:t>Diamond Trader are to promote equitable access to and local beneficiation of South Africa’s diamonds (see section 15 of the Act).  One way in which it does this is to acquire unpolished diamonds from producers and supply them to local beneficiators.  All producers are required, in terms of section 59B of the Act, to offer the unpolished diamonds they produce in a particular cycle to the State Diamond Trader, who</w:t>
      </w:r>
      <w:r>
        <w:t xml:space="preserve"> may purchase up to a specified percentage of those diamonds and supply them to local beneficiators.</w:t>
      </w:r>
    </w:p>
  </w:footnote>
  <w:footnote w:id="8">
    <w:p w14:paraId="12E7D351" w14:textId="4BC56510" w:rsidR="001007A9" w:rsidRDefault="001007A9" w:rsidP="0089081A">
      <w:pPr>
        <w:pStyle w:val="FootnoteText"/>
      </w:pPr>
      <w:r>
        <w:rPr>
          <w:rStyle w:val="FootnoteReference"/>
        </w:rPr>
        <w:footnoteRef/>
      </w:r>
      <w:r w:rsidR="00F67DEB">
        <w:t xml:space="preserve"> See the p</w:t>
      </w:r>
      <w:r>
        <w:t>reamble to the Act.</w:t>
      </w:r>
    </w:p>
  </w:footnote>
  <w:footnote w:id="9">
    <w:p w14:paraId="5A464339" w14:textId="3313D8C3" w:rsidR="00B67AFD" w:rsidRPr="00B67AFD" w:rsidRDefault="00B67AFD">
      <w:pPr>
        <w:pStyle w:val="FootnoteText"/>
        <w:rPr>
          <w:lang w:val="en-ZA"/>
        </w:rPr>
      </w:pPr>
      <w:r>
        <w:rPr>
          <w:rStyle w:val="FootnoteReference"/>
        </w:rPr>
        <w:footnoteRef/>
      </w:r>
      <w:r>
        <w:t xml:space="preserve"> </w:t>
      </w:r>
      <w:r w:rsidR="00EA25B2">
        <w:t>T</w:t>
      </w:r>
      <w:r w:rsidR="00EA25B2" w:rsidRPr="00F46EF0">
        <w:t xml:space="preserve">he First and </w:t>
      </w:r>
      <w:r w:rsidR="00EA25B2">
        <w:t>Second Diamonds Amendment Acts 29 and 30 of 2005 came into effect on 1 July 2007.</w:t>
      </w:r>
    </w:p>
  </w:footnote>
  <w:footnote w:id="10">
    <w:p w14:paraId="62A27EF3" w14:textId="6474531B" w:rsidR="001007A9" w:rsidRDefault="001007A9" w:rsidP="0089081A">
      <w:pPr>
        <w:pStyle w:val="FootnoteText"/>
      </w:pPr>
      <w:r>
        <w:rPr>
          <w:rStyle w:val="FootnoteReference"/>
        </w:rPr>
        <w:footnoteRef/>
      </w:r>
      <w:r>
        <w:t xml:space="preserve"> These premises were either the business premis</w:t>
      </w:r>
      <w:r w:rsidR="00F67DEB">
        <w:t>es of a licensed diamond dealer</w:t>
      </w:r>
      <w:r>
        <w:t xml:space="preserve"> or a licensed diamond exchange.</w:t>
      </w:r>
    </w:p>
  </w:footnote>
  <w:footnote w:id="11">
    <w:p w14:paraId="0EED16C8" w14:textId="77777777" w:rsidR="001007A9" w:rsidRPr="00987A6B" w:rsidRDefault="001007A9">
      <w:pPr>
        <w:pStyle w:val="FootnoteText"/>
        <w:rPr>
          <w:lang w:val="en-ZA"/>
        </w:rPr>
      </w:pPr>
      <w:r>
        <w:rPr>
          <w:rStyle w:val="FootnoteReference"/>
        </w:rPr>
        <w:footnoteRef/>
      </w:r>
      <w:r>
        <w:t xml:space="preserve"> </w:t>
      </w:r>
      <w:proofErr w:type="gramStart"/>
      <w:r>
        <w:t>Section 3.</w:t>
      </w:r>
      <w:proofErr w:type="gramEnd"/>
    </w:p>
  </w:footnote>
  <w:footnote w:id="12">
    <w:p w14:paraId="388FBCB7" w14:textId="77777777" w:rsidR="001007A9" w:rsidRPr="00987A6B" w:rsidRDefault="001007A9">
      <w:pPr>
        <w:pStyle w:val="FootnoteText"/>
        <w:rPr>
          <w:lang w:val="en-ZA"/>
        </w:rPr>
      </w:pPr>
      <w:r>
        <w:rPr>
          <w:rStyle w:val="FootnoteReference"/>
        </w:rPr>
        <w:footnoteRef/>
      </w:r>
      <w:r>
        <w:t xml:space="preserve"> </w:t>
      </w:r>
      <w:proofErr w:type="gramStart"/>
      <w:r>
        <w:t>Section 14.</w:t>
      </w:r>
      <w:proofErr w:type="gramEnd"/>
    </w:p>
  </w:footnote>
  <w:footnote w:id="13">
    <w:p w14:paraId="7D478BF2" w14:textId="77777777" w:rsidR="001007A9" w:rsidRPr="00987A6B" w:rsidRDefault="001007A9">
      <w:pPr>
        <w:pStyle w:val="FootnoteText"/>
        <w:rPr>
          <w:lang w:val="en-ZA"/>
        </w:rPr>
      </w:pPr>
      <w:r>
        <w:rPr>
          <w:rStyle w:val="FootnoteReference"/>
        </w:rPr>
        <w:footnoteRef/>
      </w:r>
      <w:r>
        <w:t xml:space="preserve"> </w:t>
      </w:r>
      <w:proofErr w:type="gramStart"/>
      <w:r>
        <w:t>Section 26.</w:t>
      </w:r>
      <w:proofErr w:type="gramEnd"/>
    </w:p>
  </w:footnote>
  <w:footnote w:id="14">
    <w:p w14:paraId="3CD0D074" w14:textId="4B6958E5" w:rsidR="001007A9" w:rsidRPr="004B7416" w:rsidRDefault="001007A9">
      <w:pPr>
        <w:pStyle w:val="FootnoteText"/>
        <w:rPr>
          <w:lang w:val="en-ZA"/>
        </w:rPr>
      </w:pPr>
      <w:r>
        <w:rPr>
          <w:rStyle w:val="FootnoteReference"/>
        </w:rPr>
        <w:footnoteRef/>
      </w:r>
      <w:r>
        <w:t xml:space="preserve"> </w:t>
      </w:r>
      <w:proofErr w:type="gramStart"/>
      <w:r>
        <w:t xml:space="preserve">Section </w:t>
      </w:r>
      <w:r w:rsidRPr="00500F10">
        <w:t>59(b)</w:t>
      </w:r>
      <w:r>
        <w:t>.</w:t>
      </w:r>
      <w:proofErr w:type="gramEnd"/>
      <w:r>
        <w:t xml:space="preserve">  This section provides that the Regulator shall establish DEECs, which shall facilitate the buying, selling, export and import of diamonds.  Section 48A provides that all unpolished diamonds intended for export purposes must first be offered for local sale at a DEEC in the prescribed manner.  Previously, diamonds could be exported through diamond exchanges, run by diamond exchange licensees.  The DEEC alters this position, and is intended to be a “one-stop shop” for the export of unpolished diamonds.  Any producer who exports unpolished diamonds must export from a DEEC and pay the relevant export duty. Tempor</w:t>
      </w:r>
      <w:r w:rsidR="00A30127">
        <w:t>ary licensees</w:t>
      </w:r>
      <w:r>
        <w:t xml:space="preserve"> may also purchase and export unpolished diamonds at the DEEC and pay the relevant export duty.</w:t>
      </w:r>
    </w:p>
  </w:footnote>
  <w:footnote w:id="15">
    <w:p w14:paraId="31D9D0A0" w14:textId="6B5BD2C3" w:rsidR="001007A9" w:rsidRDefault="001007A9" w:rsidP="0089081A">
      <w:pPr>
        <w:pStyle w:val="FootnoteText1"/>
      </w:pPr>
      <w:r>
        <w:rPr>
          <w:rStyle w:val="FootnoteReference"/>
        </w:rPr>
        <w:footnoteRef/>
      </w:r>
      <w:r>
        <w:t xml:space="preserve"> Challenges were initially raised to sections 19, 20</w:t>
      </w:r>
      <w:r>
        <w:rPr>
          <w:rFonts w:ascii="HiddenHorzOCR" w:eastAsia="HiddenHorzOCR" w:hAnsi="Calibri" w:cs="HiddenHorzOCR"/>
          <w:sz w:val="16"/>
          <w:szCs w:val="16"/>
        </w:rPr>
        <w:t xml:space="preserve">, </w:t>
      </w:r>
      <w:r>
        <w:rPr>
          <w:rFonts w:eastAsia="HiddenHorzOCR"/>
        </w:rPr>
        <w:t>20A, 48(a), 59, 59A and 59B of the Act, as amended.</w:t>
      </w:r>
    </w:p>
  </w:footnote>
  <w:footnote w:id="16">
    <w:p w14:paraId="0C2565D7" w14:textId="2D045B6A" w:rsidR="001007A9" w:rsidRPr="00E52753" w:rsidRDefault="001007A9">
      <w:pPr>
        <w:pStyle w:val="FootnoteText"/>
        <w:rPr>
          <w:lang w:val="en-ZA"/>
        </w:rPr>
      </w:pPr>
      <w:r>
        <w:rPr>
          <w:rStyle w:val="FootnoteReference"/>
        </w:rPr>
        <w:footnoteRef/>
      </w:r>
      <w:r>
        <w:t xml:space="preserve"> </w:t>
      </w:r>
      <w:proofErr w:type="gramStart"/>
      <w:r w:rsidR="008B4BBB">
        <w:rPr>
          <w:lang w:val="en-ZA"/>
        </w:rPr>
        <w:t>High Court judgment above n 5</w:t>
      </w:r>
      <w:r>
        <w:rPr>
          <w:lang w:val="en-ZA"/>
        </w:rPr>
        <w:t xml:space="preserve"> at para 6.</w:t>
      </w:r>
      <w:proofErr w:type="gramEnd"/>
    </w:p>
  </w:footnote>
  <w:footnote w:id="17">
    <w:p w14:paraId="11C0A92C" w14:textId="797D839E" w:rsidR="001007A9" w:rsidRPr="00A64977" w:rsidRDefault="001007A9">
      <w:pPr>
        <w:pStyle w:val="FootnoteText"/>
        <w:rPr>
          <w:lang w:val="en-ZA"/>
        </w:rPr>
      </w:pPr>
      <w:r>
        <w:rPr>
          <w:rStyle w:val="FootnoteReference"/>
        </w:rPr>
        <w:footnoteRef/>
      </w:r>
      <w:r>
        <w:t xml:space="preserve"> </w:t>
      </w:r>
      <w:proofErr w:type="gramStart"/>
      <w:r w:rsidR="0067572A">
        <w:rPr>
          <w:lang w:val="en-ZA"/>
        </w:rPr>
        <w:t>Id</w:t>
      </w:r>
      <w:r>
        <w:rPr>
          <w:lang w:val="en-ZA"/>
        </w:rPr>
        <w:t xml:space="preserve"> at para 7.</w:t>
      </w:r>
      <w:proofErr w:type="gramEnd"/>
    </w:p>
  </w:footnote>
  <w:footnote w:id="18">
    <w:p w14:paraId="2726BC13" w14:textId="1E4561D1" w:rsidR="001007A9" w:rsidRPr="00A64977" w:rsidRDefault="001007A9">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38.</w:t>
      </w:r>
      <w:proofErr w:type="gramEnd"/>
    </w:p>
  </w:footnote>
  <w:footnote w:id="19">
    <w:p w14:paraId="1409FC7F" w14:textId="66C64493" w:rsidR="001007A9" w:rsidRPr="00A64977" w:rsidRDefault="001007A9">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43.</w:t>
      </w:r>
      <w:proofErr w:type="gramEnd"/>
    </w:p>
  </w:footnote>
  <w:footnote w:id="20">
    <w:p w14:paraId="5E285493" w14:textId="5F419756" w:rsidR="001007A9" w:rsidRPr="00A64977" w:rsidRDefault="001007A9">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8.</w:t>
      </w:r>
      <w:proofErr w:type="gramEnd"/>
    </w:p>
  </w:footnote>
  <w:footnote w:id="21">
    <w:p w14:paraId="4C416D55" w14:textId="77777777" w:rsidR="001007A9" w:rsidRDefault="001007A9" w:rsidP="00D0762D">
      <w:pPr>
        <w:pStyle w:val="FootnoteText"/>
      </w:pPr>
      <w:r>
        <w:rPr>
          <w:rStyle w:val="FootnoteReference"/>
        </w:rPr>
        <w:footnoteRef/>
      </w:r>
      <w:r>
        <w:t xml:space="preserve"> </w:t>
      </w:r>
      <w:proofErr w:type="spellStart"/>
      <w:proofErr w:type="gramStart"/>
      <w:r w:rsidRPr="00D0762D">
        <w:rPr>
          <w:i/>
        </w:rPr>
        <w:t>Saidex</w:t>
      </w:r>
      <w:proofErr w:type="spellEnd"/>
      <w:r w:rsidRPr="00D0762D">
        <w:rPr>
          <w:i/>
        </w:rPr>
        <w:t xml:space="preserve"> (Pty) Ltd v Minister of Minerals and Energy</w:t>
      </w:r>
      <w:r>
        <w:t xml:space="preserve"> [2011] ZASCA 102; 2011 JDR 0593 (SCA) (</w:t>
      </w:r>
      <w:proofErr w:type="spellStart"/>
      <w:r>
        <w:rPr>
          <w:i/>
        </w:rPr>
        <w:t>Saidex</w:t>
      </w:r>
      <w:proofErr w:type="spellEnd"/>
      <w:r>
        <w:t>).</w:t>
      </w:r>
      <w:proofErr w:type="gramEnd"/>
      <w:r>
        <w:t xml:space="preserve">  The applicants in that case had sought an interim interdict to preserve their rights under the Act pending the finalisation of SADPO’s application to have certain provisions of the Act declared unconstitutional.  The Court held that the requirements for an interim interdict had not been met, as no </w:t>
      </w:r>
      <w:r w:rsidRPr="00BE1651">
        <w:rPr>
          <w:i/>
        </w:rPr>
        <w:t>prima facie</w:t>
      </w:r>
      <w:r>
        <w:t xml:space="preserve"> right to conduct the tender houses had been established, and held that the practice was unlawful.</w:t>
      </w:r>
    </w:p>
  </w:footnote>
  <w:footnote w:id="22">
    <w:p w14:paraId="050C3F3B" w14:textId="0F074627" w:rsidR="001007A9" w:rsidRPr="003F40D1" w:rsidRDefault="001007A9">
      <w:pPr>
        <w:pStyle w:val="FootnoteText"/>
        <w:rPr>
          <w:lang w:val="en-ZA"/>
        </w:rPr>
      </w:pPr>
      <w:r>
        <w:rPr>
          <w:rStyle w:val="FootnoteReference"/>
        </w:rPr>
        <w:footnoteRef/>
      </w:r>
      <w:r>
        <w:t xml:space="preserve"> </w:t>
      </w:r>
      <w:proofErr w:type="gramStart"/>
      <w:r w:rsidR="008B4BBB">
        <w:rPr>
          <w:lang w:val="en-ZA"/>
        </w:rPr>
        <w:t>High Court judgment above n 5</w:t>
      </w:r>
      <w:r>
        <w:rPr>
          <w:lang w:val="en-ZA"/>
        </w:rPr>
        <w:t xml:space="preserve"> at para 45.</w:t>
      </w:r>
      <w:proofErr w:type="gramEnd"/>
    </w:p>
  </w:footnote>
  <w:footnote w:id="23">
    <w:p w14:paraId="41E27CBF" w14:textId="7257B992" w:rsidR="001007A9" w:rsidRPr="003F40D1" w:rsidRDefault="001007A9">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46.</w:t>
      </w:r>
      <w:proofErr w:type="gramEnd"/>
    </w:p>
  </w:footnote>
  <w:footnote w:id="24">
    <w:p w14:paraId="28D87BB6" w14:textId="7B9184CA" w:rsidR="001007A9" w:rsidRPr="003E3503" w:rsidRDefault="001007A9" w:rsidP="003E3503">
      <w:pPr>
        <w:pStyle w:val="FootnoteText1"/>
        <w:rPr>
          <w:szCs w:val="20"/>
          <w:lang w:val="en-ZA"/>
        </w:rPr>
      </w:pPr>
      <w:r>
        <w:rPr>
          <w:rStyle w:val="FootnoteReference"/>
        </w:rPr>
        <w:footnoteRef/>
      </w:r>
      <w:r>
        <w:t xml:space="preserve"> </w:t>
      </w:r>
      <w:proofErr w:type="gramStart"/>
      <w:r w:rsidR="00BC1524">
        <w:rPr>
          <w:lang w:val="en-ZA"/>
        </w:rPr>
        <w:t xml:space="preserve">Id </w:t>
      </w:r>
      <w:r>
        <w:rPr>
          <w:lang w:val="en-ZA"/>
        </w:rPr>
        <w:t>at para 27.</w:t>
      </w:r>
      <w:proofErr w:type="gramEnd"/>
      <w:r>
        <w:rPr>
          <w:lang w:val="en-ZA"/>
        </w:rPr>
        <w:t xml:space="preserve">  </w:t>
      </w:r>
      <w:r w:rsidRPr="00F51E07">
        <w:t>The Kimberley Process Certification Scheme is an international certification scheme for the international trade in unpolished diamonds, negotiated in the Kimberley Process.  It aims to eradicate the cir</w:t>
      </w:r>
      <w:r w:rsidR="008B4BBB">
        <w:t>culation of conflict diamonds.</w:t>
      </w:r>
    </w:p>
  </w:footnote>
  <w:footnote w:id="25">
    <w:p w14:paraId="140EC42B" w14:textId="534E5A92" w:rsidR="001007A9" w:rsidRDefault="001007A9" w:rsidP="000A516F">
      <w:pPr>
        <w:pStyle w:val="FootnoteText"/>
      </w:pPr>
      <w:r>
        <w:rPr>
          <w:rStyle w:val="FootnoteReference"/>
        </w:rPr>
        <w:footnoteRef/>
      </w:r>
      <w:r w:rsidR="008B4BBB">
        <w:t xml:space="preserve"> </w:t>
      </w:r>
      <w:proofErr w:type="gramStart"/>
      <w:r w:rsidR="008B4BBB">
        <w:t>High Court judgment above n 5</w:t>
      </w:r>
      <w:r>
        <w:t xml:space="preserve"> at paras 21-5.</w:t>
      </w:r>
      <w:proofErr w:type="gramEnd"/>
    </w:p>
  </w:footnote>
  <w:footnote w:id="26">
    <w:p w14:paraId="1588714D" w14:textId="35805B90" w:rsidR="001007A9" w:rsidRPr="00A64977" w:rsidRDefault="001007A9">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paras 29 and 40.</w:t>
      </w:r>
      <w:proofErr w:type="gramEnd"/>
    </w:p>
  </w:footnote>
  <w:footnote w:id="27">
    <w:p w14:paraId="2E6F5BFC" w14:textId="18458685" w:rsidR="001007A9" w:rsidRPr="003F40D1" w:rsidRDefault="001007A9">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31.</w:t>
      </w:r>
      <w:proofErr w:type="gramEnd"/>
    </w:p>
  </w:footnote>
  <w:footnote w:id="28">
    <w:p w14:paraId="01289131" w14:textId="1EC04A89" w:rsidR="001007A9" w:rsidRDefault="001007A9" w:rsidP="00DE18CF">
      <w:pPr>
        <w:pStyle w:val="FootnoteText"/>
      </w:pPr>
      <w:r>
        <w:rPr>
          <w:rStyle w:val="FootnoteReference"/>
        </w:rPr>
        <w:footnoteRef/>
      </w:r>
      <w:r>
        <w:t xml:space="preserve"> </w:t>
      </w:r>
      <w:proofErr w:type="gramStart"/>
      <w:r w:rsidR="00BC1524">
        <w:t>Id</w:t>
      </w:r>
      <w:r>
        <w:t xml:space="preserve"> at para</w:t>
      </w:r>
      <w:r w:rsidR="00EE0360">
        <w:t>s</w:t>
      </w:r>
      <w:r>
        <w:t xml:space="preserve"> </w:t>
      </w:r>
      <w:r w:rsidR="00EE0360">
        <w:t>41-</w:t>
      </w:r>
      <w:r>
        <w:t>2.</w:t>
      </w:r>
      <w:proofErr w:type="gramEnd"/>
    </w:p>
  </w:footnote>
  <w:footnote w:id="29">
    <w:p w14:paraId="0C56B296" w14:textId="2D444FD4" w:rsidR="001007A9" w:rsidRDefault="001007A9" w:rsidP="0089081A">
      <w:pPr>
        <w:pStyle w:val="FootnoteText"/>
      </w:pPr>
      <w:r>
        <w:rPr>
          <w:rStyle w:val="FootnoteReference"/>
        </w:rPr>
        <w:footnoteRef/>
      </w:r>
      <w:r>
        <w:t xml:space="preserve"> </w:t>
      </w:r>
      <w:proofErr w:type="gramStart"/>
      <w:r w:rsidR="00BC1524">
        <w:t>Id</w:t>
      </w:r>
      <w:r>
        <w:t xml:space="preserve"> at para 47.</w:t>
      </w:r>
      <w:proofErr w:type="gramEnd"/>
    </w:p>
  </w:footnote>
  <w:footnote w:id="30">
    <w:p w14:paraId="750DD74B" w14:textId="30B74EB5" w:rsidR="001007A9" w:rsidRPr="009567A3" w:rsidRDefault="001007A9" w:rsidP="00111128">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48.</w:t>
      </w:r>
      <w:proofErr w:type="gramEnd"/>
    </w:p>
  </w:footnote>
  <w:footnote w:id="31">
    <w:p w14:paraId="2F09436F" w14:textId="035355AB" w:rsidR="001007A9" w:rsidRPr="003F40D1" w:rsidRDefault="001007A9">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49.</w:t>
      </w:r>
      <w:proofErr w:type="gramEnd"/>
    </w:p>
  </w:footnote>
  <w:footnote w:id="32">
    <w:p w14:paraId="116CB9D7" w14:textId="2F0A216B" w:rsidR="001007A9" w:rsidRPr="003F40D1" w:rsidRDefault="001007A9">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50.</w:t>
      </w:r>
      <w:proofErr w:type="gramEnd"/>
    </w:p>
  </w:footnote>
  <w:footnote w:id="33">
    <w:p w14:paraId="13222FA5" w14:textId="32B0C45D" w:rsidR="001007A9" w:rsidRPr="009567A3" w:rsidRDefault="001007A9" w:rsidP="00111128">
      <w:pPr>
        <w:pStyle w:val="FootnoteText"/>
        <w:rPr>
          <w:lang w:val="en-ZA"/>
        </w:rPr>
      </w:pPr>
      <w:r>
        <w:rPr>
          <w:rStyle w:val="FootnoteReference"/>
        </w:rPr>
        <w:footnoteRef/>
      </w:r>
      <w:r>
        <w:t xml:space="preserve"> </w:t>
      </w:r>
      <w:proofErr w:type="gramStart"/>
      <w:r w:rsidR="00BC1524">
        <w:rPr>
          <w:lang w:val="en-ZA"/>
        </w:rPr>
        <w:t>Id</w:t>
      </w:r>
      <w:r>
        <w:rPr>
          <w:lang w:val="en-ZA"/>
        </w:rPr>
        <w:t xml:space="preserve"> at para 51.</w:t>
      </w:r>
      <w:proofErr w:type="gramEnd"/>
    </w:p>
  </w:footnote>
  <w:footnote w:id="34">
    <w:p w14:paraId="08FC7130" w14:textId="2B3A3E6E" w:rsidR="00EE0360" w:rsidRPr="00EE0360" w:rsidRDefault="00EE0360">
      <w:pPr>
        <w:pStyle w:val="FootnoteText"/>
        <w:rPr>
          <w:lang w:val="en-ZA"/>
        </w:rPr>
      </w:pPr>
      <w:r>
        <w:rPr>
          <w:rStyle w:val="FootnoteReference"/>
        </w:rPr>
        <w:footnoteRef/>
      </w:r>
      <w:r>
        <w:t xml:space="preserve"> </w:t>
      </w:r>
      <w:r>
        <w:rPr>
          <w:lang w:val="en-ZA"/>
        </w:rPr>
        <w:t>Id.</w:t>
      </w:r>
    </w:p>
  </w:footnote>
  <w:footnote w:id="35">
    <w:p w14:paraId="1A847BC8" w14:textId="29E34EB2" w:rsidR="008B4BBB" w:rsidRDefault="008B4BBB" w:rsidP="008B4BBB">
      <w:pPr>
        <w:pStyle w:val="FootnoteText"/>
      </w:pPr>
      <w:r>
        <w:rPr>
          <w:rStyle w:val="FootnoteReference"/>
        </w:rPr>
        <w:footnoteRef/>
      </w:r>
      <w:r>
        <w:t xml:space="preserve"> “Producer” is defined in section 1 of the Act as “any person entitled to win or recover diamonds in terms of sections 19, 25 and 27 of the Mineral and Petroleum Resources Development Act”.  </w:t>
      </w:r>
      <w:proofErr w:type="gramStart"/>
      <w:r>
        <w:t>These sections of the Mineral and Petroleum Resources Development Act 28 of 2002 deal with prospecting rights, mining rights and mining permits respectively.</w:t>
      </w:r>
      <w:proofErr w:type="gramEnd"/>
    </w:p>
  </w:footnote>
  <w:footnote w:id="36">
    <w:p w14:paraId="169AE0C5" w14:textId="77777777" w:rsidR="008B4BBB" w:rsidRPr="00D755D8" w:rsidRDefault="008B4BBB" w:rsidP="008B4BBB">
      <w:pPr>
        <w:pStyle w:val="FootnoteText"/>
        <w:rPr>
          <w:lang w:val="en-ZA"/>
        </w:rPr>
      </w:pPr>
      <w:r>
        <w:rPr>
          <w:rStyle w:val="FootnoteReference"/>
        </w:rPr>
        <w:footnoteRef/>
      </w:r>
      <w:r>
        <w:t xml:space="preserve"> “Dealer” is defined in section 1 of the Act as “the holder of a diamond dealer’s licence contemplated in section 26(a)”.  This licence entitles the holder to “carry on business as a buyer, seller, importer or exporter of unpolished diamonds”.</w:t>
      </w:r>
    </w:p>
  </w:footnote>
  <w:footnote w:id="37">
    <w:p w14:paraId="4D063F44" w14:textId="6BD3AB44" w:rsidR="001007A9" w:rsidRPr="000073D7" w:rsidRDefault="001007A9" w:rsidP="003C1018">
      <w:pPr>
        <w:pStyle w:val="FootnoteText"/>
        <w:rPr>
          <w:lang w:val="en-ZA"/>
        </w:rPr>
      </w:pPr>
      <w:r>
        <w:rPr>
          <w:rStyle w:val="FootnoteReference"/>
        </w:rPr>
        <w:footnoteRef/>
      </w:r>
      <w:r>
        <w:t xml:space="preserve"> </w:t>
      </w:r>
      <w:r w:rsidRPr="007C15F4">
        <w:rPr>
          <w:i/>
        </w:rPr>
        <w:t xml:space="preserve">Head of Department, Department of Education, Limpopo Province v Settlers Agricultural High School </w:t>
      </w:r>
      <w:r w:rsidRPr="006B21CA">
        <w:t>[2003] ZACC 15; 2003 (11) BCLR 1212 (CC)</w:t>
      </w:r>
      <w:r w:rsidRPr="007C15F4" w:rsidDel="006B21CA">
        <w:t xml:space="preserve"> </w:t>
      </w:r>
      <w:r w:rsidR="001C38A4">
        <w:t>at para 11</w:t>
      </w:r>
      <w:r>
        <w:t xml:space="preserve"> and</w:t>
      </w:r>
      <w:r w:rsidRPr="006B21CA">
        <w:t xml:space="preserve"> </w:t>
      </w:r>
      <w:r w:rsidRPr="006B21CA">
        <w:rPr>
          <w:i/>
        </w:rPr>
        <w:t>S v Mercer</w:t>
      </w:r>
      <w:r w:rsidRPr="007C15F4">
        <w:t xml:space="preserve"> [2003] ZACC 22; 2004 (2) SA 598 (CC); 2004 (2) BCLR 109 (CC)</w:t>
      </w:r>
      <w:r w:rsidRPr="006B21CA">
        <w:t xml:space="preserve"> at para 4.</w:t>
      </w:r>
    </w:p>
  </w:footnote>
  <w:footnote w:id="38">
    <w:p w14:paraId="03B5F484" w14:textId="77777777" w:rsidR="001007A9" w:rsidRPr="006D10E5" w:rsidRDefault="001007A9">
      <w:pPr>
        <w:pStyle w:val="FootnoteText"/>
        <w:rPr>
          <w:lang w:val="en-ZA"/>
        </w:rPr>
      </w:pPr>
      <w:r>
        <w:rPr>
          <w:rStyle w:val="FootnoteReference"/>
        </w:rPr>
        <w:footnoteRef/>
      </w:r>
      <w:r>
        <w:t xml:space="preserve"> </w:t>
      </w:r>
      <w:r>
        <w:rPr>
          <w:i/>
        </w:rPr>
        <w:t xml:space="preserve">First National Bank of SA Ltd t/a </w:t>
      </w:r>
      <w:proofErr w:type="spellStart"/>
      <w:r>
        <w:rPr>
          <w:i/>
        </w:rPr>
        <w:t>Wesbank</w:t>
      </w:r>
      <w:proofErr w:type="spellEnd"/>
      <w:r>
        <w:rPr>
          <w:i/>
        </w:rPr>
        <w:t xml:space="preserve"> v Commissioner, South African Revenue Service; First National Bank of SA Ltd t/a </w:t>
      </w:r>
      <w:proofErr w:type="spellStart"/>
      <w:r>
        <w:rPr>
          <w:i/>
        </w:rPr>
        <w:t>Wesbank</w:t>
      </w:r>
      <w:proofErr w:type="spellEnd"/>
      <w:r>
        <w:rPr>
          <w:i/>
        </w:rPr>
        <w:t xml:space="preserve"> v Minister of Finance </w:t>
      </w:r>
      <w:r>
        <w:t>[2002] ZACC 5; 2002 (4) SA 768 (CC); 2002 (7) BCLR 702 (CC) (</w:t>
      </w:r>
      <w:r w:rsidRPr="00E828B1">
        <w:rPr>
          <w:i/>
        </w:rPr>
        <w:t>FNB</w:t>
      </w:r>
      <w:r>
        <w:t xml:space="preserve">) </w:t>
      </w:r>
      <w:r w:rsidRPr="00E828B1">
        <w:t>at</w:t>
      </w:r>
      <w:r>
        <w:t xml:space="preserve"> para 46.</w:t>
      </w:r>
    </w:p>
  </w:footnote>
  <w:footnote w:id="39">
    <w:p w14:paraId="76721323" w14:textId="77777777" w:rsidR="001007A9" w:rsidRPr="001A4D3A" w:rsidRDefault="001007A9">
      <w:pPr>
        <w:pStyle w:val="FootnoteText"/>
        <w:rPr>
          <w:lang w:val="en-ZA"/>
        </w:rPr>
      </w:pPr>
      <w:r>
        <w:rPr>
          <w:rStyle w:val="FootnoteReference"/>
        </w:rPr>
        <w:footnoteRef/>
      </w:r>
      <w:r>
        <w:t xml:space="preserve"> </w:t>
      </w:r>
      <w:r>
        <w:rPr>
          <w:lang w:val="en-ZA"/>
        </w:rPr>
        <w:t>Id.</w:t>
      </w:r>
    </w:p>
  </w:footnote>
  <w:footnote w:id="40">
    <w:p w14:paraId="115525D8" w14:textId="77777777" w:rsidR="001007A9" w:rsidRPr="00623F20" w:rsidRDefault="001007A9" w:rsidP="00623F20">
      <w:pPr>
        <w:pStyle w:val="FootnoteText1"/>
      </w:pPr>
      <w:r>
        <w:rPr>
          <w:rStyle w:val="FootnoteReference"/>
        </w:rPr>
        <w:footnoteRef/>
      </w:r>
      <w:r w:rsidRPr="00623F20">
        <w:t xml:space="preserve"> </w:t>
      </w:r>
      <w:r w:rsidRPr="00C77160">
        <w:t xml:space="preserve">In </w:t>
      </w:r>
      <w:r w:rsidRPr="00C77160">
        <w:rPr>
          <w:i/>
        </w:rPr>
        <w:t xml:space="preserve">FNB </w:t>
      </w:r>
      <w:r w:rsidRPr="00C77160">
        <w:t>id, this</w:t>
      </w:r>
      <w:r>
        <w:t xml:space="preserve"> Court set out</w:t>
      </w:r>
      <w:r w:rsidRPr="00623F20">
        <w:t xml:space="preserve"> a sliding scale for </w:t>
      </w:r>
      <w:r>
        <w:t>determining whether a deprivation of property is arbitrary</w:t>
      </w:r>
      <w:r w:rsidRPr="00623F20">
        <w:t>: the standard can range from rationality, to something more akin to proportionality, depending on the circ</w:t>
      </w:r>
      <w:r>
        <w:t>umstances.  At paras 65-6, this Court held:</w:t>
      </w:r>
    </w:p>
    <w:p w14:paraId="0A999A53" w14:textId="534052FE" w:rsidR="001007A9" w:rsidRPr="00623F20" w:rsidRDefault="001007A9" w:rsidP="00623F20">
      <w:pPr>
        <w:pStyle w:val="QUOTEINFOOTNOTE"/>
      </w:pPr>
      <w:r w:rsidRPr="00623F20">
        <w:t>“In its context arbitrary, as used in s</w:t>
      </w:r>
      <w:r>
        <w:t>ection</w:t>
      </w:r>
      <w:r w:rsidRPr="00623F20">
        <w:t xml:space="preserve"> 25(1), is not limited to non-rational deprivations, in the sense of there being no rational connection between means and ends. </w:t>
      </w:r>
      <w:r w:rsidR="00CF231F">
        <w:t xml:space="preserve"> </w:t>
      </w:r>
      <w:r w:rsidRPr="00623F20">
        <w:t xml:space="preserve">It refers to a wider concept and a broader controlling principle that is more demanding than an enquiry into mere rationality. </w:t>
      </w:r>
      <w:r w:rsidR="00CF231F">
        <w:t xml:space="preserve"> </w:t>
      </w:r>
      <w:r w:rsidRPr="00623F20">
        <w:t xml:space="preserve">At the same time it is a narrower and less intrusive concept than that of the proportionality evaluation required by the limitation provisions of section 36. </w:t>
      </w:r>
      <w:r w:rsidR="00CF231F">
        <w:t xml:space="preserve"> </w:t>
      </w:r>
      <w:r w:rsidRPr="00623F20">
        <w:t>This is so because the standard set in section 36 is reasonableness and justifiability, whilst the standard set in s</w:t>
      </w:r>
      <w:r>
        <w:t>ection</w:t>
      </w:r>
      <w:r w:rsidRPr="00623F20">
        <w:t xml:space="preserve"> 25 is arbitrariness. </w:t>
      </w:r>
      <w:r w:rsidR="00CF231F">
        <w:t xml:space="preserve"> </w:t>
      </w:r>
      <w:r w:rsidRPr="00623F20">
        <w:t>This distinction must be kept in mind when interpreting and applying the two sections.</w:t>
      </w:r>
    </w:p>
    <w:p w14:paraId="41C2273D" w14:textId="13B849D0" w:rsidR="001007A9" w:rsidRPr="00623F20" w:rsidRDefault="001007A9" w:rsidP="00623F20">
      <w:pPr>
        <w:pStyle w:val="QUOTEINFOOTNOTE"/>
      </w:pPr>
      <w:r w:rsidRPr="00623F20">
        <w:t>It is important in every case in which s</w:t>
      </w:r>
      <w:r w:rsidR="00CF231F">
        <w:t>ection</w:t>
      </w:r>
      <w:r w:rsidRPr="00623F20">
        <w:t xml:space="preserve"> 25(1) is in issue to have regard to the legislative context to which the prohibition against arbitrary deprivation has to be applied; and also to the nature and extent of the deprivation. </w:t>
      </w:r>
      <w:r w:rsidR="00CF231F">
        <w:t xml:space="preserve"> </w:t>
      </w:r>
      <w:r w:rsidRPr="00623F20">
        <w:t>In certain circumstances the legislative deprivation might be such that no more than a rational connection between means and ends would be required, while in others the ends would have to be more compelling to prevent the deprivation from being arbitrary.”</w:t>
      </w:r>
    </w:p>
  </w:footnote>
  <w:footnote w:id="41">
    <w:p w14:paraId="506814C5" w14:textId="756D9432" w:rsidR="001007A9" w:rsidRPr="006D10E5" w:rsidRDefault="001007A9">
      <w:pPr>
        <w:pStyle w:val="FootnoteText"/>
        <w:rPr>
          <w:lang w:val="en-ZA"/>
        </w:rPr>
      </w:pPr>
      <w:r>
        <w:rPr>
          <w:rStyle w:val="FootnoteReference"/>
        </w:rPr>
        <w:footnoteRef/>
      </w:r>
      <w:r>
        <w:t xml:space="preserve"> This Court in </w:t>
      </w:r>
      <w:r>
        <w:rPr>
          <w:i/>
          <w:lang w:val="en-ZA"/>
        </w:rPr>
        <w:t xml:space="preserve">FNB </w:t>
      </w:r>
      <w:r w:rsidR="00CF231F">
        <w:rPr>
          <w:lang w:val="en-ZA"/>
        </w:rPr>
        <w:t>above n 38</w:t>
      </w:r>
      <w:r>
        <w:rPr>
          <w:lang w:val="en-ZA"/>
        </w:rPr>
        <w:t xml:space="preserve"> at para 51 held that “ownership of a corporeal movable must – as must ownership of land – lie at the heart of our constitutional concept of property”.</w:t>
      </w:r>
    </w:p>
  </w:footnote>
  <w:footnote w:id="42">
    <w:p w14:paraId="43F19997" w14:textId="07DB4811" w:rsidR="001007A9" w:rsidRDefault="001007A9" w:rsidP="00BB20AA">
      <w:pPr>
        <w:pStyle w:val="FootnoteText1"/>
      </w:pPr>
      <w:r>
        <w:rPr>
          <w:rStyle w:val="FootnoteReference"/>
        </w:rPr>
        <w:footnoteRef/>
      </w:r>
      <w:r>
        <w:t xml:space="preserve"> </w:t>
      </w:r>
      <w:proofErr w:type="spellStart"/>
      <w:proofErr w:type="gramStart"/>
      <w:r w:rsidRPr="009B3629">
        <w:rPr>
          <w:i/>
        </w:rPr>
        <w:t>Mkontwana</w:t>
      </w:r>
      <w:proofErr w:type="spellEnd"/>
      <w:r w:rsidRPr="009B3629">
        <w:rPr>
          <w:i/>
        </w:rPr>
        <w:t xml:space="preserve"> v </w:t>
      </w:r>
      <w:r>
        <w:rPr>
          <w:i/>
        </w:rPr>
        <w:t xml:space="preserve">Nelson </w:t>
      </w:r>
      <w:r w:rsidRPr="009B3629">
        <w:rPr>
          <w:i/>
        </w:rPr>
        <w:t>Mandela Metro</w:t>
      </w:r>
      <w:r>
        <w:rPr>
          <w:i/>
        </w:rPr>
        <w:t>politan</w:t>
      </w:r>
      <w:r w:rsidRPr="009B3629">
        <w:rPr>
          <w:i/>
        </w:rPr>
        <w:t xml:space="preserve"> Municipality </w:t>
      </w:r>
      <w:r w:rsidRPr="00C07169">
        <w:t xml:space="preserve">[2004] ZACC 9; </w:t>
      </w:r>
      <w:r>
        <w:t xml:space="preserve">2005 (1) </w:t>
      </w:r>
      <w:r w:rsidR="00CF231F">
        <w:t xml:space="preserve">SA </w:t>
      </w:r>
      <w:r>
        <w:t>530 (CC); 2005 (2) BCLR 150</w:t>
      </w:r>
      <w:r>
        <w:rPr>
          <w:rStyle w:val="apple-converted-space"/>
          <w:rFonts w:ascii="Verdana" w:hAnsi="Verdana"/>
          <w:color w:val="000000"/>
          <w:sz w:val="16"/>
          <w:szCs w:val="16"/>
        </w:rPr>
        <w:t> </w:t>
      </w:r>
      <w:r>
        <w:t>(CC) at para 32.</w:t>
      </w:r>
      <w:proofErr w:type="gramEnd"/>
      <w:r>
        <w:t xml:space="preserve">  </w:t>
      </w:r>
      <w:proofErr w:type="gramStart"/>
      <w:r>
        <w:t>My emphasis.</w:t>
      </w:r>
      <w:proofErr w:type="gramEnd"/>
    </w:p>
  </w:footnote>
  <w:footnote w:id="43">
    <w:p w14:paraId="269E0F66" w14:textId="4630C6D0" w:rsidR="001007A9" w:rsidRPr="00CF11B8" w:rsidRDefault="001007A9" w:rsidP="003C7DED">
      <w:pPr>
        <w:pStyle w:val="FootnoteText"/>
        <w:rPr>
          <w:lang w:val="en-ZA"/>
        </w:rPr>
      </w:pPr>
      <w:r>
        <w:rPr>
          <w:rStyle w:val="FootnoteReference"/>
        </w:rPr>
        <w:footnoteRef/>
      </w:r>
      <w:r>
        <w:t xml:space="preserve"> </w:t>
      </w:r>
      <w:proofErr w:type="spellStart"/>
      <w:proofErr w:type="gramStart"/>
      <w:r w:rsidRPr="00CF11B8">
        <w:rPr>
          <w:i/>
        </w:rPr>
        <w:t>Offit</w:t>
      </w:r>
      <w:proofErr w:type="spellEnd"/>
      <w:r w:rsidRPr="00CF11B8">
        <w:rPr>
          <w:i/>
        </w:rPr>
        <w:t xml:space="preserve"> Enterprises (Pty) Ltd v </w:t>
      </w:r>
      <w:proofErr w:type="spellStart"/>
      <w:r w:rsidRPr="00CF11B8">
        <w:rPr>
          <w:i/>
        </w:rPr>
        <w:t>Coega</w:t>
      </w:r>
      <w:proofErr w:type="spellEnd"/>
      <w:r w:rsidRPr="00CF11B8">
        <w:rPr>
          <w:i/>
        </w:rPr>
        <w:t xml:space="preserve"> Development Corporation (Pty) Ltd</w:t>
      </w:r>
      <w:r>
        <w:t xml:space="preserve"> </w:t>
      </w:r>
      <w:r w:rsidRPr="00581EFC">
        <w:t xml:space="preserve">[2010] ZACC </w:t>
      </w:r>
      <w:r w:rsidRPr="002D70DB">
        <w:t>20</w:t>
      </w:r>
      <w:r>
        <w:t>; 2011 (1) SA 293 (CC); 2011 (2) BCLR 189 (CC) (</w:t>
      </w:r>
      <w:proofErr w:type="spellStart"/>
      <w:r>
        <w:rPr>
          <w:i/>
        </w:rPr>
        <w:t>Offit</w:t>
      </w:r>
      <w:proofErr w:type="spellEnd"/>
      <w:r>
        <w:t>) at para 41.</w:t>
      </w:r>
      <w:proofErr w:type="gramEnd"/>
      <w:r>
        <w:t xml:space="preserve">  </w:t>
      </w:r>
      <w:proofErr w:type="gramStart"/>
      <w:r>
        <w:t>My emphasis.</w:t>
      </w:r>
      <w:proofErr w:type="gramEnd"/>
    </w:p>
  </w:footnote>
  <w:footnote w:id="44">
    <w:p w14:paraId="18C171DB" w14:textId="77777777" w:rsidR="001007A9" w:rsidRPr="00F0646C" w:rsidRDefault="001007A9">
      <w:pPr>
        <w:pStyle w:val="FootnoteText"/>
        <w:rPr>
          <w:lang w:val="en-ZA"/>
        </w:rPr>
      </w:pPr>
      <w:r>
        <w:rPr>
          <w:rStyle w:val="FootnoteReference"/>
        </w:rPr>
        <w:footnoteRef/>
      </w:r>
      <w:r>
        <w:t xml:space="preserve"> </w:t>
      </w:r>
      <w:proofErr w:type="gramStart"/>
      <w:r>
        <w:rPr>
          <w:lang w:val="en-ZA"/>
        </w:rPr>
        <w:t>Id at para 44.</w:t>
      </w:r>
      <w:proofErr w:type="gramEnd"/>
    </w:p>
  </w:footnote>
  <w:footnote w:id="45">
    <w:p w14:paraId="5039A211" w14:textId="78075E3D" w:rsidR="001007A9" w:rsidRPr="0012280D" w:rsidRDefault="001007A9">
      <w:pPr>
        <w:pStyle w:val="FootnoteText"/>
        <w:rPr>
          <w:lang w:val="en-ZA"/>
        </w:rPr>
      </w:pPr>
      <w:r>
        <w:rPr>
          <w:rStyle w:val="FootnoteReference"/>
        </w:rPr>
        <w:footnoteRef/>
      </w:r>
      <w:r>
        <w:t xml:space="preserve"> </w:t>
      </w:r>
      <w:proofErr w:type="gramStart"/>
      <w:r>
        <w:rPr>
          <w:i/>
        </w:rPr>
        <w:t>Tshwane City</w:t>
      </w:r>
      <w:r w:rsidRPr="008151B4">
        <w:rPr>
          <w:i/>
        </w:rPr>
        <w:t xml:space="preserve"> v Link Africa</w:t>
      </w:r>
      <w:r>
        <w:rPr>
          <w:i/>
        </w:rPr>
        <w:t xml:space="preserve"> </w:t>
      </w:r>
      <w:r>
        <w:t>[2015] ZACC 29; 2015 (6) SA 440 (CC); 2015 (11) BCLR 1265 (CC) (</w:t>
      </w:r>
      <w:r>
        <w:rPr>
          <w:i/>
        </w:rPr>
        <w:t>Link Africa</w:t>
      </w:r>
      <w:r w:rsidR="00CF231F">
        <w:t>) at paras 166</w:t>
      </w:r>
      <w:r w:rsidR="00CF231F">
        <w:noBreakHyphen/>
      </w:r>
      <w:r>
        <w:t>73.</w:t>
      </w:r>
      <w:proofErr w:type="gramEnd"/>
    </w:p>
  </w:footnote>
  <w:footnote w:id="46">
    <w:p w14:paraId="4E0B5944" w14:textId="77777777" w:rsidR="001007A9" w:rsidRPr="0012280D" w:rsidRDefault="001007A9">
      <w:pPr>
        <w:pStyle w:val="FootnoteText"/>
        <w:rPr>
          <w:lang w:val="en-ZA"/>
        </w:rPr>
      </w:pPr>
      <w:r>
        <w:rPr>
          <w:rStyle w:val="FootnoteReference"/>
        </w:rPr>
        <w:footnoteRef/>
      </w:r>
      <w:r>
        <w:t xml:space="preserve"> </w:t>
      </w:r>
      <w:proofErr w:type="gramStart"/>
      <w:r>
        <w:t>36 of 2005.</w:t>
      </w:r>
      <w:proofErr w:type="gramEnd"/>
    </w:p>
  </w:footnote>
  <w:footnote w:id="47">
    <w:p w14:paraId="246C5F8B" w14:textId="525F62C8" w:rsidR="001007A9" w:rsidRDefault="001007A9" w:rsidP="0012280D">
      <w:pPr>
        <w:pStyle w:val="FootnoteText"/>
      </w:pPr>
      <w:r w:rsidRPr="00703406">
        <w:rPr>
          <w:rStyle w:val="FootnoteReference"/>
        </w:rPr>
        <w:footnoteRef/>
      </w:r>
      <w:r w:rsidRPr="00703406">
        <w:t xml:space="preserve"> </w:t>
      </w:r>
      <w:proofErr w:type="gramStart"/>
      <w:r w:rsidRPr="00703406">
        <w:rPr>
          <w:i/>
        </w:rPr>
        <w:t>L</w:t>
      </w:r>
      <w:r w:rsidRPr="00B16A5C">
        <w:rPr>
          <w:i/>
        </w:rPr>
        <w:t>ink Africa</w:t>
      </w:r>
      <w:r w:rsidRPr="00B16A5C">
        <w:t xml:space="preserve"> above</w:t>
      </w:r>
      <w:r w:rsidR="006809FF">
        <w:t xml:space="preserve"> n 45</w:t>
      </w:r>
      <w:r>
        <w:t xml:space="preserve"> </w:t>
      </w:r>
      <w:r w:rsidRPr="00206D0F">
        <w:t>at</w:t>
      </w:r>
      <w:r>
        <w:t xml:space="preserve"> para 167.</w:t>
      </w:r>
      <w:proofErr w:type="gramEnd"/>
      <w:r>
        <w:t xml:space="preserve">  </w:t>
      </w:r>
      <w:r w:rsidR="008816BC">
        <w:t xml:space="preserve">Footnotes omitted.  </w:t>
      </w:r>
      <w:proofErr w:type="gramStart"/>
      <w:r>
        <w:t>My emphasis.</w:t>
      </w:r>
      <w:proofErr w:type="gramEnd"/>
    </w:p>
  </w:footnote>
  <w:footnote w:id="48">
    <w:p w14:paraId="6C9A292A" w14:textId="77777777" w:rsidR="001007A9" w:rsidRPr="006177A7" w:rsidRDefault="001007A9">
      <w:pPr>
        <w:pStyle w:val="FootnoteText"/>
        <w:rPr>
          <w:lang w:val="en-ZA"/>
        </w:rPr>
      </w:pPr>
      <w:r>
        <w:rPr>
          <w:rStyle w:val="FootnoteReference"/>
        </w:rPr>
        <w:footnoteRef/>
      </w:r>
      <w:r>
        <w:t xml:space="preserve"> </w:t>
      </w:r>
      <w:proofErr w:type="gramStart"/>
      <w:r w:rsidRPr="00206D0F">
        <w:rPr>
          <w:lang w:val="en-ZA"/>
        </w:rPr>
        <w:t>Id</w:t>
      </w:r>
      <w:r>
        <w:rPr>
          <w:lang w:val="en-ZA"/>
        </w:rPr>
        <w:t xml:space="preserve"> at para 172.</w:t>
      </w:r>
      <w:proofErr w:type="gramEnd"/>
    </w:p>
  </w:footnote>
  <w:footnote w:id="49">
    <w:p w14:paraId="712A3002" w14:textId="514BA37C" w:rsidR="001007A9" w:rsidRDefault="001007A9" w:rsidP="0025449A">
      <w:pPr>
        <w:pStyle w:val="FootnoteText1"/>
      </w:pPr>
      <w:r>
        <w:rPr>
          <w:rStyle w:val="FootnoteReference"/>
        </w:rPr>
        <w:footnoteRef/>
      </w:r>
      <w:r>
        <w:t xml:space="preserve"> </w:t>
      </w:r>
      <w:proofErr w:type="gramStart"/>
      <w:r w:rsidRPr="009B3629">
        <w:rPr>
          <w:i/>
        </w:rPr>
        <w:t xml:space="preserve">Shoprite </w:t>
      </w:r>
      <w:r>
        <w:rPr>
          <w:i/>
        </w:rPr>
        <w:t xml:space="preserve">Checkers (Pty) Ltd </w:t>
      </w:r>
      <w:r w:rsidRPr="00D6142C">
        <w:rPr>
          <w:i/>
        </w:rPr>
        <w:t xml:space="preserve">v </w:t>
      </w:r>
      <w:r>
        <w:rPr>
          <w:i/>
        </w:rPr>
        <w:t>MEC</w:t>
      </w:r>
      <w:r w:rsidRPr="00C07169">
        <w:rPr>
          <w:i/>
        </w:rPr>
        <w:t xml:space="preserve"> for Economic Deve</w:t>
      </w:r>
      <w:r w:rsidRPr="00D6142C">
        <w:rPr>
          <w:i/>
        </w:rPr>
        <w:t>lopment,</w:t>
      </w:r>
      <w:r w:rsidRPr="00C07169">
        <w:rPr>
          <w:i/>
        </w:rPr>
        <w:t xml:space="preserve"> Eastern Cape</w:t>
      </w:r>
      <w:r>
        <w:t xml:space="preserve"> [2015] ZACC 23; 2015 (6) SA 125 (CC); 2015 (9) BCLR 1052 (CC)</w:t>
      </w:r>
      <w:r w:rsidR="00CB4758">
        <w:t xml:space="preserve"> (</w:t>
      </w:r>
      <w:r w:rsidR="00CB4758">
        <w:rPr>
          <w:i/>
        </w:rPr>
        <w:t>Shoprite</w:t>
      </w:r>
      <w:r w:rsidR="00CB4758">
        <w:t>)</w:t>
      </w:r>
      <w:r>
        <w:rPr>
          <w:rStyle w:val="apple-converted-space"/>
          <w:rFonts w:ascii="Arial" w:hAnsi="Arial" w:cs="Arial"/>
          <w:b/>
          <w:bCs/>
          <w:color w:val="64473A"/>
        </w:rPr>
        <w:t>.</w:t>
      </w:r>
      <w:proofErr w:type="gramEnd"/>
    </w:p>
  </w:footnote>
  <w:footnote w:id="50">
    <w:p w14:paraId="7A80B163" w14:textId="77777777" w:rsidR="001007A9" w:rsidRPr="00F1047F" w:rsidRDefault="001007A9">
      <w:pPr>
        <w:pStyle w:val="FootnoteText"/>
        <w:rPr>
          <w:lang w:val="en-ZA"/>
        </w:rPr>
      </w:pPr>
      <w:r>
        <w:rPr>
          <w:rStyle w:val="FootnoteReference"/>
        </w:rPr>
        <w:footnoteRef/>
      </w:r>
      <w:r>
        <w:t xml:space="preserve"> </w:t>
      </w:r>
      <w:proofErr w:type="gramStart"/>
      <w:r>
        <w:rPr>
          <w:lang w:val="en-ZA"/>
        </w:rPr>
        <w:t xml:space="preserve">Comprising the judgments of </w:t>
      </w:r>
      <w:proofErr w:type="spellStart"/>
      <w:r>
        <w:rPr>
          <w:lang w:val="en-ZA"/>
        </w:rPr>
        <w:t>Froneman</w:t>
      </w:r>
      <w:proofErr w:type="spellEnd"/>
      <w:r>
        <w:rPr>
          <w:lang w:val="en-ZA"/>
        </w:rPr>
        <w:t xml:space="preserve"> J and </w:t>
      </w:r>
      <w:proofErr w:type="spellStart"/>
      <w:r>
        <w:rPr>
          <w:lang w:val="en-ZA"/>
        </w:rPr>
        <w:t>Madlanga</w:t>
      </w:r>
      <w:proofErr w:type="spellEnd"/>
      <w:r>
        <w:rPr>
          <w:lang w:val="en-ZA"/>
        </w:rPr>
        <w:t xml:space="preserve"> J.</w:t>
      </w:r>
      <w:proofErr w:type="gramEnd"/>
    </w:p>
  </w:footnote>
  <w:footnote w:id="51">
    <w:p w14:paraId="36221C20" w14:textId="74E8BEF0" w:rsidR="001007A9" w:rsidRPr="00991AAE" w:rsidRDefault="001007A9">
      <w:pPr>
        <w:pStyle w:val="FootnoteText"/>
        <w:rPr>
          <w:lang w:val="en-ZA"/>
        </w:rPr>
      </w:pPr>
      <w:r w:rsidRPr="00F51E07">
        <w:rPr>
          <w:rStyle w:val="FootnoteReference"/>
        </w:rPr>
        <w:footnoteRef/>
      </w:r>
      <w:r w:rsidRPr="00F51E07">
        <w:t xml:space="preserve"> </w:t>
      </w:r>
      <w:r w:rsidRPr="00F51E07">
        <w:rPr>
          <w:lang w:val="en-ZA"/>
        </w:rPr>
        <w:t xml:space="preserve">This is because I do not consider the question of whether the licences constitute property to be of relevance to determining the matter: even assuming they are property for the purposes of section 25 of the Constitution, there is no deprivation.  To decide whether the licences here are property would require an analysis of whether the conditions set out in </w:t>
      </w:r>
      <w:r w:rsidRPr="00F51E07">
        <w:rPr>
          <w:i/>
          <w:lang w:val="en-ZA"/>
        </w:rPr>
        <w:t xml:space="preserve">Shoprite </w:t>
      </w:r>
      <w:r w:rsidRPr="00F51E07">
        <w:rPr>
          <w:lang w:val="en-ZA"/>
        </w:rPr>
        <w:t xml:space="preserve">as underlying a finding that the licence was property, have been met.  But, although the majority in </w:t>
      </w:r>
      <w:r w:rsidRPr="00F51E07">
        <w:rPr>
          <w:i/>
          <w:lang w:val="en-ZA"/>
        </w:rPr>
        <w:t>Shoprite</w:t>
      </w:r>
      <w:r w:rsidR="00CB4758">
        <w:rPr>
          <w:lang w:val="en-ZA"/>
        </w:rPr>
        <w:t xml:space="preserve"> above n 49</w:t>
      </w:r>
      <w:r w:rsidRPr="00F51E07">
        <w:rPr>
          <w:lang w:val="en-ZA"/>
        </w:rPr>
        <w:t xml:space="preserve"> did find that the licence in issue there was property, the two judgments comprising the majority on this issue based their findings on different reasons.  To determine whether the licences here are property would require the Court to decide which approach to the enquiry – that set out in the judgment of </w:t>
      </w:r>
      <w:proofErr w:type="spellStart"/>
      <w:r w:rsidRPr="00F51E07">
        <w:rPr>
          <w:lang w:val="en-ZA"/>
        </w:rPr>
        <w:t>Froneman</w:t>
      </w:r>
      <w:proofErr w:type="spellEnd"/>
      <w:r>
        <w:rPr>
          <w:lang w:val="en-ZA"/>
        </w:rPr>
        <w:t> </w:t>
      </w:r>
      <w:r w:rsidRPr="00F51E07">
        <w:rPr>
          <w:lang w:val="en-ZA"/>
        </w:rPr>
        <w:t xml:space="preserve">J, or that in the judgment penned by </w:t>
      </w:r>
      <w:proofErr w:type="spellStart"/>
      <w:r w:rsidRPr="00F51E07">
        <w:rPr>
          <w:lang w:val="en-ZA"/>
        </w:rPr>
        <w:t>Madlanga</w:t>
      </w:r>
      <w:proofErr w:type="spellEnd"/>
      <w:r>
        <w:rPr>
          <w:lang w:val="en-ZA"/>
        </w:rPr>
        <w:t> </w:t>
      </w:r>
      <w:r w:rsidRPr="00F51E07">
        <w:rPr>
          <w:lang w:val="en-ZA"/>
        </w:rPr>
        <w:t>J – is to be preferred.  That is an important issue, on which we have had the benefit neither of the parties’ view</w:t>
      </w:r>
      <w:r w:rsidR="00CB4758">
        <w:rPr>
          <w:lang w:val="en-ZA"/>
        </w:rPr>
        <w:t>s</w:t>
      </w:r>
      <w:r w:rsidRPr="00F51E07">
        <w:rPr>
          <w:lang w:val="en-ZA"/>
        </w:rPr>
        <w:t xml:space="preserve">, nor those of the High Court.  As this is not a case where the question whether the licence is property has any impact on the outcome, it is not an appropriate matter for this Court to pronounce authoritatively on which of the two approaches to determining when a licence constitutes property set out in the judgments comprising the majority in </w:t>
      </w:r>
      <w:r w:rsidRPr="00F51E07">
        <w:rPr>
          <w:i/>
          <w:lang w:val="en-ZA"/>
        </w:rPr>
        <w:t>Shoprite</w:t>
      </w:r>
      <w:r w:rsidRPr="00F51E07">
        <w:rPr>
          <w:lang w:val="en-ZA"/>
        </w:rPr>
        <w:t>, ought to be preferred.  This must be left for a more apposite case.</w:t>
      </w:r>
    </w:p>
  </w:footnote>
  <w:footnote w:id="52">
    <w:p w14:paraId="559DC686" w14:textId="22A103F1" w:rsidR="001007A9" w:rsidRPr="00F0646C" w:rsidRDefault="001007A9">
      <w:pPr>
        <w:pStyle w:val="FootnoteText"/>
        <w:rPr>
          <w:lang w:val="en-ZA"/>
        </w:rPr>
      </w:pPr>
      <w:r>
        <w:rPr>
          <w:rStyle w:val="FootnoteReference"/>
        </w:rPr>
        <w:footnoteRef/>
      </w:r>
      <w:r>
        <w:t xml:space="preserve"> Compare </w:t>
      </w:r>
      <w:r>
        <w:rPr>
          <w:i/>
        </w:rPr>
        <w:t xml:space="preserve">Shoprite </w:t>
      </w:r>
      <w:r w:rsidRPr="00533F83">
        <w:t>above n</w:t>
      </w:r>
      <w:r w:rsidR="00CB4758">
        <w:t xml:space="preserve"> 49</w:t>
      </w:r>
      <w:r w:rsidRPr="00533F83">
        <w:t xml:space="preserve"> at</w:t>
      </w:r>
      <w:r>
        <w:t xml:space="preserve"> paras 74-6, where </w:t>
      </w:r>
      <w:proofErr w:type="spellStart"/>
      <w:r>
        <w:t>Froneman</w:t>
      </w:r>
      <w:proofErr w:type="spellEnd"/>
      <w:r>
        <w:t xml:space="preserve"> J held that grocer’s wine licences had conferred on their holders certain legal entitlements, including the ability to sell wine and groceries on the </w:t>
      </w:r>
      <w:r w:rsidRPr="0012280D">
        <w:t>same premises.  The relevant regulatory changes, providing that liquor could only be sold from premises selling liquor exclusivel</w:t>
      </w:r>
      <w:r w:rsidR="00D961BD">
        <w:t>y, meant that holders of grocer’</w:t>
      </w:r>
      <w:r w:rsidRPr="0012280D">
        <w:t xml:space="preserve">s wine licences in the position of Shoprite lost a legal entitlement. </w:t>
      </w:r>
      <w:r>
        <w:t xml:space="preserve"> </w:t>
      </w:r>
      <w:proofErr w:type="spellStart"/>
      <w:r>
        <w:t>Froneman</w:t>
      </w:r>
      <w:proofErr w:type="spellEnd"/>
      <w:r>
        <w:t xml:space="preserve"> J held that t</w:t>
      </w:r>
      <w:r w:rsidRPr="0012280D">
        <w:t xml:space="preserve">he fact that a </w:t>
      </w:r>
      <w:r w:rsidRPr="000C71E0">
        <w:t>legal entitlement</w:t>
      </w:r>
      <w:r w:rsidRPr="00F230D2">
        <w:t xml:space="preserve"> </w:t>
      </w:r>
      <w:r w:rsidRPr="0012280D">
        <w:t xml:space="preserve">was lost meant that there </w:t>
      </w:r>
      <w:r w:rsidR="000513BB">
        <w:t>was a deprivation under section </w:t>
      </w:r>
      <w:r w:rsidRPr="0012280D">
        <w:t>25(1).</w:t>
      </w:r>
    </w:p>
  </w:footnote>
  <w:footnote w:id="53">
    <w:p w14:paraId="20D5E6C9" w14:textId="77777777" w:rsidR="001007A9" w:rsidRDefault="001007A9" w:rsidP="002D5377">
      <w:pPr>
        <w:pStyle w:val="FootnoteText"/>
      </w:pPr>
      <w:r w:rsidRPr="00567527">
        <w:rPr>
          <w:rStyle w:val="FootnoteReference"/>
        </w:rPr>
        <w:footnoteRef/>
      </w:r>
      <w:r w:rsidRPr="00567527">
        <w:t xml:space="preserve"> </w:t>
      </w:r>
      <w:proofErr w:type="gramStart"/>
      <w:r w:rsidRPr="00567527">
        <w:rPr>
          <w:i/>
        </w:rPr>
        <w:t xml:space="preserve">Affordable Medicines Trust v Minister of Health </w:t>
      </w:r>
      <w:r>
        <w:t>[2005] ZACC 3; 2006 (3) SA 247 (CC); 2005 (6) BCLR 529 (CC) (</w:t>
      </w:r>
      <w:r>
        <w:rPr>
          <w:i/>
        </w:rPr>
        <w:t>Affordable Medicines</w:t>
      </w:r>
      <w:r w:rsidRPr="00FE1BB7">
        <w:t>)</w:t>
      </w:r>
      <w:r>
        <w:rPr>
          <w:i/>
        </w:rPr>
        <w:t xml:space="preserve"> </w:t>
      </w:r>
      <w:r w:rsidRPr="00567527">
        <w:t>at para 63.</w:t>
      </w:r>
      <w:proofErr w:type="gramEnd"/>
    </w:p>
  </w:footnote>
  <w:footnote w:id="54">
    <w:p w14:paraId="49037A45" w14:textId="77777777" w:rsidR="001007A9" w:rsidRDefault="001007A9" w:rsidP="002D5377">
      <w:pPr>
        <w:pStyle w:val="FootnoteText"/>
      </w:pPr>
      <w:r>
        <w:rPr>
          <w:rStyle w:val="FootnoteReference"/>
        </w:rPr>
        <w:footnoteRef/>
      </w:r>
      <w:r>
        <w:t xml:space="preserve"> </w:t>
      </w:r>
      <w:proofErr w:type="gramStart"/>
      <w:r w:rsidRPr="004948F1">
        <w:t>Id at para 92.</w:t>
      </w:r>
      <w:proofErr w:type="gramEnd"/>
    </w:p>
  </w:footnote>
  <w:footnote w:id="55">
    <w:p w14:paraId="25768D53" w14:textId="77777777" w:rsidR="001007A9" w:rsidRDefault="001007A9" w:rsidP="002D5377">
      <w:pPr>
        <w:pStyle w:val="FootnoteText"/>
      </w:pPr>
      <w:r>
        <w:rPr>
          <w:rStyle w:val="FootnoteReference"/>
        </w:rPr>
        <w:footnoteRef/>
      </w:r>
      <w:r>
        <w:t xml:space="preserve"> </w:t>
      </w:r>
      <w:proofErr w:type="gramStart"/>
      <w:r>
        <w:t>Id at para 93.</w:t>
      </w:r>
      <w:proofErr w:type="gramEnd"/>
    </w:p>
  </w:footnote>
  <w:footnote w:id="56">
    <w:p w14:paraId="50185DFA" w14:textId="77777777" w:rsidR="001007A9" w:rsidRDefault="001007A9" w:rsidP="002D5377">
      <w:pPr>
        <w:pStyle w:val="FootnoteText"/>
      </w:pPr>
      <w:r>
        <w:rPr>
          <w:rStyle w:val="FootnoteReference"/>
        </w:rPr>
        <w:footnoteRef/>
      </w:r>
      <w:r>
        <w:t xml:space="preserve"> </w:t>
      </w:r>
      <w:proofErr w:type="gramStart"/>
      <w:r w:rsidRPr="00FE1BB7">
        <w:t>Id</w:t>
      </w:r>
      <w:r w:rsidRPr="00567527">
        <w:rPr>
          <w:i/>
        </w:rPr>
        <w:t xml:space="preserve"> </w:t>
      </w:r>
      <w:r>
        <w:t>at para 69.</w:t>
      </w:r>
      <w:proofErr w:type="gramEnd"/>
    </w:p>
  </w:footnote>
  <w:footnote w:id="57">
    <w:p w14:paraId="51DA1BD5" w14:textId="77777777" w:rsidR="001007A9" w:rsidRDefault="001007A9" w:rsidP="002D5377">
      <w:pPr>
        <w:pStyle w:val="FootnoteText"/>
      </w:pPr>
      <w:r>
        <w:rPr>
          <w:rStyle w:val="FootnoteReference"/>
        </w:rPr>
        <w:footnoteRef/>
      </w:r>
      <w:r>
        <w:t xml:space="preserve"> </w:t>
      </w:r>
      <w:proofErr w:type="gramStart"/>
      <w:r>
        <w:t>Id</w:t>
      </w:r>
      <w:r w:rsidRPr="00567527">
        <w:rPr>
          <w:i/>
        </w:rPr>
        <w:t xml:space="preserve"> </w:t>
      </w:r>
      <w:r>
        <w:t>at para 71</w:t>
      </w:r>
      <w:r w:rsidRPr="00567527">
        <w:t>.</w:t>
      </w:r>
      <w:proofErr w:type="gramEnd"/>
    </w:p>
  </w:footnote>
  <w:footnote w:id="58">
    <w:p w14:paraId="376A9651" w14:textId="77777777" w:rsidR="001007A9" w:rsidRPr="00B62981" w:rsidRDefault="001007A9" w:rsidP="002D5377">
      <w:pPr>
        <w:pStyle w:val="FootnoteText"/>
      </w:pPr>
      <w:r>
        <w:rPr>
          <w:rStyle w:val="FootnoteReference"/>
        </w:rPr>
        <w:footnoteRef/>
      </w:r>
      <w:r>
        <w:t xml:space="preserve"> </w:t>
      </w:r>
      <w:proofErr w:type="gramStart"/>
      <w:r w:rsidRPr="00B62981">
        <w:rPr>
          <w:i/>
        </w:rPr>
        <w:t xml:space="preserve">S v Lawrence, S v </w:t>
      </w:r>
      <w:proofErr w:type="spellStart"/>
      <w:r w:rsidRPr="00B62981">
        <w:rPr>
          <w:i/>
        </w:rPr>
        <w:t>Negal</w:t>
      </w:r>
      <w:proofErr w:type="spellEnd"/>
      <w:r w:rsidRPr="00B62981">
        <w:rPr>
          <w:i/>
        </w:rPr>
        <w:t>, S v Solberg</w:t>
      </w:r>
      <w:r>
        <w:t xml:space="preserve"> [1997] ZACC 11;</w:t>
      </w:r>
      <w:r w:rsidRPr="00D6142C">
        <w:t xml:space="preserve"> </w:t>
      </w:r>
      <w:r>
        <w:t xml:space="preserve">1997 (4) SA 1176 (CC); </w:t>
      </w:r>
      <w:r w:rsidRPr="00225375">
        <w:t>1997 (10) BCLR 1348 (CC)</w:t>
      </w:r>
      <w:r>
        <w:t xml:space="preserve"> (</w:t>
      </w:r>
      <w:r>
        <w:rPr>
          <w:i/>
        </w:rPr>
        <w:t>Lawrence</w:t>
      </w:r>
      <w:r>
        <w:t>).</w:t>
      </w:r>
      <w:proofErr w:type="gramEnd"/>
    </w:p>
  </w:footnote>
  <w:footnote w:id="59">
    <w:p w14:paraId="0F157666" w14:textId="77777777" w:rsidR="001007A9" w:rsidRDefault="001007A9" w:rsidP="002D5377">
      <w:pPr>
        <w:pStyle w:val="FootnoteText"/>
      </w:pPr>
      <w:r>
        <w:rPr>
          <w:rStyle w:val="FootnoteReference"/>
        </w:rPr>
        <w:footnoteRef/>
      </w:r>
      <w:r>
        <w:t xml:space="preserve"> </w:t>
      </w:r>
      <w:proofErr w:type="gramStart"/>
      <w:r>
        <w:t>Id at para 41.</w:t>
      </w:r>
      <w:proofErr w:type="gramEnd"/>
    </w:p>
  </w:footnote>
  <w:footnote w:id="60">
    <w:p w14:paraId="456BD9C8" w14:textId="549AADF2" w:rsidR="001007A9" w:rsidRDefault="001007A9" w:rsidP="00206D0F">
      <w:pPr>
        <w:pStyle w:val="FootnoteText"/>
      </w:pPr>
      <w:r>
        <w:rPr>
          <w:rStyle w:val="FootnoteReference"/>
        </w:rPr>
        <w:footnoteRef/>
      </w:r>
      <w:r w:rsidR="000513BB">
        <w:t xml:space="preserve"> The </w:t>
      </w:r>
      <w:r>
        <w:t xml:space="preserve">Court </w:t>
      </w:r>
      <w:r w:rsidR="000513BB">
        <w:t xml:space="preserve">in </w:t>
      </w:r>
      <w:r w:rsidRPr="00CE7FAF">
        <w:rPr>
          <w:i/>
        </w:rPr>
        <w:t xml:space="preserve">Van </w:t>
      </w:r>
      <w:proofErr w:type="spellStart"/>
      <w:r w:rsidRPr="00CE7FAF">
        <w:rPr>
          <w:i/>
        </w:rPr>
        <w:t>Rensburg</w:t>
      </w:r>
      <w:proofErr w:type="spellEnd"/>
      <w:r w:rsidRPr="00CE7FAF">
        <w:rPr>
          <w:i/>
        </w:rPr>
        <w:t xml:space="preserve"> v South African Post Office</w:t>
      </w:r>
      <w:r w:rsidRPr="00CE7FAF">
        <w:t xml:space="preserve"> </w:t>
      </w:r>
      <w:r w:rsidRPr="00CE7FAF">
        <w:rPr>
          <w:i/>
        </w:rPr>
        <w:t>Ltd</w:t>
      </w:r>
      <w:r w:rsidRPr="00CE7FAF">
        <w:t xml:space="preserve"> 1998</w:t>
      </w:r>
      <w:r w:rsidRPr="000631A7">
        <w:t xml:space="preserve"> (10) BCLR 1307 (E)</w:t>
      </w:r>
      <w:r w:rsidR="000513BB">
        <w:t xml:space="preserve"> applied a reasonableness test</w:t>
      </w:r>
      <w:r>
        <w:t>.</w:t>
      </w:r>
      <w:r>
        <w:rPr>
          <w:b/>
        </w:rPr>
        <w:t xml:space="preserve"> </w:t>
      </w:r>
      <w:r>
        <w:t xml:space="preserve"> This Court in </w:t>
      </w:r>
      <w:r w:rsidRPr="00B94624">
        <w:rPr>
          <w:i/>
        </w:rPr>
        <w:t xml:space="preserve"> Affordable Medicines </w:t>
      </w:r>
      <w:r w:rsidR="000372FB">
        <w:t>above n 53</w:t>
      </w:r>
      <w:r>
        <w:t xml:space="preserve"> discusses this finding at para 81: </w:t>
      </w:r>
    </w:p>
    <w:p w14:paraId="558EA65F" w14:textId="77777777" w:rsidR="001007A9" w:rsidRDefault="001007A9" w:rsidP="002D5377">
      <w:pPr>
        <w:pStyle w:val="QUOTEINFOOTNOTE"/>
      </w:pPr>
      <w:r>
        <w:t>“If the Court intended to adopt reasonableness as a standard for reviewing legislation that regulates the practice of a profession, I am, with respect, unable to agree.”</w:t>
      </w:r>
    </w:p>
  </w:footnote>
  <w:footnote w:id="61">
    <w:p w14:paraId="5C9166BF" w14:textId="06852180" w:rsidR="001007A9" w:rsidRPr="00E057E7" w:rsidRDefault="001007A9" w:rsidP="002D5377">
      <w:pPr>
        <w:pStyle w:val="FootnoteText"/>
      </w:pPr>
      <w:r>
        <w:rPr>
          <w:rStyle w:val="FootnoteReference"/>
        </w:rPr>
        <w:footnoteRef/>
      </w:r>
      <w:r>
        <w:t xml:space="preserve"> </w:t>
      </w:r>
      <w:r>
        <w:rPr>
          <w:i/>
        </w:rPr>
        <w:t xml:space="preserve">Affordable Medicines </w:t>
      </w:r>
      <w:r w:rsidRPr="00F1047F">
        <w:t xml:space="preserve">above n </w:t>
      </w:r>
      <w:r w:rsidR="000372FB">
        <w:t>53</w:t>
      </w:r>
      <w:r>
        <w:rPr>
          <w:i/>
        </w:rPr>
        <w:t xml:space="preserve"> </w:t>
      </w:r>
      <w:r>
        <w:t>at para 86.</w:t>
      </w:r>
    </w:p>
  </w:footnote>
  <w:footnote w:id="62">
    <w:p w14:paraId="511F9E3A" w14:textId="77777777" w:rsidR="001007A9" w:rsidRDefault="001007A9" w:rsidP="002D5377">
      <w:pPr>
        <w:pStyle w:val="FootnoteText"/>
      </w:pPr>
      <w:r>
        <w:rPr>
          <w:rStyle w:val="FootnoteReference"/>
        </w:rPr>
        <w:footnoteRef/>
      </w:r>
      <w:r>
        <w:t xml:space="preserve"> </w:t>
      </w:r>
      <w:r w:rsidRPr="009B3629">
        <w:t>Id.</w:t>
      </w:r>
      <w:r>
        <w:t xml:space="preserve"> </w:t>
      </w:r>
    </w:p>
  </w:footnote>
  <w:footnote w:id="63">
    <w:p w14:paraId="4506060A" w14:textId="2A4A4C88" w:rsidR="001007A9" w:rsidRPr="00DC654F" w:rsidRDefault="001007A9" w:rsidP="002D5377">
      <w:pPr>
        <w:pStyle w:val="FootnoteText"/>
      </w:pPr>
      <w:r>
        <w:rPr>
          <w:rStyle w:val="FootnoteReference"/>
        </w:rPr>
        <w:footnoteRef/>
      </w:r>
      <w:r>
        <w:t xml:space="preserve"> </w:t>
      </w:r>
      <w:proofErr w:type="gramStart"/>
      <w:r>
        <w:rPr>
          <w:i/>
        </w:rPr>
        <w:t>Lawrence</w:t>
      </w:r>
      <w:r>
        <w:t xml:space="preserve"> above n </w:t>
      </w:r>
      <w:r w:rsidR="00AF3802">
        <w:t>58</w:t>
      </w:r>
      <w:r>
        <w:rPr>
          <w:i/>
        </w:rPr>
        <w:t xml:space="preserve"> </w:t>
      </w:r>
      <w:r>
        <w:t>at para 44.</w:t>
      </w:r>
      <w:proofErr w:type="gramEnd"/>
    </w:p>
  </w:footnote>
  <w:footnote w:id="64">
    <w:p w14:paraId="132287D9" w14:textId="3F8DE633" w:rsidR="001007A9" w:rsidRPr="00F1047F" w:rsidRDefault="001007A9" w:rsidP="00F1047F">
      <w:pPr>
        <w:pStyle w:val="FootnoteText1"/>
        <w:rPr>
          <w:lang w:val="en-ZA"/>
        </w:rPr>
      </w:pPr>
      <w:r>
        <w:rPr>
          <w:rStyle w:val="FootnoteReference"/>
        </w:rPr>
        <w:footnoteRef/>
      </w:r>
      <w:r>
        <w:t xml:space="preserve"> </w:t>
      </w:r>
      <w:proofErr w:type="spellStart"/>
      <w:proofErr w:type="gramStart"/>
      <w:r>
        <w:rPr>
          <w:i/>
        </w:rPr>
        <w:t>Biowatch</w:t>
      </w:r>
      <w:proofErr w:type="spellEnd"/>
      <w:r>
        <w:rPr>
          <w:i/>
        </w:rPr>
        <w:t xml:space="preserve"> Trust v Registrar, Genetic </w:t>
      </w:r>
      <w:r w:rsidRPr="00133CB2">
        <w:rPr>
          <w:i/>
        </w:rPr>
        <w:t>Resources</w:t>
      </w:r>
      <w:r>
        <w:t xml:space="preserve"> [2009] ZACC 14; 2009 (6) SA 232 (CC); 2009 (10) BCLR 1014 (CC) (</w:t>
      </w:r>
      <w:proofErr w:type="spellStart"/>
      <w:r>
        <w:rPr>
          <w:i/>
        </w:rPr>
        <w:t>Biowatch</w:t>
      </w:r>
      <w:proofErr w:type="spellEnd"/>
      <w:r>
        <w:t>)</w:t>
      </w:r>
      <w:r>
        <w:rPr>
          <w:i/>
        </w:rPr>
        <w:t>.</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70764A" w14:textId="77777777" w:rsidR="0049564C" w:rsidRDefault="0049564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1C29F0" w14:textId="77777777" w:rsidR="0049564C" w:rsidRDefault="0049564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0E6D2" w14:textId="77777777" w:rsidR="0049564C" w:rsidRDefault="0049564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94DE0B" w14:textId="77777777" w:rsidR="001007A9" w:rsidRDefault="001007A9" w:rsidP="000F7521">
    <w:pPr>
      <w:pStyle w:val="Header"/>
      <w:tabs>
        <w:tab w:val="clear" w:pos="4680"/>
        <w:tab w:val="clear" w:pos="9360"/>
        <w:tab w:val="right" w:pos="9072"/>
      </w:tabs>
      <w:jc w:val="right"/>
    </w:pPr>
    <w:r>
      <w:t>KHAMPEPE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867AC0" w14:textId="77777777" w:rsidR="001007A9" w:rsidRDefault="001007A9" w:rsidP="00FE44B5">
    <w:pPr>
      <w:pStyle w:val="Header"/>
      <w:jc w:val="right"/>
    </w:pPr>
    <w:r>
      <w:t>KHAMPEPE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F6CED9" w14:textId="77777777" w:rsidR="001007A9" w:rsidRDefault="001007A9"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F068EBE"/>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95A7A26"/>
    <w:multiLevelType w:val="hybridMultilevel"/>
    <w:tmpl w:val="B414E2FC"/>
    <w:lvl w:ilvl="0" w:tplc="0CD23EA0">
      <w:start w:val="1"/>
      <w:numFmt w:val="decimal"/>
      <w:pStyle w:val="JUDGMENTNUMBERED"/>
      <w:lvlText w:val="[%1]"/>
      <w:lvlJc w:val="left"/>
      <w:pPr>
        <w:ind w:left="1760" w:hanging="360"/>
      </w:pPr>
      <w:rPr>
        <w:rFonts w:ascii="Times New Roman" w:hAnsi="Times New Roman" w:hint="default"/>
        <w:caps w:val="0"/>
        <w:strike w:val="0"/>
        <w:dstrike w:val="0"/>
        <w:vanish w:val="0"/>
        <w:sz w:val="26"/>
        <w:vertAlign w:val="baseline"/>
      </w:rPr>
    </w:lvl>
    <w:lvl w:ilvl="1" w:tplc="62C6A49C">
      <w:start w:val="1"/>
      <w:numFmt w:val="lowerLetter"/>
      <w:lvlText w:val="(%2)"/>
      <w:lvlJc w:val="left"/>
      <w:pPr>
        <w:ind w:left="2160" w:hanging="360"/>
      </w:pPr>
      <w:rPr>
        <w:rFonts w:ascii="Times New Roman" w:eastAsia="Calibri" w:hAnsi="Times New Roman" w:cs="Times New Roman"/>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D4E62FF"/>
    <w:multiLevelType w:val="hybridMultilevel"/>
    <w:tmpl w:val="230CF720"/>
    <w:lvl w:ilvl="0" w:tplc="256881B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596120F4"/>
    <w:multiLevelType w:val="hybridMultilevel"/>
    <w:tmpl w:val="230CF720"/>
    <w:lvl w:ilvl="0" w:tplc="256881B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nsid w:val="5A7D44AF"/>
    <w:multiLevelType w:val="hybridMultilevel"/>
    <w:tmpl w:val="E7A6772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700B33AD"/>
    <w:multiLevelType w:val="hybridMultilevel"/>
    <w:tmpl w:val="1AFA6118"/>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3"/>
  </w:num>
  <w:num w:numId="6">
    <w:abstractNumId w:val="1"/>
  </w:num>
  <w:num w:numId="7">
    <w:abstractNumId w:val="1"/>
  </w:num>
  <w:num w:numId="8">
    <w:abstractNumId w:val="1"/>
  </w:num>
  <w:num w:numId="9">
    <w:abstractNumId w:val="1"/>
  </w:num>
  <w:num w:numId="10">
    <w:abstractNumId w:val="1"/>
    <w:lvlOverride w:ilvl="0">
      <w:startOverride w:val="1"/>
    </w:lvlOverride>
  </w:num>
  <w:num w:numId="11">
    <w:abstractNumId w:val="1"/>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1"/>
  </w:num>
  <w:num w:numId="15">
    <w:abstractNumId w:val="1"/>
  </w:num>
  <w:num w:numId="16">
    <w:abstractNumId w:val="1"/>
  </w:num>
  <w:num w:numId="17">
    <w:abstractNumId w:val="4"/>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ebastian Bates">
    <w15:presenceInfo w15:providerId="AD" w15:userId="S-1-5-21-1547359408-1452095784-2920400263-7178"/>
  </w15:person>
  <w15:person w15:author="Sebastian Bates [2]">
    <w15:presenceInfo w15:providerId="AD" w15:userId="S-1-5-21-1547359408-1452095784-2920400263-7178"/>
  </w15:person>
  <w15:person w15:author="Sebastian Bates">
    <w15:presenceInfo w15:providerId="AD" w15:userId="S-1-5-21-1547359408-1452095784-2920400263-7178"/>
  </w15:person>
  <w15:person w15:author="Sebastian bates">
    <w15:presenceInfo w15:providerId="AD" w15:userId="S-1-5-21-1547359408-1452095784-2920400263-71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6F09"/>
    <w:rsid w:val="00001CF3"/>
    <w:rsid w:val="00003278"/>
    <w:rsid w:val="000034B2"/>
    <w:rsid w:val="0000469D"/>
    <w:rsid w:val="00004E23"/>
    <w:rsid w:val="00005793"/>
    <w:rsid w:val="000065AD"/>
    <w:rsid w:val="0000680C"/>
    <w:rsid w:val="000073D7"/>
    <w:rsid w:val="00007569"/>
    <w:rsid w:val="00013042"/>
    <w:rsid w:val="00013B40"/>
    <w:rsid w:val="0001718B"/>
    <w:rsid w:val="00017301"/>
    <w:rsid w:val="00020D9E"/>
    <w:rsid w:val="00021B45"/>
    <w:rsid w:val="00021C91"/>
    <w:rsid w:val="00023A7B"/>
    <w:rsid w:val="00024EEF"/>
    <w:rsid w:val="00026A42"/>
    <w:rsid w:val="0003222E"/>
    <w:rsid w:val="0003332C"/>
    <w:rsid w:val="00033345"/>
    <w:rsid w:val="000334EF"/>
    <w:rsid w:val="0003374F"/>
    <w:rsid w:val="000366CC"/>
    <w:rsid w:val="00036AE6"/>
    <w:rsid w:val="000372FB"/>
    <w:rsid w:val="00042CD4"/>
    <w:rsid w:val="000513BB"/>
    <w:rsid w:val="00051F50"/>
    <w:rsid w:val="00056AA3"/>
    <w:rsid w:val="000570BC"/>
    <w:rsid w:val="00057212"/>
    <w:rsid w:val="00057EB3"/>
    <w:rsid w:val="0006020F"/>
    <w:rsid w:val="00060FF1"/>
    <w:rsid w:val="0006356F"/>
    <w:rsid w:val="000668D2"/>
    <w:rsid w:val="000704F2"/>
    <w:rsid w:val="00070EAD"/>
    <w:rsid w:val="00072C88"/>
    <w:rsid w:val="000730FD"/>
    <w:rsid w:val="00074927"/>
    <w:rsid w:val="00075695"/>
    <w:rsid w:val="00075901"/>
    <w:rsid w:val="00077412"/>
    <w:rsid w:val="00077CF7"/>
    <w:rsid w:val="00082068"/>
    <w:rsid w:val="000821B4"/>
    <w:rsid w:val="00082922"/>
    <w:rsid w:val="00082BBA"/>
    <w:rsid w:val="0008371B"/>
    <w:rsid w:val="0008526C"/>
    <w:rsid w:val="000911C6"/>
    <w:rsid w:val="00091918"/>
    <w:rsid w:val="00092695"/>
    <w:rsid w:val="00092E66"/>
    <w:rsid w:val="00094535"/>
    <w:rsid w:val="00095A15"/>
    <w:rsid w:val="0009659C"/>
    <w:rsid w:val="00097CD2"/>
    <w:rsid w:val="000A0560"/>
    <w:rsid w:val="000A516F"/>
    <w:rsid w:val="000B0695"/>
    <w:rsid w:val="000B0C92"/>
    <w:rsid w:val="000B1075"/>
    <w:rsid w:val="000B22E6"/>
    <w:rsid w:val="000B412F"/>
    <w:rsid w:val="000C126D"/>
    <w:rsid w:val="000C38CF"/>
    <w:rsid w:val="000C3F8C"/>
    <w:rsid w:val="000C53C1"/>
    <w:rsid w:val="000C59C0"/>
    <w:rsid w:val="000C6B19"/>
    <w:rsid w:val="000C783F"/>
    <w:rsid w:val="000D12AB"/>
    <w:rsid w:val="000D3EF8"/>
    <w:rsid w:val="000D468A"/>
    <w:rsid w:val="000D46E8"/>
    <w:rsid w:val="000D66D2"/>
    <w:rsid w:val="000D7501"/>
    <w:rsid w:val="000E1027"/>
    <w:rsid w:val="000E1E32"/>
    <w:rsid w:val="000E2ABD"/>
    <w:rsid w:val="000E2AC1"/>
    <w:rsid w:val="000E2E56"/>
    <w:rsid w:val="000E4170"/>
    <w:rsid w:val="000E525E"/>
    <w:rsid w:val="000E5939"/>
    <w:rsid w:val="000F028F"/>
    <w:rsid w:val="000F0BDA"/>
    <w:rsid w:val="000F0E8B"/>
    <w:rsid w:val="000F130F"/>
    <w:rsid w:val="000F5360"/>
    <w:rsid w:val="000F5F80"/>
    <w:rsid w:val="000F62BB"/>
    <w:rsid w:val="000F729E"/>
    <w:rsid w:val="000F7521"/>
    <w:rsid w:val="001007A9"/>
    <w:rsid w:val="001016AC"/>
    <w:rsid w:val="00102383"/>
    <w:rsid w:val="001030DF"/>
    <w:rsid w:val="00103270"/>
    <w:rsid w:val="001049C8"/>
    <w:rsid w:val="00105685"/>
    <w:rsid w:val="0010589F"/>
    <w:rsid w:val="001063BE"/>
    <w:rsid w:val="0011086E"/>
    <w:rsid w:val="00111128"/>
    <w:rsid w:val="001153E5"/>
    <w:rsid w:val="001209BB"/>
    <w:rsid w:val="0012280D"/>
    <w:rsid w:val="00123C4F"/>
    <w:rsid w:val="00124419"/>
    <w:rsid w:val="0012460E"/>
    <w:rsid w:val="00124C2F"/>
    <w:rsid w:val="001337C7"/>
    <w:rsid w:val="00135ED5"/>
    <w:rsid w:val="0013793A"/>
    <w:rsid w:val="00141929"/>
    <w:rsid w:val="00144B2A"/>
    <w:rsid w:val="001463D3"/>
    <w:rsid w:val="0014641D"/>
    <w:rsid w:val="001470C1"/>
    <w:rsid w:val="001470F8"/>
    <w:rsid w:val="00147BE9"/>
    <w:rsid w:val="001522F0"/>
    <w:rsid w:val="00154B46"/>
    <w:rsid w:val="001611B1"/>
    <w:rsid w:val="00161373"/>
    <w:rsid w:val="00161AB0"/>
    <w:rsid w:val="00161EB3"/>
    <w:rsid w:val="001622A3"/>
    <w:rsid w:val="00164898"/>
    <w:rsid w:val="001648F6"/>
    <w:rsid w:val="00165DE4"/>
    <w:rsid w:val="00166BE4"/>
    <w:rsid w:val="001678F8"/>
    <w:rsid w:val="00170692"/>
    <w:rsid w:val="00171F53"/>
    <w:rsid w:val="00172C07"/>
    <w:rsid w:val="00173EA1"/>
    <w:rsid w:val="00174981"/>
    <w:rsid w:val="001800A3"/>
    <w:rsid w:val="00181B2E"/>
    <w:rsid w:val="00183FC9"/>
    <w:rsid w:val="00185F1F"/>
    <w:rsid w:val="001927E9"/>
    <w:rsid w:val="001936CE"/>
    <w:rsid w:val="00194B9C"/>
    <w:rsid w:val="001966BB"/>
    <w:rsid w:val="001968FC"/>
    <w:rsid w:val="001A0BC0"/>
    <w:rsid w:val="001A0F53"/>
    <w:rsid w:val="001A1149"/>
    <w:rsid w:val="001A1FC2"/>
    <w:rsid w:val="001A4902"/>
    <w:rsid w:val="001A4D3A"/>
    <w:rsid w:val="001A5A9F"/>
    <w:rsid w:val="001A5BAB"/>
    <w:rsid w:val="001A6586"/>
    <w:rsid w:val="001A7455"/>
    <w:rsid w:val="001B2343"/>
    <w:rsid w:val="001B30FD"/>
    <w:rsid w:val="001B38A2"/>
    <w:rsid w:val="001B4C29"/>
    <w:rsid w:val="001B6F65"/>
    <w:rsid w:val="001B7261"/>
    <w:rsid w:val="001C050A"/>
    <w:rsid w:val="001C25DC"/>
    <w:rsid w:val="001C2A84"/>
    <w:rsid w:val="001C38A4"/>
    <w:rsid w:val="001C469A"/>
    <w:rsid w:val="001C52DA"/>
    <w:rsid w:val="001C5BE2"/>
    <w:rsid w:val="001C67E3"/>
    <w:rsid w:val="001C70D3"/>
    <w:rsid w:val="001D2023"/>
    <w:rsid w:val="001D31D7"/>
    <w:rsid w:val="001D760E"/>
    <w:rsid w:val="001E13C6"/>
    <w:rsid w:val="001E179C"/>
    <w:rsid w:val="001E377C"/>
    <w:rsid w:val="001E66C0"/>
    <w:rsid w:val="001E77BE"/>
    <w:rsid w:val="001F01AB"/>
    <w:rsid w:val="001F3DE6"/>
    <w:rsid w:val="001F460C"/>
    <w:rsid w:val="001F4F95"/>
    <w:rsid w:val="001F6F88"/>
    <w:rsid w:val="002011E8"/>
    <w:rsid w:val="00203CD5"/>
    <w:rsid w:val="00206D0F"/>
    <w:rsid w:val="00211036"/>
    <w:rsid w:val="002138E7"/>
    <w:rsid w:val="00217897"/>
    <w:rsid w:val="002208F2"/>
    <w:rsid w:val="00220D41"/>
    <w:rsid w:val="00222A47"/>
    <w:rsid w:val="00222FEE"/>
    <w:rsid w:val="00223066"/>
    <w:rsid w:val="00223A19"/>
    <w:rsid w:val="00225637"/>
    <w:rsid w:val="002327C2"/>
    <w:rsid w:val="00232B8F"/>
    <w:rsid w:val="00236F9A"/>
    <w:rsid w:val="00240063"/>
    <w:rsid w:val="00240248"/>
    <w:rsid w:val="0024146B"/>
    <w:rsid w:val="00241711"/>
    <w:rsid w:val="00242913"/>
    <w:rsid w:val="002441B3"/>
    <w:rsid w:val="00244218"/>
    <w:rsid w:val="0024725F"/>
    <w:rsid w:val="00251AEE"/>
    <w:rsid w:val="0025449A"/>
    <w:rsid w:val="00262974"/>
    <w:rsid w:val="00264B70"/>
    <w:rsid w:val="00267AF5"/>
    <w:rsid w:val="00273DFC"/>
    <w:rsid w:val="00274BF8"/>
    <w:rsid w:val="00275443"/>
    <w:rsid w:val="00275F18"/>
    <w:rsid w:val="002762A1"/>
    <w:rsid w:val="00280E96"/>
    <w:rsid w:val="002812B5"/>
    <w:rsid w:val="00282EBB"/>
    <w:rsid w:val="00285F6F"/>
    <w:rsid w:val="002863E6"/>
    <w:rsid w:val="00287753"/>
    <w:rsid w:val="00287B96"/>
    <w:rsid w:val="0029466B"/>
    <w:rsid w:val="00295733"/>
    <w:rsid w:val="00295C91"/>
    <w:rsid w:val="00296DD9"/>
    <w:rsid w:val="0029765A"/>
    <w:rsid w:val="00297FA7"/>
    <w:rsid w:val="002A09D0"/>
    <w:rsid w:val="002A2E5D"/>
    <w:rsid w:val="002A3009"/>
    <w:rsid w:val="002A49B9"/>
    <w:rsid w:val="002A53B4"/>
    <w:rsid w:val="002B0871"/>
    <w:rsid w:val="002B0959"/>
    <w:rsid w:val="002B2975"/>
    <w:rsid w:val="002B67F6"/>
    <w:rsid w:val="002B690A"/>
    <w:rsid w:val="002B71D4"/>
    <w:rsid w:val="002B76EC"/>
    <w:rsid w:val="002C1824"/>
    <w:rsid w:val="002C226A"/>
    <w:rsid w:val="002C271C"/>
    <w:rsid w:val="002C3151"/>
    <w:rsid w:val="002C5F97"/>
    <w:rsid w:val="002C7AC5"/>
    <w:rsid w:val="002D1FD9"/>
    <w:rsid w:val="002D5377"/>
    <w:rsid w:val="002D592E"/>
    <w:rsid w:val="002D5DCE"/>
    <w:rsid w:val="002D6911"/>
    <w:rsid w:val="002D6E04"/>
    <w:rsid w:val="002E1AA1"/>
    <w:rsid w:val="002E380D"/>
    <w:rsid w:val="002E4857"/>
    <w:rsid w:val="002E552A"/>
    <w:rsid w:val="002E75C8"/>
    <w:rsid w:val="002F1187"/>
    <w:rsid w:val="002F324C"/>
    <w:rsid w:val="002F3849"/>
    <w:rsid w:val="002F444B"/>
    <w:rsid w:val="002F6A17"/>
    <w:rsid w:val="002F7C4E"/>
    <w:rsid w:val="00300AB9"/>
    <w:rsid w:val="0030122F"/>
    <w:rsid w:val="00306DF8"/>
    <w:rsid w:val="0030723C"/>
    <w:rsid w:val="00311152"/>
    <w:rsid w:val="0031151A"/>
    <w:rsid w:val="00312A1D"/>
    <w:rsid w:val="0031464F"/>
    <w:rsid w:val="00314669"/>
    <w:rsid w:val="0032466B"/>
    <w:rsid w:val="00326649"/>
    <w:rsid w:val="00326B41"/>
    <w:rsid w:val="00326F09"/>
    <w:rsid w:val="00330A02"/>
    <w:rsid w:val="0033369C"/>
    <w:rsid w:val="00333F77"/>
    <w:rsid w:val="00335213"/>
    <w:rsid w:val="003363A2"/>
    <w:rsid w:val="00337151"/>
    <w:rsid w:val="00337799"/>
    <w:rsid w:val="00337867"/>
    <w:rsid w:val="00341131"/>
    <w:rsid w:val="00343071"/>
    <w:rsid w:val="003442AF"/>
    <w:rsid w:val="00344643"/>
    <w:rsid w:val="00344753"/>
    <w:rsid w:val="00345020"/>
    <w:rsid w:val="00345A6A"/>
    <w:rsid w:val="00346927"/>
    <w:rsid w:val="00346B0E"/>
    <w:rsid w:val="00352C0D"/>
    <w:rsid w:val="00356124"/>
    <w:rsid w:val="00362DAC"/>
    <w:rsid w:val="0036333C"/>
    <w:rsid w:val="0036350D"/>
    <w:rsid w:val="003644DF"/>
    <w:rsid w:val="003668D8"/>
    <w:rsid w:val="003673EC"/>
    <w:rsid w:val="003678CA"/>
    <w:rsid w:val="0037058F"/>
    <w:rsid w:val="00370CB1"/>
    <w:rsid w:val="00372F1A"/>
    <w:rsid w:val="003736E5"/>
    <w:rsid w:val="00375400"/>
    <w:rsid w:val="00380247"/>
    <w:rsid w:val="00380AA8"/>
    <w:rsid w:val="00381E96"/>
    <w:rsid w:val="003837F4"/>
    <w:rsid w:val="003839B9"/>
    <w:rsid w:val="00383E74"/>
    <w:rsid w:val="00386F56"/>
    <w:rsid w:val="00386FCB"/>
    <w:rsid w:val="00391156"/>
    <w:rsid w:val="00391580"/>
    <w:rsid w:val="003922F6"/>
    <w:rsid w:val="00393BE1"/>
    <w:rsid w:val="0039481E"/>
    <w:rsid w:val="003953C0"/>
    <w:rsid w:val="003960DF"/>
    <w:rsid w:val="003972EA"/>
    <w:rsid w:val="003A005E"/>
    <w:rsid w:val="003A18CF"/>
    <w:rsid w:val="003A2228"/>
    <w:rsid w:val="003A22E2"/>
    <w:rsid w:val="003A36C0"/>
    <w:rsid w:val="003A3C4A"/>
    <w:rsid w:val="003A3E5C"/>
    <w:rsid w:val="003A6EF8"/>
    <w:rsid w:val="003A7FCE"/>
    <w:rsid w:val="003B12C2"/>
    <w:rsid w:val="003B417A"/>
    <w:rsid w:val="003B4F8F"/>
    <w:rsid w:val="003C1018"/>
    <w:rsid w:val="003C2A36"/>
    <w:rsid w:val="003C509B"/>
    <w:rsid w:val="003C5CF6"/>
    <w:rsid w:val="003C6168"/>
    <w:rsid w:val="003C6ABF"/>
    <w:rsid w:val="003C7B6C"/>
    <w:rsid w:val="003C7DED"/>
    <w:rsid w:val="003D2A36"/>
    <w:rsid w:val="003D4DFC"/>
    <w:rsid w:val="003E14D5"/>
    <w:rsid w:val="003E17EC"/>
    <w:rsid w:val="003E3503"/>
    <w:rsid w:val="003E672D"/>
    <w:rsid w:val="003F1353"/>
    <w:rsid w:val="003F40D1"/>
    <w:rsid w:val="003F41D8"/>
    <w:rsid w:val="003F459E"/>
    <w:rsid w:val="003F4729"/>
    <w:rsid w:val="003F4A25"/>
    <w:rsid w:val="003F4BC5"/>
    <w:rsid w:val="00401205"/>
    <w:rsid w:val="00401554"/>
    <w:rsid w:val="00402108"/>
    <w:rsid w:val="00403B46"/>
    <w:rsid w:val="004110F6"/>
    <w:rsid w:val="004125F5"/>
    <w:rsid w:val="00414213"/>
    <w:rsid w:val="00414501"/>
    <w:rsid w:val="00416E5D"/>
    <w:rsid w:val="0041735C"/>
    <w:rsid w:val="00420641"/>
    <w:rsid w:val="004211AB"/>
    <w:rsid w:val="0042132B"/>
    <w:rsid w:val="004269D7"/>
    <w:rsid w:val="00426B23"/>
    <w:rsid w:val="004308F3"/>
    <w:rsid w:val="0043129C"/>
    <w:rsid w:val="0043280A"/>
    <w:rsid w:val="00432ABF"/>
    <w:rsid w:val="004350EF"/>
    <w:rsid w:val="004371EF"/>
    <w:rsid w:val="0044313C"/>
    <w:rsid w:val="00443DEF"/>
    <w:rsid w:val="00444B8F"/>
    <w:rsid w:val="0044752B"/>
    <w:rsid w:val="00447E6F"/>
    <w:rsid w:val="00451508"/>
    <w:rsid w:val="00452733"/>
    <w:rsid w:val="00453A2F"/>
    <w:rsid w:val="00454469"/>
    <w:rsid w:val="004576C5"/>
    <w:rsid w:val="0046091E"/>
    <w:rsid w:val="0046182E"/>
    <w:rsid w:val="004620BF"/>
    <w:rsid w:val="00462C2E"/>
    <w:rsid w:val="004659EB"/>
    <w:rsid w:val="004710CE"/>
    <w:rsid w:val="00472A95"/>
    <w:rsid w:val="00474A16"/>
    <w:rsid w:val="0048006A"/>
    <w:rsid w:val="004821C9"/>
    <w:rsid w:val="0048336D"/>
    <w:rsid w:val="00485A59"/>
    <w:rsid w:val="00485EB4"/>
    <w:rsid w:val="004912F2"/>
    <w:rsid w:val="004930B9"/>
    <w:rsid w:val="004935AE"/>
    <w:rsid w:val="00493D38"/>
    <w:rsid w:val="00494568"/>
    <w:rsid w:val="004948F1"/>
    <w:rsid w:val="00494DF5"/>
    <w:rsid w:val="0049564C"/>
    <w:rsid w:val="004A12C5"/>
    <w:rsid w:val="004A14DE"/>
    <w:rsid w:val="004A16FB"/>
    <w:rsid w:val="004A1D92"/>
    <w:rsid w:val="004A6EFF"/>
    <w:rsid w:val="004B2994"/>
    <w:rsid w:val="004B40A7"/>
    <w:rsid w:val="004B41D9"/>
    <w:rsid w:val="004B5879"/>
    <w:rsid w:val="004B7416"/>
    <w:rsid w:val="004B7795"/>
    <w:rsid w:val="004C25EA"/>
    <w:rsid w:val="004C4A34"/>
    <w:rsid w:val="004C7588"/>
    <w:rsid w:val="004C7715"/>
    <w:rsid w:val="004D02BA"/>
    <w:rsid w:val="004D09BC"/>
    <w:rsid w:val="004D36AA"/>
    <w:rsid w:val="004D491F"/>
    <w:rsid w:val="004D5701"/>
    <w:rsid w:val="004E00EA"/>
    <w:rsid w:val="004E0513"/>
    <w:rsid w:val="004E3677"/>
    <w:rsid w:val="004E38B3"/>
    <w:rsid w:val="004E417F"/>
    <w:rsid w:val="004E6472"/>
    <w:rsid w:val="004E6E36"/>
    <w:rsid w:val="004F1EC1"/>
    <w:rsid w:val="004F2ADC"/>
    <w:rsid w:val="00503030"/>
    <w:rsid w:val="00504028"/>
    <w:rsid w:val="00504104"/>
    <w:rsid w:val="00504B3D"/>
    <w:rsid w:val="00504B87"/>
    <w:rsid w:val="00505A8E"/>
    <w:rsid w:val="00506B93"/>
    <w:rsid w:val="0051152C"/>
    <w:rsid w:val="005148AB"/>
    <w:rsid w:val="00515359"/>
    <w:rsid w:val="00516C6B"/>
    <w:rsid w:val="00517761"/>
    <w:rsid w:val="00517919"/>
    <w:rsid w:val="00520150"/>
    <w:rsid w:val="005266D0"/>
    <w:rsid w:val="00526CE6"/>
    <w:rsid w:val="005314E0"/>
    <w:rsid w:val="00532562"/>
    <w:rsid w:val="00533037"/>
    <w:rsid w:val="00533F83"/>
    <w:rsid w:val="00535E74"/>
    <w:rsid w:val="00536592"/>
    <w:rsid w:val="00537845"/>
    <w:rsid w:val="0054029E"/>
    <w:rsid w:val="005423AA"/>
    <w:rsid w:val="00542DF5"/>
    <w:rsid w:val="00542F53"/>
    <w:rsid w:val="00546B6B"/>
    <w:rsid w:val="005472C4"/>
    <w:rsid w:val="005472DF"/>
    <w:rsid w:val="005473CE"/>
    <w:rsid w:val="00547DB7"/>
    <w:rsid w:val="0055019F"/>
    <w:rsid w:val="00550EA0"/>
    <w:rsid w:val="005544D5"/>
    <w:rsid w:val="005558C9"/>
    <w:rsid w:val="00556F8E"/>
    <w:rsid w:val="00560032"/>
    <w:rsid w:val="005627D3"/>
    <w:rsid w:val="00563CAA"/>
    <w:rsid w:val="005646EF"/>
    <w:rsid w:val="0056706D"/>
    <w:rsid w:val="0056742C"/>
    <w:rsid w:val="00577B75"/>
    <w:rsid w:val="00580398"/>
    <w:rsid w:val="00580ED4"/>
    <w:rsid w:val="00581E10"/>
    <w:rsid w:val="0058277D"/>
    <w:rsid w:val="00582D8E"/>
    <w:rsid w:val="00582F88"/>
    <w:rsid w:val="00583721"/>
    <w:rsid w:val="00586E40"/>
    <w:rsid w:val="00590B22"/>
    <w:rsid w:val="00590ED3"/>
    <w:rsid w:val="00591DC0"/>
    <w:rsid w:val="0059355C"/>
    <w:rsid w:val="00594A8F"/>
    <w:rsid w:val="0059538E"/>
    <w:rsid w:val="00595C83"/>
    <w:rsid w:val="00595D1C"/>
    <w:rsid w:val="005967BC"/>
    <w:rsid w:val="00596975"/>
    <w:rsid w:val="00597915"/>
    <w:rsid w:val="00597B10"/>
    <w:rsid w:val="005A077E"/>
    <w:rsid w:val="005A0C4E"/>
    <w:rsid w:val="005A45D8"/>
    <w:rsid w:val="005A5B09"/>
    <w:rsid w:val="005A787A"/>
    <w:rsid w:val="005B0520"/>
    <w:rsid w:val="005B2559"/>
    <w:rsid w:val="005B2728"/>
    <w:rsid w:val="005B2F71"/>
    <w:rsid w:val="005B41A4"/>
    <w:rsid w:val="005B4D7A"/>
    <w:rsid w:val="005B7F86"/>
    <w:rsid w:val="005C17B8"/>
    <w:rsid w:val="005C2509"/>
    <w:rsid w:val="005C2894"/>
    <w:rsid w:val="005C3A38"/>
    <w:rsid w:val="005C63FE"/>
    <w:rsid w:val="005C6D61"/>
    <w:rsid w:val="005D4C80"/>
    <w:rsid w:val="005D5274"/>
    <w:rsid w:val="005D63EC"/>
    <w:rsid w:val="005D70E0"/>
    <w:rsid w:val="005D7902"/>
    <w:rsid w:val="005D7920"/>
    <w:rsid w:val="005E05CB"/>
    <w:rsid w:val="005E07C7"/>
    <w:rsid w:val="005E236E"/>
    <w:rsid w:val="005E368C"/>
    <w:rsid w:val="005E39DF"/>
    <w:rsid w:val="005E4495"/>
    <w:rsid w:val="005E6CBC"/>
    <w:rsid w:val="005E7FEA"/>
    <w:rsid w:val="005F25A8"/>
    <w:rsid w:val="005F319F"/>
    <w:rsid w:val="005F5F6F"/>
    <w:rsid w:val="005F714F"/>
    <w:rsid w:val="00601A88"/>
    <w:rsid w:val="00601CFC"/>
    <w:rsid w:val="0060285D"/>
    <w:rsid w:val="00605E09"/>
    <w:rsid w:val="0061034E"/>
    <w:rsid w:val="006114D9"/>
    <w:rsid w:val="00611A39"/>
    <w:rsid w:val="0061219E"/>
    <w:rsid w:val="00614000"/>
    <w:rsid w:val="00614E33"/>
    <w:rsid w:val="00615567"/>
    <w:rsid w:val="006158EC"/>
    <w:rsid w:val="006169A7"/>
    <w:rsid w:val="006177A7"/>
    <w:rsid w:val="00617BDB"/>
    <w:rsid w:val="00621AF1"/>
    <w:rsid w:val="00623F20"/>
    <w:rsid w:val="0062612E"/>
    <w:rsid w:val="0062790B"/>
    <w:rsid w:val="006311A0"/>
    <w:rsid w:val="0063506E"/>
    <w:rsid w:val="00636057"/>
    <w:rsid w:val="00637CBE"/>
    <w:rsid w:val="00643BDE"/>
    <w:rsid w:val="00644CCB"/>
    <w:rsid w:val="006459C2"/>
    <w:rsid w:val="006473D1"/>
    <w:rsid w:val="00647522"/>
    <w:rsid w:val="00650C0C"/>
    <w:rsid w:val="00653C24"/>
    <w:rsid w:val="00654078"/>
    <w:rsid w:val="0065414D"/>
    <w:rsid w:val="00656D3F"/>
    <w:rsid w:val="00657B43"/>
    <w:rsid w:val="00657C06"/>
    <w:rsid w:val="00663042"/>
    <w:rsid w:val="006630D5"/>
    <w:rsid w:val="006639EB"/>
    <w:rsid w:val="00666E6C"/>
    <w:rsid w:val="00667C69"/>
    <w:rsid w:val="0067159E"/>
    <w:rsid w:val="006716A7"/>
    <w:rsid w:val="0067225F"/>
    <w:rsid w:val="006724E0"/>
    <w:rsid w:val="00672B49"/>
    <w:rsid w:val="00673546"/>
    <w:rsid w:val="00673815"/>
    <w:rsid w:val="0067572A"/>
    <w:rsid w:val="0067644D"/>
    <w:rsid w:val="006779C8"/>
    <w:rsid w:val="0068023F"/>
    <w:rsid w:val="00680359"/>
    <w:rsid w:val="006809FF"/>
    <w:rsid w:val="006845B1"/>
    <w:rsid w:val="00684649"/>
    <w:rsid w:val="00684664"/>
    <w:rsid w:val="00685572"/>
    <w:rsid w:val="00692592"/>
    <w:rsid w:val="006952D6"/>
    <w:rsid w:val="00695C1D"/>
    <w:rsid w:val="006969FB"/>
    <w:rsid w:val="00697821"/>
    <w:rsid w:val="00697A25"/>
    <w:rsid w:val="006A018E"/>
    <w:rsid w:val="006A0C06"/>
    <w:rsid w:val="006A118E"/>
    <w:rsid w:val="006A1276"/>
    <w:rsid w:val="006A3597"/>
    <w:rsid w:val="006A3A0A"/>
    <w:rsid w:val="006A6304"/>
    <w:rsid w:val="006B21CA"/>
    <w:rsid w:val="006B32FF"/>
    <w:rsid w:val="006B39EC"/>
    <w:rsid w:val="006B7585"/>
    <w:rsid w:val="006C021A"/>
    <w:rsid w:val="006C2383"/>
    <w:rsid w:val="006C348C"/>
    <w:rsid w:val="006C3636"/>
    <w:rsid w:val="006C59C3"/>
    <w:rsid w:val="006C68F5"/>
    <w:rsid w:val="006C74A8"/>
    <w:rsid w:val="006D10E5"/>
    <w:rsid w:val="006D118E"/>
    <w:rsid w:val="006D21A9"/>
    <w:rsid w:val="006D3CBF"/>
    <w:rsid w:val="006D6932"/>
    <w:rsid w:val="006E05F2"/>
    <w:rsid w:val="006E3711"/>
    <w:rsid w:val="006E492E"/>
    <w:rsid w:val="006E6D00"/>
    <w:rsid w:val="006E7896"/>
    <w:rsid w:val="006E7A01"/>
    <w:rsid w:val="006E7E10"/>
    <w:rsid w:val="006F120B"/>
    <w:rsid w:val="006F2030"/>
    <w:rsid w:val="006F28CD"/>
    <w:rsid w:val="006F7AE7"/>
    <w:rsid w:val="007014F5"/>
    <w:rsid w:val="00702C7D"/>
    <w:rsid w:val="00703406"/>
    <w:rsid w:val="007038B4"/>
    <w:rsid w:val="007051A2"/>
    <w:rsid w:val="0070760C"/>
    <w:rsid w:val="0070765A"/>
    <w:rsid w:val="00714E87"/>
    <w:rsid w:val="00715528"/>
    <w:rsid w:val="00716500"/>
    <w:rsid w:val="007209CF"/>
    <w:rsid w:val="0072266F"/>
    <w:rsid w:val="007227B2"/>
    <w:rsid w:val="007228D5"/>
    <w:rsid w:val="007232A2"/>
    <w:rsid w:val="00724895"/>
    <w:rsid w:val="00726014"/>
    <w:rsid w:val="00726C8D"/>
    <w:rsid w:val="00726E62"/>
    <w:rsid w:val="00730113"/>
    <w:rsid w:val="00730B4A"/>
    <w:rsid w:val="00732869"/>
    <w:rsid w:val="00733EFC"/>
    <w:rsid w:val="0073455D"/>
    <w:rsid w:val="00737EB4"/>
    <w:rsid w:val="007422E0"/>
    <w:rsid w:val="00742C01"/>
    <w:rsid w:val="0074398C"/>
    <w:rsid w:val="00744A2B"/>
    <w:rsid w:val="00745490"/>
    <w:rsid w:val="007459C4"/>
    <w:rsid w:val="007469EC"/>
    <w:rsid w:val="007471FC"/>
    <w:rsid w:val="007504AA"/>
    <w:rsid w:val="007518F0"/>
    <w:rsid w:val="00754C4A"/>
    <w:rsid w:val="00760AB3"/>
    <w:rsid w:val="007620F9"/>
    <w:rsid w:val="00767ED7"/>
    <w:rsid w:val="00767F62"/>
    <w:rsid w:val="00770B85"/>
    <w:rsid w:val="00771132"/>
    <w:rsid w:val="00775B07"/>
    <w:rsid w:val="00776B58"/>
    <w:rsid w:val="007822C9"/>
    <w:rsid w:val="00783FCC"/>
    <w:rsid w:val="00783FE9"/>
    <w:rsid w:val="007849D4"/>
    <w:rsid w:val="007850F8"/>
    <w:rsid w:val="00791132"/>
    <w:rsid w:val="007920F8"/>
    <w:rsid w:val="007924B6"/>
    <w:rsid w:val="00792755"/>
    <w:rsid w:val="00792C6C"/>
    <w:rsid w:val="00793E0F"/>
    <w:rsid w:val="007947C8"/>
    <w:rsid w:val="00797B48"/>
    <w:rsid w:val="007A0B41"/>
    <w:rsid w:val="007A29BC"/>
    <w:rsid w:val="007A3003"/>
    <w:rsid w:val="007A3C56"/>
    <w:rsid w:val="007A529F"/>
    <w:rsid w:val="007A75BC"/>
    <w:rsid w:val="007B1291"/>
    <w:rsid w:val="007B12CC"/>
    <w:rsid w:val="007B331C"/>
    <w:rsid w:val="007B5DD2"/>
    <w:rsid w:val="007B6DC3"/>
    <w:rsid w:val="007C0FB1"/>
    <w:rsid w:val="007C100B"/>
    <w:rsid w:val="007C2FC8"/>
    <w:rsid w:val="007C3ABB"/>
    <w:rsid w:val="007C4840"/>
    <w:rsid w:val="007C54F6"/>
    <w:rsid w:val="007C5B98"/>
    <w:rsid w:val="007D0908"/>
    <w:rsid w:val="007D3085"/>
    <w:rsid w:val="007D4A44"/>
    <w:rsid w:val="007D4CD5"/>
    <w:rsid w:val="007D61AA"/>
    <w:rsid w:val="007E00CB"/>
    <w:rsid w:val="007E0849"/>
    <w:rsid w:val="007E403C"/>
    <w:rsid w:val="007E49AF"/>
    <w:rsid w:val="007E7559"/>
    <w:rsid w:val="007E7E3D"/>
    <w:rsid w:val="007F0647"/>
    <w:rsid w:val="007F2D1E"/>
    <w:rsid w:val="00802DF7"/>
    <w:rsid w:val="008035E2"/>
    <w:rsid w:val="00805977"/>
    <w:rsid w:val="00807047"/>
    <w:rsid w:val="00807A5D"/>
    <w:rsid w:val="00807C5A"/>
    <w:rsid w:val="00811E66"/>
    <w:rsid w:val="00811F9B"/>
    <w:rsid w:val="008126D9"/>
    <w:rsid w:val="00815F63"/>
    <w:rsid w:val="00820690"/>
    <w:rsid w:val="008209CB"/>
    <w:rsid w:val="00822AFC"/>
    <w:rsid w:val="00827847"/>
    <w:rsid w:val="00827EAB"/>
    <w:rsid w:val="00830DDB"/>
    <w:rsid w:val="00831F19"/>
    <w:rsid w:val="00832FFA"/>
    <w:rsid w:val="0083455F"/>
    <w:rsid w:val="00834803"/>
    <w:rsid w:val="00836CA2"/>
    <w:rsid w:val="00840F2B"/>
    <w:rsid w:val="00842678"/>
    <w:rsid w:val="00844B21"/>
    <w:rsid w:val="008517E9"/>
    <w:rsid w:val="008519E4"/>
    <w:rsid w:val="00851D8D"/>
    <w:rsid w:val="0085598A"/>
    <w:rsid w:val="008577AC"/>
    <w:rsid w:val="00860C4E"/>
    <w:rsid w:val="0086151D"/>
    <w:rsid w:val="00862A36"/>
    <w:rsid w:val="00862BB3"/>
    <w:rsid w:val="0086359F"/>
    <w:rsid w:val="00865FC8"/>
    <w:rsid w:val="0087217E"/>
    <w:rsid w:val="0087465D"/>
    <w:rsid w:val="008816BC"/>
    <w:rsid w:val="00882155"/>
    <w:rsid w:val="00883925"/>
    <w:rsid w:val="00883DEA"/>
    <w:rsid w:val="008842CC"/>
    <w:rsid w:val="00884DE5"/>
    <w:rsid w:val="00884EE8"/>
    <w:rsid w:val="0089081A"/>
    <w:rsid w:val="00891448"/>
    <w:rsid w:val="00892179"/>
    <w:rsid w:val="00892224"/>
    <w:rsid w:val="00892A41"/>
    <w:rsid w:val="008933DD"/>
    <w:rsid w:val="0089347C"/>
    <w:rsid w:val="00893F46"/>
    <w:rsid w:val="008940E3"/>
    <w:rsid w:val="0089444C"/>
    <w:rsid w:val="008953F5"/>
    <w:rsid w:val="00897B62"/>
    <w:rsid w:val="008A1F88"/>
    <w:rsid w:val="008A3535"/>
    <w:rsid w:val="008A417D"/>
    <w:rsid w:val="008A69EA"/>
    <w:rsid w:val="008A701D"/>
    <w:rsid w:val="008B1882"/>
    <w:rsid w:val="008B35AB"/>
    <w:rsid w:val="008B4BBB"/>
    <w:rsid w:val="008B70AE"/>
    <w:rsid w:val="008C0CAD"/>
    <w:rsid w:val="008C16F1"/>
    <w:rsid w:val="008C62DF"/>
    <w:rsid w:val="008C727F"/>
    <w:rsid w:val="008D0B4A"/>
    <w:rsid w:val="008D58B3"/>
    <w:rsid w:val="008D7482"/>
    <w:rsid w:val="008E1F9C"/>
    <w:rsid w:val="008E31EF"/>
    <w:rsid w:val="008E3E48"/>
    <w:rsid w:val="008E4642"/>
    <w:rsid w:val="008E4FA3"/>
    <w:rsid w:val="008E524E"/>
    <w:rsid w:val="008E562C"/>
    <w:rsid w:val="008E5D84"/>
    <w:rsid w:val="008E7E99"/>
    <w:rsid w:val="008F0DA3"/>
    <w:rsid w:val="008F1AED"/>
    <w:rsid w:val="008F1E2A"/>
    <w:rsid w:val="008F3899"/>
    <w:rsid w:val="008F405A"/>
    <w:rsid w:val="008F5C67"/>
    <w:rsid w:val="008F5E8F"/>
    <w:rsid w:val="00900225"/>
    <w:rsid w:val="00900931"/>
    <w:rsid w:val="00901A5B"/>
    <w:rsid w:val="00907672"/>
    <w:rsid w:val="0091040B"/>
    <w:rsid w:val="00910F14"/>
    <w:rsid w:val="00911782"/>
    <w:rsid w:val="009127FA"/>
    <w:rsid w:val="00916777"/>
    <w:rsid w:val="009168C3"/>
    <w:rsid w:val="00917CB6"/>
    <w:rsid w:val="009216A2"/>
    <w:rsid w:val="009225F8"/>
    <w:rsid w:val="009245C0"/>
    <w:rsid w:val="0092523E"/>
    <w:rsid w:val="00926832"/>
    <w:rsid w:val="009313C6"/>
    <w:rsid w:val="00933945"/>
    <w:rsid w:val="00936FB3"/>
    <w:rsid w:val="00937742"/>
    <w:rsid w:val="00940A0D"/>
    <w:rsid w:val="0094584B"/>
    <w:rsid w:val="009459C0"/>
    <w:rsid w:val="00946E57"/>
    <w:rsid w:val="0094750B"/>
    <w:rsid w:val="009478EB"/>
    <w:rsid w:val="00947BFB"/>
    <w:rsid w:val="00950019"/>
    <w:rsid w:val="009525F3"/>
    <w:rsid w:val="0095347D"/>
    <w:rsid w:val="00955714"/>
    <w:rsid w:val="009557B9"/>
    <w:rsid w:val="009559B5"/>
    <w:rsid w:val="0095682E"/>
    <w:rsid w:val="00957364"/>
    <w:rsid w:val="0096328F"/>
    <w:rsid w:val="0096477C"/>
    <w:rsid w:val="00966637"/>
    <w:rsid w:val="00970713"/>
    <w:rsid w:val="00972367"/>
    <w:rsid w:val="009755CB"/>
    <w:rsid w:val="00975C81"/>
    <w:rsid w:val="0097668D"/>
    <w:rsid w:val="00976A4D"/>
    <w:rsid w:val="009776E5"/>
    <w:rsid w:val="009803A9"/>
    <w:rsid w:val="00980FB4"/>
    <w:rsid w:val="0098110E"/>
    <w:rsid w:val="009819EE"/>
    <w:rsid w:val="0098219B"/>
    <w:rsid w:val="009835D6"/>
    <w:rsid w:val="009857A6"/>
    <w:rsid w:val="00987555"/>
    <w:rsid w:val="00987A3F"/>
    <w:rsid w:val="00987A6B"/>
    <w:rsid w:val="00987B57"/>
    <w:rsid w:val="009901DC"/>
    <w:rsid w:val="00991AAE"/>
    <w:rsid w:val="00991FAE"/>
    <w:rsid w:val="009933F9"/>
    <w:rsid w:val="00993F55"/>
    <w:rsid w:val="009944E6"/>
    <w:rsid w:val="00995497"/>
    <w:rsid w:val="00995953"/>
    <w:rsid w:val="00996387"/>
    <w:rsid w:val="009A1737"/>
    <w:rsid w:val="009A2A4A"/>
    <w:rsid w:val="009B274A"/>
    <w:rsid w:val="009B280A"/>
    <w:rsid w:val="009B288E"/>
    <w:rsid w:val="009B45D6"/>
    <w:rsid w:val="009B52D1"/>
    <w:rsid w:val="009C1FF3"/>
    <w:rsid w:val="009C3888"/>
    <w:rsid w:val="009C54CE"/>
    <w:rsid w:val="009C569A"/>
    <w:rsid w:val="009D120F"/>
    <w:rsid w:val="009D22F4"/>
    <w:rsid w:val="009D32D4"/>
    <w:rsid w:val="009D3D1F"/>
    <w:rsid w:val="009D41BA"/>
    <w:rsid w:val="009D58B8"/>
    <w:rsid w:val="009D598F"/>
    <w:rsid w:val="009E12A3"/>
    <w:rsid w:val="009E2413"/>
    <w:rsid w:val="009E3272"/>
    <w:rsid w:val="009E5851"/>
    <w:rsid w:val="009F18E5"/>
    <w:rsid w:val="009F230E"/>
    <w:rsid w:val="009F56A1"/>
    <w:rsid w:val="009F745E"/>
    <w:rsid w:val="00A0048D"/>
    <w:rsid w:val="00A0186D"/>
    <w:rsid w:val="00A054D3"/>
    <w:rsid w:val="00A05633"/>
    <w:rsid w:val="00A111E2"/>
    <w:rsid w:val="00A11253"/>
    <w:rsid w:val="00A14A66"/>
    <w:rsid w:val="00A14C0D"/>
    <w:rsid w:val="00A15136"/>
    <w:rsid w:val="00A15856"/>
    <w:rsid w:val="00A16948"/>
    <w:rsid w:val="00A17357"/>
    <w:rsid w:val="00A175BC"/>
    <w:rsid w:val="00A177E4"/>
    <w:rsid w:val="00A17873"/>
    <w:rsid w:val="00A17D1E"/>
    <w:rsid w:val="00A203C4"/>
    <w:rsid w:val="00A21ADD"/>
    <w:rsid w:val="00A22A47"/>
    <w:rsid w:val="00A25030"/>
    <w:rsid w:val="00A26B2B"/>
    <w:rsid w:val="00A30127"/>
    <w:rsid w:val="00A310F6"/>
    <w:rsid w:val="00A31F03"/>
    <w:rsid w:val="00A32311"/>
    <w:rsid w:val="00A32542"/>
    <w:rsid w:val="00A3305E"/>
    <w:rsid w:val="00A34ADC"/>
    <w:rsid w:val="00A35B34"/>
    <w:rsid w:val="00A35CE0"/>
    <w:rsid w:val="00A36664"/>
    <w:rsid w:val="00A37BDA"/>
    <w:rsid w:val="00A42C7E"/>
    <w:rsid w:val="00A43563"/>
    <w:rsid w:val="00A43B00"/>
    <w:rsid w:val="00A503EA"/>
    <w:rsid w:val="00A53F32"/>
    <w:rsid w:val="00A5711B"/>
    <w:rsid w:val="00A574C0"/>
    <w:rsid w:val="00A61DA5"/>
    <w:rsid w:val="00A6227F"/>
    <w:rsid w:val="00A639FB"/>
    <w:rsid w:val="00A64977"/>
    <w:rsid w:val="00A65514"/>
    <w:rsid w:val="00A65E00"/>
    <w:rsid w:val="00A674FF"/>
    <w:rsid w:val="00A70317"/>
    <w:rsid w:val="00A7372A"/>
    <w:rsid w:val="00A73DC1"/>
    <w:rsid w:val="00A75F86"/>
    <w:rsid w:val="00A75FF4"/>
    <w:rsid w:val="00A779E3"/>
    <w:rsid w:val="00A81C1D"/>
    <w:rsid w:val="00A848FA"/>
    <w:rsid w:val="00A850C1"/>
    <w:rsid w:val="00A860BA"/>
    <w:rsid w:val="00A871A7"/>
    <w:rsid w:val="00A909E2"/>
    <w:rsid w:val="00A90D11"/>
    <w:rsid w:val="00A90F47"/>
    <w:rsid w:val="00A95B21"/>
    <w:rsid w:val="00A96EF2"/>
    <w:rsid w:val="00A97332"/>
    <w:rsid w:val="00AA44C9"/>
    <w:rsid w:val="00AA4673"/>
    <w:rsid w:val="00AA6755"/>
    <w:rsid w:val="00AA6E80"/>
    <w:rsid w:val="00AB0DFD"/>
    <w:rsid w:val="00AB164E"/>
    <w:rsid w:val="00AB27C4"/>
    <w:rsid w:val="00AB6049"/>
    <w:rsid w:val="00AB6557"/>
    <w:rsid w:val="00AC2A5A"/>
    <w:rsid w:val="00AC2DE1"/>
    <w:rsid w:val="00AC42F9"/>
    <w:rsid w:val="00AC4526"/>
    <w:rsid w:val="00AC50C0"/>
    <w:rsid w:val="00AC5CF0"/>
    <w:rsid w:val="00AC6301"/>
    <w:rsid w:val="00AC6822"/>
    <w:rsid w:val="00AD0455"/>
    <w:rsid w:val="00AD2D1A"/>
    <w:rsid w:val="00AD345D"/>
    <w:rsid w:val="00AD35F4"/>
    <w:rsid w:val="00AD586E"/>
    <w:rsid w:val="00AD618D"/>
    <w:rsid w:val="00AD6A28"/>
    <w:rsid w:val="00AD7469"/>
    <w:rsid w:val="00AD7A38"/>
    <w:rsid w:val="00AE0E2A"/>
    <w:rsid w:val="00AE1728"/>
    <w:rsid w:val="00AE3DCA"/>
    <w:rsid w:val="00AE3E86"/>
    <w:rsid w:val="00AE47F8"/>
    <w:rsid w:val="00AE7143"/>
    <w:rsid w:val="00AE7602"/>
    <w:rsid w:val="00AF3802"/>
    <w:rsid w:val="00AF51B8"/>
    <w:rsid w:val="00AF523F"/>
    <w:rsid w:val="00AF7832"/>
    <w:rsid w:val="00B00E12"/>
    <w:rsid w:val="00B018FD"/>
    <w:rsid w:val="00B01EF6"/>
    <w:rsid w:val="00B05A12"/>
    <w:rsid w:val="00B07421"/>
    <w:rsid w:val="00B1215D"/>
    <w:rsid w:val="00B12DBE"/>
    <w:rsid w:val="00B16A5C"/>
    <w:rsid w:val="00B20440"/>
    <w:rsid w:val="00B20CD2"/>
    <w:rsid w:val="00B22C22"/>
    <w:rsid w:val="00B27D99"/>
    <w:rsid w:val="00B310B4"/>
    <w:rsid w:val="00B31462"/>
    <w:rsid w:val="00B3206E"/>
    <w:rsid w:val="00B32AB4"/>
    <w:rsid w:val="00B40481"/>
    <w:rsid w:val="00B415DD"/>
    <w:rsid w:val="00B41BD0"/>
    <w:rsid w:val="00B436E5"/>
    <w:rsid w:val="00B43AB5"/>
    <w:rsid w:val="00B463DD"/>
    <w:rsid w:val="00B46567"/>
    <w:rsid w:val="00B472BF"/>
    <w:rsid w:val="00B47781"/>
    <w:rsid w:val="00B52512"/>
    <w:rsid w:val="00B529F8"/>
    <w:rsid w:val="00B53361"/>
    <w:rsid w:val="00B56304"/>
    <w:rsid w:val="00B57BBE"/>
    <w:rsid w:val="00B60BE4"/>
    <w:rsid w:val="00B64155"/>
    <w:rsid w:val="00B647E2"/>
    <w:rsid w:val="00B64ADD"/>
    <w:rsid w:val="00B6566B"/>
    <w:rsid w:val="00B67AFD"/>
    <w:rsid w:val="00B7017B"/>
    <w:rsid w:val="00B7471C"/>
    <w:rsid w:val="00B76484"/>
    <w:rsid w:val="00B76922"/>
    <w:rsid w:val="00B80FE7"/>
    <w:rsid w:val="00B81F77"/>
    <w:rsid w:val="00B82454"/>
    <w:rsid w:val="00B82B7D"/>
    <w:rsid w:val="00B84E45"/>
    <w:rsid w:val="00B8590B"/>
    <w:rsid w:val="00B86609"/>
    <w:rsid w:val="00B87304"/>
    <w:rsid w:val="00B903F8"/>
    <w:rsid w:val="00B913F2"/>
    <w:rsid w:val="00B92C08"/>
    <w:rsid w:val="00B9346B"/>
    <w:rsid w:val="00B941DA"/>
    <w:rsid w:val="00B97ED9"/>
    <w:rsid w:val="00BA3BEF"/>
    <w:rsid w:val="00BA4FDF"/>
    <w:rsid w:val="00BB00E6"/>
    <w:rsid w:val="00BB0654"/>
    <w:rsid w:val="00BB20AA"/>
    <w:rsid w:val="00BB2885"/>
    <w:rsid w:val="00BB312F"/>
    <w:rsid w:val="00BB36C9"/>
    <w:rsid w:val="00BB53CB"/>
    <w:rsid w:val="00BB7323"/>
    <w:rsid w:val="00BC1524"/>
    <w:rsid w:val="00BC2024"/>
    <w:rsid w:val="00BC231D"/>
    <w:rsid w:val="00BC5813"/>
    <w:rsid w:val="00BC6457"/>
    <w:rsid w:val="00BC7A2D"/>
    <w:rsid w:val="00BC7BF7"/>
    <w:rsid w:val="00BD0174"/>
    <w:rsid w:val="00BE1651"/>
    <w:rsid w:val="00BE3765"/>
    <w:rsid w:val="00BE45FD"/>
    <w:rsid w:val="00BE4FA4"/>
    <w:rsid w:val="00BE58D1"/>
    <w:rsid w:val="00BE6A91"/>
    <w:rsid w:val="00BE700A"/>
    <w:rsid w:val="00BF32B2"/>
    <w:rsid w:val="00BF3824"/>
    <w:rsid w:val="00C00850"/>
    <w:rsid w:val="00C0170B"/>
    <w:rsid w:val="00C01966"/>
    <w:rsid w:val="00C0557C"/>
    <w:rsid w:val="00C066B6"/>
    <w:rsid w:val="00C06A9B"/>
    <w:rsid w:val="00C07043"/>
    <w:rsid w:val="00C07169"/>
    <w:rsid w:val="00C10637"/>
    <w:rsid w:val="00C1134C"/>
    <w:rsid w:val="00C135ED"/>
    <w:rsid w:val="00C15AC8"/>
    <w:rsid w:val="00C23F1E"/>
    <w:rsid w:val="00C24104"/>
    <w:rsid w:val="00C26AE4"/>
    <w:rsid w:val="00C32649"/>
    <w:rsid w:val="00C338DC"/>
    <w:rsid w:val="00C3562B"/>
    <w:rsid w:val="00C359D8"/>
    <w:rsid w:val="00C365D7"/>
    <w:rsid w:val="00C37093"/>
    <w:rsid w:val="00C400CC"/>
    <w:rsid w:val="00C43675"/>
    <w:rsid w:val="00C44207"/>
    <w:rsid w:val="00C455AD"/>
    <w:rsid w:val="00C47E56"/>
    <w:rsid w:val="00C50A00"/>
    <w:rsid w:val="00C511F5"/>
    <w:rsid w:val="00C51413"/>
    <w:rsid w:val="00C52469"/>
    <w:rsid w:val="00C52E7B"/>
    <w:rsid w:val="00C55490"/>
    <w:rsid w:val="00C578B9"/>
    <w:rsid w:val="00C6034D"/>
    <w:rsid w:val="00C60C87"/>
    <w:rsid w:val="00C612A0"/>
    <w:rsid w:val="00C61442"/>
    <w:rsid w:val="00C67D73"/>
    <w:rsid w:val="00C71704"/>
    <w:rsid w:val="00C720DA"/>
    <w:rsid w:val="00C727CF"/>
    <w:rsid w:val="00C739DB"/>
    <w:rsid w:val="00C73FD6"/>
    <w:rsid w:val="00C74761"/>
    <w:rsid w:val="00C75E80"/>
    <w:rsid w:val="00C77160"/>
    <w:rsid w:val="00C777DA"/>
    <w:rsid w:val="00C77A68"/>
    <w:rsid w:val="00C81129"/>
    <w:rsid w:val="00C821DB"/>
    <w:rsid w:val="00C87A04"/>
    <w:rsid w:val="00C93B06"/>
    <w:rsid w:val="00C94983"/>
    <w:rsid w:val="00C95D37"/>
    <w:rsid w:val="00C95D7C"/>
    <w:rsid w:val="00CA00E1"/>
    <w:rsid w:val="00CA125A"/>
    <w:rsid w:val="00CA3BF8"/>
    <w:rsid w:val="00CA6509"/>
    <w:rsid w:val="00CA6ACC"/>
    <w:rsid w:val="00CB0884"/>
    <w:rsid w:val="00CB0CB2"/>
    <w:rsid w:val="00CB1257"/>
    <w:rsid w:val="00CB1C82"/>
    <w:rsid w:val="00CB25F1"/>
    <w:rsid w:val="00CB26B7"/>
    <w:rsid w:val="00CB34FA"/>
    <w:rsid w:val="00CB37F3"/>
    <w:rsid w:val="00CB4663"/>
    <w:rsid w:val="00CB4758"/>
    <w:rsid w:val="00CB63EA"/>
    <w:rsid w:val="00CB66F8"/>
    <w:rsid w:val="00CB6A25"/>
    <w:rsid w:val="00CC158D"/>
    <w:rsid w:val="00CC301A"/>
    <w:rsid w:val="00CC38E6"/>
    <w:rsid w:val="00CC6FCA"/>
    <w:rsid w:val="00CD4B2C"/>
    <w:rsid w:val="00CD602D"/>
    <w:rsid w:val="00CD7C81"/>
    <w:rsid w:val="00CE1634"/>
    <w:rsid w:val="00CE164A"/>
    <w:rsid w:val="00CE2D2B"/>
    <w:rsid w:val="00CE5F9F"/>
    <w:rsid w:val="00CE7398"/>
    <w:rsid w:val="00CE7F96"/>
    <w:rsid w:val="00CF0044"/>
    <w:rsid w:val="00CF0615"/>
    <w:rsid w:val="00CF1658"/>
    <w:rsid w:val="00CF1AB7"/>
    <w:rsid w:val="00CF231F"/>
    <w:rsid w:val="00CF3A05"/>
    <w:rsid w:val="00CF4D51"/>
    <w:rsid w:val="00CF642D"/>
    <w:rsid w:val="00CF7537"/>
    <w:rsid w:val="00D01CC8"/>
    <w:rsid w:val="00D02BB4"/>
    <w:rsid w:val="00D02FD0"/>
    <w:rsid w:val="00D03096"/>
    <w:rsid w:val="00D033C4"/>
    <w:rsid w:val="00D0462C"/>
    <w:rsid w:val="00D04DC9"/>
    <w:rsid w:val="00D0762D"/>
    <w:rsid w:val="00D0787A"/>
    <w:rsid w:val="00D109FC"/>
    <w:rsid w:val="00D14C79"/>
    <w:rsid w:val="00D1780D"/>
    <w:rsid w:val="00D211C8"/>
    <w:rsid w:val="00D256B8"/>
    <w:rsid w:val="00D31F5D"/>
    <w:rsid w:val="00D31F68"/>
    <w:rsid w:val="00D34387"/>
    <w:rsid w:val="00D3465D"/>
    <w:rsid w:val="00D355E7"/>
    <w:rsid w:val="00D36206"/>
    <w:rsid w:val="00D374D0"/>
    <w:rsid w:val="00D4411F"/>
    <w:rsid w:val="00D44D1A"/>
    <w:rsid w:val="00D459CD"/>
    <w:rsid w:val="00D46188"/>
    <w:rsid w:val="00D467CF"/>
    <w:rsid w:val="00D54453"/>
    <w:rsid w:val="00D551C2"/>
    <w:rsid w:val="00D6142C"/>
    <w:rsid w:val="00D6268C"/>
    <w:rsid w:val="00D62C6A"/>
    <w:rsid w:val="00D63A66"/>
    <w:rsid w:val="00D723F1"/>
    <w:rsid w:val="00D736FB"/>
    <w:rsid w:val="00D74515"/>
    <w:rsid w:val="00D74E4F"/>
    <w:rsid w:val="00D755D8"/>
    <w:rsid w:val="00D765C1"/>
    <w:rsid w:val="00D76A1F"/>
    <w:rsid w:val="00D770CC"/>
    <w:rsid w:val="00D77B1C"/>
    <w:rsid w:val="00D83455"/>
    <w:rsid w:val="00D913C6"/>
    <w:rsid w:val="00D92031"/>
    <w:rsid w:val="00D93494"/>
    <w:rsid w:val="00D961BD"/>
    <w:rsid w:val="00D979B5"/>
    <w:rsid w:val="00DA3ADD"/>
    <w:rsid w:val="00DA3DB7"/>
    <w:rsid w:val="00DA55F4"/>
    <w:rsid w:val="00DA7CDD"/>
    <w:rsid w:val="00DB014F"/>
    <w:rsid w:val="00DB0D6E"/>
    <w:rsid w:val="00DB11F2"/>
    <w:rsid w:val="00DB3839"/>
    <w:rsid w:val="00DB3FC8"/>
    <w:rsid w:val="00DB4070"/>
    <w:rsid w:val="00DB4845"/>
    <w:rsid w:val="00DB63FE"/>
    <w:rsid w:val="00DB7044"/>
    <w:rsid w:val="00DC0075"/>
    <w:rsid w:val="00DC6027"/>
    <w:rsid w:val="00DC616A"/>
    <w:rsid w:val="00DC6B45"/>
    <w:rsid w:val="00DC6E89"/>
    <w:rsid w:val="00DD11BF"/>
    <w:rsid w:val="00DD2503"/>
    <w:rsid w:val="00DD46FA"/>
    <w:rsid w:val="00DE044B"/>
    <w:rsid w:val="00DE18CF"/>
    <w:rsid w:val="00DE314A"/>
    <w:rsid w:val="00DE3576"/>
    <w:rsid w:val="00DE35E1"/>
    <w:rsid w:val="00DE4252"/>
    <w:rsid w:val="00DE7662"/>
    <w:rsid w:val="00DE7926"/>
    <w:rsid w:val="00DE7E61"/>
    <w:rsid w:val="00DF1009"/>
    <w:rsid w:val="00DF1EA8"/>
    <w:rsid w:val="00DF3357"/>
    <w:rsid w:val="00DF3818"/>
    <w:rsid w:val="00DF5348"/>
    <w:rsid w:val="00DF65FE"/>
    <w:rsid w:val="00DF7261"/>
    <w:rsid w:val="00DF72D0"/>
    <w:rsid w:val="00DF7CF4"/>
    <w:rsid w:val="00E01B2E"/>
    <w:rsid w:val="00E0279F"/>
    <w:rsid w:val="00E04956"/>
    <w:rsid w:val="00E05EB3"/>
    <w:rsid w:val="00E12D4B"/>
    <w:rsid w:val="00E15AB9"/>
    <w:rsid w:val="00E1658B"/>
    <w:rsid w:val="00E20DFA"/>
    <w:rsid w:val="00E210D3"/>
    <w:rsid w:val="00E230D7"/>
    <w:rsid w:val="00E235F8"/>
    <w:rsid w:val="00E25315"/>
    <w:rsid w:val="00E25C01"/>
    <w:rsid w:val="00E26BE5"/>
    <w:rsid w:val="00E30474"/>
    <w:rsid w:val="00E34B30"/>
    <w:rsid w:val="00E3516E"/>
    <w:rsid w:val="00E379B0"/>
    <w:rsid w:val="00E45515"/>
    <w:rsid w:val="00E4607C"/>
    <w:rsid w:val="00E4636A"/>
    <w:rsid w:val="00E47CF8"/>
    <w:rsid w:val="00E51128"/>
    <w:rsid w:val="00E52753"/>
    <w:rsid w:val="00E54724"/>
    <w:rsid w:val="00E55A3E"/>
    <w:rsid w:val="00E569C0"/>
    <w:rsid w:val="00E56AEA"/>
    <w:rsid w:val="00E6314B"/>
    <w:rsid w:val="00E634BA"/>
    <w:rsid w:val="00E63C65"/>
    <w:rsid w:val="00E65609"/>
    <w:rsid w:val="00E6686D"/>
    <w:rsid w:val="00E6722A"/>
    <w:rsid w:val="00E70345"/>
    <w:rsid w:val="00E70552"/>
    <w:rsid w:val="00E70761"/>
    <w:rsid w:val="00E70A33"/>
    <w:rsid w:val="00E71160"/>
    <w:rsid w:val="00E72031"/>
    <w:rsid w:val="00E72FA9"/>
    <w:rsid w:val="00E738F2"/>
    <w:rsid w:val="00E8067D"/>
    <w:rsid w:val="00E828B1"/>
    <w:rsid w:val="00E8666E"/>
    <w:rsid w:val="00E90A64"/>
    <w:rsid w:val="00E91ACA"/>
    <w:rsid w:val="00E93A1B"/>
    <w:rsid w:val="00E943FC"/>
    <w:rsid w:val="00E94FD6"/>
    <w:rsid w:val="00E963DB"/>
    <w:rsid w:val="00EA0146"/>
    <w:rsid w:val="00EA01C7"/>
    <w:rsid w:val="00EA25B2"/>
    <w:rsid w:val="00EA4FD0"/>
    <w:rsid w:val="00EA5217"/>
    <w:rsid w:val="00EA6661"/>
    <w:rsid w:val="00EB181E"/>
    <w:rsid w:val="00EB2948"/>
    <w:rsid w:val="00EB4156"/>
    <w:rsid w:val="00EC0411"/>
    <w:rsid w:val="00EC0EB5"/>
    <w:rsid w:val="00EC2E19"/>
    <w:rsid w:val="00EC49BD"/>
    <w:rsid w:val="00EC4A27"/>
    <w:rsid w:val="00EC535F"/>
    <w:rsid w:val="00EC69BF"/>
    <w:rsid w:val="00EC6E47"/>
    <w:rsid w:val="00EC7969"/>
    <w:rsid w:val="00ED001D"/>
    <w:rsid w:val="00ED007F"/>
    <w:rsid w:val="00ED0FE3"/>
    <w:rsid w:val="00ED3550"/>
    <w:rsid w:val="00ED5093"/>
    <w:rsid w:val="00ED5679"/>
    <w:rsid w:val="00ED5AD8"/>
    <w:rsid w:val="00ED62C6"/>
    <w:rsid w:val="00ED753B"/>
    <w:rsid w:val="00EE01C0"/>
    <w:rsid w:val="00EE0360"/>
    <w:rsid w:val="00EE1CC5"/>
    <w:rsid w:val="00EE4545"/>
    <w:rsid w:val="00EE7358"/>
    <w:rsid w:val="00EF1B90"/>
    <w:rsid w:val="00EF3ABE"/>
    <w:rsid w:val="00EF3FBF"/>
    <w:rsid w:val="00EF4474"/>
    <w:rsid w:val="00EF4E51"/>
    <w:rsid w:val="00EF6DCD"/>
    <w:rsid w:val="00F008DA"/>
    <w:rsid w:val="00F03126"/>
    <w:rsid w:val="00F0646C"/>
    <w:rsid w:val="00F070B9"/>
    <w:rsid w:val="00F078D3"/>
    <w:rsid w:val="00F10040"/>
    <w:rsid w:val="00F1047F"/>
    <w:rsid w:val="00F10660"/>
    <w:rsid w:val="00F11791"/>
    <w:rsid w:val="00F12536"/>
    <w:rsid w:val="00F12F57"/>
    <w:rsid w:val="00F1635E"/>
    <w:rsid w:val="00F16C78"/>
    <w:rsid w:val="00F21AB0"/>
    <w:rsid w:val="00F230D2"/>
    <w:rsid w:val="00F245CE"/>
    <w:rsid w:val="00F30CF7"/>
    <w:rsid w:val="00F31AE9"/>
    <w:rsid w:val="00F33B09"/>
    <w:rsid w:val="00F37237"/>
    <w:rsid w:val="00F37746"/>
    <w:rsid w:val="00F37B7B"/>
    <w:rsid w:val="00F41938"/>
    <w:rsid w:val="00F44521"/>
    <w:rsid w:val="00F44BDA"/>
    <w:rsid w:val="00F44DE1"/>
    <w:rsid w:val="00F4518F"/>
    <w:rsid w:val="00F45A0E"/>
    <w:rsid w:val="00F45DC4"/>
    <w:rsid w:val="00F46EF0"/>
    <w:rsid w:val="00F470BB"/>
    <w:rsid w:val="00F50619"/>
    <w:rsid w:val="00F5089C"/>
    <w:rsid w:val="00F51496"/>
    <w:rsid w:val="00F51E07"/>
    <w:rsid w:val="00F5306A"/>
    <w:rsid w:val="00F53FC9"/>
    <w:rsid w:val="00F5433F"/>
    <w:rsid w:val="00F549F8"/>
    <w:rsid w:val="00F5506D"/>
    <w:rsid w:val="00F5607F"/>
    <w:rsid w:val="00F56DDF"/>
    <w:rsid w:val="00F57372"/>
    <w:rsid w:val="00F6011C"/>
    <w:rsid w:val="00F6163C"/>
    <w:rsid w:val="00F61ED0"/>
    <w:rsid w:val="00F61FC7"/>
    <w:rsid w:val="00F62943"/>
    <w:rsid w:val="00F62CEA"/>
    <w:rsid w:val="00F63519"/>
    <w:rsid w:val="00F638CB"/>
    <w:rsid w:val="00F63FED"/>
    <w:rsid w:val="00F6466B"/>
    <w:rsid w:val="00F65044"/>
    <w:rsid w:val="00F65899"/>
    <w:rsid w:val="00F66192"/>
    <w:rsid w:val="00F670B7"/>
    <w:rsid w:val="00F67DEB"/>
    <w:rsid w:val="00F73429"/>
    <w:rsid w:val="00F7547E"/>
    <w:rsid w:val="00F75EF9"/>
    <w:rsid w:val="00F76D30"/>
    <w:rsid w:val="00F77D08"/>
    <w:rsid w:val="00F8230E"/>
    <w:rsid w:val="00F8457E"/>
    <w:rsid w:val="00F84EA8"/>
    <w:rsid w:val="00F8777C"/>
    <w:rsid w:val="00F87E91"/>
    <w:rsid w:val="00F933B1"/>
    <w:rsid w:val="00F950A7"/>
    <w:rsid w:val="00F96BCD"/>
    <w:rsid w:val="00F97B30"/>
    <w:rsid w:val="00F97D9D"/>
    <w:rsid w:val="00FA1838"/>
    <w:rsid w:val="00FA2A3F"/>
    <w:rsid w:val="00FA4020"/>
    <w:rsid w:val="00FA6137"/>
    <w:rsid w:val="00FA6AF0"/>
    <w:rsid w:val="00FA7FB4"/>
    <w:rsid w:val="00FB0279"/>
    <w:rsid w:val="00FB1387"/>
    <w:rsid w:val="00FB20F5"/>
    <w:rsid w:val="00FB6BB3"/>
    <w:rsid w:val="00FC096A"/>
    <w:rsid w:val="00FC2EB4"/>
    <w:rsid w:val="00FC5BE7"/>
    <w:rsid w:val="00FC5E7D"/>
    <w:rsid w:val="00FC5F2A"/>
    <w:rsid w:val="00FD1044"/>
    <w:rsid w:val="00FD1203"/>
    <w:rsid w:val="00FD2501"/>
    <w:rsid w:val="00FD3708"/>
    <w:rsid w:val="00FD4AF7"/>
    <w:rsid w:val="00FD507D"/>
    <w:rsid w:val="00FE03CF"/>
    <w:rsid w:val="00FE2890"/>
    <w:rsid w:val="00FE3EA7"/>
    <w:rsid w:val="00FE3FEB"/>
    <w:rsid w:val="00FE44B5"/>
    <w:rsid w:val="00FE4D71"/>
    <w:rsid w:val="00FE5762"/>
    <w:rsid w:val="00FE67A3"/>
    <w:rsid w:val="00FE6B1B"/>
    <w:rsid w:val="00FE75B3"/>
    <w:rsid w:val="00FE7687"/>
    <w:rsid w:val="00FF19F8"/>
    <w:rsid w:val="00FF474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529"/>
    <o:shapelayout v:ext="edit">
      <o:idmap v:ext="edit" data="1"/>
    </o:shapelayout>
  </w:shapeDefaults>
  <w:decimalSymbol w:val="."/>
  <w:listSeparator w:val=","/>
  <w14:docId w14:val="14E8F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3EA"/>
    <w:pPr>
      <w:spacing w:line="480" w:lineRule="auto"/>
      <w:jc w:val="both"/>
    </w:pPr>
    <w:rPr>
      <w:rFonts w:ascii="Times New Roman" w:hAnsi="Times New Roman"/>
      <w:sz w:val="26"/>
      <w:szCs w:val="22"/>
      <w:lang w:val="en-GB"/>
    </w:rPr>
  </w:style>
  <w:style w:type="paragraph" w:styleId="Heading2">
    <w:name w:val="heading 2"/>
    <w:basedOn w:val="Normal"/>
    <w:link w:val="Heading2Char"/>
    <w:uiPriority w:val="9"/>
    <w:qFormat/>
    <w:rsid w:val="0086151D"/>
    <w:pPr>
      <w:spacing w:before="100" w:beforeAutospacing="1" w:after="100" w:afterAutospacing="1" w:line="240" w:lineRule="auto"/>
      <w:jc w:val="left"/>
      <w:outlineLvl w:val="1"/>
    </w:pPr>
    <w:rPr>
      <w:rFonts w:eastAsia="Times New Roman"/>
      <w:b/>
      <w:bCs/>
      <w:sz w:val="36"/>
      <w:szCs w:val="36"/>
      <w:lang w:val="en-ZA"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qFormat/>
    <w:rsid w:val="00E4607C"/>
    <w:pPr>
      <w:ind w:left="720"/>
      <w:contextualSpacing/>
    </w:pPr>
  </w:style>
  <w:style w:type="paragraph" w:styleId="FootnoteText">
    <w:name w:val="footnote text"/>
    <w:aliases w:val="Footnote Text Char Char,Footnote Text Char1 Char,Footnote Text Char Char Char,Footnote Text Char Char1,Char Char Char,Char Char,FOOTNOTES,fn,single space,Footnotes,Footnote ak,ft,fn cafc,ALTS FOOTNOTE Char,ALTS FOOTNOTE"/>
    <w:basedOn w:val="FootnoteText1"/>
    <w:link w:val="FootnoteTextChar"/>
    <w:uiPriority w:val="99"/>
    <w:unhideWhenUsed/>
    <w:qFormat/>
    <w:rsid w:val="00CB63EA"/>
  </w:style>
  <w:style w:type="character" w:customStyle="1" w:styleId="FootnoteTextChar">
    <w:name w:val="Footnote Text Char"/>
    <w:aliases w:val="Footnote Text Char Char Char1,Footnote Text Char1 Char Char,Footnote Text Char Char Char Char,Footnote Text Char Char1 Char,Char Char Char Char,Char Char Char1,FOOTNOTES Char,fn Char,single space Char,Footnotes Char,Footnote ak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Appel note de bas de page,Ref,de nota al pie,註腳內容,Footnotes refss,(NECG) Footnote Reference,fr"/>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GB"/>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517761"/>
    <w:rPr>
      <w:sz w:val="16"/>
      <w:szCs w:val="16"/>
    </w:rPr>
  </w:style>
  <w:style w:type="paragraph" w:styleId="CommentText">
    <w:name w:val="annotation text"/>
    <w:basedOn w:val="Normal"/>
    <w:link w:val="CommentTextChar"/>
    <w:uiPriority w:val="99"/>
    <w:unhideWhenUsed/>
    <w:rsid w:val="00517761"/>
    <w:pPr>
      <w:spacing w:line="240" w:lineRule="auto"/>
    </w:pPr>
    <w:rPr>
      <w:sz w:val="20"/>
      <w:szCs w:val="20"/>
    </w:rPr>
  </w:style>
  <w:style w:type="character" w:customStyle="1" w:styleId="CommentTextChar">
    <w:name w:val="Comment Text Char"/>
    <w:basedOn w:val="DefaultParagraphFont"/>
    <w:link w:val="CommentText"/>
    <w:uiPriority w:val="99"/>
    <w:rsid w:val="0051776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17761"/>
    <w:rPr>
      <w:b/>
      <w:bCs/>
    </w:rPr>
  </w:style>
  <w:style w:type="character" w:customStyle="1" w:styleId="CommentSubjectChar">
    <w:name w:val="Comment Subject Char"/>
    <w:basedOn w:val="CommentTextChar"/>
    <w:link w:val="CommentSubject"/>
    <w:uiPriority w:val="99"/>
    <w:semiHidden/>
    <w:rsid w:val="00517761"/>
    <w:rPr>
      <w:rFonts w:ascii="Times New Roman" w:hAnsi="Times New Roman"/>
      <w:b/>
      <w:bCs/>
      <w:lang w:val="en-ZA"/>
    </w:rPr>
  </w:style>
  <w:style w:type="character" w:customStyle="1" w:styleId="apple-converted-space">
    <w:name w:val="apple-converted-space"/>
    <w:basedOn w:val="DefaultParagraphFont"/>
    <w:rsid w:val="00532562"/>
  </w:style>
  <w:style w:type="character" w:customStyle="1" w:styleId="lphit">
    <w:name w:val="lphit"/>
    <w:basedOn w:val="DefaultParagraphFont"/>
    <w:rsid w:val="00532562"/>
  </w:style>
  <w:style w:type="paragraph" w:customStyle="1" w:styleId="subsection">
    <w:name w:val="subsection"/>
    <w:basedOn w:val="Normal"/>
    <w:rsid w:val="00A96EF2"/>
    <w:pPr>
      <w:spacing w:before="100" w:beforeAutospacing="1" w:after="100" w:afterAutospacing="1" w:line="240" w:lineRule="auto"/>
      <w:jc w:val="left"/>
    </w:pPr>
    <w:rPr>
      <w:rFonts w:eastAsia="Times New Roman"/>
      <w:sz w:val="24"/>
      <w:szCs w:val="24"/>
      <w:lang w:eastAsia="en-ZA"/>
    </w:rPr>
  </w:style>
  <w:style w:type="paragraph" w:customStyle="1" w:styleId="para">
    <w:name w:val="para"/>
    <w:basedOn w:val="Normal"/>
    <w:rsid w:val="00A96EF2"/>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semiHidden/>
    <w:unhideWhenUsed/>
    <w:rsid w:val="00A674FF"/>
    <w:rPr>
      <w:color w:val="0000FF"/>
      <w:u w:val="single"/>
    </w:rPr>
  </w:style>
  <w:style w:type="paragraph" w:customStyle="1" w:styleId="subpara">
    <w:name w:val="subpara"/>
    <w:basedOn w:val="Normal"/>
    <w:rsid w:val="00A674FF"/>
    <w:pPr>
      <w:spacing w:before="100" w:beforeAutospacing="1" w:after="100" w:afterAutospacing="1" w:line="240" w:lineRule="auto"/>
      <w:jc w:val="left"/>
    </w:pPr>
    <w:rPr>
      <w:rFonts w:eastAsia="Times New Roman"/>
      <w:sz w:val="24"/>
      <w:szCs w:val="24"/>
      <w:lang w:eastAsia="en-ZA"/>
    </w:rPr>
  </w:style>
  <w:style w:type="character" w:customStyle="1" w:styleId="spelle">
    <w:name w:val="spelle"/>
    <w:basedOn w:val="DefaultParagraphFont"/>
    <w:rsid w:val="00A674FF"/>
  </w:style>
  <w:style w:type="character" w:customStyle="1" w:styleId="grame">
    <w:name w:val="grame"/>
    <w:basedOn w:val="DefaultParagraphFont"/>
    <w:rsid w:val="00A674FF"/>
  </w:style>
  <w:style w:type="paragraph" w:customStyle="1" w:styleId="amendment">
    <w:name w:val="amendment"/>
    <w:basedOn w:val="Normal"/>
    <w:rsid w:val="00A674FF"/>
    <w:pPr>
      <w:spacing w:before="100" w:beforeAutospacing="1" w:after="100" w:afterAutospacing="1" w:line="240" w:lineRule="auto"/>
      <w:jc w:val="left"/>
    </w:pPr>
    <w:rPr>
      <w:rFonts w:eastAsia="Times New Roman"/>
      <w:sz w:val="24"/>
      <w:szCs w:val="24"/>
      <w:lang w:eastAsia="en-ZA"/>
    </w:rPr>
  </w:style>
  <w:style w:type="paragraph" w:styleId="Revision">
    <w:name w:val="Revision"/>
    <w:hidden/>
    <w:uiPriority w:val="99"/>
    <w:semiHidden/>
    <w:rsid w:val="00767F62"/>
    <w:rPr>
      <w:rFonts w:ascii="Times New Roman" w:hAnsi="Times New Roman"/>
      <w:sz w:val="26"/>
      <w:szCs w:val="22"/>
      <w:lang w:val="en-GB"/>
    </w:rPr>
  </w:style>
  <w:style w:type="paragraph" w:styleId="ListBullet">
    <w:name w:val="List Bullet"/>
    <w:basedOn w:val="Normal"/>
    <w:uiPriority w:val="99"/>
    <w:unhideWhenUsed/>
    <w:rsid w:val="00306DF8"/>
    <w:pPr>
      <w:numPr>
        <w:numId w:val="3"/>
      </w:numPr>
      <w:contextualSpacing/>
    </w:pPr>
  </w:style>
  <w:style w:type="character" w:customStyle="1" w:styleId="Heading2Char">
    <w:name w:val="Heading 2 Char"/>
    <w:basedOn w:val="DefaultParagraphFont"/>
    <w:link w:val="Heading2"/>
    <w:uiPriority w:val="9"/>
    <w:rsid w:val="0086151D"/>
    <w:rPr>
      <w:rFonts w:ascii="Times New Roman" w:eastAsia="Times New Roman" w:hAnsi="Times New Roman"/>
      <w:b/>
      <w:bCs/>
      <w:sz w:val="36"/>
      <w:szCs w:val="36"/>
      <w:lang w:val="en-ZA" w:eastAsia="en-ZA"/>
    </w:rPr>
  </w:style>
  <w:style w:type="character" w:styleId="Emphasis">
    <w:name w:val="Emphasis"/>
    <w:basedOn w:val="DefaultParagraphFont"/>
    <w:uiPriority w:val="20"/>
    <w:qFormat/>
    <w:rsid w:val="00987A6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3EA"/>
    <w:pPr>
      <w:spacing w:line="480" w:lineRule="auto"/>
      <w:jc w:val="both"/>
    </w:pPr>
    <w:rPr>
      <w:rFonts w:ascii="Times New Roman" w:hAnsi="Times New Roman"/>
      <w:sz w:val="26"/>
      <w:szCs w:val="22"/>
      <w:lang w:val="en-GB"/>
    </w:rPr>
  </w:style>
  <w:style w:type="paragraph" w:styleId="Heading2">
    <w:name w:val="heading 2"/>
    <w:basedOn w:val="Normal"/>
    <w:link w:val="Heading2Char"/>
    <w:uiPriority w:val="9"/>
    <w:qFormat/>
    <w:rsid w:val="0086151D"/>
    <w:pPr>
      <w:spacing w:before="100" w:beforeAutospacing="1" w:after="100" w:afterAutospacing="1" w:line="240" w:lineRule="auto"/>
      <w:jc w:val="left"/>
      <w:outlineLvl w:val="1"/>
    </w:pPr>
    <w:rPr>
      <w:rFonts w:eastAsia="Times New Roman"/>
      <w:b/>
      <w:bCs/>
      <w:sz w:val="36"/>
      <w:szCs w:val="36"/>
      <w:lang w:val="en-ZA"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qFormat/>
    <w:rsid w:val="00E4607C"/>
    <w:pPr>
      <w:ind w:left="720"/>
      <w:contextualSpacing/>
    </w:pPr>
  </w:style>
  <w:style w:type="paragraph" w:styleId="FootnoteText">
    <w:name w:val="footnote text"/>
    <w:aliases w:val="Footnote Text Char Char,Footnote Text Char1 Char,Footnote Text Char Char Char,Footnote Text Char Char1,Char Char Char,Char Char,FOOTNOTES,fn,single space,Footnotes,Footnote ak,ft,fn cafc,ALTS FOOTNOTE Char,ALTS FOOTNOTE"/>
    <w:basedOn w:val="FootnoteText1"/>
    <w:link w:val="FootnoteTextChar"/>
    <w:uiPriority w:val="99"/>
    <w:unhideWhenUsed/>
    <w:qFormat/>
    <w:rsid w:val="00CB63EA"/>
  </w:style>
  <w:style w:type="character" w:customStyle="1" w:styleId="FootnoteTextChar">
    <w:name w:val="Footnote Text Char"/>
    <w:aliases w:val="Footnote Text Char Char Char1,Footnote Text Char1 Char Char,Footnote Text Char Char Char Char,Footnote Text Char Char1 Char,Char Char Char Char,Char Char Char1,FOOTNOTES Char,fn Char,single space Char,Footnotes Char,Footnote ak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Appel note de bas de page,Ref,de nota al pie,註腳內容,Footnotes refss,(NECG) Footnote Reference,fr"/>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GB"/>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517761"/>
    <w:rPr>
      <w:sz w:val="16"/>
      <w:szCs w:val="16"/>
    </w:rPr>
  </w:style>
  <w:style w:type="paragraph" w:styleId="CommentText">
    <w:name w:val="annotation text"/>
    <w:basedOn w:val="Normal"/>
    <w:link w:val="CommentTextChar"/>
    <w:uiPriority w:val="99"/>
    <w:unhideWhenUsed/>
    <w:rsid w:val="00517761"/>
    <w:pPr>
      <w:spacing w:line="240" w:lineRule="auto"/>
    </w:pPr>
    <w:rPr>
      <w:sz w:val="20"/>
      <w:szCs w:val="20"/>
    </w:rPr>
  </w:style>
  <w:style w:type="character" w:customStyle="1" w:styleId="CommentTextChar">
    <w:name w:val="Comment Text Char"/>
    <w:basedOn w:val="DefaultParagraphFont"/>
    <w:link w:val="CommentText"/>
    <w:uiPriority w:val="99"/>
    <w:rsid w:val="0051776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17761"/>
    <w:rPr>
      <w:b/>
      <w:bCs/>
    </w:rPr>
  </w:style>
  <w:style w:type="character" w:customStyle="1" w:styleId="CommentSubjectChar">
    <w:name w:val="Comment Subject Char"/>
    <w:basedOn w:val="CommentTextChar"/>
    <w:link w:val="CommentSubject"/>
    <w:uiPriority w:val="99"/>
    <w:semiHidden/>
    <w:rsid w:val="00517761"/>
    <w:rPr>
      <w:rFonts w:ascii="Times New Roman" w:hAnsi="Times New Roman"/>
      <w:b/>
      <w:bCs/>
      <w:lang w:val="en-ZA"/>
    </w:rPr>
  </w:style>
  <w:style w:type="character" w:customStyle="1" w:styleId="apple-converted-space">
    <w:name w:val="apple-converted-space"/>
    <w:basedOn w:val="DefaultParagraphFont"/>
    <w:rsid w:val="00532562"/>
  </w:style>
  <w:style w:type="character" w:customStyle="1" w:styleId="lphit">
    <w:name w:val="lphit"/>
    <w:basedOn w:val="DefaultParagraphFont"/>
    <w:rsid w:val="00532562"/>
  </w:style>
  <w:style w:type="paragraph" w:customStyle="1" w:styleId="subsection">
    <w:name w:val="subsection"/>
    <w:basedOn w:val="Normal"/>
    <w:rsid w:val="00A96EF2"/>
    <w:pPr>
      <w:spacing w:before="100" w:beforeAutospacing="1" w:after="100" w:afterAutospacing="1" w:line="240" w:lineRule="auto"/>
      <w:jc w:val="left"/>
    </w:pPr>
    <w:rPr>
      <w:rFonts w:eastAsia="Times New Roman"/>
      <w:sz w:val="24"/>
      <w:szCs w:val="24"/>
      <w:lang w:eastAsia="en-ZA"/>
    </w:rPr>
  </w:style>
  <w:style w:type="paragraph" w:customStyle="1" w:styleId="para">
    <w:name w:val="para"/>
    <w:basedOn w:val="Normal"/>
    <w:rsid w:val="00A96EF2"/>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semiHidden/>
    <w:unhideWhenUsed/>
    <w:rsid w:val="00A674FF"/>
    <w:rPr>
      <w:color w:val="0000FF"/>
      <w:u w:val="single"/>
    </w:rPr>
  </w:style>
  <w:style w:type="paragraph" w:customStyle="1" w:styleId="subpara">
    <w:name w:val="subpara"/>
    <w:basedOn w:val="Normal"/>
    <w:rsid w:val="00A674FF"/>
    <w:pPr>
      <w:spacing w:before="100" w:beforeAutospacing="1" w:after="100" w:afterAutospacing="1" w:line="240" w:lineRule="auto"/>
      <w:jc w:val="left"/>
    </w:pPr>
    <w:rPr>
      <w:rFonts w:eastAsia="Times New Roman"/>
      <w:sz w:val="24"/>
      <w:szCs w:val="24"/>
      <w:lang w:eastAsia="en-ZA"/>
    </w:rPr>
  </w:style>
  <w:style w:type="character" w:customStyle="1" w:styleId="spelle">
    <w:name w:val="spelle"/>
    <w:basedOn w:val="DefaultParagraphFont"/>
    <w:rsid w:val="00A674FF"/>
  </w:style>
  <w:style w:type="character" w:customStyle="1" w:styleId="grame">
    <w:name w:val="grame"/>
    <w:basedOn w:val="DefaultParagraphFont"/>
    <w:rsid w:val="00A674FF"/>
  </w:style>
  <w:style w:type="paragraph" w:customStyle="1" w:styleId="amendment">
    <w:name w:val="amendment"/>
    <w:basedOn w:val="Normal"/>
    <w:rsid w:val="00A674FF"/>
    <w:pPr>
      <w:spacing w:before="100" w:beforeAutospacing="1" w:after="100" w:afterAutospacing="1" w:line="240" w:lineRule="auto"/>
      <w:jc w:val="left"/>
    </w:pPr>
    <w:rPr>
      <w:rFonts w:eastAsia="Times New Roman"/>
      <w:sz w:val="24"/>
      <w:szCs w:val="24"/>
      <w:lang w:eastAsia="en-ZA"/>
    </w:rPr>
  </w:style>
  <w:style w:type="paragraph" w:styleId="Revision">
    <w:name w:val="Revision"/>
    <w:hidden/>
    <w:uiPriority w:val="99"/>
    <w:semiHidden/>
    <w:rsid w:val="00767F62"/>
    <w:rPr>
      <w:rFonts w:ascii="Times New Roman" w:hAnsi="Times New Roman"/>
      <w:sz w:val="26"/>
      <w:szCs w:val="22"/>
      <w:lang w:val="en-GB"/>
    </w:rPr>
  </w:style>
  <w:style w:type="paragraph" w:styleId="ListBullet">
    <w:name w:val="List Bullet"/>
    <w:basedOn w:val="Normal"/>
    <w:uiPriority w:val="99"/>
    <w:unhideWhenUsed/>
    <w:rsid w:val="00306DF8"/>
    <w:pPr>
      <w:numPr>
        <w:numId w:val="3"/>
      </w:numPr>
      <w:contextualSpacing/>
    </w:pPr>
  </w:style>
  <w:style w:type="character" w:customStyle="1" w:styleId="Heading2Char">
    <w:name w:val="Heading 2 Char"/>
    <w:basedOn w:val="DefaultParagraphFont"/>
    <w:link w:val="Heading2"/>
    <w:uiPriority w:val="9"/>
    <w:rsid w:val="0086151D"/>
    <w:rPr>
      <w:rFonts w:ascii="Times New Roman" w:eastAsia="Times New Roman" w:hAnsi="Times New Roman"/>
      <w:b/>
      <w:bCs/>
      <w:sz w:val="36"/>
      <w:szCs w:val="36"/>
      <w:lang w:val="en-ZA" w:eastAsia="en-ZA"/>
    </w:rPr>
  </w:style>
  <w:style w:type="character" w:styleId="Emphasis">
    <w:name w:val="Emphasis"/>
    <w:basedOn w:val="DefaultParagraphFont"/>
    <w:uiPriority w:val="20"/>
    <w:qFormat/>
    <w:rsid w:val="00987A6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43834">
      <w:bodyDiv w:val="1"/>
      <w:marLeft w:val="0"/>
      <w:marRight w:val="0"/>
      <w:marTop w:val="0"/>
      <w:marBottom w:val="0"/>
      <w:divBdr>
        <w:top w:val="none" w:sz="0" w:space="0" w:color="auto"/>
        <w:left w:val="none" w:sz="0" w:space="0" w:color="auto"/>
        <w:bottom w:val="none" w:sz="0" w:space="0" w:color="auto"/>
        <w:right w:val="none" w:sz="0" w:space="0" w:color="auto"/>
      </w:divBdr>
    </w:div>
    <w:div w:id="566233475">
      <w:bodyDiv w:val="1"/>
      <w:marLeft w:val="0"/>
      <w:marRight w:val="0"/>
      <w:marTop w:val="0"/>
      <w:marBottom w:val="0"/>
      <w:divBdr>
        <w:top w:val="none" w:sz="0" w:space="0" w:color="auto"/>
        <w:left w:val="none" w:sz="0" w:space="0" w:color="auto"/>
        <w:bottom w:val="none" w:sz="0" w:space="0" w:color="auto"/>
        <w:right w:val="none" w:sz="0" w:space="0" w:color="auto"/>
      </w:divBdr>
    </w:div>
    <w:div w:id="761337563">
      <w:bodyDiv w:val="1"/>
      <w:marLeft w:val="0"/>
      <w:marRight w:val="0"/>
      <w:marTop w:val="0"/>
      <w:marBottom w:val="0"/>
      <w:divBdr>
        <w:top w:val="none" w:sz="0" w:space="0" w:color="auto"/>
        <w:left w:val="none" w:sz="0" w:space="0" w:color="auto"/>
        <w:bottom w:val="none" w:sz="0" w:space="0" w:color="auto"/>
        <w:right w:val="none" w:sz="0" w:space="0" w:color="auto"/>
      </w:divBdr>
    </w:div>
    <w:div w:id="1073814427">
      <w:bodyDiv w:val="1"/>
      <w:marLeft w:val="0"/>
      <w:marRight w:val="0"/>
      <w:marTop w:val="0"/>
      <w:marBottom w:val="0"/>
      <w:divBdr>
        <w:top w:val="none" w:sz="0" w:space="0" w:color="auto"/>
        <w:left w:val="none" w:sz="0" w:space="0" w:color="auto"/>
        <w:bottom w:val="none" w:sz="0" w:space="0" w:color="auto"/>
        <w:right w:val="none" w:sz="0" w:space="0" w:color="auto"/>
      </w:divBdr>
    </w:div>
    <w:div w:id="1179156127">
      <w:bodyDiv w:val="1"/>
      <w:marLeft w:val="0"/>
      <w:marRight w:val="0"/>
      <w:marTop w:val="0"/>
      <w:marBottom w:val="0"/>
      <w:divBdr>
        <w:top w:val="none" w:sz="0" w:space="0" w:color="auto"/>
        <w:left w:val="none" w:sz="0" w:space="0" w:color="auto"/>
        <w:bottom w:val="none" w:sz="0" w:space="0" w:color="auto"/>
        <w:right w:val="none" w:sz="0" w:space="0" w:color="auto"/>
      </w:divBdr>
    </w:div>
    <w:div w:id="1273122995">
      <w:bodyDiv w:val="1"/>
      <w:marLeft w:val="0"/>
      <w:marRight w:val="0"/>
      <w:marTop w:val="0"/>
      <w:marBottom w:val="0"/>
      <w:divBdr>
        <w:top w:val="none" w:sz="0" w:space="0" w:color="auto"/>
        <w:left w:val="none" w:sz="0" w:space="0" w:color="auto"/>
        <w:bottom w:val="none" w:sz="0" w:space="0" w:color="auto"/>
        <w:right w:val="none" w:sz="0" w:space="0" w:color="auto"/>
      </w:divBdr>
    </w:div>
    <w:div w:id="1291085334">
      <w:bodyDiv w:val="1"/>
      <w:marLeft w:val="0"/>
      <w:marRight w:val="0"/>
      <w:marTop w:val="0"/>
      <w:marBottom w:val="0"/>
      <w:divBdr>
        <w:top w:val="none" w:sz="0" w:space="0" w:color="auto"/>
        <w:left w:val="none" w:sz="0" w:space="0" w:color="auto"/>
        <w:bottom w:val="none" w:sz="0" w:space="0" w:color="auto"/>
        <w:right w:val="none" w:sz="0" w:space="0" w:color="auto"/>
      </w:divBdr>
    </w:div>
    <w:div w:id="1332442374">
      <w:bodyDiv w:val="1"/>
      <w:marLeft w:val="0"/>
      <w:marRight w:val="0"/>
      <w:marTop w:val="0"/>
      <w:marBottom w:val="0"/>
      <w:divBdr>
        <w:top w:val="none" w:sz="0" w:space="0" w:color="auto"/>
        <w:left w:val="none" w:sz="0" w:space="0" w:color="auto"/>
        <w:bottom w:val="none" w:sz="0" w:space="0" w:color="auto"/>
        <w:right w:val="none" w:sz="0" w:space="0" w:color="auto"/>
      </w:divBdr>
    </w:div>
    <w:div w:id="1512179105">
      <w:bodyDiv w:val="1"/>
      <w:marLeft w:val="0"/>
      <w:marRight w:val="0"/>
      <w:marTop w:val="0"/>
      <w:marBottom w:val="0"/>
      <w:divBdr>
        <w:top w:val="none" w:sz="0" w:space="0" w:color="auto"/>
        <w:left w:val="none" w:sz="0" w:space="0" w:color="auto"/>
        <w:bottom w:val="none" w:sz="0" w:space="0" w:color="auto"/>
        <w:right w:val="none" w:sz="0" w:space="0" w:color="auto"/>
      </w:divBdr>
    </w:div>
    <w:div w:id="1653873466">
      <w:bodyDiv w:val="1"/>
      <w:marLeft w:val="0"/>
      <w:marRight w:val="0"/>
      <w:marTop w:val="0"/>
      <w:marBottom w:val="0"/>
      <w:divBdr>
        <w:top w:val="none" w:sz="0" w:space="0" w:color="auto"/>
        <w:left w:val="none" w:sz="0" w:space="0" w:color="auto"/>
        <w:bottom w:val="none" w:sz="0" w:space="0" w:color="auto"/>
        <w:right w:val="none" w:sz="0" w:space="0" w:color="auto"/>
      </w:divBdr>
    </w:div>
    <w:div w:id="1662002688">
      <w:bodyDiv w:val="1"/>
      <w:marLeft w:val="0"/>
      <w:marRight w:val="0"/>
      <w:marTop w:val="0"/>
      <w:marBottom w:val="0"/>
      <w:divBdr>
        <w:top w:val="none" w:sz="0" w:space="0" w:color="auto"/>
        <w:left w:val="none" w:sz="0" w:space="0" w:color="auto"/>
        <w:bottom w:val="none" w:sz="0" w:space="0" w:color="auto"/>
        <w:right w:val="none" w:sz="0" w:space="0" w:color="auto"/>
      </w:divBdr>
    </w:div>
    <w:div w:id="1691908131">
      <w:bodyDiv w:val="1"/>
      <w:marLeft w:val="0"/>
      <w:marRight w:val="0"/>
      <w:marTop w:val="0"/>
      <w:marBottom w:val="0"/>
      <w:divBdr>
        <w:top w:val="none" w:sz="0" w:space="0" w:color="auto"/>
        <w:left w:val="none" w:sz="0" w:space="0" w:color="auto"/>
        <w:bottom w:val="none" w:sz="0" w:space="0" w:color="auto"/>
        <w:right w:val="none" w:sz="0" w:space="0" w:color="auto"/>
      </w:divBdr>
    </w:div>
    <w:div w:id="1734427701">
      <w:bodyDiv w:val="1"/>
      <w:marLeft w:val="0"/>
      <w:marRight w:val="0"/>
      <w:marTop w:val="0"/>
      <w:marBottom w:val="0"/>
      <w:divBdr>
        <w:top w:val="none" w:sz="0" w:space="0" w:color="auto"/>
        <w:left w:val="none" w:sz="0" w:space="0" w:color="auto"/>
        <w:bottom w:val="none" w:sz="0" w:space="0" w:color="auto"/>
        <w:right w:val="none" w:sz="0" w:space="0" w:color="auto"/>
      </w:divBdr>
    </w:div>
    <w:div w:id="1922789737">
      <w:bodyDiv w:val="1"/>
      <w:marLeft w:val="0"/>
      <w:marRight w:val="0"/>
      <w:marTop w:val="0"/>
      <w:marBottom w:val="0"/>
      <w:divBdr>
        <w:top w:val="none" w:sz="0" w:space="0" w:color="auto"/>
        <w:left w:val="none" w:sz="0" w:space="0" w:color="auto"/>
        <w:bottom w:val="none" w:sz="0" w:space="0" w:color="auto"/>
        <w:right w:val="none" w:sz="0" w:space="0" w:color="auto"/>
      </w:divBdr>
    </w:div>
    <w:div w:id="1940916116">
      <w:bodyDiv w:val="1"/>
      <w:marLeft w:val="0"/>
      <w:marRight w:val="0"/>
      <w:marTop w:val="0"/>
      <w:marBottom w:val="0"/>
      <w:divBdr>
        <w:top w:val="none" w:sz="0" w:space="0" w:color="auto"/>
        <w:left w:val="none" w:sz="0" w:space="0" w:color="auto"/>
        <w:bottom w:val="none" w:sz="0" w:space="0" w:color="auto"/>
        <w:right w:val="none" w:sz="0" w:space="0" w:color="auto"/>
      </w:divBdr>
    </w:div>
    <w:div w:id="2140032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microsoft.com/office/2011/relationships/commentsExtended" Target="commentsExtended.xml"/><Relationship Id="rId10" Type="http://schemas.openxmlformats.org/officeDocument/2006/relationships/header" Target="head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FF756A-07F5-4725-9619-2F98793FF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7072</Words>
  <Characters>40315</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47293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2017-07-21T12:27:00Z</dcterms:created>
  <dcterms:modified xsi:type="dcterms:W3CDTF">2017-07-21T12:27:00Z</dcterms:modified>
</cp:coreProperties>
</file>