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04F9FD" w14:textId="77777777" w:rsidR="00F5283F" w:rsidRPr="001B228E" w:rsidRDefault="00CA458C" w:rsidP="00720ACA">
      <w:pPr>
        <w:jc w:val="center"/>
      </w:pPr>
      <w:bookmarkStart w:id="0" w:name="_GoBack"/>
      <w:bookmarkEnd w:id="0"/>
      <w:r w:rsidRPr="001B228E">
        <w:rPr>
          <w:noProof/>
          <w:lang w:eastAsia="en-ZA"/>
        </w:rPr>
        <w:drawing>
          <wp:inline distT="0" distB="0" distL="0" distR="0" wp14:anchorId="45458AE7" wp14:editId="17EE9E2E">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F72497" w14:textId="77777777" w:rsidR="00F5283F" w:rsidRPr="001B228E" w:rsidRDefault="00F5283F" w:rsidP="00720ACA">
      <w:pPr>
        <w:jc w:val="center"/>
      </w:pPr>
    </w:p>
    <w:p w14:paraId="6143B235" w14:textId="77777777" w:rsidR="001E5F5A" w:rsidRPr="001B228E" w:rsidRDefault="001E5F5A" w:rsidP="00720ACA">
      <w:pPr>
        <w:jc w:val="center"/>
        <w:rPr>
          <w:b/>
        </w:rPr>
      </w:pPr>
      <w:r w:rsidRPr="001B228E">
        <w:rPr>
          <w:b/>
        </w:rPr>
        <w:t>CONSTIT</w:t>
      </w:r>
      <w:r w:rsidR="00676CFE" w:rsidRPr="001B228E">
        <w:rPr>
          <w:b/>
        </w:rPr>
        <w:t>UT</w:t>
      </w:r>
      <w:r w:rsidRPr="001B228E">
        <w:rPr>
          <w:b/>
        </w:rPr>
        <w:t>IONAL COURT OF SOUTH AFRICA</w:t>
      </w:r>
    </w:p>
    <w:p w14:paraId="7D189708" w14:textId="77777777" w:rsidR="001E5F5A" w:rsidRPr="001B228E" w:rsidRDefault="001E5F5A" w:rsidP="00AE4640"/>
    <w:p w14:paraId="336710CF" w14:textId="51CD0C2F" w:rsidR="006966FC" w:rsidRPr="00432F64" w:rsidRDefault="0092276C" w:rsidP="002E16CF">
      <w:pPr>
        <w:rPr>
          <w:b/>
          <w:bCs/>
        </w:rPr>
      </w:pPr>
      <w:r>
        <w:rPr>
          <w:b/>
          <w:bCs/>
        </w:rPr>
        <w:t>F</w:t>
      </w:r>
      <w:r w:rsidRPr="0092276C">
        <w:rPr>
          <w:b/>
          <w:bCs/>
        </w:rPr>
        <w:t xml:space="preserve">ujitsu </w:t>
      </w:r>
      <w:r>
        <w:rPr>
          <w:b/>
          <w:bCs/>
        </w:rPr>
        <w:t>S</w:t>
      </w:r>
      <w:r w:rsidRPr="0092276C">
        <w:rPr>
          <w:b/>
          <w:bCs/>
        </w:rPr>
        <w:t xml:space="preserve">ervices </w:t>
      </w:r>
      <w:r>
        <w:rPr>
          <w:b/>
          <w:bCs/>
        </w:rPr>
        <w:t>C</w:t>
      </w:r>
      <w:r w:rsidRPr="0092276C">
        <w:rPr>
          <w:b/>
          <w:bCs/>
        </w:rPr>
        <w:t>ore (</w:t>
      </w:r>
      <w:r>
        <w:rPr>
          <w:b/>
          <w:bCs/>
        </w:rPr>
        <w:t>P</w:t>
      </w:r>
      <w:r w:rsidRPr="0092276C">
        <w:rPr>
          <w:b/>
          <w:bCs/>
        </w:rPr>
        <w:t xml:space="preserve">ty) </w:t>
      </w:r>
      <w:r w:rsidR="00893DB1">
        <w:rPr>
          <w:b/>
          <w:bCs/>
        </w:rPr>
        <w:t>L</w:t>
      </w:r>
      <w:r w:rsidR="00893DB1" w:rsidRPr="0092276C">
        <w:rPr>
          <w:b/>
          <w:bCs/>
        </w:rPr>
        <w:t xml:space="preserve">imited </w:t>
      </w:r>
      <w:r>
        <w:rPr>
          <w:b/>
          <w:bCs/>
        </w:rPr>
        <w:t>v S</w:t>
      </w:r>
      <w:r w:rsidRPr="0092276C">
        <w:rPr>
          <w:b/>
          <w:bCs/>
        </w:rPr>
        <w:t xml:space="preserve">chenker </w:t>
      </w:r>
      <w:r w:rsidR="0049195A">
        <w:rPr>
          <w:b/>
          <w:bCs/>
        </w:rPr>
        <w:t>S</w:t>
      </w:r>
      <w:r w:rsidRPr="0092276C">
        <w:rPr>
          <w:b/>
          <w:bCs/>
        </w:rPr>
        <w:t xml:space="preserve">outh </w:t>
      </w:r>
      <w:r w:rsidR="0049195A">
        <w:rPr>
          <w:b/>
          <w:bCs/>
        </w:rPr>
        <w:t>A</w:t>
      </w:r>
      <w:r w:rsidRPr="0092276C">
        <w:rPr>
          <w:b/>
          <w:bCs/>
        </w:rPr>
        <w:t>frica (</w:t>
      </w:r>
      <w:r w:rsidR="0049195A">
        <w:rPr>
          <w:b/>
          <w:bCs/>
        </w:rPr>
        <w:t>P</w:t>
      </w:r>
      <w:r w:rsidRPr="0092276C">
        <w:rPr>
          <w:b/>
          <w:bCs/>
        </w:rPr>
        <w:t xml:space="preserve">ty) </w:t>
      </w:r>
      <w:r w:rsidR="00893DB1">
        <w:rPr>
          <w:b/>
          <w:bCs/>
        </w:rPr>
        <w:t>L</w:t>
      </w:r>
      <w:r w:rsidR="00893DB1" w:rsidRPr="0092276C">
        <w:rPr>
          <w:b/>
          <w:bCs/>
        </w:rPr>
        <w:t>imited</w:t>
      </w:r>
    </w:p>
    <w:p w14:paraId="13FC9544" w14:textId="77777777" w:rsidR="006966FC" w:rsidRPr="001B228E" w:rsidRDefault="006966FC" w:rsidP="005F467F">
      <w:pPr>
        <w:tabs>
          <w:tab w:val="right" w:pos="9360"/>
        </w:tabs>
        <w:ind w:right="284"/>
        <w:rPr>
          <w:bCs/>
          <w:sz w:val="26"/>
          <w:szCs w:val="26"/>
        </w:rPr>
      </w:pPr>
    </w:p>
    <w:p w14:paraId="5BF710CB" w14:textId="487E229C" w:rsidR="00E07942" w:rsidRPr="001B228E" w:rsidRDefault="00D40819" w:rsidP="00720ACA">
      <w:pPr>
        <w:jc w:val="right"/>
        <w:rPr>
          <w:b/>
        </w:rPr>
      </w:pPr>
      <w:r w:rsidRPr="001B228E">
        <w:rPr>
          <w:b/>
        </w:rPr>
        <w:t>CCT</w:t>
      </w:r>
      <w:r w:rsidR="00720ACA" w:rsidRPr="001B228E">
        <w:rPr>
          <w:b/>
        </w:rPr>
        <w:t xml:space="preserve"> </w:t>
      </w:r>
      <w:r w:rsidR="0049195A">
        <w:rPr>
          <w:b/>
        </w:rPr>
        <w:t>32</w:t>
      </w:r>
      <w:r w:rsidR="003547F6">
        <w:rPr>
          <w:b/>
        </w:rPr>
        <w:t>/22</w:t>
      </w:r>
    </w:p>
    <w:p w14:paraId="304C1357" w14:textId="77777777" w:rsidR="00D40819" w:rsidRPr="001B228E" w:rsidRDefault="00D40819" w:rsidP="00720ACA">
      <w:pPr>
        <w:jc w:val="right"/>
        <w:rPr>
          <w:b/>
        </w:rPr>
      </w:pPr>
    </w:p>
    <w:p w14:paraId="718EB10B" w14:textId="7F64EF0A" w:rsidR="00E07942" w:rsidRPr="001B228E" w:rsidRDefault="00E07942" w:rsidP="00720ACA">
      <w:pPr>
        <w:jc w:val="right"/>
        <w:rPr>
          <w:b/>
        </w:rPr>
      </w:pPr>
      <w:r w:rsidRPr="001B228E">
        <w:rPr>
          <w:b/>
        </w:rPr>
        <w:t>Date of hearing:</w:t>
      </w:r>
      <w:r w:rsidR="00007674">
        <w:rPr>
          <w:b/>
        </w:rPr>
        <w:t xml:space="preserve"> </w:t>
      </w:r>
      <w:r w:rsidR="0049195A">
        <w:rPr>
          <w:b/>
        </w:rPr>
        <w:t>01</w:t>
      </w:r>
      <w:r w:rsidR="00D7324C">
        <w:rPr>
          <w:b/>
        </w:rPr>
        <w:t xml:space="preserve"> </w:t>
      </w:r>
      <w:r w:rsidR="0049195A">
        <w:rPr>
          <w:b/>
        </w:rPr>
        <w:t>Novem</w:t>
      </w:r>
      <w:r w:rsidR="00D7324C">
        <w:rPr>
          <w:b/>
        </w:rPr>
        <w:t>ber</w:t>
      </w:r>
      <w:r w:rsidR="009A21B8">
        <w:rPr>
          <w:b/>
        </w:rPr>
        <w:t xml:space="preserve"> 202</w:t>
      </w:r>
      <w:r w:rsidR="009E00B6">
        <w:rPr>
          <w:b/>
        </w:rPr>
        <w:t>2</w:t>
      </w:r>
    </w:p>
    <w:p w14:paraId="0A2AD4EE" w14:textId="77777777" w:rsidR="00823B02" w:rsidRPr="001B228E" w:rsidRDefault="00823B02" w:rsidP="00AE4640"/>
    <w:p w14:paraId="28377186" w14:textId="77777777" w:rsidR="001E5F5A" w:rsidRPr="001B228E" w:rsidRDefault="00526226" w:rsidP="00AE4640">
      <w:r w:rsidRPr="001B228E">
        <w:t>________________________________________________________________________</w:t>
      </w:r>
    </w:p>
    <w:p w14:paraId="720AEAF5" w14:textId="77777777" w:rsidR="00526226" w:rsidRPr="001B228E" w:rsidRDefault="00526226" w:rsidP="00526226">
      <w:pPr>
        <w:jc w:val="center"/>
        <w:rPr>
          <w:b/>
        </w:rPr>
      </w:pPr>
    </w:p>
    <w:p w14:paraId="27E4AB92" w14:textId="77777777" w:rsidR="00526226" w:rsidRPr="001B228E" w:rsidRDefault="001E5F5A" w:rsidP="00526226">
      <w:pPr>
        <w:jc w:val="center"/>
        <w:rPr>
          <w:b/>
        </w:rPr>
      </w:pPr>
      <w:r w:rsidRPr="001B228E">
        <w:rPr>
          <w:b/>
        </w:rPr>
        <w:t>MEDIA SUMMARY</w:t>
      </w:r>
    </w:p>
    <w:p w14:paraId="0A96CF8B" w14:textId="77777777" w:rsidR="00526226" w:rsidRPr="001B228E" w:rsidRDefault="00526226" w:rsidP="00526226">
      <w:pPr>
        <w:jc w:val="center"/>
      </w:pPr>
      <w:r w:rsidRPr="001B228E">
        <w:t>________________________________________________________________________</w:t>
      </w:r>
    </w:p>
    <w:p w14:paraId="56A4B042" w14:textId="77777777" w:rsidR="001E5F5A" w:rsidRPr="001B228E" w:rsidRDefault="001E5F5A" w:rsidP="008B532D">
      <w:pPr>
        <w:spacing w:line="360" w:lineRule="auto"/>
        <w:jc w:val="left"/>
      </w:pPr>
    </w:p>
    <w:p w14:paraId="070AA6A0" w14:textId="77777777" w:rsidR="001E5F5A" w:rsidRPr="001B228E" w:rsidRDefault="001E5F5A" w:rsidP="006474CE">
      <w:pPr>
        <w:rPr>
          <w:i/>
        </w:rPr>
      </w:pPr>
      <w:r w:rsidRPr="001B228E">
        <w:rPr>
          <w:i/>
        </w:rPr>
        <w:t xml:space="preserve">The following </w:t>
      </w:r>
      <w:r w:rsidR="008C3682" w:rsidRPr="001B228E">
        <w:rPr>
          <w:i/>
        </w:rPr>
        <w:t xml:space="preserve">explanatory note </w:t>
      </w:r>
      <w:r w:rsidRPr="001B228E">
        <w:rPr>
          <w:i/>
        </w:rPr>
        <w:t>is provided to assist the media in reporting this case and is not binding on the Constitutional Court or any member of the Court.</w:t>
      </w:r>
    </w:p>
    <w:p w14:paraId="3EA70903" w14:textId="77777777" w:rsidR="00AB06B4" w:rsidRPr="001B228E" w:rsidRDefault="00AB06B4" w:rsidP="00DE5133"/>
    <w:p w14:paraId="5E8351F2" w14:textId="4E7B8F5E" w:rsidR="00ED1244" w:rsidRDefault="006474CE" w:rsidP="000C3F0C">
      <w:pPr>
        <w:rPr>
          <w:lang w:val="en-US"/>
        </w:rPr>
      </w:pPr>
      <w:r w:rsidRPr="001B228E">
        <w:t xml:space="preserve">On </w:t>
      </w:r>
      <w:r w:rsidR="00D7324C">
        <w:t>T</w:t>
      </w:r>
      <w:r w:rsidR="0049195A">
        <w:t>uesday</w:t>
      </w:r>
      <w:r w:rsidR="00D7324C">
        <w:t xml:space="preserve">, </w:t>
      </w:r>
      <w:r w:rsidR="0049195A">
        <w:t>01</w:t>
      </w:r>
      <w:r w:rsidR="00D7324C">
        <w:t xml:space="preserve"> </w:t>
      </w:r>
      <w:r w:rsidR="0049195A">
        <w:t>November</w:t>
      </w:r>
      <w:r w:rsidR="008376A5" w:rsidRPr="001B228E">
        <w:t xml:space="preserve"> </w:t>
      </w:r>
      <w:r w:rsidR="00432F64">
        <w:t xml:space="preserve">2022 </w:t>
      </w:r>
      <w:r w:rsidR="00AC799A" w:rsidRPr="001B228E">
        <w:t xml:space="preserve">at </w:t>
      </w:r>
      <w:r w:rsidR="0007028D" w:rsidRPr="001B228E">
        <w:t>10</w:t>
      </w:r>
      <w:r w:rsidR="00AC799A" w:rsidRPr="001B228E">
        <w:t>h00</w:t>
      </w:r>
      <w:r w:rsidR="00023AEF" w:rsidRPr="001B228E">
        <w:t>,</w:t>
      </w:r>
      <w:r w:rsidR="00AC799A" w:rsidRPr="001B228E">
        <w:t xml:space="preserve"> </w:t>
      </w:r>
      <w:r w:rsidR="000D35AE" w:rsidRPr="001B228E">
        <w:t xml:space="preserve">the </w:t>
      </w:r>
      <w:r w:rsidR="008C3682" w:rsidRPr="001B228E">
        <w:t xml:space="preserve">Constitutional Court </w:t>
      </w:r>
      <w:r w:rsidR="0038611E">
        <w:t xml:space="preserve">will hear </w:t>
      </w:r>
      <w:r w:rsidR="00FA1C4B">
        <w:t xml:space="preserve">an application for leave to appeal against </w:t>
      </w:r>
      <w:r w:rsidR="008E5AF4" w:rsidRPr="008E5AF4">
        <w:t xml:space="preserve">the judgment </w:t>
      </w:r>
      <w:r w:rsidR="00BD684F">
        <w:t xml:space="preserve">and order </w:t>
      </w:r>
      <w:r w:rsidR="008E5AF4">
        <w:t>of the</w:t>
      </w:r>
      <w:r w:rsidR="00FA1C4B">
        <w:t xml:space="preserve"> Supreme Court of Appeal</w:t>
      </w:r>
      <w:r w:rsidR="00893DB1">
        <w:t xml:space="preserve"> wherein that Court held that </w:t>
      </w:r>
      <w:r w:rsidR="0034199E" w:rsidRPr="0034199E">
        <w:rPr>
          <w:lang w:val="en-US"/>
        </w:rPr>
        <w:t>Fujitsu</w:t>
      </w:r>
      <w:r w:rsidR="0034199E">
        <w:rPr>
          <w:lang w:val="en-US"/>
        </w:rPr>
        <w:t>’</w:t>
      </w:r>
      <w:r w:rsidR="0034199E" w:rsidRPr="0034199E">
        <w:rPr>
          <w:lang w:val="en-US"/>
        </w:rPr>
        <w:t>s cause of action was one wh</w:t>
      </w:r>
      <w:r w:rsidR="00F30E08">
        <w:rPr>
          <w:lang w:val="en-US"/>
        </w:rPr>
        <w:t>ich fell within the ambit of an</w:t>
      </w:r>
      <w:r w:rsidR="0034199E" w:rsidRPr="0034199E">
        <w:rPr>
          <w:lang w:val="en-US"/>
        </w:rPr>
        <w:t xml:space="preserve"> </w:t>
      </w:r>
      <w:r w:rsidR="0034199E">
        <w:rPr>
          <w:lang w:val="en-US"/>
        </w:rPr>
        <w:t>exemption clause, absolving Schenker of liability arising from the</w:t>
      </w:r>
      <w:r w:rsidR="00606848">
        <w:rPr>
          <w:lang w:val="en-US"/>
        </w:rPr>
        <w:t>ft</w:t>
      </w:r>
      <w:r w:rsidR="0034199E">
        <w:rPr>
          <w:lang w:val="en-US"/>
        </w:rPr>
        <w:t xml:space="preserve"> of </w:t>
      </w:r>
      <w:r w:rsidR="00606848">
        <w:rPr>
          <w:lang w:val="en-US"/>
        </w:rPr>
        <w:t xml:space="preserve">Fujitsu’s </w:t>
      </w:r>
      <w:r w:rsidR="0034199E">
        <w:rPr>
          <w:lang w:val="en-US"/>
        </w:rPr>
        <w:t xml:space="preserve">goods by </w:t>
      </w:r>
      <w:r w:rsidR="00606848">
        <w:rPr>
          <w:lang w:val="en-US"/>
        </w:rPr>
        <w:t xml:space="preserve">an </w:t>
      </w:r>
      <w:r w:rsidR="0034199E">
        <w:rPr>
          <w:lang w:val="en-US"/>
        </w:rPr>
        <w:t>employee</w:t>
      </w:r>
      <w:r w:rsidR="00606848">
        <w:rPr>
          <w:lang w:val="en-US"/>
        </w:rPr>
        <w:t xml:space="preserve"> of Schenker</w:t>
      </w:r>
      <w:r w:rsidR="0034199E">
        <w:rPr>
          <w:lang w:val="en-US"/>
        </w:rPr>
        <w:t>.</w:t>
      </w:r>
    </w:p>
    <w:p w14:paraId="15708632" w14:textId="77777777" w:rsidR="00ED1244" w:rsidRDefault="00ED1244" w:rsidP="000C3F0C">
      <w:pPr>
        <w:rPr>
          <w:lang w:val="en-US"/>
        </w:rPr>
      </w:pPr>
    </w:p>
    <w:p w14:paraId="35A6DB7B" w14:textId="022BFE1C" w:rsidR="009B2B0F" w:rsidRDefault="009B2B0F" w:rsidP="000C3F0C">
      <w:pPr>
        <w:rPr>
          <w:iCs/>
        </w:rPr>
      </w:pPr>
      <w:r w:rsidRPr="009B2B0F">
        <w:rPr>
          <w:iCs/>
        </w:rPr>
        <w:t>At</w:t>
      </w:r>
      <w:r w:rsidR="00FA1C4B">
        <w:rPr>
          <w:iCs/>
        </w:rPr>
        <w:t xml:space="preserve"> the heart of this matter</w:t>
      </w:r>
      <w:r w:rsidRPr="009B2B0F">
        <w:rPr>
          <w:iCs/>
        </w:rPr>
        <w:t xml:space="preserve"> is the proper interpretation of two ex</w:t>
      </w:r>
      <w:r w:rsidR="00416469">
        <w:rPr>
          <w:iCs/>
        </w:rPr>
        <w:t>emption</w:t>
      </w:r>
      <w:r w:rsidRPr="009B2B0F">
        <w:rPr>
          <w:iCs/>
        </w:rPr>
        <w:t xml:space="preserve"> clauses </w:t>
      </w:r>
      <w:r w:rsidR="00416469">
        <w:rPr>
          <w:iCs/>
        </w:rPr>
        <w:t xml:space="preserve">and </w:t>
      </w:r>
      <w:r w:rsidRPr="009B2B0F">
        <w:rPr>
          <w:iCs/>
        </w:rPr>
        <w:t xml:space="preserve">whether </w:t>
      </w:r>
      <w:r w:rsidR="0045187B">
        <w:rPr>
          <w:iCs/>
        </w:rPr>
        <w:t>said</w:t>
      </w:r>
      <w:r w:rsidRPr="009B2B0F">
        <w:rPr>
          <w:iCs/>
        </w:rPr>
        <w:t xml:space="preserve"> clauses are against public policy.</w:t>
      </w:r>
      <w:r w:rsidR="00ED1244">
        <w:rPr>
          <w:iCs/>
        </w:rPr>
        <w:t xml:space="preserve">  </w:t>
      </w:r>
      <w:r w:rsidR="00FA1C4B">
        <w:rPr>
          <w:iCs/>
        </w:rPr>
        <w:t>T</w:t>
      </w:r>
      <w:r w:rsidRPr="009B2B0F">
        <w:rPr>
          <w:iCs/>
        </w:rPr>
        <w:t>he applicant (Fujitsu) concluded a</w:t>
      </w:r>
      <w:r w:rsidR="000E4577">
        <w:t>n agreement with the respondent (</w:t>
      </w:r>
      <w:r w:rsidR="000E4577" w:rsidRPr="000E4577">
        <w:rPr>
          <w:iCs/>
        </w:rPr>
        <w:t>Schenker</w:t>
      </w:r>
      <w:r w:rsidR="000E4577">
        <w:rPr>
          <w:iCs/>
        </w:rPr>
        <w:t>)</w:t>
      </w:r>
      <w:r w:rsidR="0045187B">
        <w:rPr>
          <w:iCs/>
        </w:rPr>
        <w:t>,</w:t>
      </w:r>
      <w:r w:rsidR="000E4577" w:rsidRPr="000E4577">
        <w:rPr>
          <w:iCs/>
        </w:rPr>
        <w:t xml:space="preserve"> a warehouse operator, distributor, clearing and forwarding agent. </w:t>
      </w:r>
      <w:r w:rsidR="000E4577">
        <w:rPr>
          <w:iCs/>
        </w:rPr>
        <w:t xml:space="preserve"> T</w:t>
      </w:r>
      <w:r w:rsidR="000E4577" w:rsidRPr="000E4577">
        <w:rPr>
          <w:iCs/>
        </w:rPr>
        <w:t xml:space="preserve">he material terms of </w:t>
      </w:r>
      <w:r w:rsidR="000E4577">
        <w:rPr>
          <w:iCs/>
        </w:rPr>
        <w:t>the agreement</w:t>
      </w:r>
      <w:r w:rsidR="000E4577" w:rsidRPr="000E4577">
        <w:rPr>
          <w:iCs/>
        </w:rPr>
        <w:t xml:space="preserve"> were that Schenker would, from time to time, at Fujitsu</w:t>
      </w:r>
      <w:r w:rsidR="00A25FAF">
        <w:rPr>
          <w:iCs/>
        </w:rPr>
        <w:t>’</w:t>
      </w:r>
      <w:r w:rsidR="000E4577" w:rsidRPr="000E4577">
        <w:rPr>
          <w:iCs/>
        </w:rPr>
        <w:t>s special instance and request, on behalf of Fujitsu and for reward, make use of Schenker</w:t>
      </w:r>
      <w:r w:rsidR="00A25FAF">
        <w:rPr>
          <w:iCs/>
        </w:rPr>
        <w:t>’</w:t>
      </w:r>
      <w:r w:rsidR="000E4577" w:rsidRPr="000E4577">
        <w:rPr>
          <w:iCs/>
        </w:rPr>
        <w:t xml:space="preserve">s mentioned services. </w:t>
      </w:r>
    </w:p>
    <w:p w14:paraId="0D2C8073" w14:textId="7F487877" w:rsidR="00A25FAF" w:rsidRDefault="00A25FAF" w:rsidP="000C3F0C">
      <w:pPr>
        <w:rPr>
          <w:iCs/>
        </w:rPr>
      </w:pPr>
    </w:p>
    <w:p w14:paraId="5F112755" w14:textId="5D1BBF5D" w:rsidR="0038611E" w:rsidRDefault="00A25FAF" w:rsidP="000C3F0C">
      <w:pPr>
        <w:rPr>
          <w:iCs/>
        </w:rPr>
      </w:pPr>
      <w:r w:rsidRPr="00A25FAF">
        <w:rPr>
          <w:iCs/>
          <w:lang w:val="en-US"/>
        </w:rPr>
        <w:t>Between 19 and 23 June 2012, the S</w:t>
      </w:r>
      <w:r w:rsidR="00A65357">
        <w:rPr>
          <w:iCs/>
          <w:lang w:val="en-US"/>
        </w:rPr>
        <w:t xml:space="preserve">outh </w:t>
      </w:r>
      <w:r w:rsidRPr="00A25FAF">
        <w:rPr>
          <w:iCs/>
          <w:lang w:val="en-US"/>
        </w:rPr>
        <w:t>A</w:t>
      </w:r>
      <w:r w:rsidR="00A65357">
        <w:rPr>
          <w:iCs/>
          <w:lang w:val="en-US"/>
        </w:rPr>
        <w:t xml:space="preserve">frican </w:t>
      </w:r>
      <w:r w:rsidRPr="00A25FAF">
        <w:rPr>
          <w:iCs/>
          <w:lang w:val="en-US"/>
        </w:rPr>
        <w:t>A</w:t>
      </w:r>
      <w:r w:rsidR="00A65357">
        <w:rPr>
          <w:iCs/>
          <w:lang w:val="en-US"/>
        </w:rPr>
        <w:t>irways</w:t>
      </w:r>
      <w:r w:rsidRPr="00A25FAF">
        <w:rPr>
          <w:iCs/>
          <w:lang w:val="en-US"/>
        </w:rPr>
        <w:t xml:space="preserve"> </w:t>
      </w:r>
      <w:r w:rsidR="0002042E">
        <w:rPr>
          <w:iCs/>
          <w:lang w:val="en-US"/>
        </w:rPr>
        <w:t xml:space="preserve">(SAA) </w:t>
      </w:r>
      <w:r w:rsidRPr="00A25FAF">
        <w:rPr>
          <w:iCs/>
          <w:lang w:val="en-US"/>
        </w:rPr>
        <w:t>carried three consignments of computers and related accessories</w:t>
      </w:r>
      <w:r w:rsidR="00A65357">
        <w:rPr>
          <w:iCs/>
          <w:lang w:val="en-US"/>
        </w:rPr>
        <w:t xml:space="preserve"> belonging to Fujit</w:t>
      </w:r>
      <w:r w:rsidR="0045187B">
        <w:rPr>
          <w:iCs/>
          <w:lang w:val="en-US"/>
        </w:rPr>
        <w:t>s</w:t>
      </w:r>
      <w:r w:rsidR="00A65357">
        <w:rPr>
          <w:iCs/>
          <w:lang w:val="en-US"/>
        </w:rPr>
        <w:t>u from</w:t>
      </w:r>
      <w:r w:rsidRPr="00A25FAF">
        <w:rPr>
          <w:iCs/>
          <w:lang w:val="en-US"/>
        </w:rPr>
        <w:t xml:space="preserve"> Munich, Germany, to O</w:t>
      </w:r>
      <w:r w:rsidR="00A65357">
        <w:rPr>
          <w:iCs/>
          <w:lang w:val="en-US"/>
        </w:rPr>
        <w:t xml:space="preserve">liver </w:t>
      </w:r>
      <w:r w:rsidRPr="00A25FAF">
        <w:rPr>
          <w:iCs/>
          <w:lang w:val="en-US"/>
        </w:rPr>
        <w:t>T</w:t>
      </w:r>
      <w:r w:rsidR="00A65357">
        <w:rPr>
          <w:iCs/>
          <w:lang w:val="en-US"/>
        </w:rPr>
        <w:t xml:space="preserve">ambo </w:t>
      </w:r>
      <w:r w:rsidRPr="00A25FAF">
        <w:rPr>
          <w:iCs/>
          <w:lang w:val="en-US"/>
        </w:rPr>
        <w:t>I</w:t>
      </w:r>
      <w:r w:rsidR="00A65357">
        <w:rPr>
          <w:iCs/>
          <w:lang w:val="en-US"/>
        </w:rPr>
        <w:t xml:space="preserve">nternational </w:t>
      </w:r>
      <w:r w:rsidRPr="00A25FAF">
        <w:rPr>
          <w:iCs/>
          <w:lang w:val="en-US"/>
        </w:rPr>
        <w:t>A</w:t>
      </w:r>
      <w:r w:rsidR="00A65357">
        <w:rPr>
          <w:iCs/>
          <w:lang w:val="en-US"/>
        </w:rPr>
        <w:t>irport</w:t>
      </w:r>
      <w:r w:rsidRPr="00A25FAF">
        <w:rPr>
          <w:iCs/>
          <w:lang w:val="en-US"/>
        </w:rPr>
        <w:t xml:space="preserve">. </w:t>
      </w:r>
      <w:r w:rsidR="00A65357">
        <w:rPr>
          <w:iCs/>
          <w:lang w:val="en-US"/>
        </w:rPr>
        <w:t xml:space="preserve"> </w:t>
      </w:r>
      <w:r w:rsidRPr="00A25FAF">
        <w:rPr>
          <w:iCs/>
          <w:lang w:val="en-US"/>
        </w:rPr>
        <w:t>Fujits</w:t>
      </w:r>
      <w:r w:rsidR="0045187B">
        <w:rPr>
          <w:iCs/>
          <w:lang w:val="en-US"/>
        </w:rPr>
        <w:t>u,</w:t>
      </w:r>
      <w:r w:rsidR="00A65357">
        <w:rPr>
          <w:iCs/>
          <w:lang w:val="en-US"/>
        </w:rPr>
        <w:t xml:space="preserve"> as agreed upon</w:t>
      </w:r>
      <w:r w:rsidR="0045187B">
        <w:rPr>
          <w:iCs/>
          <w:lang w:val="en-US"/>
        </w:rPr>
        <w:t>,</w:t>
      </w:r>
      <w:r w:rsidRPr="00A25FAF">
        <w:rPr>
          <w:iCs/>
          <w:lang w:val="en-US"/>
        </w:rPr>
        <w:t xml:space="preserve"> engaged Schenker</w:t>
      </w:r>
      <w:r w:rsidR="0045187B">
        <w:rPr>
          <w:iCs/>
          <w:lang w:val="en-US"/>
        </w:rPr>
        <w:t>’</w:t>
      </w:r>
      <w:r w:rsidRPr="00A25FAF">
        <w:rPr>
          <w:iCs/>
          <w:lang w:val="en-US"/>
        </w:rPr>
        <w:t>s services for logistics, warehousing, clearing, and forwarding thereof.</w:t>
      </w:r>
      <w:r w:rsidR="0002042E">
        <w:rPr>
          <w:iCs/>
          <w:lang w:val="en-US"/>
        </w:rPr>
        <w:t xml:space="preserve">  </w:t>
      </w:r>
      <w:r w:rsidR="0038611E">
        <w:rPr>
          <w:iCs/>
        </w:rPr>
        <w:t>Schenker had</w:t>
      </w:r>
      <w:r w:rsidR="00FA1C4B" w:rsidRPr="00FA1C4B">
        <w:rPr>
          <w:iCs/>
        </w:rPr>
        <w:t xml:space="preserve"> employed </w:t>
      </w:r>
      <w:r w:rsidR="0038611E">
        <w:rPr>
          <w:iCs/>
        </w:rPr>
        <w:t xml:space="preserve">a certain </w:t>
      </w:r>
      <w:r w:rsidR="00FA1C4B" w:rsidRPr="00FA1C4B">
        <w:rPr>
          <w:iCs/>
        </w:rPr>
        <w:t xml:space="preserve">Mr Lerama as a drawing clerk who was, amongst other things, responsible for the collection of cargo at the SAA Cargo Warehouse.  </w:t>
      </w:r>
      <w:r w:rsidR="0045187B">
        <w:rPr>
          <w:iCs/>
        </w:rPr>
        <w:t>Mr Lerama</w:t>
      </w:r>
      <w:r w:rsidR="00FA1C4B" w:rsidRPr="00FA1C4B">
        <w:rPr>
          <w:iCs/>
        </w:rPr>
        <w:t xml:space="preserve"> had passed a vetting process, was issued with a security card and, from time to time, </w:t>
      </w:r>
      <w:r w:rsidR="00893DB1">
        <w:rPr>
          <w:iCs/>
        </w:rPr>
        <w:t xml:space="preserve">was </w:t>
      </w:r>
      <w:r w:rsidR="00FA1C4B" w:rsidRPr="00FA1C4B">
        <w:rPr>
          <w:iCs/>
        </w:rPr>
        <w:t>given access to all relevant airway bills and customs clearance documents necessary for the cargo to be released from SAA Cargo Warehouse</w:t>
      </w:r>
      <w:r w:rsidR="0038611E">
        <w:rPr>
          <w:iCs/>
        </w:rPr>
        <w:t>.</w:t>
      </w:r>
      <w:r w:rsidR="00893DB1">
        <w:rPr>
          <w:iCs/>
        </w:rPr>
        <w:t xml:space="preserve">  </w:t>
      </w:r>
      <w:r w:rsidR="0038611E" w:rsidRPr="0038611E">
        <w:rPr>
          <w:iCs/>
        </w:rPr>
        <w:t xml:space="preserve">Mr Lerama normally did not work on Saturdays.  However, on Saturday 23 June 2012, </w:t>
      </w:r>
      <w:r w:rsidR="0045187B">
        <w:rPr>
          <w:iCs/>
        </w:rPr>
        <w:t>he</w:t>
      </w:r>
      <w:r w:rsidR="0038611E" w:rsidRPr="0038611E">
        <w:rPr>
          <w:iCs/>
        </w:rPr>
        <w:t xml:space="preserve"> arrived at the SAA Cargo Warehouse, not in a Schenker Truck but, instead, in a truck privately hired, showed his security and the release documents, collected the consignment of laptops and accessories and disappeared with them all.  He never returned to work and </w:t>
      </w:r>
      <w:r w:rsidR="0045187B">
        <w:rPr>
          <w:iCs/>
        </w:rPr>
        <w:t>is yet to be found</w:t>
      </w:r>
      <w:r w:rsidR="0038611E" w:rsidRPr="0038611E">
        <w:rPr>
          <w:iCs/>
        </w:rPr>
        <w:t>.</w:t>
      </w:r>
      <w:r w:rsidR="00A65357">
        <w:rPr>
          <w:iCs/>
        </w:rPr>
        <w:t xml:space="preserve">  </w:t>
      </w:r>
      <w:r w:rsidR="00F30E08">
        <w:rPr>
          <w:iCs/>
        </w:rPr>
        <w:t>In simple terms, Mr </w:t>
      </w:r>
      <w:r w:rsidR="0045187B">
        <w:rPr>
          <w:iCs/>
        </w:rPr>
        <w:t>Lerama stole</w:t>
      </w:r>
      <w:r w:rsidR="00A65357">
        <w:rPr>
          <w:iCs/>
        </w:rPr>
        <w:t xml:space="preserve"> the goods</w:t>
      </w:r>
      <w:r w:rsidR="0045187B">
        <w:rPr>
          <w:iCs/>
        </w:rPr>
        <w:t xml:space="preserve"> belonging to Fujitsu</w:t>
      </w:r>
      <w:r w:rsidR="00A65357">
        <w:rPr>
          <w:iCs/>
        </w:rPr>
        <w:t>.</w:t>
      </w:r>
    </w:p>
    <w:p w14:paraId="664AEA00" w14:textId="62FFF2EA" w:rsidR="00A65357" w:rsidRDefault="00A65357" w:rsidP="000C3F0C">
      <w:pPr>
        <w:rPr>
          <w:iCs/>
        </w:rPr>
      </w:pPr>
    </w:p>
    <w:p w14:paraId="1016F0F3" w14:textId="5D1797B6" w:rsidR="00A65357" w:rsidRDefault="00A65357" w:rsidP="000C3F0C">
      <w:pPr>
        <w:rPr>
          <w:iCs/>
        </w:rPr>
      </w:pPr>
      <w:r>
        <w:rPr>
          <w:iCs/>
        </w:rPr>
        <w:t>Fujitsu</w:t>
      </w:r>
      <w:r w:rsidRPr="00A65357">
        <w:rPr>
          <w:iCs/>
        </w:rPr>
        <w:t xml:space="preserve"> </w:t>
      </w:r>
      <w:r w:rsidR="00C670E2">
        <w:rPr>
          <w:iCs/>
        </w:rPr>
        <w:t xml:space="preserve">subsequently </w:t>
      </w:r>
      <w:r w:rsidRPr="00A65357">
        <w:rPr>
          <w:iCs/>
        </w:rPr>
        <w:t>instituted a delictual claim</w:t>
      </w:r>
      <w:r>
        <w:rPr>
          <w:iCs/>
        </w:rPr>
        <w:t xml:space="preserve"> in the High Court</w:t>
      </w:r>
      <w:r w:rsidRPr="00A65357">
        <w:rPr>
          <w:iCs/>
        </w:rPr>
        <w:t xml:space="preserve"> for damages against </w:t>
      </w:r>
      <w:r>
        <w:rPr>
          <w:iCs/>
        </w:rPr>
        <w:t>Schenker</w:t>
      </w:r>
      <w:r w:rsidRPr="00A65357">
        <w:rPr>
          <w:iCs/>
        </w:rPr>
        <w:t xml:space="preserve"> in relation to the theft.  It contended that the respondent was vicariously liable for the loss suffered as a result of the theft.</w:t>
      </w:r>
      <w:r>
        <w:rPr>
          <w:iCs/>
          <w:vertAlign w:val="superscript"/>
        </w:rPr>
        <w:t xml:space="preserve"> </w:t>
      </w:r>
      <w:r w:rsidRPr="00A65357">
        <w:rPr>
          <w:iCs/>
        </w:rPr>
        <w:t xml:space="preserve"> </w:t>
      </w:r>
      <w:r>
        <w:rPr>
          <w:iCs/>
        </w:rPr>
        <w:t xml:space="preserve"> Schenker</w:t>
      </w:r>
      <w:r w:rsidRPr="00A65357">
        <w:rPr>
          <w:iCs/>
        </w:rPr>
        <w:t xml:space="preserve"> conceded that Mr Lerama acted within the course and scope of his employment when he committed the theft</w:t>
      </w:r>
      <w:r w:rsidR="00CA46B0">
        <w:rPr>
          <w:iCs/>
        </w:rPr>
        <w:t>.</w:t>
      </w:r>
      <w:r w:rsidRPr="00A65357">
        <w:rPr>
          <w:iCs/>
        </w:rPr>
        <w:t xml:space="preserve"> </w:t>
      </w:r>
      <w:r w:rsidR="00CA46B0">
        <w:rPr>
          <w:iCs/>
        </w:rPr>
        <w:t xml:space="preserve"> </w:t>
      </w:r>
      <w:r w:rsidRPr="00A65357">
        <w:rPr>
          <w:iCs/>
        </w:rPr>
        <w:t>It argued, however, that clauses 17 and 40 of the contract exempted it from liability</w:t>
      </w:r>
      <w:r w:rsidR="00CA46B0">
        <w:rPr>
          <w:iCs/>
        </w:rPr>
        <w:t>.</w:t>
      </w:r>
    </w:p>
    <w:p w14:paraId="164ED108" w14:textId="68B5E25E" w:rsidR="0038611E" w:rsidRDefault="0038611E" w:rsidP="000C3F0C">
      <w:pPr>
        <w:rPr>
          <w:iCs/>
        </w:rPr>
      </w:pPr>
    </w:p>
    <w:p w14:paraId="245A5289" w14:textId="69D81549" w:rsidR="00C20710" w:rsidRDefault="00C20710" w:rsidP="00C20710">
      <w:pPr>
        <w:rPr>
          <w:iCs/>
          <w:lang w:val="en-US"/>
        </w:rPr>
      </w:pPr>
      <w:r>
        <w:rPr>
          <w:iCs/>
          <w:lang w:val="en-US"/>
        </w:rPr>
        <w:lastRenderedPageBreak/>
        <w:t xml:space="preserve">Clause 17 </w:t>
      </w:r>
      <w:r w:rsidR="0002042E">
        <w:rPr>
          <w:iCs/>
          <w:lang w:val="en-US"/>
        </w:rPr>
        <w:t xml:space="preserve">of the agreement between the parties </w:t>
      </w:r>
      <w:r>
        <w:rPr>
          <w:iCs/>
          <w:lang w:val="en-US"/>
        </w:rPr>
        <w:t>is titled</w:t>
      </w:r>
      <w:r w:rsidR="0045187B">
        <w:rPr>
          <w:iCs/>
          <w:lang w:val="en-US"/>
        </w:rPr>
        <w:t>:</w:t>
      </w:r>
      <w:r>
        <w:rPr>
          <w:iCs/>
          <w:lang w:val="en-US"/>
        </w:rPr>
        <w:t xml:space="preserve"> “</w:t>
      </w:r>
      <w:r w:rsidRPr="00C20710">
        <w:rPr>
          <w:bCs/>
          <w:iCs/>
          <w:lang w:val="en-US"/>
        </w:rPr>
        <w:t>Goods requiring Special Arrangements</w:t>
      </w:r>
      <w:r>
        <w:rPr>
          <w:bCs/>
          <w:iCs/>
          <w:lang w:val="en-US"/>
        </w:rPr>
        <w:t xml:space="preserve">”.  It </w:t>
      </w:r>
      <w:r w:rsidR="0002042E">
        <w:rPr>
          <w:bCs/>
          <w:iCs/>
          <w:lang w:val="en-US"/>
        </w:rPr>
        <w:t xml:space="preserve">essentially </w:t>
      </w:r>
      <w:r>
        <w:rPr>
          <w:bCs/>
          <w:iCs/>
          <w:lang w:val="en-US"/>
        </w:rPr>
        <w:t xml:space="preserve">provides </w:t>
      </w:r>
      <w:r w:rsidR="0002042E">
        <w:rPr>
          <w:bCs/>
          <w:iCs/>
          <w:lang w:val="en-US"/>
        </w:rPr>
        <w:t>that</w:t>
      </w:r>
      <w:r w:rsidR="0045187B">
        <w:rPr>
          <w:bCs/>
          <w:iCs/>
          <w:lang w:val="en-US"/>
        </w:rPr>
        <w:t>,</w:t>
      </w:r>
      <w:r w:rsidR="0002042E">
        <w:rPr>
          <w:bCs/>
          <w:iCs/>
          <w:lang w:val="en-US"/>
        </w:rPr>
        <w:t xml:space="preserve"> e</w:t>
      </w:r>
      <w:r w:rsidRPr="00C20710">
        <w:rPr>
          <w:iCs/>
          <w:lang w:val="en-US"/>
        </w:rPr>
        <w:t>xcept under special arrangements previously made in writing, Schenker will not incur liability whatsoever in respect of such goods</w:t>
      </w:r>
      <w:r w:rsidR="0002042E">
        <w:rPr>
          <w:iCs/>
          <w:lang w:val="en-US"/>
        </w:rPr>
        <w:t xml:space="preserve"> or</w:t>
      </w:r>
      <w:r w:rsidRPr="00C20710">
        <w:rPr>
          <w:iCs/>
          <w:lang w:val="en-US"/>
        </w:rPr>
        <w:t xml:space="preserve"> its negligent acts or omissions in respect of such goods.</w:t>
      </w:r>
      <w:r w:rsidR="0002042E">
        <w:rPr>
          <w:iCs/>
          <w:lang w:val="en-US"/>
        </w:rPr>
        <w:t xml:space="preserve">  </w:t>
      </w:r>
      <w:r>
        <w:rPr>
          <w:iCs/>
          <w:lang w:val="en-US"/>
        </w:rPr>
        <w:t>Clause 40</w:t>
      </w:r>
      <w:r w:rsidRPr="00C20710">
        <w:rPr>
          <w:iCs/>
          <w:lang w:val="en-US"/>
        </w:rPr>
        <w:t>, head</w:t>
      </w:r>
      <w:r w:rsidR="0045187B">
        <w:rPr>
          <w:iCs/>
          <w:lang w:val="en-US"/>
        </w:rPr>
        <w:t>ed</w:t>
      </w:r>
      <w:r w:rsidRPr="00C20710">
        <w:rPr>
          <w:iCs/>
          <w:lang w:val="en-US"/>
        </w:rPr>
        <w:t xml:space="preserve"> </w:t>
      </w:r>
      <w:r>
        <w:rPr>
          <w:iCs/>
          <w:lang w:val="en-US"/>
        </w:rPr>
        <w:t>“</w:t>
      </w:r>
      <w:r w:rsidRPr="00C20710">
        <w:rPr>
          <w:iCs/>
          <w:lang w:val="en-US"/>
        </w:rPr>
        <w:t>Limitation of Company</w:t>
      </w:r>
      <w:r w:rsidR="0002042E">
        <w:rPr>
          <w:iCs/>
          <w:lang w:val="en-US"/>
        </w:rPr>
        <w:t>’</w:t>
      </w:r>
      <w:r w:rsidRPr="00C20710">
        <w:rPr>
          <w:iCs/>
          <w:lang w:val="en-US"/>
        </w:rPr>
        <w:t>s Liability</w:t>
      </w:r>
      <w:r>
        <w:rPr>
          <w:iCs/>
          <w:lang w:val="en-US"/>
        </w:rPr>
        <w:t>”</w:t>
      </w:r>
      <w:r w:rsidR="0045187B">
        <w:rPr>
          <w:iCs/>
          <w:lang w:val="en-US"/>
        </w:rPr>
        <w:t>,</w:t>
      </w:r>
      <w:r w:rsidRPr="00C20710">
        <w:rPr>
          <w:iCs/>
          <w:lang w:val="en-US"/>
        </w:rPr>
        <w:t xml:space="preserve"> in turn provides that Schenker shall not be liable for any claim of whatsoever nature (whether in contract or in delict) and whether for damages or otherwise, howsoever arising,</w:t>
      </w:r>
      <w:r w:rsidR="0045187B">
        <w:rPr>
          <w:iCs/>
          <w:lang w:val="en-US"/>
        </w:rPr>
        <w:t xml:space="preserve"> . . . </w:t>
      </w:r>
      <w:r w:rsidRPr="00C20710">
        <w:rPr>
          <w:iCs/>
          <w:lang w:val="en-US"/>
        </w:rPr>
        <w:t>including any negligent act or omission or statement by Schenker or its servants</w:t>
      </w:r>
      <w:r w:rsidR="0002042E">
        <w:rPr>
          <w:iCs/>
          <w:lang w:val="en-US"/>
        </w:rPr>
        <w:t>’</w:t>
      </w:r>
      <w:r w:rsidRPr="00C20710">
        <w:rPr>
          <w:iCs/>
          <w:lang w:val="en-US"/>
        </w:rPr>
        <w:t xml:space="preserve"> unless the claim arises from a grossly negligent act or omission on the part of Schenker or its servants and such claim arises at a</w:t>
      </w:r>
      <w:r w:rsidR="00F75B6D">
        <w:rPr>
          <w:iCs/>
          <w:lang w:val="en-US"/>
        </w:rPr>
        <w:t xml:space="preserve"> </w:t>
      </w:r>
      <w:r w:rsidRPr="00C20710">
        <w:rPr>
          <w:iCs/>
          <w:lang w:val="en-US"/>
        </w:rPr>
        <w:t>time when the goods were in the actual custody of Schenker and under its actual control.</w:t>
      </w:r>
    </w:p>
    <w:p w14:paraId="04ADBDFB" w14:textId="185E0281" w:rsidR="00F75B6D" w:rsidRDefault="00F75B6D" w:rsidP="00C20710">
      <w:pPr>
        <w:rPr>
          <w:iCs/>
          <w:lang w:val="en-US"/>
        </w:rPr>
      </w:pPr>
    </w:p>
    <w:p w14:paraId="441B353E" w14:textId="38C5F793" w:rsidR="00282078" w:rsidRPr="000A6D5F" w:rsidRDefault="00500C82" w:rsidP="00282078">
      <w:pPr>
        <w:rPr>
          <w:iCs/>
          <w:lang w:val="en-US"/>
        </w:rPr>
      </w:pPr>
      <w:r w:rsidRPr="00500C82">
        <w:rPr>
          <w:iCs/>
          <w:lang w:val="en-US"/>
        </w:rPr>
        <w:t>The question</w:t>
      </w:r>
      <w:r w:rsidR="0002042E">
        <w:rPr>
          <w:iCs/>
          <w:lang w:val="en-US"/>
        </w:rPr>
        <w:t xml:space="preserve"> before the High Court was therefore whether Schenker </w:t>
      </w:r>
      <w:r w:rsidR="000A6D5F">
        <w:rPr>
          <w:iCs/>
          <w:lang w:val="en-US"/>
        </w:rPr>
        <w:t xml:space="preserve">is </w:t>
      </w:r>
      <w:r w:rsidRPr="00500C82">
        <w:rPr>
          <w:iCs/>
          <w:lang w:val="en-US"/>
        </w:rPr>
        <w:t xml:space="preserve">liable for damages arising from the theft and, if so, </w:t>
      </w:r>
      <w:r w:rsidR="000A6D5F">
        <w:rPr>
          <w:iCs/>
          <w:lang w:val="en-US"/>
        </w:rPr>
        <w:t xml:space="preserve">whether </w:t>
      </w:r>
      <w:r w:rsidRPr="00500C82">
        <w:rPr>
          <w:iCs/>
          <w:lang w:val="en-US"/>
        </w:rPr>
        <w:t xml:space="preserve">that liability </w:t>
      </w:r>
      <w:r w:rsidR="00893DB1">
        <w:rPr>
          <w:iCs/>
          <w:lang w:val="en-US"/>
        </w:rPr>
        <w:t xml:space="preserve">is </w:t>
      </w:r>
      <w:r w:rsidRPr="00500C82">
        <w:rPr>
          <w:iCs/>
          <w:lang w:val="en-US"/>
        </w:rPr>
        <w:t>excluded by the provisions of the written contracts between the parties</w:t>
      </w:r>
      <w:r w:rsidR="000A6D5F">
        <w:rPr>
          <w:iCs/>
          <w:lang w:val="en-US"/>
        </w:rPr>
        <w:t xml:space="preserve">.  </w:t>
      </w:r>
      <w:r w:rsidR="00282078" w:rsidRPr="00282078">
        <w:rPr>
          <w:lang w:val="en-US"/>
        </w:rPr>
        <w:t xml:space="preserve">The </w:t>
      </w:r>
      <w:r w:rsidR="000A6D5F">
        <w:rPr>
          <w:lang w:val="en-US"/>
        </w:rPr>
        <w:t>H</w:t>
      </w:r>
      <w:r w:rsidR="00282078" w:rsidRPr="00282078">
        <w:rPr>
          <w:lang w:val="en-US"/>
        </w:rPr>
        <w:t xml:space="preserve">igh </w:t>
      </w:r>
      <w:r w:rsidR="008E21E3">
        <w:rPr>
          <w:lang w:val="en-US"/>
        </w:rPr>
        <w:t>C</w:t>
      </w:r>
      <w:r w:rsidR="00282078" w:rsidRPr="00282078">
        <w:rPr>
          <w:lang w:val="en-US"/>
        </w:rPr>
        <w:t xml:space="preserve">ourt </w:t>
      </w:r>
      <w:r w:rsidR="000A6D5F">
        <w:rPr>
          <w:lang w:val="en-US"/>
        </w:rPr>
        <w:t>held</w:t>
      </w:r>
      <w:r w:rsidR="00282078" w:rsidRPr="00282078">
        <w:rPr>
          <w:lang w:val="en-US"/>
        </w:rPr>
        <w:t xml:space="preserve"> that </w:t>
      </w:r>
      <w:r w:rsidR="00F30E08" w:rsidRPr="00282078">
        <w:rPr>
          <w:lang w:val="en-US"/>
        </w:rPr>
        <w:t>Mr.</w:t>
      </w:r>
      <w:r w:rsidR="00282078" w:rsidRPr="00282078">
        <w:rPr>
          <w:lang w:val="en-US"/>
        </w:rPr>
        <w:t xml:space="preserve"> Lerama was not executing the contract when he attended to SAA Cargo on Saturday 23 June 2012 to steal Fujitsu</w:t>
      </w:r>
      <w:r w:rsidR="000A6D5F">
        <w:rPr>
          <w:lang w:val="en-US"/>
        </w:rPr>
        <w:t>’</w:t>
      </w:r>
      <w:r w:rsidR="00282078" w:rsidRPr="00282078">
        <w:rPr>
          <w:lang w:val="en-US"/>
        </w:rPr>
        <w:t>s goods and that the theft was an act outside the performance of the agreement.</w:t>
      </w:r>
      <w:r w:rsidR="000A6D5F">
        <w:rPr>
          <w:lang w:val="en-US"/>
        </w:rPr>
        <w:t xml:space="preserve"> </w:t>
      </w:r>
      <w:r w:rsidR="00282078" w:rsidRPr="00282078">
        <w:rPr>
          <w:lang w:val="en-US"/>
        </w:rPr>
        <w:t xml:space="preserve"> The </w:t>
      </w:r>
      <w:r w:rsidR="000A6D5F">
        <w:rPr>
          <w:lang w:val="en-US"/>
        </w:rPr>
        <w:t>H</w:t>
      </w:r>
      <w:r w:rsidR="00282078" w:rsidRPr="00282078">
        <w:rPr>
          <w:lang w:val="en-US"/>
        </w:rPr>
        <w:t>igh</w:t>
      </w:r>
      <w:r w:rsidR="008E21E3">
        <w:rPr>
          <w:lang w:val="en-US"/>
        </w:rPr>
        <w:t> C</w:t>
      </w:r>
      <w:r w:rsidR="00282078" w:rsidRPr="00282078">
        <w:rPr>
          <w:lang w:val="en-US"/>
        </w:rPr>
        <w:t xml:space="preserve">ourt </w:t>
      </w:r>
      <w:r w:rsidR="008E21E3">
        <w:rPr>
          <w:lang w:val="en-US"/>
        </w:rPr>
        <w:t xml:space="preserve">thus </w:t>
      </w:r>
      <w:r w:rsidR="00282078" w:rsidRPr="00282078">
        <w:rPr>
          <w:lang w:val="en-US"/>
        </w:rPr>
        <w:t>held</w:t>
      </w:r>
      <w:r w:rsidR="008E21E3">
        <w:rPr>
          <w:lang w:val="en-US"/>
        </w:rPr>
        <w:t xml:space="preserve"> that</w:t>
      </w:r>
      <w:r w:rsidR="00282078" w:rsidRPr="00282078">
        <w:rPr>
          <w:lang w:val="en-US"/>
        </w:rPr>
        <w:t xml:space="preserve"> the exemption clause relied upon by Schenker to escape liability did not apply. </w:t>
      </w:r>
      <w:r w:rsidR="000A6D5F">
        <w:rPr>
          <w:lang w:val="en-US"/>
        </w:rPr>
        <w:t xml:space="preserve"> </w:t>
      </w:r>
      <w:r w:rsidR="00282078" w:rsidRPr="00282078">
        <w:rPr>
          <w:lang w:val="en-US"/>
        </w:rPr>
        <w:t xml:space="preserve">The </w:t>
      </w:r>
      <w:r w:rsidR="000A6D5F">
        <w:rPr>
          <w:lang w:val="en-US"/>
        </w:rPr>
        <w:t>C</w:t>
      </w:r>
      <w:r w:rsidR="00282078" w:rsidRPr="00282078">
        <w:rPr>
          <w:lang w:val="en-US"/>
        </w:rPr>
        <w:t>ourt reasoned that the parties did not contemplate that clauses</w:t>
      </w:r>
      <w:r w:rsidR="008E21E3">
        <w:rPr>
          <w:lang w:val="en-US"/>
        </w:rPr>
        <w:t> </w:t>
      </w:r>
      <w:r w:rsidR="00282078" w:rsidRPr="00282078">
        <w:rPr>
          <w:lang w:val="en-US"/>
        </w:rPr>
        <w:t>40 and</w:t>
      </w:r>
      <w:r w:rsidR="008E21E3">
        <w:rPr>
          <w:lang w:val="en-US"/>
        </w:rPr>
        <w:t> </w:t>
      </w:r>
      <w:r w:rsidR="00282078" w:rsidRPr="00282078">
        <w:rPr>
          <w:lang w:val="en-US"/>
        </w:rPr>
        <w:t>41 of the contract would include a delictual liability of the sort articulated in the particulars of claim (theft by</w:t>
      </w:r>
      <w:r w:rsidR="00282078">
        <w:rPr>
          <w:lang w:val="en-US"/>
        </w:rPr>
        <w:t xml:space="preserve"> </w:t>
      </w:r>
      <w:r w:rsidR="00282078" w:rsidRPr="00282078">
        <w:rPr>
          <w:lang w:val="en-US"/>
        </w:rPr>
        <w:t>an employee) because the claim did not arise pursuant to or during the services rendered by Schenker or while the goods were in its custody or control.</w:t>
      </w:r>
      <w:r w:rsidR="000A6D5F">
        <w:rPr>
          <w:lang w:val="en-US"/>
        </w:rPr>
        <w:t xml:space="preserve"> In other words</w:t>
      </w:r>
      <w:r w:rsidR="008E21E3">
        <w:rPr>
          <w:lang w:val="en-US"/>
        </w:rPr>
        <w:t>,</w:t>
      </w:r>
      <w:r w:rsidR="000A6D5F">
        <w:rPr>
          <w:lang w:val="en-US"/>
        </w:rPr>
        <w:t xml:space="preserve"> the Court was of the view that</w:t>
      </w:r>
      <w:r w:rsidR="00893DB1">
        <w:rPr>
          <w:lang w:val="en-US"/>
        </w:rPr>
        <w:t>,</w:t>
      </w:r>
      <w:r w:rsidR="000A6D5F">
        <w:rPr>
          <w:lang w:val="en-US"/>
        </w:rPr>
        <w:t xml:space="preserve"> if it was the parties’ intention to exclude theft by an employee, the</w:t>
      </w:r>
      <w:r w:rsidR="008E21E3">
        <w:rPr>
          <w:lang w:val="en-US"/>
        </w:rPr>
        <w:t>y</w:t>
      </w:r>
      <w:r w:rsidR="000A6D5F">
        <w:rPr>
          <w:lang w:val="en-US"/>
        </w:rPr>
        <w:t xml:space="preserve"> would have included such a provision in the agreement.</w:t>
      </w:r>
    </w:p>
    <w:p w14:paraId="55C0AA3E" w14:textId="62D65540" w:rsidR="00282078" w:rsidRPr="00282078" w:rsidRDefault="00282078" w:rsidP="00282078">
      <w:pPr>
        <w:rPr>
          <w:lang w:val="en-US"/>
        </w:rPr>
      </w:pPr>
    </w:p>
    <w:p w14:paraId="5EADD853" w14:textId="6D79D6B0" w:rsidR="00760491" w:rsidRPr="00760491" w:rsidRDefault="00CF4B63" w:rsidP="00760491">
      <w:r w:rsidRPr="00CF4B63">
        <w:t>By the time the matter reached the Supreme Court of Appeal, the sole issue for determination was whether Fujitsu</w:t>
      </w:r>
      <w:r w:rsidR="000A6D5F">
        <w:t>’</w:t>
      </w:r>
      <w:r w:rsidRPr="00CF4B63">
        <w:t>s delictual claim based on theft was excluded by clauses</w:t>
      </w:r>
      <w:r w:rsidR="008E21E3">
        <w:t> </w:t>
      </w:r>
      <w:r w:rsidRPr="00CF4B63">
        <w:t>17 and 40 of the standard terms.  The Supreme Court of Appeal</w:t>
      </w:r>
      <w:r w:rsidRPr="00CF4B63" w:rsidDel="00696FD8">
        <w:t xml:space="preserve"> </w:t>
      </w:r>
      <w:r w:rsidRPr="00CF4B63">
        <w:t xml:space="preserve">held that “Schenker was informed of the arrival of Fujitsu’s goods [at the warehouse]” and Mr Lerama accessed </w:t>
      </w:r>
      <w:r w:rsidR="008E21E3">
        <w:t>said</w:t>
      </w:r>
      <w:r w:rsidRPr="00CF4B63">
        <w:t xml:space="preserve"> goods “using documents given to him by Schenker”.</w:t>
      </w:r>
      <w:r>
        <w:t xml:space="preserve">  </w:t>
      </w:r>
      <w:r w:rsidRPr="00CF4B63">
        <w:t xml:space="preserve">In that regard, the Supreme Court of Appeal interpreted clause 17 of the standard terms as having wide application to any goods that are </w:t>
      </w:r>
      <w:r w:rsidR="000A6D5F">
        <w:t>“</w:t>
      </w:r>
      <w:r w:rsidRPr="00CF4B63">
        <w:t>handled</w:t>
      </w:r>
      <w:r w:rsidR="000A6D5F">
        <w:t>”</w:t>
      </w:r>
      <w:r w:rsidRPr="00CF4B63">
        <w:t xml:space="preserve"> or </w:t>
      </w:r>
      <w:r w:rsidR="000A6D5F">
        <w:t>“</w:t>
      </w:r>
      <w:r w:rsidRPr="00CF4B63">
        <w:t>dealt with</w:t>
      </w:r>
      <w:r w:rsidR="000A6D5F">
        <w:t>”</w:t>
      </w:r>
      <w:r w:rsidRPr="00CF4B63">
        <w:t xml:space="preserve"> regardless of whether the person handling or dealing with them is a thief. </w:t>
      </w:r>
      <w:r w:rsidR="00616E2B">
        <w:t xml:space="preserve"> </w:t>
      </w:r>
      <w:r w:rsidRPr="00CF4B63">
        <w:t xml:space="preserve">In doing so, the Court purported to apply the ordinary meaning of </w:t>
      </w:r>
      <w:r w:rsidR="000A6D5F">
        <w:t>“</w:t>
      </w:r>
      <w:r w:rsidRPr="00CF4B63">
        <w:t>handled</w:t>
      </w:r>
      <w:r w:rsidR="000A6D5F">
        <w:t>”</w:t>
      </w:r>
      <w:r w:rsidRPr="00CF4B63">
        <w:t xml:space="preserve"> and </w:t>
      </w:r>
      <w:r w:rsidR="000A6D5F">
        <w:t>“</w:t>
      </w:r>
      <w:r w:rsidRPr="00CF4B63">
        <w:t>dealt with</w:t>
      </w:r>
      <w:r w:rsidR="00616E2B">
        <w:t>”</w:t>
      </w:r>
      <w:r w:rsidRPr="00CF4B63">
        <w:t xml:space="preserve"> without having regard to the overall contractual context in which those words appear.</w:t>
      </w:r>
      <w:r w:rsidR="00760491">
        <w:t xml:space="preserve">  </w:t>
      </w:r>
      <w:r w:rsidR="00760491" w:rsidRPr="00760491">
        <w:t>The Supreme Court of Appeal</w:t>
      </w:r>
      <w:r w:rsidR="00760491" w:rsidRPr="00760491" w:rsidDel="00696FD8">
        <w:t xml:space="preserve"> </w:t>
      </w:r>
      <w:r w:rsidR="00760491" w:rsidRPr="00760491">
        <w:t>thus held that th</w:t>
      </w:r>
      <w:r w:rsidR="00616E2B">
        <w:t>e two provisions</w:t>
      </w:r>
      <w:r w:rsidR="00760491" w:rsidRPr="00760491">
        <w:t xml:space="preserve"> excluded damages arising from intentional misconduct.  It noted, in addition, that clause</w:t>
      </w:r>
      <w:r w:rsidR="008E21E3">
        <w:t> </w:t>
      </w:r>
      <w:r w:rsidR="00760491" w:rsidRPr="00760491">
        <w:t xml:space="preserve">17 specifies that it applies absent a special arrangement.  The purpose of this provision, as held by the Supreme Court of Appeal, was to completely exclude liability in circumstances where no special arrangements are made.  This was to ensure that where </w:t>
      </w:r>
      <w:r w:rsidR="00616E2B">
        <w:t xml:space="preserve">Fujitsu </w:t>
      </w:r>
      <w:r w:rsidR="00760491" w:rsidRPr="00760491">
        <w:t>was required to handle valuables, it would have adequate opportunity to take steps to mitigate the risk of theft or any other potential claim.</w:t>
      </w:r>
      <w:r w:rsidR="00616E2B">
        <w:t xml:space="preserve">  </w:t>
      </w:r>
      <w:r w:rsidR="00760491" w:rsidRPr="00760491">
        <w:t>The judgment of the Supreme Court of Appeal</w:t>
      </w:r>
      <w:r w:rsidR="00760491" w:rsidRPr="00760491" w:rsidDel="00696FD8">
        <w:t xml:space="preserve"> </w:t>
      </w:r>
      <w:r w:rsidR="00760491" w:rsidRPr="00760491">
        <w:t xml:space="preserve">accorded with </w:t>
      </w:r>
      <w:r w:rsidR="00760491" w:rsidRPr="00760491">
        <w:rPr>
          <w:i/>
          <w:iCs/>
        </w:rPr>
        <w:t xml:space="preserve">Goodman Brothers </w:t>
      </w:r>
      <w:r w:rsidR="00760491" w:rsidRPr="00760491">
        <w:t>which the Supreme Court of Appeal</w:t>
      </w:r>
      <w:r w:rsidR="00760491" w:rsidRPr="00760491" w:rsidDel="00696FD8">
        <w:t xml:space="preserve"> </w:t>
      </w:r>
      <w:r w:rsidR="00760491" w:rsidRPr="00760491">
        <w:t>explained was not challenged by the applicant and remains good law.</w:t>
      </w:r>
      <w:r w:rsidR="008E21E3">
        <w:t xml:space="preserve">  Aggrieved by the decision of the Supreme Court of Appeal, Fujitsu now approaches this Court.</w:t>
      </w:r>
    </w:p>
    <w:p w14:paraId="4346C6FC" w14:textId="78C19467" w:rsidR="00CF4B63" w:rsidRPr="00CF4B63" w:rsidRDefault="00CF4B63" w:rsidP="00CF4B63"/>
    <w:p w14:paraId="4F481F18" w14:textId="6F5D5583" w:rsidR="00CF4B63" w:rsidRDefault="00616E2B" w:rsidP="00CF4B63">
      <w:r>
        <w:t xml:space="preserve">Before this Court, Fujitsu </w:t>
      </w:r>
      <w:r w:rsidR="00760491" w:rsidRPr="00760491">
        <w:t>contends that this matter engages t</w:t>
      </w:r>
      <w:r w:rsidR="008E21E3">
        <w:t>he</w:t>
      </w:r>
      <w:r w:rsidR="00760491" w:rsidRPr="00760491">
        <w:t xml:space="preserve"> Court’s extended jurisdiction, as the matter raises an arguable point of law of general public importance.  It submits that the question of whether the exemption clauses relied upon by Schenker exclude liability for a delictual claim for theft by one of its employees requires this Court to interpret key clauses in the South African Freight Forwarding Association’s standard terms and conditions.  It further argues that this raises “</w:t>
      </w:r>
      <w:r w:rsidR="00760491" w:rsidRPr="00760491">
        <w:rPr>
          <w:i/>
        </w:rPr>
        <w:t>a quintessential point of law</w:t>
      </w:r>
      <w:r w:rsidR="00760491" w:rsidRPr="00760491">
        <w:t>” that is one of general public importance</w:t>
      </w:r>
      <w:r w:rsidR="00760491">
        <w:t xml:space="preserve">. </w:t>
      </w:r>
      <w:r>
        <w:t xml:space="preserve"> Fujitsu further </w:t>
      </w:r>
      <w:r w:rsidR="00FD3643" w:rsidRPr="00FD3643">
        <w:t>argue</w:t>
      </w:r>
      <w:r>
        <w:t>s</w:t>
      </w:r>
      <w:r w:rsidR="00FD3643" w:rsidRPr="00FD3643">
        <w:t xml:space="preserve"> that it is trite law that parties may contractually define and restrict the nature and scope of their obligations.  And that the general approach is to construe indemnity clauses restrictively.  </w:t>
      </w:r>
      <w:r w:rsidR="00893DB1">
        <w:t>Fujitsu contends that</w:t>
      </w:r>
      <w:r w:rsidR="00FD3643" w:rsidRPr="00FD3643">
        <w:t xml:space="preserve"> a party wishing to contract out of liability must do so in “clear and unequivocal terms”.  In the case of doubt, ambiguity or secondary meaning, the issue must be resolved against the </w:t>
      </w:r>
      <w:r w:rsidR="00FD3643" w:rsidRPr="00F30E08">
        <w:rPr>
          <w:i/>
        </w:rPr>
        <w:t>proferens</w:t>
      </w:r>
      <w:r w:rsidR="00FD3643" w:rsidRPr="00FD3643">
        <w:t>.</w:t>
      </w:r>
    </w:p>
    <w:p w14:paraId="2E585AA0" w14:textId="0E9968BF" w:rsidR="006B48E7" w:rsidRDefault="006B48E7" w:rsidP="00FD3643"/>
    <w:p w14:paraId="2E5418D7" w14:textId="5270E906" w:rsidR="006B48E7" w:rsidRDefault="00C203C0" w:rsidP="00FD3643">
      <w:r>
        <w:t>Fujitsu</w:t>
      </w:r>
      <w:r w:rsidR="008E21E3">
        <w:t xml:space="preserve"> further argues</w:t>
      </w:r>
      <w:r w:rsidR="006B48E7" w:rsidRPr="006B48E7">
        <w:t xml:space="preserve"> that Clause 40 is silent on theft by an employee.  </w:t>
      </w:r>
      <w:r>
        <w:t>Fujitsu argues that f</w:t>
      </w:r>
      <w:r w:rsidR="006B48E7" w:rsidRPr="006B48E7">
        <w:t>ollowing the approach taken by Canadian and English courts, this silence alone – given that the theft of the goods is fundamentally contrary to the nature of the contract – warrants a finding that the exemption of liability does not apply to theft by an employee.  It argues that the language of clause</w:t>
      </w:r>
      <w:r w:rsidR="00893DB1">
        <w:t>s</w:t>
      </w:r>
      <w:r w:rsidR="006B48E7" w:rsidRPr="006B48E7">
        <w:t xml:space="preserve"> 17 and 40 likewise suggests that the activity to which they apply is the activity of performing the contract according to the dictates of the contracting parties.</w:t>
      </w:r>
    </w:p>
    <w:p w14:paraId="5AA52F82" w14:textId="0E1C6B11" w:rsidR="00BC283F" w:rsidRDefault="00BC283F" w:rsidP="00282078"/>
    <w:p w14:paraId="734420AC" w14:textId="61C11D4C" w:rsidR="00BC283F" w:rsidRPr="00282078" w:rsidRDefault="00BC283F" w:rsidP="00282078">
      <w:r>
        <w:lastRenderedPageBreak/>
        <w:t>Furthermore</w:t>
      </w:r>
      <w:r w:rsidR="00893DB1">
        <w:t>,</w:t>
      </w:r>
      <w:r>
        <w:t xml:space="preserve"> Fujitsu</w:t>
      </w:r>
      <w:r w:rsidRPr="00BC283F">
        <w:t xml:space="preserve"> argues that if exemption clauses are not interpreted in the manner </w:t>
      </w:r>
      <w:r>
        <w:t xml:space="preserve">it </w:t>
      </w:r>
      <w:r w:rsidRPr="00BC283F">
        <w:t>suggest</w:t>
      </w:r>
      <w:r>
        <w:t>s</w:t>
      </w:r>
      <w:r w:rsidRPr="00BC283F">
        <w:t xml:space="preserve">, their effect will be that liability is excluded for wrongful acts by employees committed outside the contractual context, including theft.  </w:t>
      </w:r>
      <w:r>
        <w:t>Fujitsu</w:t>
      </w:r>
      <w:r w:rsidRPr="00BC283F">
        <w:t xml:space="preserve"> argues that although a similar exclusion was deemed compatible with public policy in </w:t>
      </w:r>
      <w:r w:rsidRPr="00BC283F">
        <w:rPr>
          <w:i/>
        </w:rPr>
        <w:t>Goodman Brothers</w:t>
      </w:r>
      <w:r w:rsidRPr="00BC283F">
        <w:t xml:space="preserve">, there are compelling public policy considerations which warrant a reconsideration of that finding. </w:t>
      </w:r>
      <w:r w:rsidR="009C6C70">
        <w:t xml:space="preserve"> </w:t>
      </w:r>
      <w:r w:rsidR="00893DB1">
        <w:t>In addition, Fujitsu argues that,</w:t>
      </w:r>
      <w:r w:rsidRPr="00BC283F">
        <w:t xml:space="preserve"> apart from being </w:t>
      </w:r>
      <w:r w:rsidR="00893DB1">
        <w:t>a</w:t>
      </w:r>
      <w:r w:rsidRPr="00BC283F">
        <w:t xml:space="preserve"> decision of the Full Court which does not bind this Court, </w:t>
      </w:r>
      <w:r w:rsidRPr="00BC283F">
        <w:rPr>
          <w:i/>
        </w:rPr>
        <w:t>Goodman Brothers</w:t>
      </w:r>
      <w:r w:rsidR="00893DB1">
        <w:t xml:space="preserve"> </w:t>
      </w:r>
      <w:r w:rsidRPr="00BC283F">
        <w:t xml:space="preserve">had a </w:t>
      </w:r>
      <w:r w:rsidR="004402F4">
        <w:t>narrow focus and pre-dated this </w:t>
      </w:r>
      <w:r w:rsidRPr="00BC283F">
        <w:t xml:space="preserve">Court’s seminal ruling on public policy in </w:t>
      </w:r>
      <w:r w:rsidRPr="00BC283F">
        <w:rPr>
          <w:i/>
        </w:rPr>
        <w:t>Barkhuizen</w:t>
      </w:r>
      <w:r w:rsidRPr="00BC283F">
        <w:t>.</w:t>
      </w:r>
    </w:p>
    <w:p w14:paraId="13183FCF" w14:textId="77777777" w:rsidR="00282078" w:rsidRPr="00282078" w:rsidRDefault="00282078" w:rsidP="00282078">
      <w:pPr>
        <w:rPr>
          <w:lang w:val="en-US"/>
        </w:rPr>
      </w:pPr>
    </w:p>
    <w:p w14:paraId="56D8B94B" w14:textId="798D6C75" w:rsidR="00306C70" w:rsidRDefault="00E42EF2" w:rsidP="00306C70">
      <w:r w:rsidRPr="00E42EF2">
        <w:t>Schenker contends that it is apparent from this Court’s jurisprudence, that this matter does not engage this Court’s non-constitutional appellate jurisdiction under section</w:t>
      </w:r>
      <w:r w:rsidR="00893DB1">
        <w:t> </w:t>
      </w:r>
      <w:r w:rsidRPr="00E42EF2">
        <w:t>167(3)(b)(ii) of the Constitution</w:t>
      </w:r>
      <w:r w:rsidR="00306C70">
        <w:t xml:space="preserve">.  </w:t>
      </w:r>
      <w:r w:rsidR="00F3574E">
        <w:t>Schenker</w:t>
      </w:r>
      <w:r w:rsidR="00306C70" w:rsidRPr="00306C70">
        <w:t xml:space="preserve"> further opposes the appeal on the basis that the S</w:t>
      </w:r>
      <w:r w:rsidR="00F3574E">
        <w:t>upreme </w:t>
      </w:r>
      <w:r w:rsidR="00306C70" w:rsidRPr="00306C70">
        <w:t>C</w:t>
      </w:r>
      <w:r w:rsidR="00F3574E">
        <w:t xml:space="preserve">ourt of </w:t>
      </w:r>
      <w:r w:rsidR="00306C70" w:rsidRPr="00306C70">
        <w:t>A</w:t>
      </w:r>
      <w:r w:rsidR="00F3574E">
        <w:t>ppeal</w:t>
      </w:r>
      <w:r w:rsidR="00306C70" w:rsidRPr="00306C70">
        <w:t>’s interpretation of the disputed exemption clauses is correct, in that</w:t>
      </w:r>
      <w:r w:rsidR="00893DB1">
        <w:t>,</w:t>
      </w:r>
      <w:r w:rsidR="00306C70" w:rsidRPr="00306C70">
        <w:t xml:space="preserve"> properly interpreted</w:t>
      </w:r>
      <w:r w:rsidR="00893DB1">
        <w:t>,</w:t>
      </w:r>
      <w:r w:rsidR="00306C70" w:rsidRPr="00306C70">
        <w:t xml:space="preserve"> these clauses exclude liability for the theft of Schenker’s employees, and this exclusion of liability is not contrary to public policy.</w:t>
      </w:r>
      <w:r w:rsidR="00F3574E">
        <w:t xml:space="preserve"> </w:t>
      </w:r>
      <w:r w:rsidR="00F3574E">
        <w:rPr>
          <w:rFonts w:eastAsia="Calibri"/>
          <w:sz w:val="26"/>
          <w:szCs w:val="22"/>
        </w:rPr>
        <w:t xml:space="preserve"> </w:t>
      </w:r>
      <w:r w:rsidR="009C6C70">
        <w:t xml:space="preserve">Schenker </w:t>
      </w:r>
      <w:r w:rsidR="00306C70" w:rsidRPr="00306C70">
        <w:t>submits that the public-policy argument advanced by t</w:t>
      </w:r>
      <w:r w:rsidR="004402F4">
        <w:t xml:space="preserve">he Fujitsu </w:t>
      </w:r>
      <w:r w:rsidR="00306C70" w:rsidRPr="00306C70">
        <w:t>is fatally defective</w:t>
      </w:r>
      <w:r w:rsidR="00893DB1">
        <w:t xml:space="preserve">. </w:t>
      </w:r>
      <w:r w:rsidR="00306C70" w:rsidRPr="00306C70">
        <w:t xml:space="preserve"> </w:t>
      </w:r>
      <w:r w:rsidR="00893DB1">
        <w:t>This is so because,</w:t>
      </w:r>
      <w:r w:rsidR="00306C70" w:rsidRPr="00306C70">
        <w:t xml:space="preserve"> first, on a proper reading of </w:t>
      </w:r>
      <w:r w:rsidR="00306C70" w:rsidRPr="00306C70">
        <w:rPr>
          <w:i/>
        </w:rPr>
        <w:t>Goodman Brothers</w:t>
      </w:r>
      <w:r w:rsidR="00306C70" w:rsidRPr="00306C70">
        <w:t xml:space="preserve">, it is clear that </w:t>
      </w:r>
      <w:r w:rsidR="009C6C70">
        <w:t>Fujitsu</w:t>
      </w:r>
      <w:r w:rsidR="00306C70" w:rsidRPr="00306C70">
        <w:t>’s characterisation of its</w:t>
      </w:r>
      <w:r w:rsidR="00306C70" w:rsidRPr="00606848">
        <w:rPr>
          <w:i/>
          <w:iCs/>
        </w:rPr>
        <w:t xml:space="preserve"> ratio </w:t>
      </w:r>
      <w:r w:rsidR="00306C70" w:rsidRPr="00306C70">
        <w:t>is incorrect; second, Fujitsu is incorrect that the exemption clause undermines the essence of the contract between it and Schenker.</w:t>
      </w:r>
      <w:r w:rsidR="000773DD">
        <w:t xml:space="preserve">  It is Schenker’s case that the Supreme Court of Appeal correctly interpreted clause 17 read with clause</w:t>
      </w:r>
      <w:r w:rsidR="00893DB1">
        <w:t>s</w:t>
      </w:r>
      <w:r w:rsidR="000773DD">
        <w:t xml:space="preserve"> 40 and 41.</w:t>
      </w:r>
    </w:p>
    <w:p w14:paraId="7050EDAF" w14:textId="6BBB413E" w:rsidR="000773DD" w:rsidRDefault="000773DD" w:rsidP="00306C70"/>
    <w:p w14:paraId="5A664D2C" w14:textId="727316DE" w:rsidR="00EC716F" w:rsidRPr="001B228E" w:rsidRDefault="000773DD" w:rsidP="006474CE">
      <w:r>
        <w:t>In the circumstance, Schenker prays that leave to appeal be dismissed on the basis that this matter does not engage the jurisdiction of this Court.  In the alternative</w:t>
      </w:r>
      <w:r w:rsidR="00893DB1">
        <w:t>,</w:t>
      </w:r>
      <w:r>
        <w:t xml:space="preserve"> Schenker argues that should leave to appeal be granted, that the matter ought to be dismissed on</w:t>
      </w:r>
      <w:r w:rsidR="00B5015F">
        <w:t xml:space="preserve"> the ground that </w:t>
      </w:r>
      <w:r w:rsidR="00893DB1">
        <w:t xml:space="preserve">the </w:t>
      </w:r>
      <w:r w:rsidR="00B5015F">
        <w:t>exemption clauses</w:t>
      </w:r>
      <w:r w:rsidR="00893DB1">
        <w:t xml:space="preserve"> in question</w:t>
      </w:r>
      <w:r w:rsidR="00B5015F">
        <w:t>, properly interpreted</w:t>
      </w:r>
      <w:r w:rsidR="00893DB1">
        <w:t>,</w:t>
      </w:r>
      <w:r w:rsidR="00B5015F">
        <w:t xml:space="preserve"> exclude liability for theft by an employee of Schenker.  Schenker asks that the order in both circumstances include the cost of two counsel.</w:t>
      </w:r>
    </w:p>
    <w:sectPr w:rsidR="00EC716F" w:rsidRPr="001B228E"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1539BB" w14:textId="77777777" w:rsidR="00694643" w:rsidRDefault="00694643" w:rsidP="004A5089">
      <w:r>
        <w:separator/>
      </w:r>
    </w:p>
  </w:endnote>
  <w:endnote w:type="continuationSeparator" w:id="0">
    <w:p w14:paraId="327B340A" w14:textId="77777777" w:rsidR="00694643" w:rsidRDefault="00694643"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7AB086" w14:textId="77777777" w:rsidR="00694643" w:rsidRDefault="00694643" w:rsidP="004A5089">
      <w:r>
        <w:separator/>
      </w:r>
    </w:p>
  </w:footnote>
  <w:footnote w:type="continuationSeparator" w:id="0">
    <w:p w14:paraId="49C6BBF9" w14:textId="77777777" w:rsidR="00694643" w:rsidRDefault="00694643" w:rsidP="004A50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AC44C5"/>
    <w:multiLevelType w:val="hybridMultilevel"/>
    <w:tmpl w:val="CFC41706"/>
    <w:lvl w:ilvl="0" w:tplc="3612CC4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2C5B6431"/>
    <w:multiLevelType w:val="hybridMultilevel"/>
    <w:tmpl w:val="D16A88FE"/>
    <w:lvl w:ilvl="0" w:tplc="AA00580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2F69095B"/>
    <w:multiLevelType w:val="hybridMultilevel"/>
    <w:tmpl w:val="3422543C"/>
    <w:lvl w:ilvl="0" w:tplc="D8C23718">
      <w:start w:val="2"/>
      <w:numFmt w:val="decimal"/>
      <w:lvlText w:val="[%1]"/>
      <w:lvlJc w:val="left"/>
      <w:pPr>
        <w:ind w:left="911" w:hanging="688"/>
        <w:jc w:val="left"/>
      </w:pPr>
      <w:rPr>
        <w:rFonts w:hint="default"/>
        <w:spacing w:val="-1"/>
        <w:w w:val="105"/>
        <w:lang w:val="en-US" w:eastAsia="en-US" w:bidi="ar-SA"/>
      </w:rPr>
    </w:lvl>
    <w:lvl w:ilvl="1" w:tplc="E94EE60C">
      <w:numFmt w:val="bullet"/>
      <w:lvlText w:val="•"/>
      <w:lvlJc w:val="left"/>
      <w:pPr>
        <w:ind w:left="1912" w:hanging="688"/>
      </w:pPr>
      <w:rPr>
        <w:rFonts w:hint="default"/>
        <w:lang w:val="en-US" w:eastAsia="en-US" w:bidi="ar-SA"/>
      </w:rPr>
    </w:lvl>
    <w:lvl w:ilvl="2" w:tplc="F536B874">
      <w:numFmt w:val="bullet"/>
      <w:lvlText w:val="•"/>
      <w:lvlJc w:val="left"/>
      <w:pPr>
        <w:ind w:left="2904" w:hanging="688"/>
      </w:pPr>
      <w:rPr>
        <w:rFonts w:hint="default"/>
        <w:lang w:val="en-US" w:eastAsia="en-US" w:bidi="ar-SA"/>
      </w:rPr>
    </w:lvl>
    <w:lvl w:ilvl="3" w:tplc="AD88C5F2">
      <w:numFmt w:val="bullet"/>
      <w:lvlText w:val="•"/>
      <w:lvlJc w:val="left"/>
      <w:pPr>
        <w:ind w:left="3897" w:hanging="688"/>
      </w:pPr>
      <w:rPr>
        <w:rFonts w:hint="default"/>
        <w:lang w:val="en-US" w:eastAsia="en-US" w:bidi="ar-SA"/>
      </w:rPr>
    </w:lvl>
    <w:lvl w:ilvl="4" w:tplc="6B7E2394">
      <w:numFmt w:val="bullet"/>
      <w:lvlText w:val="•"/>
      <w:lvlJc w:val="left"/>
      <w:pPr>
        <w:ind w:left="4889" w:hanging="688"/>
      </w:pPr>
      <w:rPr>
        <w:rFonts w:hint="default"/>
        <w:lang w:val="en-US" w:eastAsia="en-US" w:bidi="ar-SA"/>
      </w:rPr>
    </w:lvl>
    <w:lvl w:ilvl="5" w:tplc="6ABAE7EC">
      <w:numFmt w:val="bullet"/>
      <w:lvlText w:val="•"/>
      <w:lvlJc w:val="left"/>
      <w:pPr>
        <w:ind w:left="5882" w:hanging="688"/>
      </w:pPr>
      <w:rPr>
        <w:rFonts w:hint="default"/>
        <w:lang w:val="en-US" w:eastAsia="en-US" w:bidi="ar-SA"/>
      </w:rPr>
    </w:lvl>
    <w:lvl w:ilvl="6" w:tplc="D99E1A10">
      <w:numFmt w:val="bullet"/>
      <w:lvlText w:val="•"/>
      <w:lvlJc w:val="left"/>
      <w:pPr>
        <w:ind w:left="6874" w:hanging="688"/>
      </w:pPr>
      <w:rPr>
        <w:rFonts w:hint="default"/>
        <w:lang w:val="en-US" w:eastAsia="en-US" w:bidi="ar-SA"/>
      </w:rPr>
    </w:lvl>
    <w:lvl w:ilvl="7" w:tplc="3C285482">
      <w:numFmt w:val="bullet"/>
      <w:lvlText w:val="•"/>
      <w:lvlJc w:val="left"/>
      <w:pPr>
        <w:ind w:left="7866" w:hanging="688"/>
      </w:pPr>
      <w:rPr>
        <w:rFonts w:hint="default"/>
        <w:lang w:val="en-US" w:eastAsia="en-US" w:bidi="ar-SA"/>
      </w:rPr>
    </w:lvl>
    <w:lvl w:ilvl="8" w:tplc="73725040">
      <w:numFmt w:val="bullet"/>
      <w:lvlText w:val="•"/>
      <w:lvlJc w:val="left"/>
      <w:pPr>
        <w:ind w:left="8859" w:hanging="688"/>
      </w:pPr>
      <w:rPr>
        <w:rFonts w:hint="default"/>
        <w:lang w:val="en-US" w:eastAsia="en-US" w:bidi="ar-SA"/>
      </w:rPr>
    </w:lvl>
  </w:abstractNum>
  <w:abstractNum w:abstractNumId="3" w15:restartNumberingAfterBreak="0">
    <w:nsid w:val="35AD6D17"/>
    <w:multiLevelType w:val="hybridMultilevel"/>
    <w:tmpl w:val="C5E8095A"/>
    <w:lvl w:ilvl="0" w:tplc="2A289F66">
      <w:start w:val="1"/>
      <w:numFmt w:val="lowerLetter"/>
      <w:lvlText w:val="(%1)"/>
      <w:lvlJc w:val="left"/>
      <w:pPr>
        <w:ind w:left="1760" w:hanging="360"/>
      </w:pPr>
      <w:rPr>
        <w:rFonts w:ascii="Times New Roman" w:eastAsia="Calibri" w:hAnsi="Times New Roman" w:cs="Times New Roman"/>
      </w:rPr>
    </w:lvl>
    <w:lvl w:ilvl="1" w:tplc="1C090019" w:tentative="1">
      <w:start w:val="1"/>
      <w:numFmt w:val="lowerLetter"/>
      <w:lvlText w:val="%2."/>
      <w:lvlJc w:val="left"/>
      <w:pPr>
        <w:ind w:left="2480" w:hanging="360"/>
      </w:pPr>
    </w:lvl>
    <w:lvl w:ilvl="2" w:tplc="1C09001B" w:tentative="1">
      <w:start w:val="1"/>
      <w:numFmt w:val="lowerRoman"/>
      <w:lvlText w:val="%3."/>
      <w:lvlJc w:val="right"/>
      <w:pPr>
        <w:ind w:left="3200" w:hanging="180"/>
      </w:pPr>
    </w:lvl>
    <w:lvl w:ilvl="3" w:tplc="1C09000F" w:tentative="1">
      <w:start w:val="1"/>
      <w:numFmt w:val="decimal"/>
      <w:lvlText w:val="%4."/>
      <w:lvlJc w:val="left"/>
      <w:pPr>
        <w:ind w:left="3920" w:hanging="360"/>
      </w:pPr>
    </w:lvl>
    <w:lvl w:ilvl="4" w:tplc="1C090019" w:tentative="1">
      <w:start w:val="1"/>
      <w:numFmt w:val="lowerLetter"/>
      <w:lvlText w:val="%5."/>
      <w:lvlJc w:val="left"/>
      <w:pPr>
        <w:ind w:left="4640" w:hanging="360"/>
      </w:pPr>
    </w:lvl>
    <w:lvl w:ilvl="5" w:tplc="1C09001B" w:tentative="1">
      <w:start w:val="1"/>
      <w:numFmt w:val="lowerRoman"/>
      <w:lvlText w:val="%6."/>
      <w:lvlJc w:val="right"/>
      <w:pPr>
        <w:ind w:left="5360" w:hanging="180"/>
      </w:pPr>
    </w:lvl>
    <w:lvl w:ilvl="6" w:tplc="1C09000F" w:tentative="1">
      <w:start w:val="1"/>
      <w:numFmt w:val="decimal"/>
      <w:lvlText w:val="%7."/>
      <w:lvlJc w:val="left"/>
      <w:pPr>
        <w:ind w:left="6080" w:hanging="360"/>
      </w:pPr>
    </w:lvl>
    <w:lvl w:ilvl="7" w:tplc="1C090019" w:tentative="1">
      <w:start w:val="1"/>
      <w:numFmt w:val="lowerLetter"/>
      <w:lvlText w:val="%8."/>
      <w:lvlJc w:val="left"/>
      <w:pPr>
        <w:ind w:left="6800" w:hanging="360"/>
      </w:pPr>
    </w:lvl>
    <w:lvl w:ilvl="8" w:tplc="1C09001B" w:tentative="1">
      <w:start w:val="1"/>
      <w:numFmt w:val="lowerRoman"/>
      <w:lvlText w:val="%9."/>
      <w:lvlJc w:val="right"/>
      <w:pPr>
        <w:ind w:left="7520" w:hanging="180"/>
      </w:pPr>
    </w:lvl>
  </w:abstractNum>
  <w:abstractNum w:abstractNumId="4" w15:restartNumberingAfterBreak="0">
    <w:nsid w:val="4066478A"/>
    <w:multiLevelType w:val="hybridMultilevel"/>
    <w:tmpl w:val="5C26B932"/>
    <w:lvl w:ilvl="0" w:tplc="41ACE7F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497F46F1"/>
    <w:multiLevelType w:val="hybridMultilevel"/>
    <w:tmpl w:val="F1A00812"/>
    <w:lvl w:ilvl="0" w:tplc="34249FF4">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6"/>
  </w:num>
  <w:num w:numId="2">
    <w:abstractNumId w:val="5"/>
  </w:num>
  <w:num w:numId="3">
    <w:abstractNumId w:val="1"/>
  </w:num>
  <w:num w:numId="4">
    <w:abstractNumId w:val="3"/>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QzNbK0NDYyMzawMDJV0lEKTi0uzszPAykwrAUAxWgNPCwAAAA="/>
  </w:docVars>
  <w:rsids>
    <w:rsidRoot w:val="001E5F5A"/>
    <w:rsid w:val="0000070C"/>
    <w:rsid w:val="00001A3B"/>
    <w:rsid w:val="00007674"/>
    <w:rsid w:val="00017302"/>
    <w:rsid w:val="0002042E"/>
    <w:rsid w:val="00023AEF"/>
    <w:rsid w:val="00023FA7"/>
    <w:rsid w:val="00027FB2"/>
    <w:rsid w:val="0003383F"/>
    <w:rsid w:val="00035308"/>
    <w:rsid w:val="000403F2"/>
    <w:rsid w:val="00040F05"/>
    <w:rsid w:val="00043802"/>
    <w:rsid w:val="00044771"/>
    <w:rsid w:val="000539EC"/>
    <w:rsid w:val="000542E9"/>
    <w:rsid w:val="00054891"/>
    <w:rsid w:val="000548D7"/>
    <w:rsid w:val="00055B29"/>
    <w:rsid w:val="000654B1"/>
    <w:rsid w:val="00067DC0"/>
    <w:rsid w:val="0007028D"/>
    <w:rsid w:val="0007029A"/>
    <w:rsid w:val="00070E99"/>
    <w:rsid w:val="000773DD"/>
    <w:rsid w:val="00077B38"/>
    <w:rsid w:val="000806AE"/>
    <w:rsid w:val="0008087B"/>
    <w:rsid w:val="000810CF"/>
    <w:rsid w:val="00084857"/>
    <w:rsid w:val="00090A9D"/>
    <w:rsid w:val="00091F8C"/>
    <w:rsid w:val="00093BE5"/>
    <w:rsid w:val="00093E39"/>
    <w:rsid w:val="00094578"/>
    <w:rsid w:val="00094E7C"/>
    <w:rsid w:val="0009554D"/>
    <w:rsid w:val="000A363A"/>
    <w:rsid w:val="000A36D1"/>
    <w:rsid w:val="000A36F3"/>
    <w:rsid w:val="000A5084"/>
    <w:rsid w:val="000A6D5F"/>
    <w:rsid w:val="000B27ED"/>
    <w:rsid w:val="000B4A1E"/>
    <w:rsid w:val="000B50CD"/>
    <w:rsid w:val="000C3F0C"/>
    <w:rsid w:val="000C55C6"/>
    <w:rsid w:val="000C74C7"/>
    <w:rsid w:val="000D09EA"/>
    <w:rsid w:val="000D13B1"/>
    <w:rsid w:val="000D35AE"/>
    <w:rsid w:val="000D6A5F"/>
    <w:rsid w:val="000E4577"/>
    <w:rsid w:val="000E4D76"/>
    <w:rsid w:val="000E5DC4"/>
    <w:rsid w:val="000F0915"/>
    <w:rsid w:val="000F2197"/>
    <w:rsid w:val="00100027"/>
    <w:rsid w:val="00100894"/>
    <w:rsid w:val="001028EC"/>
    <w:rsid w:val="001038D8"/>
    <w:rsid w:val="00104D42"/>
    <w:rsid w:val="00107A4D"/>
    <w:rsid w:val="001106DD"/>
    <w:rsid w:val="00113454"/>
    <w:rsid w:val="00117D6B"/>
    <w:rsid w:val="00122E3D"/>
    <w:rsid w:val="00125BE8"/>
    <w:rsid w:val="001371A6"/>
    <w:rsid w:val="001372A6"/>
    <w:rsid w:val="00140430"/>
    <w:rsid w:val="001434E0"/>
    <w:rsid w:val="00143D66"/>
    <w:rsid w:val="00143FA1"/>
    <w:rsid w:val="0015307D"/>
    <w:rsid w:val="00163D85"/>
    <w:rsid w:val="00172A2C"/>
    <w:rsid w:val="00175A75"/>
    <w:rsid w:val="00175BA7"/>
    <w:rsid w:val="00177F61"/>
    <w:rsid w:val="001804FF"/>
    <w:rsid w:val="00185D4F"/>
    <w:rsid w:val="001932C3"/>
    <w:rsid w:val="001A24C8"/>
    <w:rsid w:val="001A4887"/>
    <w:rsid w:val="001A5215"/>
    <w:rsid w:val="001B141E"/>
    <w:rsid w:val="001B228E"/>
    <w:rsid w:val="001B78CC"/>
    <w:rsid w:val="001C0752"/>
    <w:rsid w:val="001C456E"/>
    <w:rsid w:val="001C4F6D"/>
    <w:rsid w:val="001C5682"/>
    <w:rsid w:val="001C661A"/>
    <w:rsid w:val="001C722B"/>
    <w:rsid w:val="001E31D8"/>
    <w:rsid w:val="001E57F4"/>
    <w:rsid w:val="001E5F5A"/>
    <w:rsid w:val="001E7604"/>
    <w:rsid w:val="001F1F6F"/>
    <w:rsid w:val="001F7703"/>
    <w:rsid w:val="00200AB8"/>
    <w:rsid w:val="002018AA"/>
    <w:rsid w:val="00203A1D"/>
    <w:rsid w:val="00215823"/>
    <w:rsid w:val="00223A97"/>
    <w:rsid w:val="0023026D"/>
    <w:rsid w:val="002302AA"/>
    <w:rsid w:val="00234342"/>
    <w:rsid w:val="002348C0"/>
    <w:rsid w:val="00237B9D"/>
    <w:rsid w:val="00242206"/>
    <w:rsid w:val="002435AB"/>
    <w:rsid w:val="00243F11"/>
    <w:rsid w:val="002447A0"/>
    <w:rsid w:val="00246599"/>
    <w:rsid w:val="002471F9"/>
    <w:rsid w:val="002500F0"/>
    <w:rsid w:val="00250C27"/>
    <w:rsid w:val="00253986"/>
    <w:rsid w:val="00256F1E"/>
    <w:rsid w:val="002616B2"/>
    <w:rsid w:val="002617B3"/>
    <w:rsid w:val="00261BFC"/>
    <w:rsid w:val="00263169"/>
    <w:rsid w:val="002705A8"/>
    <w:rsid w:val="0027251B"/>
    <w:rsid w:val="0027353F"/>
    <w:rsid w:val="002755AD"/>
    <w:rsid w:val="00282078"/>
    <w:rsid w:val="0029524C"/>
    <w:rsid w:val="00296390"/>
    <w:rsid w:val="002A095E"/>
    <w:rsid w:val="002A0A35"/>
    <w:rsid w:val="002B28C1"/>
    <w:rsid w:val="002C270C"/>
    <w:rsid w:val="002C6CF8"/>
    <w:rsid w:val="002D184B"/>
    <w:rsid w:val="002D7582"/>
    <w:rsid w:val="002E16CF"/>
    <w:rsid w:val="002F1043"/>
    <w:rsid w:val="002F414F"/>
    <w:rsid w:val="002F65AB"/>
    <w:rsid w:val="0030100E"/>
    <w:rsid w:val="00302C12"/>
    <w:rsid w:val="00304532"/>
    <w:rsid w:val="00305423"/>
    <w:rsid w:val="00306991"/>
    <w:rsid w:val="00306C70"/>
    <w:rsid w:val="0031090D"/>
    <w:rsid w:val="00314919"/>
    <w:rsid w:val="00315737"/>
    <w:rsid w:val="0031792A"/>
    <w:rsid w:val="0032171F"/>
    <w:rsid w:val="00322C64"/>
    <w:rsid w:val="003230F2"/>
    <w:rsid w:val="00323149"/>
    <w:rsid w:val="003255EA"/>
    <w:rsid w:val="0032682A"/>
    <w:rsid w:val="00330DE8"/>
    <w:rsid w:val="00334E0F"/>
    <w:rsid w:val="00340900"/>
    <w:rsid w:val="0034199E"/>
    <w:rsid w:val="003430F2"/>
    <w:rsid w:val="003547F6"/>
    <w:rsid w:val="00357788"/>
    <w:rsid w:val="00360CA5"/>
    <w:rsid w:val="00365E45"/>
    <w:rsid w:val="0037449A"/>
    <w:rsid w:val="003747FE"/>
    <w:rsid w:val="0037720A"/>
    <w:rsid w:val="003807A5"/>
    <w:rsid w:val="003845A8"/>
    <w:rsid w:val="00385062"/>
    <w:rsid w:val="003850ED"/>
    <w:rsid w:val="0038611E"/>
    <w:rsid w:val="00386254"/>
    <w:rsid w:val="003922A5"/>
    <w:rsid w:val="00393850"/>
    <w:rsid w:val="003A7D23"/>
    <w:rsid w:val="003B1B15"/>
    <w:rsid w:val="003B1DB9"/>
    <w:rsid w:val="003B4484"/>
    <w:rsid w:val="003C13D6"/>
    <w:rsid w:val="003C2AF7"/>
    <w:rsid w:val="003C40ED"/>
    <w:rsid w:val="003C42C2"/>
    <w:rsid w:val="003C5D30"/>
    <w:rsid w:val="003D1CF1"/>
    <w:rsid w:val="003D347E"/>
    <w:rsid w:val="003D36A3"/>
    <w:rsid w:val="003D7107"/>
    <w:rsid w:val="003D7359"/>
    <w:rsid w:val="003E1927"/>
    <w:rsid w:val="003E3480"/>
    <w:rsid w:val="003E443E"/>
    <w:rsid w:val="003E7334"/>
    <w:rsid w:val="003E77B2"/>
    <w:rsid w:val="003F0347"/>
    <w:rsid w:val="003F1959"/>
    <w:rsid w:val="003F3E2F"/>
    <w:rsid w:val="004036FB"/>
    <w:rsid w:val="004061DE"/>
    <w:rsid w:val="004065B7"/>
    <w:rsid w:val="00410075"/>
    <w:rsid w:val="00414BE2"/>
    <w:rsid w:val="00416469"/>
    <w:rsid w:val="004215BF"/>
    <w:rsid w:val="004236A6"/>
    <w:rsid w:val="004302FD"/>
    <w:rsid w:val="00430C6F"/>
    <w:rsid w:val="00431C00"/>
    <w:rsid w:val="00432F64"/>
    <w:rsid w:val="00433FFD"/>
    <w:rsid w:val="004358E5"/>
    <w:rsid w:val="00437E9D"/>
    <w:rsid w:val="004402F4"/>
    <w:rsid w:val="004426F8"/>
    <w:rsid w:val="0045187B"/>
    <w:rsid w:val="00451AEC"/>
    <w:rsid w:val="00452326"/>
    <w:rsid w:val="00452472"/>
    <w:rsid w:val="00472333"/>
    <w:rsid w:val="00473ACB"/>
    <w:rsid w:val="00474547"/>
    <w:rsid w:val="00477F40"/>
    <w:rsid w:val="00484B0D"/>
    <w:rsid w:val="00487784"/>
    <w:rsid w:val="00490F2C"/>
    <w:rsid w:val="0049195A"/>
    <w:rsid w:val="004925C9"/>
    <w:rsid w:val="00493203"/>
    <w:rsid w:val="004A1AEE"/>
    <w:rsid w:val="004A4A23"/>
    <w:rsid w:val="004A4E97"/>
    <w:rsid w:val="004A5089"/>
    <w:rsid w:val="004A6580"/>
    <w:rsid w:val="004B2879"/>
    <w:rsid w:val="004B3680"/>
    <w:rsid w:val="004B4AE1"/>
    <w:rsid w:val="004B6487"/>
    <w:rsid w:val="004C1C26"/>
    <w:rsid w:val="004C3774"/>
    <w:rsid w:val="004C37F3"/>
    <w:rsid w:val="004C5AD8"/>
    <w:rsid w:val="004C7EF7"/>
    <w:rsid w:val="004D0F9C"/>
    <w:rsid w:val="004D6618"/>
    <w:rsid w:val="004D716D"/>
    <w:rsid w:val="004D7F41"/>
    <w:rsid w:val="004E15CD"/>
    <w:rsid w:val="004F2716"/>
    <w:rsid w:val="004F4959"/>
    <w:rsid w:val="004F7AAE"/>
    <w:rsid w:val="00500C82"/>
    <w:rsid w:val="005038A1"/>
    <w:rsid w:val="00506A8F"/>
    <w:rsid w:val="0052128B"/>
    <w:rsid w:val="00523D54"/>
    <w:rsid w:val="00524334"/>
    <w:rsid w:val="00524F3A"/>
    <w:rsid w:val="005257B9"/>
    <w:rsid w:val="00525E12"/>
    <w:rsid w:val="00526226"/>
    <w:rsid w:val="00527618"/>
    <w:rsid w:val="005307A5"/>
    <w:rsid w:val="00531E6B"/>
    <w:rsid w:val="0053527E"/>
    <w:rsid w:val="00537D90"/>
    <w:rsid w:val="00550E39"/>
    <w:rsid w:val="00552363"/>
    <w:rsid w:val="005546F3"/>
    <w:rsid w:val="005608A7"/>
    <w:rsid w:val="00561A76"/>
    <w:rsid w:val="00567A34"/>
    <w:rsid w:val="00567A6B"/>
    <w:rsid w:val="00567C7C"/>
    <w:rsid w:val="00571CD9"/>
    <w:rsid w:val="00573AEA"/>
    <w:rsid w:val="00574CB3"/>
    <w:rsid w:val="005837DE"/>
    <w:rsid w:val="00585ADB"/>
    <w:rsid w:val="00587A53"/>
    <w:rsid w:val="00591165"/>
    <w:rsid w:val="00593C46"/>
    <w:rsid w:val="00594B56"/>
    <w:rsid w:val="00596826"/>
    <w:rsid w:val="005A0292"/>
    <w:rsid w:val="005A0C08"/>
    <w:rsid w:val="005A4B3C"/>
    <w:rsid w:val="005B2F2F"/>
    <w:rsid w:val="005B51EB"/>
    <w:rsid w:val="005C0BB0"/>
    <w:rsid w:val="005D01EC"/>
    <w:rsid w:val="005D19E5"/>
    <w:rsid w:val="005D4769"/>
    <w:rsid w:val="005D4E13"/>
    <w:rsid w:val="005E255A"/>
    <w:rsid w:val="005E52AC"/>
    <w:rsid w:val="005E557D"/>
    <w:rsid w:val="005F2B5C"/>
    <w:rsid w:val="005F322E"/>
    <w:rsid w:val="005F467F"/>
    <w:rsid w:val="005F66A5"/>
    <w:rsid w:val="00603428"/>
    <w:rsid w:val="006066A6"/>
    <w:rsid w:val="00606848"/>
    <w:rsid w:val="006111ED"/>
    <w:rsid w:val="00613A1A"/>
    <w:rsid w:val="00616848"/>
    <w:rsid w:val="00616E2B"/>
    <w:rsid w:val="00624FFE"/>
    <w:rsid w:val="006309B9"/>
    <w:rsid w:val="00630A05"/>
    <w:rsid w:val="00630AA9"/>
    <w:rsid w:val="006369F3"/>
    <w:rsid w:val="00637AB0"/>
    <w:rsid w:val="00642076"/>
    <w:rsid w:val="00642528"/>
    <w:rsid w:val="006474B4"/>
    <w:rsid w:val="006474CE"/>
    <w:rsid w:val="00647CA5"/>
    <w:rsid w:val="006524D4"/>
    <w:rsid w:val="006534FD"/>
    <w:rsid w:val="0065361F"/>
    <w:rsid w:val="006543E3"/>
    <w:rsid w:val="006602C4"/>
    <w:rsid w:val="00663F52"/>
    <w:rsid w:val="00667AA8"/>
    <w:rsid w:val="00667BE6"/>
    <w:rsid w:val="006735C9"/>
    <w:rsid w:val="00674452"/>
    <w:rsid w:val="006749D6"/>
    <w:rsid w:val="00676BB6"/>
    <w:rsid w:val="00676BE7"/>
    <w:rsid w:val="00676CFE"/>
    <w:rsid w:val="00677841"/>
    <w:rsid w:val="0067796E"/>
    <w:rsid w:val="006845BA"/>
    <w:rsid w:val="00685C91"/>
    <w:rsid w:val="006879F3"/>
    <w:rsid w:val="00690664"/>
    <w:rsid w:val="00690D08"/>
    <w:rsid w:val="00694175"/>
    <w:rsid w:val="00694643"/>
    <w:rsid w:val="00695522"/>
    <w:rsid w:val="006966FC"/>
    <w:rsid w:val="006A4E57"/>
    <w:rsid w:val="006A57E3"/>
    <w:rsid w:val="006B017A"/>
    <w:rsid w:val="006B22D4"/>
    <w:rsid w:val="006B48E7"/>
    <w:rsid w:val="006C7D4E"/>
    <w:rsid w:val="006D2417"/>
    <w:rsid w:val="006D3CCD"/>
    <w:rsid w:val="006E2A73"/>
    <w:rsid w:val="006E5C73"/>
    <w:rsid w:val="006E6A2F"/>
    <w:rsid w:val="006E7C63"/>
    <w:rsid w:val="006F0C81"/>
    <w:rsid w:val="006F0E95"/>
    <w:rsid w:val="006F13A3"/>
    <w:rsid w:val="006F4A34"/>
    <w:rsid w:val="00700B9E"/>
    <w:rsid w:val="00701552"/>
    <w:rsid w:val="00701BED"/>
    <w:rsid w:val="007106E2"/>
    <w:rsid w:val="00712458"/>
    <w:rsid w:val="00712BC3"/>
    <w:rsid w:val="00716FAA"/>
    <w:rsid w:val="00720ACA"/>
    <w:rsid w:val="00722F95"/>
    <w:rsid w:val="00724DC8"/>
    <w:rsid w:val="00726945"/>
    <w:rsid w:val="00727E4B"/>
    <w:rsid w:val="00730737"/>
    <w:rsid w:val="0074112D"/>
    <w:rsid w:val="0074149A"/>
    <w:rsid w:val="00743E87"/>
    <w:rsid w:val="00745474"/>
    <w:rsid w:val="007468AD"/>
    <w:rsid w:val="00747374"/>
    <w:rsid w:val="00750F83"/>
    <w:rsid w:val="00751D34"/>
    <w:rsid w:val="00752C8F"/>
    <w:rsid w:val="00760491"/>
    <w:rsid w:val="007623CD"/>
    <w:rsid w:val="00762738"/>
    <w:rsid w:val="00762E0E"/>
    <w:rsid w:val="007659FF"/>
    <w:rsid w:val="007671C5"/>
    <w:rsid w:val="00772FD1"/>
    <w:rsid w:val="007746CE"/>
    <w:rsid w:val="00775169"/>
    <w:rsid w:val="00780874"/>
    <w:rsid w:val="00782ED5"/>
    <w:rsid w:val="00784827"/>
    <w:rsid w:val="0078517A"/>
    <w:rsid w:val="0078535D"/>
    <w:rsid w:val="007A26EB"/>
    <w:rsid w:val="007A7ECE"/>
    <w:rsid w:val="007B0A5E"/>
    <w:rsid w:val="007B20E4"/>
    <w:rsid w:val="007B2AAB"/>
    <w:rsid w:val="007B4E06"/>
    <w:rsid w:val="007B54F9"/>
    <w:rsid w:val="007C1C3B"/>
    <w:rsid w:val="007C65D9"/>
    <w:rsid w:val="007D353A"/>
    <w:rsid w:val="007D6DF5"/>
    <w:rsid w:val="007E3699"/>
    <w:rsid w:val="007E6C84"/>
    <w:rsid w:val="007F0EF4"/>
    <w:rsid w:val="007F7DCD"/>
    <w:rsid w:val="00801124"/>
    <w:rsid w:val="00811E0C"/>
    <w:rsid w:val="00815B0C"/>
    <w:rsid w:val="0081741F"/>
    <w:rsid w:val="008209C7"/>
    <w:rsid w:val="008232B1"/>
    <w:rsid w:val="00823A8D"/>
    <w:rsid w:val="00823B02"/>
    <w:rsid w:val="008276EF"/>
    <w:rsid w:val="0083215D"/>
    <w:rsid w:val="00834D25"/>
    <w:rsid w:val="008351C8"/>
    <w:rsid w:val="008376A5"/>
    <w:rsid w:val="00845AC3"/>
    <w:rsid w:val="00853F3E"/>
    <w:rsid w:val="00856BEE"/>
    <w:rsid w:val="0086048D"/>
    <w:rsid w:val="0086077B"/>
    <w:rsid w:val="00860EC5"/>
    <w:rsid w:val="0086131D"/>
    <w:rsid w:val="008621F3"/>
    <w:rsid w:val="0086649A"/>
    <w:rsid w:val="00866508"/>
    <w:rsid w:val="00867767"/>
    <w:rsid w:val="0087005B"/>
    <w:rsid w:val="008736D4"/>
    <w:rsid w:val="00881D33"/>
    <w:rsid w:val="00882096"/>
    <w:rsid w:val="00883D6C"/>
    <w:rsid w:val="00885E37"/>
    <w:rsid w:val="00892248"/>
    <w:rsid w:val="0089391D"/>
    <w:rsid w:val="00893DB1"/>
    <w:rsid w:val="008943E7"/>
    <w:rsid w:val="008969B4"/>
    <w:rsid w:val="00897647"/>
    <w:rsid w:val="008A0F91"/>
    <w:rsid w:val="008A2438"/>
    <w:rsid w:val="008A5FDC"/>
    <w:rsid w:val="008B03FA"/>
    <w:rsid w:val="008B1777"/>
    <w:rsid w:val="008B4F13"/>
    <w:rsid w:val="008B532D"/>
    <w:rsid w:val="008C3682"/>
    <w:rsid w:val="008D24BC"/>
    <w:rsid w:val="008D2F22"/>
    <w:rsid w:val="008D3221"/>
    <w:rsid w:val="008D3D39"/>
    <w:rsid w:val="008D66B8"/>
    <w:rsid w:val="008E21E3"/>
    <w:rsid w:val="008E3622"/>
    <w:rsid w:val="008E47C9"/>
    <w:rsid w:val="008E54C8"/>
    <w:rsid w:val="008E5AF4"/>
    <w:rsid w:val="008F4B8F"/>
    <w:rsid w:val="008F6E47"/>
    <w:rsid w:val="0090690C"/>
    <w:rsid w:val="00907A39"/>
    <w:rsid w:val="00910F26"/>
    <w:rsid w:val="00911DB9"/>
    <w:rsid w:val="00913F21"/>
    <w:rsid w:val="00917C84"/>
    <w:rsid w:val="009216C9"/>
    <w:rsid w:val="0092276C"/>
    <w:rsid w:val="0092497F"/>
    <w:rsid w:val="0094175D"/>
    <w:rsid w:val="00941DAA"/>
    <w:rsid w:val="009430C0"/>
    <w:rsid w:val="00955231"/>
    <w:rsid w:val="0096072E"/>
    <w:rsid w:val="00963C6F"/>
    <w:rsid w:val="009642D7"/>
    <w:rsid w:val="00973CC7"/>
    <w:rsid w:val="00973E18"/>
    <w:rsid w:val="00975D7F"/>
    <w:rsid w:val="009838A9"/>
    <w:rsid w:val="00985E10"/>
    <w:rsid w:val="00992CAE"/>
    <w:rsid w:val="00995073"/>
    <w:rsid w:val="009A048B"/>
    <w:rsid w:val="009A21B8"/>
    <w:rsid w:val="009A4E94"/>
    <w:rsid w:val="009B1FCB"/>
    <w:rsid w:val="009B2B0F"/>
    <w:rsid w:val="009B2E06"/>
    <w:rsid w:val="009B5229"/>
    <w:rsid w:val="009B7449"/>
    <w:rsid w:val="009B7D1B"/>
    <w:rsid w:val="009C2960"/>
    <w:rsid w:val="009C6C70"/>
    <w:rsid w:val="009D59D3"/>
    <w:rsid w:val="009D7090"/>
    <w:rsid w:val="009E00B6"/>
    <w:rsid w:val="009E4650"/>
    <w:rsid w:val="009E689E"/>
    <w:rsid w:val="009E7D9D"/>
    <w:rsid w:val="009F349F"/>
    <w:rsid w:val="00A0140F"/>
    <w:rsid w:val="00A1391E"/>
    <w:rsid w:val="00A142B7"/>
    <w:rsid w:val="00A221FA"/>
    <w:rsid w:val="00A22A70"/>
    <w:rsid w:val="00A25FAF"/>
    <w:rsid w:val="00A34A60"/>
    <w:rsid w:val="00A37027"/>
    <w:rsid w:val="00A47D4A"/>
    <w:rsid w:val="00A51C04"/>
    <w:rsid w:val="00A55B9B"/>
    <w:rsid w:val="00A56A3D"/>
    <w:rsid w:val="00A61B29"/>
    <w:rsid w:val="00A626D2"/>
    <w:rsid w:val="00A65357"/>
    <w:rsid w:val="00A65D3D"/>
    <w:rsid w:val="00A65FF4"/>
    <w:rsid w:val="00A66823"/>
    <w:rsid w:val="00A67821"/>
    <w:rsid w:val="00A732B8"/>
    <w:rsid w:val="00A81378"/>
    <w:rsid w:val="00A84049"/>
    <w:rsid w:val="00A85AE1"/>
    <w:rsid w:val="00A85E00"/>
    <w:rsid w:val="00A872E5"/>
    <w:rsid w:val="00A92EFA"/>
    <w:rsid w:val="00A97D49"/>
    <w:rsid w:val="00AA17C0"/>
    <w:rsid w:val="00AA3378"/>
    <w:rsid w:val="00AA37B5"/>
    <w:rsid w:val="00AB06B4"/>
    <w:rsid w:val="00AB6D23"/>
    <w:rsid w:val="00AB7BF9"/>
    <w:rsid w:val="00AC5170"/>
    <w:rsid w:val="00AC6283"/>
    <w:rsid w:val="00AC799A"/>
    <w:rsid w:val="00AC7A33"/>
    <w:rsid w:val="00AD14A5"/>
    <w:rsid w:val="00AD3E2C"/>
    <w:rsid w:val="00AD48F3"/>
    <w:rsid w:val="00AD4C63"/>
    <w:rsid w:val="00AE4640"/>
    <w:rsid w:val="00AE61F5"/>
    <w:rsid w:val="00AE7624"/>
    <w:rsid w:val="00AF0A36"/>
    <w:rsid w:val="00AF4BC8"/>
    <w:rsid w:val="00AF5304"/>
    <w:rsid w:val="00AF53C8"/>
    <w:rsid w:val="00AF67D4"/>
    <w:rsid w:val="00AF6BB4"/>
    <w:rsid w:val="00AF7027"/>
    <w:rsid w:val="00AF75BD"/>
    <w:rsid w:val="00B01BA8"/>
    <w:rsid w:val="00B05044"/>
    <w:rsid w:val="00B05E36"/>
    <w:rsid w:val="00B1468C"/>
    <w:rsid w:val="00B30523"/>
    <w:rsid w:val="00B30786"/>
    <w:rsid w:val="00B3177F"/>
    <w:rsid w:val="00B31B92"/>
    <w:rsid w:val="00B36F54"/>
    <w:rsid w:val="00B402FE"/>
    <w:rsid w:val="00B41723"/>
    <w:rsid w:val="00B428BE"/>
    <w:rsid w:val="00B4658E"/>
    <w:rsid w:val="00B47E80"/>
    <w:rsid w:val="00B5015F"/>
    <w:rsid w:val="00B506BD"/>
    <w:rsid w:val="00B51121"/>
    <w:rsid w:val="00B52BA0"/>
    <w:rsid w:val="00B53C20"/>
    <w:rsid w:val="00B5612A"/>
    <w:rsid w:val="00B56EAA"/>
    <w:rsid w:val="00B57147"/>
    <w:rsid w:val="00B630F2"/>
    <w:rsid w:val="00B65912"/>
    <w:rsid w:val="00B65994"/>
    <w:rsid w:val="00B70AA8"/>
    <w:rsid w:val="00B71544"/>
    <w:rsid w:val="00B71D86"/>
    <w:rsid w:val="00B71EAA"/>
    <w:rsid w:val="00B73B30"/>
    <w:rsid w:val="00B74565"/>
    <w:rsid w:val="00B75813"/>
    <w:rsid w:val="00B80F33"/>
    <w:rsid w:val="00B82D1A"/>
    <w:rsid w:val="00B83DA0"/>
    <w:rsid w:val="00BA37F6"/>
    <w:rsid w:val="00BA5DA0"/>
    <w:rsid w:val="00BA66A9"/>
    <w:rsid w:val="00BB3AE7"/>
    <w:rsid w:val="00BC283F"/>
    <w:rsid w:val="00BC597D"/>
    <w:rsid w:val="00BD2342"/>
    <w:rsid w:val="00BD241C"/>
    <w:rsid w:val="00BD56D1"/>
    <w:rsid w:val="00BD684F"/>
    <w:rsid w:val="00BD70F0"/>
    <w:rsid w:val="00BD7994"/>
    <w:rsid w:val="00BE077E"/>
    <w:rsid w:val="00BE5663"/>
    <w:rsid w:val="00BE6FBD"/>
    <w:rsid w:val="00BE7DB2"/>
    <w:rsid w:val="00BF2F6D"/>
    <w:rsid w:val="00BF6B8A"/>
    <w:rsid w:val="00C10F24"/>
    <w:rsid w:val="00C14E9E"/>
    <w:rsid w:val="00C15790"/>
    <w:rsid w:val="00C203C0"/>
    <w:rsid w:val="00C20710"/>
    <w:rsid w:val="00C26827"/>
    <w:rsid w:val="00C27730"/>
    <w:rsid w:val="00C32583"/>
    <w:rsid w:val="00C34ECB"/>
    <w:rsid w:val="00C408E1"/>
    <w:rsid w:val="00C429EA"/>
    <w:rsid w:val="00C42D73"/>
    <w:rsid w:val="00C43D8A"/>
    <w:rsid w:val="00C44D82"/>
    <w:rsid w:val="00C45F8A"/>
    <w:rsid w:val="00C47F29"/>
    <w:rsid w:val="00C51379"/>
    <w:rsid w:val="00C51943"/>
    <w:rsid w:val="00C51AFC"/>
    <w:rsid w:val="00C536E8"/>
    <w:rsid w:val="00C55A66"/>
    <w:rsid w:val="00C61194"/>
    <w:rsid w:val="00C616DF"/>
    <w:rsid w:val="00C64495"/>
    <w:rsid w:val="00C658CA"/>
    <w:rsid w:val="00C670E2"/>
    <w:rsid w:val="00C6795B"/>
    <w:rsid w:val="00C70B69"/>
    <w:rsid w:val="00C73372"/>
    <w:rsid w:val="00C73E1B"/>
    <w:rsid w:val="00C84F65"/>
    <w:rsid w:val="00C85082"/>
    <w:rsid w:val="00C85429"/>
    <w:rsid w:val="00C96321"/>
    <w:rsid w:val="00C96F7C"/>
    <w:rsid w:val="00CA21ED"/>
    <w:rsid w:val="00CA25C7"/>
    <w:rsid w:val="00CA458C"/>
    <w:rsid w:val="00CA46B0"/>
    <w:rsid w:val="00CB233C"/>
    <w:rsid w:val="00CB2E3D"/>
    <w:rsid w:val="00CB4353"/>
    <w:rsid w:val="00CB747C"/>
    <w:rsid w:val="00CC3931"/>
    <w:rsid w:val="00CC6A7B"/>
    <w:rsid w:val="00CE0E47"/>
    <w:rsid w:val="00CE2785"/>
    <w:rsid w:val="00CE2A14"/>
    <w:rsid w:val="00CE2A88"/>
    <w:rsid w:val="00CE51A0"/>
    <w:rsid w:val="00CF15E8"/>
    <w:rsid w:val="00CF2C5E"/>
    <w:rsid w:val="00CF4940"/>
    <w:rsid w:val="00CF4B63"/>
    <w:rsid w:val="00D018B7"/>
    <w:rsid w:val="00D02A93"/>
    <w:rsid w:val="00D02C36"/>
    <w:rsid w:val="00D06606"/>
    <w:rsid w:val="00D0763C"/>
    <w:rsid w:val="00D12501"/>
    <w:rsid w:val="00D16A7A"/>
    <w:rsid w:val="00D200E8"/>
    <w:rsid w:val="00D204ED"/>
    <w:rsid w:val="00D35311"/>
    <w:rsid w:val="00D356A3"/>
    <w:rsid w:val="00D3622B"/>
    <w:rsid w:val="00D37331"/>
    <w:rsid w:val="00D40819"/>
    <w:rsid w:val="00D41C9A"/>
    <w:rsid w:val="00D444F3"/>
    <w:rsid w:val="00D51D1A"/>
    <w:rsid w:val="00D52A9A"/>
    <w:rsid w:val="00D53875"/>
    <w:rsid w:val="00D53D96"/>
    <w:rsid w:val="00D54256"/>
    <w:rsid w:val="00D63467"/>
    <w:rsid w:val="00D6365A"/>
    <w:rsid w:val="00D64E65"/>
    <w:rsid w:val="00D659C5"/>
    <w:rsid w:val="00D65A5E"/>
    <w:rsid w:val="00D66AA4"/>
    <w:rsid w:val="00D7324C"/>
    <w:rsid w:val="00D804EA"/>
    <w:rsid w:val="00D81365"/>
    <w:rsid w:val="00D81F8F"/>
    <w:rsid w:val="00D832B8"/>
    <w:rsid w:val="00D83B9E"/>
    <w:rsid w:val="00D86239"/>
    <w:rsid w:val="00D8653A"/>
    <w:rsid w:val="00D870FF"/>
    <w:rsid w:val="00D87346"/>
    <w:rsid w:val="00D93295"/>
    <w:rsid w:val="00D972AA"/>
    <w:rsid w:val="00DA12B8"/>
    <w:rsid w:val="00DA7318"/>
    <w:rsid w:val="00DB011F"/>
    <w:rsid w:val="00DB12FA"/>
    <w:rsid w:val="00DB1A44"/>
    <w:rsid w:val="00DB21D2"/>
    <w:rsid w:val="00DB2D9D"/>
    <w:rsid w:val="00DB7B1F"/>
    <w:rsid w:val="00DB7F3A"/>
    <w:rsid w:val="00DC0A94"/>
    <w:rsid w:val="00DC7DB8"/>
    <w:rsid w:val="00DD5682"/>
    <w:rsid w:val="00DE3453"/>
    <w:rsid w:val="00DE3CBC"/>
    <w:rsid w:val="00DE471A"/>
    <w:rsid w:val="00DE5133"/>
    <w:rsid w:val="00DE7B41"/>
    <w:rsid w:val="00DF0FFE"/>
    <w:rsid w:val="00DF2C1F"/>
    <w:rsid w:val="00DF49B1"/>
    <w:rsid w:val="00E0085A"/>
    <w:rsid w:val="00E07942"/>
    <w:rsid w:val="00E07F2F"/>
    <w:rsid w:val="00E10B83"/>
    <w:rsid w:val="00E17749"/>
    <w:rsid w:val="00E27310"/>
    <w:rsid w:val="00E27C29"/>
    <w:rsid w:val="00E42017"/>
    <w:rsid w:val="00E42EF2"/>
    <w:rsid w:val="00E45FD9"/>
    <w:rsid w:val="00E518D9"/>
    <w:rsid w:val="00E529EB"/>
    <w:rsid w:val="00E545EA"/>
    <w:rsid w:val="00E561B1"/>
    <w:rsid w:val="00E61CB3"/>
    <w:rsid w:val="00E661EE"/>
    <w:rsid w:val="00E703E0"/>
    <w:rsid w:val="00E715FC"/>
    <w:rsid w:val="00E736CB"/>
    <w:rsid w:val="00E76074"/>
    <w:rsid w:val="00E8342B"/>
    <w:rsid w:val="00E84EBF"/>
    <w:rsid w:val="00E87525"/>
    <w:rsid w:val="00E93F86"/>
    <w:rsid w:val="00E942BA"/>
    <w:rsid w:val="00E960C1"/>
    <w:rsid w:val="00E9635D"/>
    <w:rsid w:val="00E97250"/>
    <w:rsid w:val="00EA113C"/>
    <w:rsid w:val="00EA25AB"/>
    <w:rsid w:val="00EA535F"/>
    <w:rsid w:val="00EA62A6"/>
    <w:rsid w:val="00EA7EC1"/>
    <w:rsid w:val="00EB04A0"/>
    <w:rsid w:val="00EB2E4A"/>
    <w:rsid w:val="00EB471B"/>
    <w:rsid w:val="00EB5695"/>
    <w:rsid w:val="00EB65A0"/>
    <w:rsid w:val="00EB73A0"/>
    <w:rsid w:val="00EB75D9"/>
    <w:rsid w:val="00EC2630"/>
    <w:rsid w:val="00EC30F9"/>
    <w:rsid w:val="00EC3DF4"/>
    <w:rsid w:val="00EC716F"/>
    <w:rsid w:val="00ED1244"/>
    <w:rsid w:val="00ED5B69"/>
    <w:rsid w:val="00ED79F4"/>
    <w:rsid w:val="00EE10EC"/>
    <w:rsid w:val="00EE753A"/>
    <w:rsid w:val="00EE7EF0"/>
    <w:rsid w:val="00EF5E97"/>
    <w:rsid w:val="00F016A1"/>
    <w:rsid w:val="00F0223D"/>
    <w:rsid w:val="00F02CDF"/>
    <w:rsid w:val="00F04568"/>
    <w:rsid w:val="00F04FA9"/>
    <w:rsid w:val="00F06176"/>
    <w:rsid w:val="00F1636C"/>
    <w:rsid w:val="00F249CD"/>
    <w:rsid w:val="00F2681D"/>
    <w:rsid w:val="00F30E08"/>
    <w:rsid w:val="00F3138A"/>
    <w:rsid w:val="00F3574E"/>
    <w:rsid w:val="00F43565"/>
    <w:rsid w:val="00F43ADD"/>
    <w:rsid w:val="00F46859"/>
    <w:rsid w:val="00F47240"/>
    <w:rsid w:val="00F50679"/>
    <w:rsid w:val="00F5283F"/>
    <w:rsid w:val="00F603F8"/>
    <w:rsid w:val="00F60DC6"/>
    <w:rsid w:val="00F63BC6"/>
    <w:rsid w:val="00F65245"/>
    <w:rsid w:val="00F70E31"/>
    <w:rsid w:val="00F723FD"/>
    <w:rsid w:val="00F74A3C"/>
    <w:rsid w:val="00F75B6D"/>
    <w:rsid w:val="00F77A10"/>
    <w:rsid w:val="00F82FBC"/>
    <w:rsid w:val="00F84CDC"/>
    <w:rsid w:val="00F85183"/>
    <w:rsid w:val="00F85999"/>
    <w:rsid w:val="00F91C22"/>
    <w:rsid w:val="00F93B18"/>
    <w:rsid w:val="00FA1C4B"/>
    <w:rsid w:val="00FA1E6C"/>
    <w:rsid w:val="00FA4DA4"/>
    <w:rsid w:val="00FA665C"/>
    <w:rsid w:val="00FB0797"/>
    <w:rsid w:val="00FB2AFF"/>
    <w:rsid w:val="00FB43E0"/>
    <w:rsid w:val="00FC270A"/>
    <w:rsid w:val="00FC2754"/>
    <w:rsid w:val="00FC48B0"/>
    <w:rsid w:val="00FD1B05"/>
    <w:rsid w:val="00FD2D52"/>
    <w:rsid w:val="00FD3643"/>
    <w:rsid w:val="00FD475C"/>
    <w:rsid w:val="00FD7AFF"/>
    <w:rsid w:val="00FE00A5"/>
    <w:rsid w:val="00FF1812"/>
    <w:rsid w:val="00FF22EE"/>
    <w:rsid w:val="00FF4CBA"/>
    <w:rsid w:val="00FF6F6A"/>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A8456C"/>
  <w15:docId w15:val="{EBE6783B-6408-44FF-A9A9-C9B32F334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 Reference + Superscript,Footnotes refss,Appel note de bas de page,Ref,de nota al pie,註腳內容,(NECG) Footnote Reference,fr,Footnote symbol,Style 12,Footnote Reference in text,Footnote Reference Superscript,o,Style 4,Footnote"/>
    <w:basedOn w:val="DefaultParagraphFont"/>
    <w:unhideWhenUsed/>
    <w:qFormat/>
    <w:rsid w:val="004A5089"/>
    <w:rPr>
      <w:vertAlign w:val="superscript"/>
    </w:rPr>
  </w:style>
  <w:style w:type="paragraph" w:styleId="ListParagraph">
    <w:name w:val="List Paragraph"/>
    <w:basedOn w:val="Normal"/>
    <w:uiPriority w:val="34"/>
    <w:qFormat/>
    <w:rsid w:val="00823A8D"/>
    <w:pPr>
      <w:ind w:left="720"/>
      <w:contextualSpacing/>
    </w:pPr>
  </w:style>
  <w:style w:type="paragraph" w:styleId="Revision">
    <w:name w:val="Revision"/>
    <w:hidden/>
    <w:uiPriority w:val="99"/>
    <w:semiHidden/>
    <w:rsid w:val="00A56A3D"/>
    <w:rPr>
      <w:sz w:val="24"/>
      <w:szCs w:val="24"/>
      <w:lang w:eastAsia="en-US"/>
    </w:rPr>
  </w:style>
  <w:style w:type="paragraph" w:styleId="BodyText">
    <w:name w:val="Body Text"/>
    <w:basedOn w:val="Normal"/>
    <w:link w:val="BodyTextChar"/>
    <w:semiHidden/>
    <w:unhideWhenUsed/>
    <w:rsid w:val="00C20710"/>
    <w:pPr>
      <w:spacing w:after="120"/>
    </w:pPr>
  </w:style>
  <w:style w:type="character" w:customStyle="1" w:styleId="BodyTextChar">
    <w:name w:val="Body Text Char"/>
    <w:basedOn w:val="DefaultParagraphFont"/>
    <w:link w:val="BodyText"/>
    <w:semiHidden/>
    <w:rsid w:val="00C20710"/>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CF8148-9845-4073-B81D-30383619BA54}">
  <ds:schemaRefs>
    <ds:schemaRef ds:uri="http://schemas.openxmlformats.org/officeDocument/2006/bibliography"/>
  </ds:schemaRefs>
</ds:datastoreItem>
</file>

<file path=customXml/itemProps2.xml><?xml version="1.0" encoding="utf-8"?>
<ds:datastoreItem xmlns:ds="http://schemas.openxmlformats.org/officeDocument/2006/customXml" ds:itemID="{E210B3F8-0C22-44A9-A8D5-5ADE4B593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1531</Words>
  <Characters>8732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10243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subject/>
  <dc:creator>Tshepo Skosana</dc:creator>
  <cp:keywords/>
  <dc:description/>
  <cp:lastModifiedBy>Nhlanhla Dube</cp:lastModifiedBy>
  <cp:revision>2</cp:revision>
  <cp:lastPrinted>2022-10-31T12:49:00Z</cp:lastPrinted>
  <dcterms:created xsi:type="dcterms:W3CDTF">2022-10-31T12:49:00Z</dcterms:created>
  <dcterms:modified xsi:type="dcterms:W3CDTF">2022-10-31T12:49:00Z</dcterms:modified>
</cp:coreProperties>
</file>