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1534" w:rsidRDefault="00531534" w:rsidP="00531534">
      <w:pPr>
        <w:jc w:val="center"/>
      </w:pPr>
      <w:r w:rsidRPr="00CA458C">
        <w:rPr>
          <w:noProof/>
          <w:lang w:val="en-US"/>
        </w:rPr>
        <w:drawing>
          <wp:inline distT="0" distB="0" distL="0" distR="0" wp14:anchorId="2FFA323A" wp14:editId="2C65B3A3">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rsidR="00531534" w:rsidRDefault="00531534" w:rsidP="00531534">
      <w:pPr>
        <w:jc w:val="center"/>
      </w:pPr>
    </w:p>
    <w:p w:rsidR="00531534" w:rsidRPr="00100894" w:rsidRDefault="00531534" w:rsidP="00531534">
      <w:pPr>
        <w:jc w:val="center"/>
        <w:rPr>
          <w:b/>
        </w:rPr>
      </w:pPr>
      <w:r w:rsidRPr="00100894">
        <w:rPr>
          <w:b/>
        </w:rPr>
        <w:t>CONSTITUTIONAL COURT OF SOUTH AFRICA</w:t>
      </w:r>
    </w:p>
    <w:p w:rsidR="00531534" w:rsidRPr="00100894" w:rsidRDefault="00531534" w:rsidP="00531534"/>
    <w:p w:rsidR="00531534" w:rsidRDefault="00531534" w:rsidP="00531534">
      <w:pPr>
        <w:tabs>
          <w:tab w:val="right" w:pos="9360"/>
        </w:tabs>
        <w:ind w:right="284"/>
        <w:jc w:val="center"/>
        <w:rPr>
          <w:bCs/>
          <w:sz w:val="26"/>
          <w:szCs w:val="26"/>
          <w:lang w:val="en-GB"/>
        </w:rPr>
      </w:pPr>
      <w:r>
        <w:rPr>
          <w:b/>
          <w:bCs/>
          <w:i/>
          <w:iCs/>
        </w:rPr>
        <w:t>Minister of Tourism and Others v Afriforum NPC and Another</w:t>
      </w:r>
    </w:p>
    <w:p w:rsidR="00531534" w:rsidRPr="00100894" w:rsidRDefault="00531534" w:rsidP="00531534">
      <w:pPr>
        <w:jc w:val="right"/>
        <w:rPr>
          <w:b/>
        </w:rPr>
      </w:pPr>
      <w:r w:rsidRPr="00100894">
        <w:rPr>
          <w:b/>
        </w:rPr>
        <w:t xml:space="preserve">CCT </w:t>
      </w:r>
      <w:r>
        <w:rPr>
          <w:b/>
        </w:rPr>
        <w:t>318/21</w:t>
      </w:r>
    </w:p>
    <w:p w:rsidR="00531534" w:rsidRPr="00100894" w:rsidRDefault="00531534" w:rsidP="00531534">
      <w:pPr>
        <w:jc w:val="right"/>
        <w:rPr>
          <w:b/>
        </w:rPr>
      </w:pPr>
    </w:p>
    <w:p w:rsidR="00531534" w:rsidRPr="00100894" w:rsidRDefault="00531534" w:rsidP="00531534">
      <w:pPr>
        <w:jc w:val="right"/>
        <w:rPr>
          <w:b/>
        </w:rPr>
      </w:pPr>
      <w:r w:rsidRPr="00100894">
        <w:rPr>
          <w:b/>
        </w:rPr>
        <w:t xml:space="preserve">Date of hearing: </w:t>
      </w:r>
      <w:r>
        <w:rPr>
          <w:b/>
        </w:rPr>
        <w:t>08 September 2022</w:t>
      </w:r>
    </w:p>
    <w:p w:rsidR="00531534" w:rsidRPr="00100894" w:rsidRDefault="00531534" w:rsidP="00531534"/>
    <w:p w:rsidR="00531534" w:rsidRPr="00100894" w:rsidRDefault="00531534" w:rsidP="00531534">
      <w:pPr>
        <w:jc w:val="center"/>
      </w:pPr>
      <w:r w:rsidRPr="00100894">
        <w:t>________________________________________________________________________</w:t>
      </w:r>
    </w:p>
    <w:p w:rsidR="00531534" w:rsidRPr="00100894" w:rsidRDefault="00531534" w:rsidP="00531534">
      <w:pPr>
        <w:jc w:val="center"/>
        <w:rPr>
          <w:b/>
        </w:rPr>
      </w:pPr>
    </w:p>
    <w:p w:rsidR="00531534" w:rsidRPr="00100894" w:rsidRDefault="00531534" w:rsidP="00531534">
      <w:pPr>
        <w:jc w:val="center"/>
        <w:rPr>
          <w:b/>
        </w:rPr>
      </w:pPr>
      <w:r w:rsidRPr="00100894">
        <w:rPr>
          <w:b/>
        </w:rPr>
        <w:t>MEDIA SUMMARY</w:t>
      </w:r>
    </w:p>
    <w:p w:rsidR="00531534" w:rsidRPr="00100894" w:rsidRDefault="00531534" w:rsidP="00531534">
      <w:pPr>
        <w:jc w:val="center"/>
      </w:pPr>
      <w:r w:rsidRPr="00100894">
        <w:t>________________________________________________________________________</w:t>
      </w:r>
    </w:p>
    <w:p w:rsidR="00531534" w:rsidRPr="00100894" w:rsidRDefault="00531534" w:rsidP="00531534">
      <w:pPr>
        <w:spacing w:line="360" w:lineRule="auto"/>
        <w:jc w:val="left"/>
      </w:pPr>
    </w:p>
    <w:p w:rsidR="00531534" w:rsidRPr="00517A1A" w:rsidRDefault="00531534" w:rsidP="00531534">
      <w:pPr>
        <w:rPr>
          <w:i/>
          <w:sz w:val="22"/>
          <w:szCs w:val="22"/>
        </w:rPr>
      </w:pPr>
      <w:r w:rsidRPr="00517A1A">
        <w:rPr>
          <w:i/>
          <w:sz w:val="22"/>
          <w:szCs w:val="22"/>
        </w:rPr>
        <w:t>The following explanatory note is provided to assist the media in reporting this case and is not binding on the Constitutional Court or any member of the Court.</w:t>
      </w:r>
    </w:p>
    <w:p w:rsidR="00531534" w:rsidRPr="00517A1A" w:rsidRDefault="00531534" w:rsidP="00531534">
      <w:pPr>
        <w:rPr>
          <w:sz w:val="22"/>
          <w:szCs w:val="22"/>
        </w:rPr>
      </w:pPr>
    </w:p>
    <w:p w:rsidR="00D60D96" w:rsidRDefault="00531534" w:rsidP="006474CE">
      <w:r w:rsidRPr="001465D1">
        <w:t xml:space="preserve">On Thursday, 8 September 2022 at 10h00, the Constitutional Court will hear an application </w:t>
      </w:r>
      <w:r w:rsidR="00D60D96">
        <w:t>by the Minister of Tourism, her Department and the Director-General of her Department in a matter involving Afriforum</w:t>
      </w:r>
      <w:r w:rsidR="00BE5E4A">
        <w:t xml:space="preserve"> and Solidarity as respondents.</w:t>
      </w:r>
    </w:p>
    <w:p w:rsidR="00D60D96" w:rsidRDefault="00D60D96" w:rsidP="006474CE"/>
    <w:p w:rsidR="00D60D96" w:rsidRDefault="00D60D96" w:rsidP="006474CE">
      <w:pPr>
        <w:rPr>
          <w:lang w:val="en-GB"/>
        </w:rPr>
      </w:pPr>
      <w:r>
        <w:t xml:space="preserve">The application is </w:t>
      </w:r>
      <w:r w:rsidR="00531534" w:rsidRPr="001465D1">
        <w:t xml:space="preserve">for leave to appeal against </w:t>
      </w:r>
      <w:r>
        <w:t>a</w:t>
      </w:r>
      <w:r w:rsidR="00531534" w:rsidRPr="001465D1">
        <w:t xml:space="preserve"> decision o</w:t>
      </w:r>
      <w:r>
        <w:t xml:space="preserve">f the Supreme Court of Appeal in terms of which that Court decided that the Minister of Tourism had not been legally obliged to subject the eligibility for assistance </w:t>
      </w:r>
      <w:r w:rsidRPr="00BE5E4A">
        <w:t xml:space="preserve">from the </w:t>
      </w:r>
      <w:r w:rsidRPr="00BE5E4A">
        <w:rPr>
          <w:lang w:val="en-GB"/>
        </w:rPr>
        <w:t xml:space="preserve">Tourism Relief Fund to the Tourism Code and her direction that </w:t>
      </w:r>
      <w:r w:rsidR="00941B1B" w:rsidRPr="00BE5E4A">
        <w:rPr>
          <w:lang w:val="en-GB"/>
        </w:rPr>
        <w:t xml:space="preserve">that </w:t>
      </w:r>
      <w:r w:rsidRPr="00BE5E4A">
        <w:rPr>
          <w:lang w:val="en-GB"/>
        </w:rPr>
        <w:t>be done was unlawful.</w:t>
      </w:r>
    </w:p>
    <w:p w:rsidR="00D60D96" w:rsidRDefault="00D60D96" w:rsidP="006474CE">
      <w:pPr>
        <w:rPr>
          <w:lang w:val="en-GB"/>
        </w:rPr>
      </w:pPr>
    </w:p>
    <w:p w:rsidR="00D60D96" w:rsidRDefault="00D60D96" w:rsidP="006474CE">
      <w:pPr>
        <w:rPr>
          <w:lang w:val="en-GB"/>
        </w:rPr>
      </w:pPr>
      <w:r>
        <w:rPr>
          <w:lang w:val="en-GB"/>
        </w:rPr>
        <w:t xml:space="preserve">The background to this matter is that, after the institution of the hard lockdown </w:t>
      </w:r>
      <w:r w:rsidR="00941B1B">
        <w:rPr>
          <w:lang w:val="en-GB"/>
        </w:rPr>
        <w:t>early</w:t>
      </w:r>
      <w:r>
        <w:rPr>
          <w:lang w:val="en-GB"/>
        </w:rPr>
        <w:t xml:space="preserve"> in 2020 </w:t>
      </w:r>
      <w:r w:rsidR="00941B1B">
        <w:rPr>
          <w:lang w:val="en-GB"/>
        </w:rPr>
        <w:t>pursuant</w:t>
      </w:r>
      <w:r>
        <w:rPr>
          <w:lang w:val="en-GB"/>
        </w:rPr>
        <w:t xml:space="preserve"> to the emergence of the Covid-19 pandemic, the Minister of Tourism established a fund known as the </w:t>
      </w:r>
      <w:r w:rsidRPr="001465D1">
        <w:rPr>
          <w:lang w:val="en-GB"/>
        </w:rPr>
        <w:t>Tourism Relief Fund</w:t>
      </w:r>
      <w:r>
        <w:rPr>
          <w:lang w:val="en-GB"/>
        </w:rPr>
        <w:t xml:space="preserve"> in terms of which R200 million was set aside to be made available to small and medium businesses involved in the tourism </w:t>
      </w:r>
      <w:r w:rsidR="00BE5E4A" w:rsidRPr="00BE5E4A">
        <w:rPr>
          <w:lang w:val="en-GB"/>
        </w:rPr>
        <w:t>sector</w:t>
      </w:r>
      <w:r>
        <w:rPr>
          <w:lang w:val="en-GB"/>
        </w:rPr>
        <w:t xml:space="preserve"> in order to assist them in facing the economic and operational </w:t>
      </w:r>
      <w:r w:rsidR="00941B1B">
        <w:rPr>
          <w:lang w:val="en-GB"/>
        </w:rPr>
        <w:t>challenges</w:t>
      </w:r>
      <w:r>
        <w:rPr>
          <w:lang w:val="en-GB"/>
        </w:rPr>
        <w:t xml:space="preserve"> they were facing as a result of the hard lockdown.  The Minister then decided that the selection criteria to be used to select the businesses which would be beneficiaries of the </w:t>
      </w:r>
      <w:r w:rsidRPr="001465D1">
        <w:rPr>
          <w:lang w:val="en-GB"/>
        </w:rPr>
        <w:t>Tourism Relief Fund</w:t>
      </w:r>
      <w:r>
        <w:rPr>
          <w:lang w:val="en-GB"/>
        </w:rPr>
        <w:t xml:space="preserve"> would include the B-BBEE status of the business </w:t>
      </w:r>
      <w:r w:rsidR="00941B1B">
        <w:rPr>
          <w:lang w:val="en-GB"/>
        </w:rPr>
        <w:t>applicants as a scoring criterion</w:t>
      </w:r>
      <w:r w:rsidR="00BE5E4A">
        <w:rPr>
          <w:lang w:val="en-GB"/>
        </w:rPr>
        <w:t>.</w:t>
      </w:r>
    </w:p>
    <w:p w:rsidR="00D60D96" w:rsidRDefault="00D60D96" w:rsidP="006474CE">
      <w:pPr>
        <w:rPr>
          <w:lang w:val="en-GB"/>
        </w:rPr>
      </w:pPr>
    </w:p>
    <w:p w:rsidR="00BE5E4A" w:rsidRDefault="00D60D96" w:rsidP="00BE5E4A">
      <w:r>
        <w:rPr>
          <w:lang w:val="en-GB"/>
        </w:rPr>
        <w:t>Afriforum and Solidarity launched an application in the High Court, Pretoria to have the Minister’s decision reviewed and set aside on the basis that these two entities contended that the</w:t>
      </w:r>
      <w:r w:rsidR="00941B1B">
        <w:rPr>
          <w:lang w:val="en-GB"/>
        </w:rPr>
        <w:t>se decisions fell under the Promotion of Administrative Justice Act, 2000 (PAJA)</w:t>
      </w:r>
      <w:r w:rsidR="00941B1B">
        <w:t xml:space="preserve"> </w:t>
      </w:r>
      <w:r w:rsidR="00941B1B">
        <w:rPr>
          <w:lang w:val="en-GB"/>
        </w:rPr>
        <w:t>and could therefore be reviewed as administrative action or alternatively were decisions that could be reviewed u</w:t>
      </w:r>
      <w:r w:rsidR="00BE5E4A">
        <w:rPr>
          <w:lang w:val="en-GB"/>
        </w:rPr>
        <w:t>nder the principle of legality.</w:t>
      </w:r>
      <w:r w:rsidR="00BE5E4A">
        <w:t xml:space="preserve">  </w:t>
      </w:r>
      <w:r w:rsidR="00BE5E4A" w:rsidRPr="00442BD8">
        <w:t>At the time when Solidarity brought its application the criteria for the Tourism Fund had not been published.  Its application against the Min</w:t>
      </w:r>
      <w:r w:rsidR="005920EC">
        <w:t>i</w:t>
      </w:r>
      <w:r w:rsidR="00BE5E4A" w:rsidRPr="00442BD8">
        <w:t xml:space="preserve">ster was premised on the speculation that race would be the main criteria </w:t>
      </w:r>
      <w:r w:rsidR="00BE5E4A" w:rsidRPr="00442BD8">
        <w:lastRenderedPageBreak/>
        <w:t>for granting</w:t>
      </w:r>
      <w:r w:rsidR="00AA041B">
        <w:t xml:space="preserve"> assistance from the</w:t>
      </w:r>
      <w:r w:rsidR="00BE5E4A" w:rsidRPr="00442BD8">
        <w:t xml:space="preserve"> Tourism </w:t>
      </w:r>
      <w:r w:rsidR="00AA041B">
        <w:t xml:space="preserve">Relief </w:t>
      </w:r>
      <w:r w:rsidR="00BE5E4A" w:rsidRPr="00442BD8">
        <w:t>Fund, and that a major percentage of the funds would be earmarked for black-owned companies.  It thus framed the relief in its review application for the removal of “all or any race-based criteria”, and that “no regard be given to race”</w:t>
      </w:r>
      <w:r w:rsidR="00BE5E4A">
        <w:t xml:space="preserve">.  </w:t>
      </w:r>
      <w:r w:rsidR="00BE5E4A" w:rsidRPr="00442BD8">
        <w:t xml:space="preserve">By the time Afriforum brought its application the grant criteria was available to </w:t>
      </w:r>
      <w:r w:rsidR="00BE5E4A">
        <w:t>it.  H</w:t>
      </w:r>
      <w:r w:rsidR="00BE5E4A" w:rsidRPr="00442BD8">
        <w:t>owever, it did not raise an argument</w:t>
      </w:r>
      <w:r w:rsidR="00BE5E4A">
        <w:t xml:space="preserve"> on the Disaster Management Act - i</w:t>
      </w:r>
      <w:r w:rsidR="00BE5E4A" w:rsidRPr="00442BD8">
        <w:t>ts main challenge was confined to discrimination arguments based on section 9 and that the B-BBEE Act did not grant the Tourism Minister permission to allocate the funding in terms of that Act</w:t>
      </w:r>
      <w:r w:rsidR="00BE5E4A">
        <w:t>.</w:t>
      </w:r>
    </w:p>
    <w:p w:rsidR="00BE5E4A" w:rsidRDefault="00BE5E4A" w:rsidP="00BE5E4A"/>
    <w:p w:rsidR="00BE5E4A" w:rsidRDefault="00AA041B" w:rsidP="00BE5E4A">
      <w:r>
        <w:t>She further</w:t>
      </w:r>
      <w:r w:rsidR="00BE5E4A" w:rsidRPr="000D4BE6">
        <w:t xml:space="preserve"> argued </w:t>
      </w:r>
      <w:r>
        <w:t xml:space="preserve">that, </w:t>
      </w:r>
      <w:r w:rsidR="00BE5E4A" w:rsidRPr="000D4BE6">
        <w:t xml:space="preserve">amongst other things, </w:t>
      </w:r>
      <w:r>
        <w:t>she</w:t>
      </w:r>
      <w:r w:rsidR="00BE5E4A" w:rsidRPr="000D4BE6">
        <w:t xml:space="preserve"> was obliged to use B-BBEE criteria.  The Minister also argued that the fund did not solely impose race-based criterion as it was administered in terms of a scoring card: to which race accounted for an overall 20 points out of 100 and black-owned companies received a maximum 8 point</w:t>
      </w:r>
      <w:r w:rsidR="00BE5E4A">
        <w:t>s</w:t>
      </w:r>
      <w:r w:rsidR="00BE5E4A" w:rsidRPr="000D4BE6">
        <w:t xml:space="preserve"> advantage over white owned companies.  The Minister submitted that applying the B-BBEE criteria was a lawful and rational exercise of executive </w:t>
      </w:r>
      <w:r>
        <w:t>power</w:t>
      </w:r>
      <w:r w:rsidR="00BE5E4A" w:rsidRPr="000D4BE6">
        <w:t xml:space="preserve">, having regard to the tourism industry within which the grant operates.  Further, that legality and its standards of review (i.e. rationality and lawfulness), and not administrative action, </w:t>
      </w:r>
      <w:r>
        <w:t>operated</w:t>
      </w:r>
      <w:r w:rsidR="00BE5E4A">
        <w:t>.</w:t>
      </w:r>
    </w:p>
    <w:p w:rsidR="0048162F" w:rsidRDefault="0048162F" w:rsidP="006474CE"/>
    <w:p w:rsidR="00BE5E4A" w:rsidRPr="00BE5E4A" w:rsidRDefault="00BE5E4A" w:rsidP="00BE5E4A">
      <w:r w:rsidRPr="00BE5E4A">
        <w:t>The court had to decide whether the decision of the Minister to establish the Tourism Fund and prescribe the qualifying criteria for applicants constitutes administrative action in terms of PAJA, or executive policy subject to legality review.  The High Court found in favour of the Min</w:t>
      </w:r>
      <w:r w:rsidR="005920EC">
        <w:t>i</w:t>
      </w:r>
      <w:r w:rsidRPr="00BE5E4A">
        <w:t xml:space="preserve">ster, and held </w:t>
      </w:r>
      <w:r w:rsidR="00AA041B">
        <w:t>the</w:t>
      </w:r>
      <w:r w:rsidR="00AA041B" w:rsidRPr="00BE5E4A">
        <w:t xml:space="preserve"> </w:t>
      </w:r>
      <w:r w:rsidRPr="00BE5E4A">
        <w:t xml:space="preserve">review </w:t>
      </w:r>
      <w:r w:rsidR="00AA041B">
        <w:t xml:space="preserve">of the decision had to be under the principle of legality and not under </w:t>
      </w:r>
      <w:r w:rsidRPr="00BE5E4A">
        <w:t>PAJA as the Minister’s conduct in the creation of the grant amounted to executive policy making and not administrative action.  The court dismissed the application.</w:t>
      </w:r>
    </w:p>
    <w:p w:rsidR="00BE5E4A" w:rsidRDefault="00BE5E4A" w:rsidP="006474CE"/>
    <w:p w:rsidR="00BE5E4A" w:rsidRPr="00BE5E4A" w:rsidRDefault="00BE5E4A" w:rsidP="00BE5E4A">
      <w:r w:rsidRPr="00BE5E4A">
        <w:t xml:space="preserve">Aggrieved by the judgment, Afriforum and Solidarity </w:t>
      </w:r>
      <w:r w:rsidR="00AA041B">
        <w:t>applied to the High Court for leave to appeal to the Supreme Court of Appeal</w:t>
      </w:r>
      <w:r w:rsidRPr="00BE5E4A">
        <w:t xml:space="preserve">.  </w:t>
      </w:r>
      <w:r w:rsidR="00AA041B">
        <w:t>The</w:t>
      </w:r>
      <w:r w:rsidRPr="00BE5E4A">
        <w:t xml:space="preserve"> High Court</w:t>
      </w:r>
      <w:r w:rsidR="00AA041B">
        <w:t xml:space="preserve"> dismissed the a</w:t>
      </w:r>
      <w:r w:rsidR="005920EC">
        <w:t>pplication for leave to appeal.</w:t>
      </w:r>
    </w:p>
    <w:p w:rsidR="00BE5E4A" w:rsidRPr="00BE5E4A" w:rsidRDefault="00BE5E4A" w:rsidP="00BE5E4A">
      <w:bookmarkStart w:id="0" w:name="_GoBack"/>
      <w:bookmarkEnd w:id="0"/>
    </w:p>
    <w:p w:rsidR="00301E62" w:rsidRDefault="00BE5E4A" w:rsidP="00BE5E4A">
      <w:r w:rsidRPr="00BE5E4A">
        <w:t xml:space="preserve">Afriforum and Solidarity </w:t>
      </w:r>
      <w:r w:rsidR="00301E62">
        <w:t>petitioned</w:t>
      </w:r>
      <w:r w:rsidR="00301E62" w:rsidRPr="00BE5E4A">
        <w:t xml:space="preserve"> </w:t>
      </w:r>
      <w:r w:rsidR="00765AE9" w:rsidRPr="00BE5E4A">
        <w:t xml:space="preserve">the Supreme Court of Appeal </w:t>
      </w:r>
      <w:r w:rsidRPr="00BE5E4A">
        <w:t>for leave to appeal</w:t>
      </w:r>
      <w:r w:rsidR="00301E62">
        <w:t xml:space="preserve">.  That Court granted </w:t>
      </w:r>
      <w:r w:rsidR="00301E62" w:rsidRPr="00BE5E4A">
        <w:t>Afriforum and Solidarity</w:t>
      </w:r>
      <w:r w:rsidR="00301E62">
        <w:t xml:space="preserve"> leave to appeal.</w:t>
      </w:r>
    </w:p>
    <w:p w:rsidR="00301E62" w:rsidRPr="00111E4D" w:rsidRDefault="00301E62" w:rsidP="005920EC">
      <w:pPr>
        <w:pStyle w:val="JUDGMENTNUMBERED"/>
        <w:numPr>
          <w:ilvl w:val="0"/>
          <w:numId w:val="0"/>
        </w:numPr>
      </w:pPr>
    </w:p>
    <w:p w:rsidR="00301E62" w:rsidRDefault="00301E62" w:rsidP="004F6CB4">
      <w:r>
        <w:t xml:space="preserve">The Supreme Court of Appeal held that the Minister erroneously believed that she was bound by section 10(1)(e) of the B-BBEE Act to apply the Tourism Sector Code.  </w:t>
      </w:r>
      <w:r w:rsidR="00765AE9">
        <w:t>It was held that her</w:t>
      </w:r>
      <w:r>
        <w:t xml:space="preserve"> error was material as it distorted her discretion in the sense that it caused her to fail to apply her mind properly to the criteria that should</w:t>
      </w:r>
      <w:r w:rsidR="00765AE9">
        <w:t xml:space="preserve"> have been used for eligibility for assistance from the fund.  The Supreme Court of Appeal held that her</w:t>
      </w:r>
      <w:r>
        <w:t xml:space="preserve"> inclusion of the B-BBEE status level of applicants for assistance as a criterion for eligibility for grants from the Fund was therefore invalid.</w:t>
      </w:r>
    </w:p>
    <w:p w:rsidR="00301E62" w:rsidRDefault="00301E62" w:rsidP="004F6CB4"/>
    <w:p w:rsidR="00301E62" w:rsidRDefault="00301E62" w:rsidP="004F6CB4">
      <w:r w:rsidRPr="00301E62">
        <w:t xml:space="preserve">If the Constitutional Court grants leave to appeal, it will be required to deal with the same issues that the High Court and the Supreme Court of Appeal dealt with.  These include whether the Minister’s decision constitutes an administrative action and can, therefore, be reviewed under PAJA or the principle of legality and whether the Minister was obliged to </w:t>
      </w:r>
      <w:r w:rsidRPr="00301E62">
        <w:lastRenderedPageBreak/>
        <w:t>include B-BBEEE status of businesses that applied for assistance under the Tourism Relief Fund as one of the selection criteria.</w:t>
      </w:r>
    </w:p>
    <w:p w:rsidR="00BE5E4A" w:rsidRDefault="00BE5E4A" w:rsidP="006474CE"/>
    <w:p w:rsidR="00BE5E4A" w:rsidRPr="001465D1" w:rsidRDefault="00301E62" w:rsidP="006474CE">
      <w:r>
        <w:t>The parties pursue the same argument as in the High Court and the Supreme Court of Appeal.</w:t>
      </w:r>
    </w:p>
    <w:sectPr w:rsidR="00BE5E4A" w:rsidRPr="001465D1" w:rsidSect="00883D6C">
      <w:footerReference w:type="default" r:id="rId11"/>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79BE" w:rsidRDefault="00EA79BE" w:rsidP="004A5089">
      <w:r>
        <w:separator/>
      </w:r>
    </w:p>
  </w:endnote>
  <w:endnote w:type="continuationSeparator" w:id="0">
    <w:p w:rsidR="00EA79BE" w:rsidRDefault="00EA79BE" w:rsidP="004A50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78426218"/>
      <w:docPartObj>
        <w:docPartGallery w:val="Page Numbers (Bottom of Page)"/>
        <w:docPartUnique/>
      </w:docPartObj>
    </w:sdtPr>
    <w:sdtEndPr>
      <w:rPr>
        <w:noProof/>
      </w:rPr>
    </w:sdtEndPr>
    <w:sdtContent>
      <w:p w:rsidR="00AA041B" w:rsidRDefault="00AA041B">
        <w:pPr>
          <w:pStyle w:val="Footer"/>
          <w:jc w:val="center"/>
        </w:pPr>
        <w:r>
          <w:fldChar w:fldCharType="begin"/>
        </w:r>
        <w:r>
          <w:instrText xml:space="preserve"> PAGE   \* MERGEFORMAT </w:instrText>
        </w:r>
        <w:r>
          <w:fldChar w:fldCharType="separate"/>
        </w:r>
        <w:r w:rsidR="006D6668">
          <w:rPr>
            <w:noProof/>
          </w:rPr>
          <w:t>1</w:t>
        </w:r>
        <w:r>
          <w:rPr>
            <w:noProof/>
          </w:rPr>
          <w:fldChar w:fldCharType="end"/>
        </w:r>
      </w:p>
    </w:sdtContent>
  </w:sdt>
  <w:p w:rsidR="00AA041B" w:rsidRDefault="00AA041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79BE" w:rsidRDefault="00EA79BE" w:rsidP="004A5089">
      <w:r>
        <w:separator/>
      </w:r>
    </w:p>
  </w:footnote>
  <w:footnote w:type="continuationSeparator" w:id="0">
    <w:p w:rsidR="00EA79BE" w:rsidRDefault="00EA79BE" w:rsidP="004A508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AC44C5"/>
    <w:multiLevelType w:val="hybridMultilevel"/>
    <w:tmpl w:val="CFC41706"/>
    <w:lvl w:ilvl="0" w:tplc="3612CC4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 w15:restartNumberingAfterBreak="0">
    <w:nsid w:val="2C5B6431"/>
    <w:multiLevelType w:val="hybridMultilevel"/>
    <w:tmpl w:val="D16A88FE"/>
    <w:lvl w:ilvl="0" w:tplc="AA00580A">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35AD6D17"/>
    <w:multiLevelType w:val="hybridMultilevel"/>
    <w:tmpl w:val="C5E8095A"/>
    <w:lvl w:ilvl="0" w:tplc="2A289F66">
      <w:start w:val="1"/>
      <w:numFmt w:val="lowerLetter"/>
      <w:lvlText w:val="(%1)"/>
      <w:lvlJc w:val="left"/>
      <w:pPr>
        <w:ind w:left="1760" w:hanging="360"/>
      </w:pPr>
      <w:rPr>
        <w:rFonts w:ascii="Times New Roman" w:eastAsia="Calibri" w:hAnsi="Times New Roman" w:cs="Times New Roman"/>
      </w:rPr>
    </w:lvl>
    <w:lvl w:ilvl="1" w:tplc="1C090019" w:tentative="1">
      <w:start w:val="1"/>
      <w:numFmt w:val="lowerLetter"/>
      <w:lvlText w:val="%2."/>
      <w:lvlJc w:val="left"/>
      <w:pPr>
        <w:ind w:left="2480" w:hanging="360"/>
      </w:pPr>
    </w:lvl>
    <w:lvl w:ilvl="2" w:tplc="1C09001B" w:tentative="1">
      <w:start w:val="1"/>
      <w:numFmt w:val="lowerRoman"/>
      <w:lvlText w:val="%3."/>
      <w:lvlJc w:val="right"/>
      <w:pPr>
        <w:ind w:left="3200" w:hanging="180"/>
      </w:pPr>
    </w:lvl>
    <w:lvl w:ilvl="3" w:tplc="1C09000F" w:tentative="1">
      <w:start w:val="1"/>
      <w:numFmt w:val="decimal"/>
      <w:lvlText w:val="%4."/>
      <w:lvlJc w:val="left"/>
      <w:pPr>
        <w:ind w:left="3920" w:hanging="360"/>
      </w:pPr>
    </w:lvl>
    <w:lvl w:ilvl="4" w:tplc="1C090019" w:tentative="1">
      <w:start w:val="1"/>
      <w:numFmt w:val="lowerLetter"/>
      <w:lvlText w:val="%5."/>
      <w:lvlJc w:val="left"/>
      <w:pPr>
        <w:ind w:left="4640" w:hanging="360"/>
      </w:pPr>
    </w:lvl>
    <w:lvl w:ilvl="5" w:tplc="1C09001B" w:tentative="1">
      <w:start w:val="1"/>
      <w:numFmt w:val="lowerRoman"/>
      <w:lvlText w:val="%6."/>
      <w:lvlJc w:val="right"/>
      <w:pPr>
        <w:ind w:left="5360" w:hanging="180"/>
      </w:pPr>
    </w:lvl>
    <w:lvl w:ilvl="6" w:tplc="1C09000F" w:tentative="1">
      <w:start w:val="1"/>
      <w:numFmt w:val="decimal"/>
      <w:lvlText w:val="%7."/>
      <w:lvlJc w:val="left"/>
      <w:pPr>
        <w:ind w:left="6080" w:hanging="360"/>
      </w:pPr>
    </w:lvl>
    <w:lvl w:ilvl="7" w:tplc="1C090019" w:tentative="1">
      <w:start w:val="1"/>
      <w:numFmt w:val="lowerLetter"/>
      <w:lvlText w:val="%8."/>
      <w:lvlJc w:val="left"/>
      <w:pPr>
        <w:ind w:left="6800" w:hanging="360"/>
      </w:pPr>
    </w:lvl>
    <w:lvl w:ilvl="8" w:tplc="1C09001B" w:tentative="1">
      <w:start w:val="1"/>
      <w:numFmt w:val="lowerRoman"/>
      <w:lvlText w:val="%9."/>
      <w:lvlJc w:val="right"/>
      <w:pPr>
        <w:ind w:left="7520" w:hanging="180"/>
      </w:pPr>
    </w:lvl>
  </w:abstractNum>
  <w:abstractNum w:abstractNumId="3" w15:restartNumberingAfterBreak="0">
    <w:nsid w:val="4066478A"/>
    <w:multiLevelType w:val="hybridMultilevel"/>
    <w:tmpl w:val="5C26B932"/>
    <w:lvl w:ilvl="0" w:tplc="41ACE7F6">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4" w15:restartNumberingAfterBreak="0">
    <w:nsid w:val="497F46F1"/>
    <w:multiLevelType w:val="hybridMultilevel"/>
    <w:tmpl w:val="F1A00812"/>
    <w:lvl w:ilvl="0" w:tplc="34249FF4">
      <w:start w:val="1"/>
      <w:numFmt w:val="lowerRoman"/>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5"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6" w15:restartNumberingAfterBreak="0">
    <w:nsid w:val="611E7456"/>
    <w:multiLevelType w:val="hybridMultilevel"/>
    <w:tmpl w:val="F9A4A938"/>
    <w:lvl w:ilvl="0" w:tplc="23BC5B30">
      <w:start w:val="1"/>
      <w:numFmt w:val="decimal"/>
      <w:pStyle w:val="JUDGMENTNUMBERED"/>
      <w:lvlText w:val="[%1]"/>
      <w:lvlJc w:val="left"/>
      <w:pPr>
        <w:ind w:left="720"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1C090017">
      <w:start w:val="1"/>
      <w:numFmt w:val="lowerLetter"/>
      <w:lvlText w:val="%2)"/>
      <w:lvlJc w:val="left"/>
      <w:pPr>
        <w:ind w:left="1440" w:hanging="360"/>
      </w:pPr>
      <w:rPr>
        <w:rFonts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1"/>
  </w:num>
  <w:num w:numId="4">
    <w:abstractNumId w:val="2"/>
  </w:num>
  <w:num w:numId="5">
    <w:abstractNumId w:val="0"/>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5F5A"/>
    <w:rsid w:val="0000070C"/>
    <w:rsid w:val="00001A3B"/>
    <w:rsid w:val="00007674"/>
    <w:rsid w:val="00017302"/>
    <w:rsid w:val="00023AEF"/>
    <w:rsid w:val="00023FA7"/>
    <w:rsid w:val="00027FB2"/>
    <w:rsid w:val="0003383F"/>
    <w:rsid w:val="000403F2"/>
    <w:rsid w:val="00043802"/>
    <w:rsid w:val="00044771"/>
    <w:rsid w:val="000539EC"/>
    <w:rsid w:val="000542E9"/>
    <w:rsid w:val="00054891"/>
    <w:rsid w:val="000548D7"/>
    <w:rsid w:val="00055B29"/>
    <w:rsid w:val="000654B1"/>
    <w:rsid w:val="00067430"/>
    <w:rsid w:val="00067DC0"/>
    <w:rsid w:val="0007028D"/>
    <w:rsid w:val="0007029A"/>
    <w:rsid w:val="00070E99"/>
    <w:rsid w:val="00077B38"/>
    <w:rsid w:val="000806AE"/>
    <w:rsid w:val="000810CF"/>
    <w:rsid w:val="00090A9D"/>
    <w:rsid w:val="00091F8C"/>
    <w:rsid w:val="00093BE5"/>
    <w:rsid w:val="00093E39"/>
    <w:rsid w:val="00094578"/>
    <w:rsid w:val="00094E7C"/>
    <w:rsid w:val="0009554D"/>
    <w:rsid w:val="000A36D1"/>
    <w:rsid w:val="000A36F3"/>
    <w:rsid w:val="000A5084"/>
    <w:rsid w:val="000B27ED"/>
    <w:rsid w:val="000B50CD"/>
    <w:rsid w:val="000C3F0C"/>
    <w:rsid w:val="000C55C6"/>
    <w:rsid w:val="000C74C7"/>
    <w:rsid w:val="000D09EA"/>
    <w:rsid w:val="000D13B1"/>
    <w:rsid w:val="000D35AE"/>
    <w:rsid w:val="000D6A5F"/>
    <w:rsid w:val="000D6CAF"/>
    <w:rsid w:val="000E4D76"/>
    <w:rsid w:val="000E5DC4"/>
    <w:rsid w:val="000F2197"/>
    <w:rsid w:val="00100027"/>
    <w:rsid w:val="00100894"/>
    <w:rsid w:val="001028EC"/>
    <w:rsid w:val="001038D8"/>
    <w:rsid w:val="00104D42"/>
    <w:rsid w:val="001106DD"/>
    <w:rsid w:val="00111E4D"/>
    <w:rsid w:val="00113454"/>
    <w:rsid w:val="00117D6B"/>
    <w:rsid w:val="00122E3D"/>
    <w:rsid w:val="00125BE8"/>
    <w:rsid w:val="001371A6"/>
    <w:rsid w:val="001372A6"/>
    <w:rsid w:val="00140430"/>
    <w:rsid w:val="00140585"/>
    <w:rsid w:val="001434E0"/>
    <w:rsid w:val="00143D66"/>
    <w:rsid w:val="00143FA1"/>
    <w:rsid w:val="001465D1"/>
    <w:rsid w:val="0015307D"/>
    <w:rsid w:val="00163D85"/>
    <w:rsid w:val="0016557B"/>
    <w:rsid w:val="00172A2C"/>
    <w:rsid w:val="00175A75"/>
    <w:rsid w:val="00175BA7"/>
    <w:rsid w:val="00177F61"/>
    <w:rsid w:val="001804FF"/>
    <w:rsid w:val="00182822"/>
    <w:rsid w:val="00185D4F"/>
    <w:rsid w:val="001932C3"/>
    <w:rsid w:val="001A24C8"/>
    <w:rsid w:val="001A4887"/>
    <w:rsid w:val="001A5215"/>
    <w:rsid w:val="001A5294"/>
    <w:rsid w:val="001B141E"/>
    <w:rsid w:val="001B228E"/>
    <w:rsid w:val="001B78CC"/>
    <w:rsid w:val="001C0752"/>
    <w:rsid w:val="001C456E"/>
    <w:rsid w:val="001C4F6D"/>
    <w:rsid w:val="001C5682"/>
    <w:rsid w:val="001C661A"/>
    <w:rsid w:val="001C722B"/>
    <w:rsid w:val="001E31D8"/>
    <w:rsid w:val="001E57F4"/>
    <w:rsid w:val="001E5F5A"/>
    <w:rsid w:val="001E7604"/>
    <w:rsid w:val="001F1F6F"/>
    <w:rsid w:val="001F7703"/>
    <w:rsid w:val="00200AB8"/>
    <w:rsid w:val="00203A1D"/>
    <w:rsid w:val="00215823"/>
    <w:rsid w:val="00223A97"/>
    <w:rsid w:val="0023026D"/>
    <w:rsid w:val="002302AA"/>
    <w:rsid w:val="002348C0"/>
    <w:rsid w:val="00237B9D"/>
    <w:rsid w:val="00242206"/>
    <w:rsid w:val="002435AB"/>
    <w:rsid w:val="00243F11"/>
    <w:rsid w:val="002447A0"/>
    <w:rsid w:val="00246599"/>
    <w:rsid w:val="002471F9"/>
    <w:rsid w:val="00250C27"/>
    <w:rsid w:val="00253986"/>
    <w:rsid w:val="00256F1E"/>
    <w:rsid w:val="002617B3"/>
    <w:rsid w:val="00261BFC"/>
    <w:rsid w:val="00263169"/>
    <w:rsid w:val="002705A8"/>
    <w:rsid w:val="0027251B"/>
    <w:rsid w:val="0027353F"/>
    <w:rsid w:val="002755AD"/>
    <w:rsid w:val="0029524C"/>
    <w:rsid w:val="00296390"/>
    <w:rsid w:val="002A095E"/>
    <w:rsid w:val="002A0A35"/>
    <w:rsid w:val="002A480E"/>
    <w:rsid w:val="002B28C1"/>
    <w:rsid w:val="002C270C"/>
    <w:rsid w:val="002C6CF8"/>
    <w:rsid w:val="002D184B"/>
    <w:rsid w:val="002D7582"/>
    <w:rsid w:val="002E16CF"/>
    <w:rsid w:val="002E62C3"/>
    <w:rsid w:val="002F1043"/>
    <w:rsid w:val="002F31F8"/>
    <w:rsid w:val="002F414F"/>
    <w:rsid w:val="002F65AB"/>
    <w:rsid w:val="0030100E"/>
    <w:rsid w:val="00301E62"/>
    <w:rsid w:val="00302C12"/>
    <w:rsid w:val="00304532"/>
    <w:rsid w:val="00305423"/>
    <w:rsid w:val="00305A38"/>
    <w:rsid w:val="00306991"/>
    <w:rsid w:val="0031090D"/>
    <w:rsid w:val="00314919"/>
    <w:rsid w:val="00315737"/>
    <w:rsid w:val="0031792A"/>
    <w:rsid w:val="0032171F"/>
    <w:rsid w:val="00322C64"/>
    <w:rsid w:val="00323149"/>
    <w:rsid w:val="003255EA"/>
    <w:rsid w:val="0032682A"/>
    <w:rsid w:val="00330DE8"/>
    <w:rsid w:val="00334E0F"/>
    <w:rsid w:val="003430F2"/>
    <w:rsid w:val="00352D4C"/>
    <w:rsid w:val="003547F6"/>
    <w:rsid w:val="003549CD"/>
    <w:rsid w:val="00357788"/>
    <w:rsid w:val="00360CA5"/>
    <w:rsid w:val="00365E45"/>
    <w:rsid w:val="003747FE"/>
    <w:rsid w:val="0037720A"/>
    <w:rsid w:val="003807A5"/>
    <w:rsid w:val="003845A8"/>
    <w:rsid w:val="00385062"/>
    <w:rsid w:val="003850ED"/>
    <w:rsid w:val="00386254"/>
    <w:rsid w:val="003922A5"/>
    <w:rsid w:val="00393850"/>
    <w:rsid w:val="003A7D23"/>
    <w:rsid w:val="003B1B15"/>
    <w:rsid w:val="003B1DB9"/>
    <w:rsid w:val="003B4484"/>
    <w:rsid w:val="003C13D6"/>
    <w:rsid w:val="003C2AF7"/>
    <w:rsid w:val="003C40ED"/>
    <w:rsid w:val="003C5D30"/>
    <w:rsid w:val="003D1CF1"/>
    <w:rsid w:val="003D347E"/>
    <w:rsid w:val="003D36A3"/>
    <w:rsid w:val="003D7107"/>
    <w:rsid w:val="003D7359"/>
    <w:rsid w:val="003E3480"/>
    <w:rsid w:val="003E443E"/>
    <w:rsid w:val="003E7334"/>
    <w:rsid w:val="003E77B2"/>
    <w:rsid w:val="003F0347"/>
    <w:rsid w:val="003F1959"/>
    <w:rsid w:val="003F3E2F"/>
    <w:rsid w:val="004036FB"/>
    <w:rsid w:val="004061DE"/>
    <w:rsid w:val="004065B7"/>
    <w:rsid w:val="00410075"/>
    <w:rsid w:val="0041126A"/>
    <w:rsid w:val="00414BE2"/>
    <w:rsid w:val="004215BF"/>
    <w:rsid w:val="004236A6"/>
    <w:rsid w:val="004302FD"/>
    <w:rsid w:val="00430C6F"/>
    <w:rsid w:val="00431C00"/>
    <w:rsid w:val="00431E2B"/>
    <w:rsid w:val="00432F64"/>
    <w:rsid w:val="00433FFD"/>
    <w:rsid w:val="004358E5"/>
    <w:rsid w:val="00437E9D"/>
    <w:rsid w:val="004426F8"/>
    <w:rsid w:val="00442BD8"/>
    <w:rsid w:val="00451AEC"/>
    <w:rsid w:val="00452472"/>
    <w:rsid w:val="00472333"/>
    <w:rsid w:val="00474547"/>
    <w:rsid w:val="00477F40"/>
    <w:rsid w:val="0048162F"/>
    <w:rsid w:val="00484B0D"/>
    <w:rsid w:val="00487784"/>
    <w:rsid w:val="00490F2C"/>
    <w:rsid w:val="004925C9"/>
    <w:rsid w:val="00493203"/>
    <w:rsid w:val="004A1AEE"/>
    <w:rsid w:val="004A4A23"/>
    <w:rsid w:val="004A4E97"/>
    <w:rsid w:val="004A5089"/>
    <w:rsid w:val="004A6580"/>
    <w:rsid w:val="004B2879"/>
    <w:rsid w:val="004B3680"/>
    <w:rsid w:val="004B4AE1"/>
    <w:rsid w:val="004B6487"/>
    <w:rsid w:val="004C1C26"/>
    <w:rsid w:val="004C3774"/>
    <w:rsid w:val="004C37F3"/>
    <w:rsid w:val="004C5AD8"/>
    <w:rsid w:val="004C7EF7"/>
    <w:rsid w:val="004D0F9C"/>
    <w:rsid w:val="004D6618"/>
    <w:rsid w:val="004D716D"/>
    <w:rsid w:val="004D7F41"/>
    <w:rsid w:val="004E15CD"/>
    <w:rsid w:val="004E1D37"/>
    <w:rsid w:val="004E43F9"/>
    <w:rsid w:val="004F2716"/>
    <w:rsid w:val="004F4959"/>
    <w:rsid w:val="004F6CB4"/>
    <w:rsid w:val="004F7AAE"/>
    <w:rsid w:val="005038A1"/>
    <w:rsid w:val="00506A8F"/>
    <w:rsid w:val="0052128B"/>
    <w:rsid w:val="00523D54"/>
    <w:rsid w:val="00524334"/>
    <w:rsid w:val="00524F3A"/>
    <w:rsid w:val="005257B9"/>
    <w:rsid w:val="00526226"/>
    <w:rsid w:val="005307A5"/>
    <w:rsid w:val="00531534"/>
    <w:rsid w:val="00531E6B"/>
    <w:rsid w:val="0053527E"/>
    <w:rsid w:val="00537D90"/>
    <w:rsid w:val="00550E39"/>
    <w:rsid w:val="005546F3"/>
    <w:rsid w:val="00561A76"/>
    <w:rsid w:val="00567A34"/>
    <w:rsid w:val="00567A6B"/>
    <w:rsid w:val="00567C7C"/>
    <w:rsid w:val="00571CD9"/>
    <w:rsid w:val="00573AEA"/>
    <w:rsid w:val="00574CB3"/>
    <w:rsid w:val="005837DE"/>
    <w:rsid w:val="00585ADB"/>
    <w:rsid w:val="00587A53"/>
    <w:rsid w:val="00591165"/>
    <w:rsid w:val="005920EC"/>
    <w:rsid w:val="00593C46"/>
    <w:rsid w:val="00594B56"/>
    <w:rsid w:val="00596826"/>
    <w:rsid w:val="005A0292"/>
    <w:rsid w:val="005A0C08"/>
    <w:rsid w:val="005A4B3C"/>
    <w:rsid w:val="005B2F2F"/>
    <w:rsid w:val="005B51EB"/>
    <w:rsid w:val="005C0BB0"/>
    <w:rsid w:val="005D01EC"/>
    <w:rsid w:val="005D19E5"/>
    <w:rsid w:val="005D4769"/>
    <w:rsid w:val="005D4E13"/>
    <w:rsid w:val="005E255A"/>
    <w:rsid w:val="005E52AC"/>
    <w:rsid w:val="005E557D"/>
    <w:rsid w:val="005F2B5C"/>
    <w:rsid w:val="005F322E"/>
    <w:rsid w:val="005F467F"/>
    <w:rsid w:val="005F66A5"/>
    <w:rsid w:val="00603428"/>
    <w:rsid w:val="006066A6"/>
    <w:rsid w:val="006111ED"/>
    <w:rsid w:val="00613A1A"/>
    <w:rsid w:val="00616848"/>
    <w:rsid w:val="00624FFE"/>
    <w:rsid w:val="006309B9"/>
    <w:rsid w:val="00630A05"/>
    <w:rsid w:val="00630AA9"/>
    <w:rsid w:val="006369F3"/>
    <w:rsid w:val="00637AB0"/>
    <w:rsid w:val="00642076"/>
    <w:rsid w:val="00642528"/>
    <w:rsid w:val="006474B4"/>
    <w:rsid w:val="006474CE"/>
    <w:rsid w:val="00647CA5"/>
    <w:rsid w:val="006524D4"/>
    <w:rsid w:val="006534FD"/>
    <w:rsid w:val="0065361F"/>
    <w:rsid w:val="006543E3"/>
    <w:rsid w:val="006602C4"/>
    <w:rsid w:val="00667AA8"/>
    <w:rsid w:val="00667BE6"/>
    <w:rsid w:val="006735C9"/>
    <w:rsid w:val="00674452"/>
    <w:rsid w:val="006749D6"/>
    <w:rsid w:val="00676BB6"/>
    <w:rsid w:val="00676BE7"/>
    <w:rsid w:val="00676CFE"/>
    <w:rsid w:val="00677841"/>
    <w:rsid w:val="0067796E"/>
    <w:rsid w:val="006845BA"/>
    <w:rsid w:val="00685C91"/>
    <w:rsid w:val="006879F3"/>
    <w:rsid w:val="00690664"/>
    <w:rsid w:val="00690D08"/>
    <w:rsid w:val="00694175"/>
    <w:rsid w:val="00695522"/>
    <w:rsid w:val="006966FC"/>
    <w:rsid w:val="006A4E57"/>
    <w:rsid w:val="006B017A"/>
    <w:rsid w:val="006B22D4"/>
    <w:rsid w:val="006C7D4E"/>
    <w:rsid w:val="006D0C9E"/>
    <w:rsid w:val="006D2417"/>
    <w:rsid w:val="006D3CCD"/>
    <w:rsid w:val="006D6668"/>
    <w:rsid w:val="006E5C73"/>
    <w:rsid w:val="006E6A2F"/>
    <w:rsid w:val="006E7C63"/>
    <w:rsid w:val="006F0C81"/>
    <w:rsid w:val="006F0E95"/>
    <w:rsid w:val="006F13A3"/>
    <w:rsid w:val="006F4A34"/>
    <w:rsid w:val="007004EC"/>
    <w:rsid w:val="00700B9E"/>
    <w:rsid w:val="00701552"/>
    <w:rsid w:val="00701BED"/>
    <w:rsid w:val="007106E2"/>
    <w:rsid w:val="00712458"/>
    <w:rsid w:val="00712BC3"/>
    <w:rsid w:val="00716FAA"/>
    <w:rsid w:val="00720ACA"/>
    <w:rsid w:val="00726945"/>
    <w:rsid w:val="00727E4B"/>
    <w:rsid w:val="00730737"/>
    <w:rsid w:val="00731FF8"/>
    <w:rsid w:val="0074149A"/>
    <w:rsid w:val="00743E87"/>
    <w:rsid w:val="00745474"/>
    <w:rsid w:val="007468AD"/>
    <w:rsid w:val="00747374"/>
    <w:rsid w:val="00750F83"/>
    <w:rsid w:val="00752C8F"/>
    <w:rsid w:val="007623CD"/>
    <w:rsid w:val="00762738"/>
    <w:rsid w:val="00762E0E"/>
    <w:rsid w:val="007659FF"/>
    <w:rsid w:val="00765AE9"/>
    <w:rsid w:val="007671C5"/>
    <w:rsid w:val="00772FD1"/>
    <w:rsid w:val="007746CE"/>
    <w:rsid w:val="00775169"/>
    <w:rsid w:val="00780874"/>
    <w:rsid w:val="007824E5"/>
    <w:rsid w:val="00782ED5"/>
    <w:rsid w:val="00784827"/>
    <w:rsid w:val="0078517A"/>
    <w:rsid w:val="0078535D"/>
    <w:rsid w:val="007A26EB"/>
    <w:rsid w:val="007A7ECE"/>
    <w:rsid w:val="007B0A5E"/>
    <w:rsid w:val="007B20E4"/>
    <w:rsid w:val="007B2AAB"/>
    <w:rsid w:val="007B4E06"/>
    <w:rsid w:val="007B54F9"/>
    <w:rsid w:val="007C1C3B"/>
    <w:rsid w:val="007C65D9"/>
    <w:rsid w:val="007D353A"/>
    <w:rsid w:val="007D6DF5"/>
    <w:rsid w:val="007E3699"/>
    <w:rsid w:val="007E6C84"/>
    <w:rsid w:val="007F0EF4"/>
    <w:rsid w:val="007F7DCD"/>
    <w:rsid w:val="00801124"/>
    <w:rsid w:val="008020F6"/>
    <w:rsid w:val="00815B0C"/>
    <w:rsid w:val="0081741F"/>
    <w:rsid w:val="008209C7"/>
    <w:rsid w:val="00823A8D"/>
    <w:rsid w:val="00823B02"/>
    <w:rsid w:val="008276EF"/>
    <w:rsid w:val="0083215D"/>
    <w:rsid w:val="00834D25"/>
    <w:rsid w:val="008351C8"/>
    <w:rsid w:val="008376A5"/>
    <w:rsid w:val="00845AC3"/>
    <w:rsid w:val="00853F3E"/>
    <w:rsid w:val="00856BEE"/>
    <w:rsid w:val="0086048D"/>
    <w:rsid w:val="0086077B"/>
    <w:rsid w:val="00860EC5"/>
    <w:rsid w:val="008621F3"/>
    <w:rsid w:val="0086649A"/>
    <w:rsid w:val="00866508"/>
    <w:rsid w:val="00867767"/>
    <w:rsid w:val="0087005B"/>
    <w:rsid w:val="008736D4"/>
    <w:rsid w:val="00881D33"/>
    <w:rsid w:val="00882096"/>
    <w:rsid w:val="00883D6C"/>
    <w:rsid w:val="00885E37"/>
    <w:rsid w:val="00892248"/>
    <w:rsid w:val="0089365E"/>
    <w:rsid w:val="008943E7"/>
    <w:rsid w:val="008969B4"/>
    <w:rsid w:val="008A0F91"/>
    <w:rsid w:val="008A2438"/>
    <w:rsid w:val="008A5FDC"/>
    <w:rsid w:val="008B03FA"/>
    <w:rsid w:val="008B1777"/>
    <w:rsid w:val="008B4F13"/>
    <w:rsid w:val="008B532D"/>
    <w:rsid w:val="008C3682"/>
    <w:rsid w:val="008D24BC"/>
    <w:rsid w:val="008D2F22"/>
    <w:rsid w:val="008D3221"/>
    <w:rsid w:val="008D3D39"/>
    <w:rsid w:val="008D66B8"/>
    <w:rsid w:val="008E3622"/>
    <w:rsid w:val="008E47C9"/>
    <w:rsid w:val="008E54C8"/>
    <w:rsid w:val="008E5AF4"/>
    <w:rsid w:val="008F4B8F"/>
    <w:rsid w:val="008F6E47"/>
    <w:rsid w:val="0090690C"/>
    <w:rsid w:val="00907A39"/>
    <w:rsid w:val="00910F26"/>
    <w:rsid w:val="00911DB9"/>
    <w:rsid w:val="00913F21"/>
    <w:rsid w:val="00917C84"/>
    <w:rsid w:val="009216C9"/>
    <w:rsid w:val="0092497F"/>
    <w:rsid w:val="0094175D"/>
    <w:rsid w:val="00941B1B"/>
    <w:rsid w:val="00941DAA"/>
    <w:rsid w:val="00955231"/>
    <w:rsid w:val="0096072E"/>
    <w:rsid w:val="00963C6F"/>
    <w:rsid w:val="009642D7"/>
    <w:rsid w:val="00973CC7"/>
    <w:rsid w:val="00973E18"/>
    <w:rsid w:val="00975D7F"/>
    <w:rsid w:val="009838A9"/>
    <w:rsid w:val="00985E10"/>
    <w:rsid w:val="00992CAE"/>
    <w:rsid w:val="00995073"/>
    <w:rsid w:val="0099774C"/>
    <w:rsid w:val="009A048B"/>
    <w:rsid w:val="009A21B8"/>
    <w:rsid w:val="009A4E94"/>
    <w:rsid w:val="009B1FCB"/>
    <w:rsid w:val="009B5229"/>
    <w:rsid w:val="009B7449"/>
    <w:rsid w:val="009B7D1B"/>
    <w:rsid w:val="009C2960"/>
    <w:rsid w:val="009D59D3"/>
    <w:rsid w:val="009D7090"/>
    <w:rsid w:val="009E00B6"/>
    <w:rsid w:val="009E4650"/>
    <w:rsid w:val="009E689E"/>
    <w:rsid w:val="009E7D9D"/>
    <w:rsid w:val="00A0140F"/>
    <w:rsid w:val="00A1391E"/>
    <w:rsid w:val="00A142B7"/>
    <w:rsid w:val="00A221FA"/>
    <w:rsid w:val="00A22A70"/>
    <w:rsid w:val="00A34A60"/>
    <w:rsid w:val="00A37027"/>
    <w:rsid w:val="00A47D4A"/>
    <w:rsid w:val="00A51C04"/>
    <w:rsid w:val="00A55B9B"/>
    <w:rsid w:val="00A56A3D"/>
    <w:rsid w:val="00A61B29"/>
    <w:rsid w:val="00A626D2"/>
    <w:rsid w:val="00A65D3D"/>
    <w:rsid w:val="00A65FF4"/>
    <w:rsid w:val="00A732B8"/>
    <w:rsid w:val="00A81378"/>
    <w:rsid w:val="00A84049"/>
    <w:rsid w:val="00A85AE1"/>
    <w:rsid w:val="00A872E5"/>
    <w:rsid w:val="00A92EFA"/>
    <w:rsid w:val="00A97D49"/>
    <w:rsid w:val="00AA041B"/>
    <w:rsid w:val="00AA17C0"/>
    <w:rsid w:val="00AA3378"/>
    <w:rsid w:val="00AA37B5"/>
    <w:rsid w:val="00AB06B4"/>
    <w:rsid w:val="00AB6D23"/>
    <w:rsid w:val="00AC5170"/>
    <w:rsid w:val="00AC6283"/>
    <w:rsid w:val="00AC799A"/>
    <w:rsid w:val="00AD14A5"/>
    <w:rsid w:val="00AD3E2C"/>
    <w:rsid w:val="00AD48F3"/>
    <w:rsid w:val="00AD4C63"/>
    <w:rsid w:val="00AE3751"/>
    <w:rsid w:val="00AE4640"/>
    <w:rsid w:val="00AE61F5"/>
    <w:rsid w:val="00AE7624"/>
    <w:rsid w:val="00AF0A36"/>
    <w:rsid w:val="00AF4BC8"/>
    <w:rsid w:val="00AF53C8"/>
    <w:rsid w:val="00AF67D4"/>
    <w:rsid w:val="00AF6BB4"/>
    <w:rsid w:val="00AF7027"/>
    <w:rsid w:val="00B05044"/>
    <w:rsid w:val="00B05E36"/>
    <w:rsid w:val="00B1468C"/>
    <w:rsid w:val="00B30523"/>
    <w:rsid w:val="00B3177F"/>
    <w:rsid w:val="00B31B92"/>
    <w:rsid w:val="00B35771"/>
    <w:rsid w:val="00B36F54"/>
    <w:rsid w:val="00B402FE"/>
    <w:rsid w:val="00B41723"/>
    <w:rsid w:val="00B428BE"/>
    <w:rsid w:val="00B4658E"/>
    <w:rsid w:val="00B47E80"/>
    <w:rsid w:val="00B506BD"/>
    <w:rsid w:val="00B51121"/>
    <w:rsid w:val="00B53C20"/>
    <w:rsid w:val="00B5612A"/>
    <w:rsid w:val="00B56EAA"/>
    <w:rsid w:val="00B57147"/>
    <w:rsid w:val="00B630F2"/>
    <w:rsid w:val="00B65912"/>
    <w:rsid w:val="00B65994"/>
    <w:rsid w:val="00B70AA8"/>
    <w:rsid w:val="00B71544"/>
    <w:rsid w:val="00B71D86"/>
    <w:rsid w:val="00B71EAA"/>
    <w:rsid w:val="00B74565"/>
    <w:rsid w:val="00B75813"/>
    <w:rsid w:val="00B80F33"/>
    <w:rsid w:val="00B82D1A"/>
    <w:rsid w:val="00B83DA0"/>
    <w:rsid w:val="00BA5DA0"/>
    <w:rsid w:val="00BA66A9"/>
    <w:rsid w:val="00BB3AE7"/>
    <w:rsid w:val="00BC597D"/>
    <w:rsid w:val="00BD2342"/>
    <w:rsid w:val="00BD241C"/>
    <w:rsid w:val="00BD56D1"/>
    <w:rsid w:val="00BD684F"/>
    <w:rsid w:val="00BD70F0"/>
    <w:rsid w:val="00BD7994"/>
    <w:rsid w:val="00BE077E"/>
    <w:rsid w:val="00BE5E4A"/>
    <w:rsid w:val="00BE6FBD"/>
    <w:rsid w:val="00BE7DB2"/>
    <w:rsid w:val="00BF2F6D"/>
    <w:rsid w:val="00C10F24"/>
    <w:rsid w:val="00C14E9E"/>
    <w:rsid w:val="00C15790"/>
    <w:rsid w:val="00C26827"/>
    <w:rsid w:val="00C27730"/>
    <w:rsid w:val="00C32583"/>
    <w:rsid w:val="00C34ECB"/>
    <w:rsid w:val="00C408E1"/>
    <w:rsid w:val="00C429EA"/>
    <w:rsid w:val="00C42D73"/>
    <w:rsid w:val="00C43D8A"/>
    <w:rsid w:val="00C44D82"/>
    <w:rsid w:val="00C45F8A"/>
    <w:rsid w:val="00C47F29"/>
    <w:rsid w:val="00C51379"/>
    <w:rsid w:val="00C51943"/>
    <w:rsid w:val="00C51AFC"/>
    <w:rsid w:val="00C536E8"/>
    <w:rsid w:val="00C55A66"/>
    <w:rsid w:val="00C61194"/>
    <w:rsid w:val="00C616DF"/>
    <w:rsid w:val="00C64495"/>
    <w:rsid w:val="00C658CA"/>
    <w:rsid w:val="00C6795B"/>
    <w:rsid w:val="00C70B69"/>
    <w:rsid w:val="00C73372"/>
    <w:rsid w:val="00C73E1B"/>
    <w:rsid w:val="00C84F65"/>
    <w:rsid w:val="00C85082"/>
    <w:rsid w:val="00C85429"/>
    <w:rsid w:val="00C96321"/>
    <w:rsid w:val="00C96F7C"/>
    <w:rsid w:val="00CA21ED"/>
    <w:rsid w:val="00CA25C7"/>
    <w:rsid w:val="00CA458C"/>
    <w:rsid w:val="00CB233C"/>
    <w:rsid w:val="00CB2E3D"/>
    <w:rsid w:val="00CB4353"/>
    <w:rsid w:val="00CB747C"/>
    <w:rsid w:val="00CC3931"/>
    <w:rsid w:val="00CC6A7B"/>
    <w:rsid w:val="00CE2785"/>
    <w:rsid w:val="00CE2A14"/>
    <w:rsid w:val="00CE2A88"/>
    <w:rsid w:val="00CE51A0"/>
    <w:rsid w:val="00CF15E8"/>
    <w:rsid w:val="00CF2C5E"/>
    <w:rsid w:val="00CF4940"/>
    <w:rsid w:val="00D018B7"/>
    <w:rsid w:val="00D02A93"/>
    <w:rsid w:val="00D02C36"/>
    <w:rsid w:val="00D06606"/>
    <w:rsid w:val="00D0763C"/>
    <w:rsid w:val="00D12501"/>
    <w:rsid w:val="00D16A7A"/>
    <w:rsid w:val="00D200E8"/>
    <w:rsid w:val="00D204ED"/>
    <w:rsid w:val="00D35311"/>
    <w:rsid w:val="00D356A3"/>
    <w:rsid w:val="00D3622B"/>
    <w:rsid w:val="00D37331"/>
    <w:rsid w:val="00D40819"/>
    <w:rsid w:val="00D41360"/>
    <w:rsid w:val="00D41C9A"/>
    <w:rsid w:val="00D444F3"/>
    <w:rsid w:val="00D51D1A"/>
    <w:rsid w:val="00D52A9A"/>
    <w:rsid w:val="00D53875"/>
    <w:rsid w:val="00D53D96"/>
    <w:rsid w:val="00D54256"/>
    <w:rsid w:val="00D60D96"/>
    <w:rsid w:val="00D63467"/>
    <w:rsid w:val="00D6365A"/>
    <w:rsid w:val="00D64E65"/>
    <w:rsid w:val="00D659C5"/>
    <w:rsid w:val="00D65A5E"/>
    <w:rsid w:val="00D66AA4"/>
    <w:rsid w:val="00D81365"/>
    <w:rsid w:val="00D81F8F"/>
    <w:rsid w:val="00D832B8"/>
    <w:rsid w:val="00D83B9E"/>
    <w:rsid w:val="00D86239"/>
    <w:rsid w:val="00D870FF"/>
    <w:rsid w:val="00D87346"/>
    <w:rsid w:val="00D93295"/>
    <w:rsid w:val="00D972AA"/>
    <w:rsid w:val="00DA12B8"/>
    <w:rsid w:val="00DA7318"/>
    <w:rsid w:val="00DB011F"/>
    <w:rsid w:val="00DB12FA"/>
    <w:rsid w:val="00DB1A44"/>
    <w:rsid w:val="00DB21D2"/>
    <w:rsid w:val="00DB2D9D"/>
    <w:rsid w:val="00DB7B1F"/>
    <w:rsid w:val="00DC0A94"/>
    <w:rsid w:val="00DC7DB8"/>
    <w:rsid w:val="00DD5682"/>
    <w:rsid w:val="00DE3453"/>
    <w:rsid w:val="00DE3CBC"/>
    <w:rsid w:val="00DE471A"/>
    <w:rsid w:val="00DE5133"/>
    <w:rsid w:val="00DE7B41"/>
    <w:rsid w:val="00DF0FFE"/>
    <w:rsid w:val="00DF2C1F"/>
    <w:rsid w:val="00DF49B1"/>
    <w:rsid w:val="00E0085A"/>
    <w:rsid w:val="00E07942"/>
    <w:rsid w:val="00E07F2F"/>
    <w:rsid w:val="00E10B83"/>
    <w:rsid w:val="00E15864"/>
    <w:rsid w:val="00E24704"/>
    <w:rsid w:val="00E27310"/>
    <w:rsid w:val="00E27C29"/>
    <w:rsid w:val="00E42017"/>
    <w:rsid w:val="00E45FD9"/>
    <w:rsid w:val="00E518D9"/>
    <w:rsid w:val="00E529EB"/>
    <w:rsid w:val="00E545EA"/>
    <w:rsid w:val="00E561B1"/>
    <w:rsid w:val="00E61CB3"/>
    <w:rsid w:val="00E661EE"/>
    <w:rsid w:val="00E715FC"/>
    <w:rsid w:val="00E736CB"/>
    <w:rsid w:val="00E76074"/>
    <w:rsid w:val="00E8342B"/>
    <w:rsid w:val="00E84EBF"/>
    <w:rsid w:val="00E87525"/>
    <w:rsid w:val="00E93F86"/>
    <w:rsid w:val="00E942BA"/>
    <w:rsid w:val="00E960C1"/>
    <w:rsid w:val="00E9635D"/>
    <w:rsid w:val="00E97250"/>
    <w:rsid w:val="00EA113C"/>
    <w:rsid w:val="00EA25AB"/>
    <w:rsid w:val="00EA535F"/>
    <w:rsid w:val="00EA62A6"/>
    <w:rsid w:val="00EA79BE"/>
    <w:rsid w:val="00EA7EC1"/>
    <w:rsid w:val="00EB2E4A"/>
    <w:rsid w:val="00EB471B"/>
    <w:rsid w:val="00EB5695"/>
    <w:rsid w:val="00EB65A0"/>
    <w:rsid w:val="00EB73A0"/>
    <w:rsid w:val="00EB75D9"/>
    <w:rsid w:val="00EC2630"/>
    <w:rsid w:val="00EC30F9"/>
    <w:rsid w:val="00EC3DF4"/>
    <w:rsid w:val="00ED5B69"/>
    <w:rsid w:val="00EE10EC"/>
    <w:rsid w:val="00EE753A"/>
    <w:rsid w:val="00EE7EF0"/>
    <w:rsid w:val="00F016A1"/>
    <w:rsid w:val="00F0223D"/>
    <w:rsid w:val="00F02CDF"/>
    <w:rsid w:val="00F04568"/>
    <w:rsid w:val="00F04FA9"/>
    <w:rsid w:val="00F1636C"/>
    <w:rsid w:val="00F2681D"/>
    <w:rsid w:val="00F3138A"/>
    <w:rsid w:val="00F43565"/>
    <w:rsid w:val="00F43ADD"/>
    <w:rsid w:val="00F46859"/>
    <w:rsid w:val="00F47240"/>
    <w:rsid w:val="00F50679"/>
    <w:rsid w:val="00F5283F"/>
    <w:rsid w:val="00F603F8"/>
    <w:rsid w:val="00F60DC6"/>
    <w:rsid w:val="00F65245"/>
    <w:rsid w:val="00F70E31"/>
    <w:rsid w:val="00F723FD"/>
    <w:rsid w:val="00F74A3C"/>
    <w:rsid w:val="00F77A10"/>
    <w:rsid w:val="00F82FBC"/>
    <w:rsid w:val="00F84CDC"/>
    <w:rsid w:val="00F85183"/>
    <w:rsid w:val="00F85999"/>
    <w:rsid w:val="00F91C22"/>
    <w:rsid w:val="00F93B18"/>
    <w:rsid w:val="00FA1E6C"/>
    <w:rsid w:val="00FA4DA4"/>
    <w:rsid w:val="00FB0797"/>
    <w:rsid w:val="00FB2AFF"/>
    <w:rsid w:val="00FB43E0"/>
    <w:rsid w:val="00FC270A"/>
    <w:rsid w:val="00FC2754"/>
    <w:rsid w:val="00FC48B0"/>
    <w:rsid w:val="00FD1B05"/>
    <w:rsid w:val="00FD2D52"/>
    <w:rsid w:val="00FD475C"/>
    <w:rsid w:val="00FD7AFF"/>
    <w:rsid w:val="00FE00A5"/>
    <w:rsid w:val="00FF1812"/>
    <w:rsid w:val="00FF22EE"/>
    <w:rsid w:val="00FF6F6A"/>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9A92D070-81DE-455E-A463-9E7F286AA2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Normal"/>
    <w:link w:val="FootnoteTextChar"/>
    <w:uiPriority w:val="99"/>
    <w:unhideWhenUsed/>
    <w:qFormat/>
    <w:rsid w:val="004A5089"/>
    <w:pPr>
      <w:jc w:val="left"/>
    </w:pPr>
    <w:rPr>
      <w:rFonts w:asciiTheme="minorHAnsi" w:eastAsiaTheme="minorHAnsi" w:hAnsiTheme="minorHAnsi" w:cstheme="minorBidi"/>
      <w:sz w:val="20"/>
      <w:szCs w:val="20"/>
    </w:rPr>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uiPriority w:val="99"/>
    <w:rsid w:val="004A5089"/>
    <w:rPr>
      <w:rFonts w:asciiTheme="minorHAnsi" w:eastAsiaTheme="minorHAnsi" w:hAnsiTheme="minorHAnsi" w:cstheme="minorBidi"/>
      <w:lang w:eastAsia="en-US"/>
    </w:rPr>
  </w:style>
  <w:style w:type="character" w:styleId="FootnoteReference">
    <w:name w:val="footnote reference"/>
    <w:aliases w:val="Footnote Reference + Superscript,Footnotes refss,Appel note de bas de page,Ref,de nota al pie,註腳內容,(NECG) Footnote Reference,fr,Footnote symbol,Style 12,Footnote Reference in text,Footnote Reference Superscript,o,Style 4,Footnote"/>
    <w:basedOn w:val="DefaultParagraphFont"/>
    <w:unhideWhenUsed/>
    <w:qFormat/>
    <w:rsid w:val="004A5089"/>
    <w:rPr>
      <w:vertAlign w:val="superscript"/>
    </w:rPr>
  </w:style>
  <w:style w:type="paragraph" w:styleId="ListParagraph">
    <w:name w:val="List Paragraph"/>
    <w:basedOn w:val="Normal"/>
    <w:uiPriority w:val="34"/>
    <w:qFormat/>
    <w:rsid w:val="00823A8D"/>
    <w:pPr>
      <w:ind w:left="720"/>
      <w:contextualSpacing/>
    </w:pPr>
  </w:style>
  <w:style w:type="paragraph" w:styleId="Revision">
    <w:name w:val="Revision"/>
    <w:hidden/>
    <w:uiPriority w:val="99"/>
    <w:semiHidden/>
    <w:rsid w:val="00A56A3D"/>
    <w:rPr>
      <w:sz w:val="24"/>
      <w:szCs w:val="24"/>
      <w:lang w:eastAsia="en-US"/>
    </w:rPr>
  </w:style>
  <w:style w:type="paragraph" w:styleId="Header">
    <w:name w:val="header"/>
    <w:basedOn w:val="Normal"/>
    <w:link w:val="HeaderChar"/>
    <w:unhideWhenUsed/>
    <w:rsid w:val="00AA041B"/>
    <w:pPr>
      <w:tabs>
        <w:tab w:val="center" w:pos="4513"/>
        <w:tab w:val="right" w:pos="9026"/>
      </w:tabs>
    </w:pPr>
  </w:style>
  <w:style w:type="character" w:customStyle="1" w:styleId="HeaderChar">
    <w:name w:val="Header Char"/>
    <w:basedOn w:val="DefaultParagraphFont"/>
    <w:link w:val="Header"/>
    <w:rsid w:val="00AA041B"/>
    <w:rPr>
      <w:sz w:val="24"/>
      <w:szCs w:val="24"/>
      <w:lang w:eastAsia="en-US"/>
    </w:rPr>
  </w:style>
  <w:style w:type="paragraph" w:styleId="Footer">
    <w:name w:val="footer"/>
    <w:basedOn w:val="Normal"/>
    <w:link w:val="FooterChar"/>
    <w:uiPriority w:val="99"/>
    <w:unhideWhenUsed/>
    <w:rsid w:val="00AA041B"/>
    <w:pPr>
      <w:tabs>
        <w:tab w:val="center" w:pos="4513"/>
        <w:tab w:val="right" w:pos="9026"/>
      </w:tabs>
    </w:pPr>
  </w:style>
  <w:style w:type="character" w:customStyle="1" w:styleId="FooterChar">
    <w:name w:val="Footer Char"/>
    <w:basedOn w:val="DefaultParagraphFont"/>
    <w:link w:val="Footer"/>
    <w:uiPriority w:val="99"/>
    <w:rsid w:val="00AA041B"/>
    <w:rPr>
      <w:sz w:val="24"/>
      <w:szCs w:val="24"/>
      <w:lang w:eastAsia="en-US"/>
    </w:rPr>
  </w:style>
  <w:style w:type="paragraph" w:customStyle="1" w:styleId="JUDGMENTNUMBERED">
    <w:name w:val="JUDGMENT NUMBERED"/>
    <w:basedOn w:val="Normal"/>
    <w:next w:val="Normal"/>
    <w:qFormat/>
    <w:rsid w:val="00301E62"/>
    <w:pPr>
      <w:numPr>
        <w:numId w:val="7"/>
      </w:numPr>
      <w:spacing w:line="360" w:lineRule="auto"/>
    </w:pPr>
    <w:rPr>
      <w:rFonts w:eastAsia="Calibri"/>
      <w:sz w:val="26"/>
      <w:szCs w:val="22"/>
    </w:rPr>
  </w:style>
  <w:style w:type="paragraph" w:customStyle="1" w:styleId="JUDGMENTCONTINUED">
    <w:name w:val="JUDGMENT CONTINUED"/>
    <w:basedOn w:val="JUDGMENTNUMBERED"/>
    <w:next w:val="JUDGMENTNUMBERED"/>
    <w:qFormat/>
    <w:rsid w:val="00301E62"/>
    <w:pPr>
      <w:numPr>
        <w:numId w:val="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7464441">
      <w:bodyDiv w:val="1"/>
      <w:marLeft w:val="0"/>
      <w:marRight w:val="0"/>
      <w:marTop w:val="0"/>
      <w:marBottom w:val="0"/>
      <w:divBdr>
        <w:top w:val="none" w:sz="0" w:space="0" w:color="auto"/>
        <w:left w:val="none" w:sz="0" w:space="0" w:color="auto"/>
        <w:bottom w:val="none" w:sz="0" w:space="0" w:color="auto"/>
        <w:right w:val="none" w:sz="0" w:space="0" w:color="auto"/>
      </w:divBdr>
    </w:div>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 w:id="1292980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57CE21-14AA-4039-9063-7B83C3494D75}">
  <ds:schemaRefs>
    <ds:schemaRef ds:uri="http://schemas.openxmlformats.org/officeDocument/2006/bibliography"/>
  </ds:schemaRefs>
</ds:datastoreItem>
</file>

<file path=customXml/itemProps2.xml><?xml version="1.0" encoding="utf-8"?>
<ds:datastoreItem xmlns:ds="http://schemas.openxmlformats.org/officeDocument/2006/customXml" ds:itemID="{ED16534E-2ABE-48BF-B42D-F9E4DE65BB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859</Words>
  <Characters>4900</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CONSTITIONAL COURT OF SOUTH AFRICA</vt:lpstr>
    </vt:vector>
  </TitlesOfParts>
  <Company>Court</Company>
  <LinksUpToDate>false</LinksUpToDate>
  <CharactersWithSpaces>5748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CONSTITIONAL COURT OF SOUTH AFRICA</dc:title>
  <dc:creator>Vuiswa  Mbali</dc:creator>
  <cp:lastModifiedBy>Siphesihle Ngqangweni</cp:lastModifiedBy>
  <cp:revision>2</cp:revision>
  <cp:lastPrinted>2022-09-07T15:30:00Z</cp:lastPrinted>
  <dcterms:created xsi:type="dcterms:W3CDTF">2022-09-07T16:23:00Z</dcterms:created>
  <dcterms:modified xsi:type="dcterms:W3CDTF">2022-09-07T16:23:00Z</dcterms:modified>
</cp:coreProperties>
</file>