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B23C697" w14:textId="77777777" w:rsidR="00F5283F" w:rsidRDefault="00CA458C" w:rsidP="00720ACA">
      <w:pPr>
        <w:jc w:val="center"/>
      </w:pPr>
      <w:bookmarkStart w:id="0" w:name="_GoBack"/>
      <w:bookmarkEnd w:id="0"/>
      <w:r w:rsidRPr="00CA458C">
        <w:rPr>
          <w:noProof/>
          <w:lang w:eastAsia="en-ZA"/>
        </w:rPr>
        <w:drawing>
          <wp:inline distT="0" distB="0" distL="0" distR="0" wp14:anchorId="10E8FB71" wp14:editId="5502EA07">
            <wp:extent cx="809625" cy="828675"/>
            <wp:effectExtent l="19050" t="0" r="9525" b="0"/>
            <wp:docPr id="1" name="Picture 1" descr="cid:image001.png@01CB1DF1.85740C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1.png@01CB1DF1.85740C50"/>
                    <pic:cNvPicPr>
                      <a:picLocks noChangeAspect="1" noChangeArrowheads="1"/>
                    </pic:cNvPicPr>
                  </pic:nvPicPr>
                  <pic:blipFill>
                    <a:blip r:embed="rId9" r:link="rId10" cstate="print"/>
                    <a:srcRect l="6632" r="12832"/>
                    <a:stretch>
                      <a:fillRect/>
                    </a:stretch>
                  </pic:blipFill>
                  <pic:spPr bwMode="auto">
                    <a:xfrm>
                      <a:off x="0" y="0"/>
                      <a:ext cx="809625" cy="828675"/>
                    </a:xfrm>
                    <a:prstGeom prst="rect">
                      <a:avLst/>
                    </a:prstGeom>
                    <a:noFill/>
                    <a:ln w="9525">
                      <a:noFill/>
                      <a:miter lim="800000"/>
                      <a:headEnd/>
                      <a:tailEnd/>
                    </a:ln>
                  </pic:spPr>
                </pic:pic>
              </a:graphicData>
            </a:graphic>
          </wp:inline>
        </w:drawing>
      </w:r>
    </w:p>
    <w:p w14:paraId="16864C73" w14:textId="77777777" w:rsidR="00F5283F" w:rsidRDefault="00F5283F" w:rsidP="00720ACA">
      <w:pPr>
        <w:jc w:val="center"/>
      </w:pPr>
    </w:p>
    <w:p w14:paraId="392F9718" w14:textId="77777777" w:rsidR="001E5F5A" w:rsidRPr="00100894" w:rsidRDefault="001E5F5A" w:rsidP="00720ACA">
      <w:pPr>
        <w:jc w:val="center"/>
        <w:rPr>
          <w:b/>
        </w:rPr>
      </w:pPr>
      <w:r w:rsidRPr="00100894">
        <w:rPr>
          <w:b/>
        </w:rPr>
        <w:t>CONSTIT</w:t>
      </w:r>
      <w:r w:rsidR="00676CFE" w:rsidRPr="00100894">
        <w:rPr>
          <w:b/>
        </w:rPr>
        <w:t>UT</w:t>
      </w:r>
      <w:r w:rsidRPr="00100894">
        <w:rPr>
          <w:b/>
        </w:rPr>
        <w:t>IONAL COURT OF SOUTH AFRICA</w:t>
      </w:r>
    </w:p>
    <w:p w14:paraId="71C439D9" w14:textId="77777777" w:rsidR="001E5F5A" w:rsidRPr="00100894" w:rsidRDefault="001E5F5A" w:rsidP="00AE4640"/>
    <w:p w14:paraId="0FEC3AA3" w14:textId="6B39AC52" w:rsidR="006966FC" w:rsidRPr="00FC678D" w:rsidRDefault="003974B8" w:rsidP="00DA1235">
      <w:pPr>
        <w:jc w:val="center"/>
        <w:rPr>
          <w:i/>
        </w:rPr>
      </w:pPr>
      <w:r>
        <w:rPr>
          <w:b/>
          <w:i/>
        </w:rPr>
        <w:t>Rissik Street One Stop CC t/a Rissik Street Engen and Another</w:t>
      </w:r>
      <w:r w:rsidR="005E19A9">
        <w:rPr>
          <w:b/>
          <w:i/>
        </w:rPr>
        <w:t xml:space="preserve"> v En</w:t>
      </w:r>
      <w:r>
        <w:rPr>
          <w:b/>
          <w:i/>
        </w:rPr>
        <w:t>gen Petroleum Limited</w:t>
      </w:r>
    </w:p>
    <w:p w14:paraId="74923BFB" w14:textId="77777777" w:rsidR="006966FC" w:rsidRDefault="006966FC" w:rsidP="006966FC">
      <w:pPr>
        <w:tabs>
          <w:tab w:val="right" w:pos="9360"/>
        </w:tabs>
        <w:ind w:right="284"/>
        <w:rPr>
          <w:bCs/>
          <w:sz w:val="26"/>
          <w:szCs w:val="26"/>
          <w:lang w:val="en-GB"/>
        </w:rPr>
      </w:pPr>
    </w:p>
    <w:p w14:paraId="2913F1F0" w14:textId="5748DF76" w:rsidR="00E07942" w:rsidRPr="00100894" w:rsidRDefault="00D40819" w:rsidP="00720ACA">
      <w:pPr>
        <w:jc w:val="right"/>
        <w:rPr>
          <w:b/>
        </w:rPr>
      </w:pPr>
      <w:r w:rsidRPr="00100894">
        <w:rPr>
          <w:b/>
        </w:rPr>
        <w:t>CCT</w:t>
      </w:r>
      <w:r w:rsidR="00720ACA" w:rsidRPr="00100894">
        <w:rPr>
          <w:b/>
        </w:rPr>
        <w:t xml:space="preserve"> </w:t>
      </w:r>
      <w:r w:rsidR="003974B8">
        <w:rPr>
          <w:b/>
        </w:rPr>
        <w:t>196/21</w:t>
      </w:r>
    </w:p>
    <w:p w14:paraId="7D35516F" w14:textId="77777777" w:rsidR="00D40819" w:rsidRPr="00100894" w:rsidRDefault="00D40819" w:rsidP="00720ACA">
      <w:pPr>
        <w:jc w:val="right"/>
        <w:rPr>
          <w:b/>
        </w:rPr>
      </w:pPr>
    </w:p>
    <w:p w14:paraId="018219F2" w14:textId="7EEC7785" w:rsidR="00E07942" w:rsidRPr="00100894" w:rsidRDefault="00E07942" w:rsidP="00720ACA">
      <w:pPr>
        <w:jc w:val="right"/>
        <w:rPr>
          <w:b/>
        </w:rPr>
      </w:pPr>
      <w:r w:rsidRPr="00100894">
        <w:rPr>
          <w:b/>
        </w:rPr>
        <w:t xml:space="preserve">Date of hearing: </w:t>
      </w:r>
      <w:r w:rsidR="003974B8">
        <w:rPr>
          <w:b/>
        </w:rPr>
        <w:t>4 August</w:t>
      </w:r>
      <w:r w:rsidR="00D10D70">
        <w:rPr>
          <w:b/>
        </w:rPr>
        <w:t xml:space="preserve"> 202</w:t>
      </w:r>
      <w:r w:rsidR="00063BB4">
        <w:rPr>
          <w:b/>
        </w:rPr>
        <w:t>2</w:t>
      </w:r>
    </w:p>
    <w:p w14:paraId="772A0DE3" w14:textId="77777777" w:rsidR="00823B02" w:rsidRPr="00100894" w:rsidRDefault="00823B02" w:rsidP="00AE4640"/>
    <w:p w14:paraId="2363A76B" w14:textId="77777777" w:rsidR="001E5F5A" w:rsidRPr="00100894" w:rsidRDefault="00526226" w:rsidP="00AE4640">
      <w:r w:rsidRPr="00100894">
        <w:t>________________________________________________________________________</w:t>
      </w:r>
    </w:p>
    <w:p w14:paraId="411A6CBE" w14:textId="77777777" w:rsidR="00526226" w:rsidRPr="00100894" w:rsidRDefault="00526226" w:rsidP="00526226">
      <w:pPr>
        <w:jc w:val="center"/>
        <w:rPr>
          <w:b/>
        </w:rPr>
      </w:pPr>
    </w:p>
    <w:p w14:paraId="2DCA89B2" w14:textId="77777777" w:rsidR="00526226" w:rsidRPr="00100894" w:rsidRDefault="001E5F5A" w:rsidP="00526226">
      <w:pPr>
        <w:jc w:val="center"/>
        <w:rPr>
          <w:b/>
        </w:rPr>
      </w:pPr>
      <w:r w:rsidRPr="00100894">
        <w:rPr>
          <w:b/>
        </w:rPr>
        <w:t>MEDIA SUMMARY</w:t>
      </w:r>
    </w:p>
    <w:p w14:paraId="4E112EE1" w14:textId="77777777" w:rsidR="00526226" w:rsidRPr="00100894" w:rsidRDefault="00526226" w:rsidP="00526226">
      <w:pPr>
        <w:jc w:val="center"/>
      </w:pPr>
      <w:r w:rsidRPr="00100894">
        <w:t>________________________________________________________________________</w:t>
      </w:r>
    </w:p>
    <w:p w14:paraId="044056F1" w14:textId="77777777" w:rsidR="001E5F5A" w:rsidRPr="00100894" w:rsidRDefault="001E5F5A" w:rsidP="008B532D">
      <w:pPr>
        <w:spacing w:line="360" w:lineRule="auto"/>
        <w:jc w:val="left"/>
      </w:pPr>
    </w:p>
    <w:p w14:paraId="33540FED" w14:textId="77777777" w:rsidR="001E5F5A" w:rsidRPr="00100894" w:rsidRDefault="001E5F5A" w:rsidP="006474CE">
      <w:pPr>
        <w:rPr>
          <w:i/>
        </w:rPr>
      </w:pPr>
      <w:r w:rsidRPr="00100894">
        <w:rPr>
          <w:i/>
        </w:rPr>
        <w:t xml:space="preserve">The following </w:t>
      </w:r>
      <w:r w:rsidR="008C3682" w:rsidRPr="00100894">
        <w:rPr>
          <w:i/>
        </w:rPr>
        <w:t xml:space="preserve">explanatory note </w:t>
      </w:r>
      <w:r w:rsidRPr="00100894">
        <w:rPr>
          <w:i/>
        </w:rPr>
        <w:t>is provided to assist the media in reporting this case and is not binding on the Constitutional Court or any member of the Court.</w:t>
      </w:r>
    </w:p>
    <w:p w14:paraId="3AF3CFAA" w14:textId="77777777" w:rsidR="001E5F5A" w:rsidRPr="00100894" w:rsidRDefault="001E5F5A" w:rsidP="006474CE">
      <w:pPr>
        <w:rPr>
          <w:sz w:val="28"/>
          <w:szCs w:val="28"/>
        </w:rPr>
      </w:pPr>
    </w:p>
    <w:p w14:paraId="699CC84E" w14:textId="59BA43E4" w:rsidR="001012E7" w:rsidRPr="00141E75" w:rsidRDefault="006474CE" w:rsidP="00DE5133">
      <w:pPr>
        <w:rPr>
          <w:sz w:val="22"/>
          <w:szCs w:val="22"/>
        </w:rPr>
      </w:pPr>
      <w:r w:rsidRPr="00141E75">
        <w:rPr>
          <w:sz w:val="22"/>
          <w:szCs w:val="22"/>
        </w:rPr>
        <w:t xml:space="preserve">On </w:t>
      </w:r>
      <w:r w:rsidR="00455279" w:rsidRPr="00141E75">
        <w:rPr>
          <w:sz w:val="22"/>
          <w:szCs w:val="22"/>
        </w:rPr>
        <w:t>T</w:t>
      </w:r>
      <w:r w:rsidR="005F456A">
        <w:rPr>
          <w:sz w:val="22"/>
          <w:szCs w:val="22"/>
        </w:rPr>
        <w:t>hursday</w:t>
      </w:r>
      <w:r w:rsidR="00FC678D" w:rsidRPr="00141E75">
        <w:rPr>
          <w:sz w:val="22"/>
          <w:szCs w:val="22"/>
        </w:rPr>
        <w:t>,</w:t>
      </w:r>
      <w:r w:rsidR="00455279" w:rsidRPr="00141E75">
        <w:rPr>
          <w:sz w:val="22"/>
          <w:szCs w:val="22"/>
        </w:rPr>
        <w:t xml:space="preserve"> </w:t>
      </w:r>
      <w:r w:rsidR="005F456A">
        <w:rPr>
          <w:sz w:val="22"/>
          <w:szCs w:val="22"/>
        </w:rPr>
        <w:t>4 August</w:t>
      </w:r>
      <w:r w:rsidR="00BB1F1E" w:rsidRPr="00141E75">
        <w:rPr>
          <w:sz w:val="22"/>
          <w:szCs w:val="22"/>
        </w:rPr>
        <w:t xml:space="preserve"> </w:t>
      </w:r>
      <w:r w:rsidR="00E17A92" w:rsidRPr="00141E75">
        <w:rPr>
          <w:sz w:val="22"/>
          <w:szCs w:val="22"/>
        </w:rPr>
        <w:t>202</w:t>
      </w:r>
      <w:r w:rsidR="00BF3D54" w:rsidRPr="00141E75">
        <w:rPr>
          <w:sz w:val="22"/>
          <w:szCs w:val="22"/>
        </w:rPr>
        <w:t>2</w:t>
      </w:r>
      <w:r w:rsidR="00E17A92" w:rsidRPr="00141E75">
        <w:rPr>
          <w:sz w:val="22"/>
          <w:szCs w:val="22"/>
        </w:rPr>
        <w:t xml:space="preserve"> </w:t>
      </w:r>
      <w:r w:rsidR="00AC799A" w:rsidRPr="00141E75">
        <w:rPr>
          <w:sz w:val="22"/>
          <w:szCs w:val="22"/>
        </w:rPr>
        <w:t xml:space="preserve">at </w:t>
      </w:r>
      <w:r w:rsidR="0007028D" w:rsidRPr="00141E75">
        <w:rPr>
          <w:sz w:val="22"/>
          <w:szCs w:val="22"/>
        </w:rPr>
        <w:t>10</w:t>
      </w:r>
      <w:r w:rsidR="00AC799A" w:rsidRPr="00141E75">
        <w:rPr>
          <w:sz w:val="22"/>
          <w:szCs w:val="22"/>
        </w:rPr>
        <w:t>h00</w:t>
      </w:r>
      <w:r w:rsidR="00E17A92" w:rsidRPr="00141E75">
        <w:rPr>
          <w:sz w:val="22"/>
          <w:szCs w:val="22"/>
        </w:rPr>
        <w:t>,</w:t>
      </w:r>
      <w:r w:rsidR="00AC799A" w:rsidRPr="00141E75">
        <w:rPr>
          <w:sz w:val="22"/>
          <w:szCs w:val="22"/>
        </w:rPr>
        <w:t xml:space="preserve"> </w:t>
      </w:r>
      <w:r w:rsidR="000D35AE" w:rsidRPr="00141E75">
        <w:rPr>
          <w:sz w:val="22"/>
          <w:szCs w:val="22"/>
        </w:rPr>
        <w:t xml:space="preserve">the </w:t>
      </w:r>
      <w:r w:rsidR="008C3682" w:rsidRPr="00141E75">
        <w:rPr>
          <w:sz w:val="22"/>
          <w:szCs w:val="22"/>
        </w:rPr>
        <w:t xml:space="preserve">Constitutional Court </w:t>
      </w:r>
      <w:r w:rsidR="000D35AE" w:rsidRPr="00141E75">
        <w:rPr>
          <w:sz w:val="22"/>
          <w:szCs w:val="22"/>
        </w:rPr>
        <w:t xml:space="preserve">will hear </w:t>
      </w:r>
      <w:r w:rsidR="00E17A92" w:rsidRPr="00141E75">
        <w:rPr>
          <w:sz w:val="22"/>
          <w:szCs w:val="22"/>
        </w:rPr>
        <w:t>an</w:t>
      </w:r>
      <w:r w:rsidR="00145795" w:rsidRPr="00141E75">
        <w:rPr>
          <w:sz w:val="22"/>
          <w:szCs w:val="22"/>
        </w:rPr>
        <w:t xml:space="preserve"> application</w:t>
      </w:r>
      <w:r w:rsidR="00E17A92" w:rsidRPr="00141E75">
        <w:rPr>
          <w:sz w:val="22"/>
          <w:szCs w:val="22"/>
        </w:rPr>
        <w:t xml:space="preserve"> </w:t>
      </w:r>
      <w:r w:rsidR="00145795" w:rsidRPr="00141E75">
        <w:rPr>
          <w:sz w:val="22"/>
          <w:szCs w:val="22"/>
        </w:rPr>
        <w:t>for</w:t>
      </w:r>
      <w:r w:rsidR="001012E7" w:rsidRPr="00141E75">
        <w:rPr>
          <w:sz w:val="22"/>
          <w:szCs w:val="22"/>
        </w:rPr>
        <w:t xml:space="preserve"> leave to appeal against the </w:t>
      </w:r>
      <w:r w:rsidR="00371E1E" w:rsidRPr="00141E75">
        <w:rPr>
          <w:sz w:val="22"/>
          <w:szCs w:val="22"/>
        </w:rPr>
        <w:t>order of the</w:t>
      </w:r>
      <w:r w:rsidR="005F456A">
        <w:rPr>
          <w:sz w:val="22"/>
          <w:szCs w:val="22"/>
        </w:rPr>
        <w:t xml:space="preserve"> Supreme Court of Appeal dated 26</w:t>
      </w:r>
      <w:r w:rsidR="00371E1E" w:rsidRPr="00141E75">
        <w:rPr>
          <w:sz w:val="22"/>
          <w:szCs w:val="22"/>
        </w:rPr>
        <w:t xml:space="preserve"> May 2021, </w:t>
      </w:r>
      <w:r w:rsidR="005F456A">
        <w:rPr>
          <w:sz w:val="22"/>
          <w:szCs w:val="22"/>
        </w:rPr>
        <w:t xml:space="preserve">upholding the respondent’s </w:t>
      </w:r>
      <w:r w:rsidR="00371E1E" w:rsidRPr="00141E75">
        <w:rPr>
          <w:sz w:val="22"/>
          <w:szCs w:val="22"/>
        </w:rPr>
        <w:t>appeal against the judgment and order</w:t>
      </w:r>
      <w:r w:rsidR="003D56D9" w:rsidRPr="00141E75">
        <w:rPr>
          <w:sz w:val="22"/>
          <w:szCs w:val="22"/>
        </w:rPr>
        <w:t xml:space="preserve"> of the High Court of South Africa, </w:t>
      </w:r>
      <w:r w:rsidR="005F456A">
        <w:rPr>
          <w:sz w:val="22"/>
          <w:szCs w:val="22"/>
        </w:rPr>
        <w:t>Limpopo</w:t>
      </w:r>
      <w:r w:rsidR="003D56D9" w:rsidRPr="00141E75">
        <w:rPr>
          <w:sz w:val="22"/>
          <w:szCs w:val="22"/>
        </w:rPr>
        <w:t xml:space="preserve"> Division, </w:t>
      </w:r>
      <w:r w:rsidR="005F456A">
        <w:rPr>
          <w:sz w:val="22"/>
          <w:szCs w:val="22"/>
        </w:rPr>
        <w:t xml:space="preserve">Polokwane </w:t>
      </w:r>
      <w:r w:rsidR="003D56D9" w:rsidRPr="00141E75">
        <w:rPr>
          <w:sz w:val="22"/>
          <w:szCs w:val="22"/>
        </w:rPr>
        <w:t xml:space="preserve">(High Court) dated </w:t>
      </w:r>
      <w:r w:rsidR="005F456A">
        <w:rPr>
          <w:sz w:val="22"/>
          <w:szCs w:val="22"/>
        </w:rPr>
        <w:t>12 February 2020</w:t>
      </w:r>
      <w:r w:rsidR="003D56D9" w:rsidRPr="00141E75">
        <w:rPr>
          <w:sz w:val="22"/>
          <w:szCs w:val="22"/>
        </w:rPr>
        <w:t>.</w:t>
      </w:r>
    </w:p>
    <w:p w14:paraId="60E7C12B" w14:textId="153C211B" w:rsidR="00672DA7" w:rsidRPr="00141E75" w:rsidRDefault="00672DA7" w:rsidP="00DE5133">
      <w:pPr>
        <w:rPr>
          <w:sz w:val="22"/>
          <w:szCs w:val="22"/>
        </w:rPr>
      </w:pPr>
    </w:p>
    <w:p w14:paraId="6F08F168" w14:textId="1DA2709A" w:rsidR="002A0ECD" w:rsidRDefault="002C77FF" w:rsidP="00EE2E75">
      <w:pPr>
        <w:rPr>
          <w:sz w:val="22"/>
          <w:szCs w:val="22"/>
        </w:rPr>
      </w:pPr>
      <w:r>
        <w:rPr>
          <w:sz w:val="22"/>
          <w:szCs w:val="22"/>
        </w:rPr>
        <w:t xml:space="preserve">The </w:t>
      </w:r>
      <w:r w:rsidR="002A1C7B">
        <w:rPr>
          <w:sz w:val="22"/>
          <w:szCs w:val="22"/>
        </w:rPr>
        <w:t xml:space="preserve">second applicant, Johannes Willem Knoesen </w:t>
      </w:r>
      <w:r w:rsidR="004D3B28">
        <w:rPr>
          <w:sz w:val="22"/>
          <w:szCs w:val="22"/>
        </w:rPr>
        <w:t>a</w:t>
      </w:r>
      <w:r w:rsidR="002A1C7B">
        <w:rPr>
          <w:sz w:val="22"/>
          <w:szCs w:val="22"/>
        </w:rPr>
        <w:t xml:space="preserve">s the sole member of the </w:t>
      </w:r>
      <w:r>
        <w:rPr>
          <w:sz w:val="22"/>
          <w:szCs w:val="22"/>
        </w:rPr>
        <w:t xml:space="preserve">first </w:t>
      </w:r>
      <w:r w:rsidR="005164AC" w:rsidRPr="00141E75">
        <w:rPr>
          <w:sz w:val="22"/>
          <w:szCs w:val="22"/>
        </w:rPr>
        <w:t xml:space="preserve">applicant, </w:t>
      </w:r>
      <w:r>
        <w:rPr>
          <w:sz w:val="22"/>
          <w:szCs w:val="22"/>
        </w:rPr>
        <w:t>Rissik</w:t>
      </w:r>
      <w:r w:rsidR="00722520">
        <w:rPr>
          <w:sz w:val="22"/>
          <w:szCs w:val="22"/>
        </w:rPr>
        <w:t> </w:t>
      </w:r>
      <w:r>
        <w:rPr>
          <w:sz w:val="22"/>
          <w:szCs w:val="22"/>
        </w:rPr>
        <w:t>Street One Stop t/a Rissik Street Engen (</w:t>
      </w:r>
      <w:r w:rsidR="002A1C7B">
        <w:rPr>
          <w:sz w:val="22"/>
          <w:szCs w:val="22"/>
        </w:rPr>
        <w:t xml:space="preserve">collectively </w:t>
      </w:r>
      <w:r>
        <w:rPr>
          <w:sz w:val="22"/>
          <w:szCs w:val="22"/>
        </w:rPr>
        <w:t>Rissik Street)</w:t>
      </w:r>
      <w:r w:rsidR="005164AC" w:rsidRPr="00141E75">
        <w:rPr>
          <w:sz w:val="22"/>
          <w:szCs w:val="22"/>
        </w:rPr>
        <w:t>, a petroleum retailer conducting the business of a service station</w:t>
      </w:r>
      <w:r w:rsidR="00825AB9">
        <w:rPr>
          <w:sz w:val="22"/>
          <w:szCs w:val="22"/>
        </w:rPr>
        <w:t>,</w:t>
      </w:r>
      <w:r w:rsidR="005164AC" w:rsidRPr="00141E75">
        <w:rPr>
          <w:sz w:val="22"/>
          <w:szCs w:val="22"/>
        </w:rPr>
        <w:t xml:space="preserve"> entered into a</w:t>
      </w:r>
      <w:r w:rsidR="00706D5A">
        <w:rPr>
          <w:sz w:val="22"/>
          <w:szCs w:val="22"/>
        </w:rPr>
        <w:t>n operating</w:t>
      </w:r>
      <w:r w:rsidR="005164AC" w:rsidRPr="00141E75">
        <w:rPr>
          <w:sz w:val="22"/>
          <w:szCs w:val="22"/>
        </w:rPr>
        <w:t xml:space="preserve"> agreement with the respondent, Engen Petro</w:t>
      </w:r>
      <w:r w:rsidR="002C237D" w:rsidRPr="00141E75">
        <w:rPr>
          <w:sz w:val="22"/>
          <w:szCs w:val="22"/>
        </w:rPr>
        <w:t>leum Limited (Engen), a petroleum wholesaler</w:t>
      </w:r>
      <w:r w:rsidR="00706D5A">
        <w:rPr>
          <w:sz w:val="22"/>
          <w:szCs w:val="22"/>
        </w:rPr>
        <w:t>.</w:t>
      </w:r>
      <w:r w:rsidR="002C237D" w:rsidRPr="00141E75">
        <w:rPr>
          <w:sz w:val="22"/>
          <w:szCs w:val="22"/>
        </w:rPr>
        <w:t xml:space="preserve"> </w:t>
      </w:r>
      <w:r w:rsidR="00706D5A">
        <w:rPr>
          <w:sz w:val="22"/>
          <w:szCs w:val="22"/>
        </w:rPr>
        <w:t xml:space="preserve"> Engen as the notarial lessee of the premises in Polokwane, Limpopo, subleased </w:t>
      </w:r>
      <w:r w:rsidR="00507D10">
        <w:rPr>
          <w:sz w:val="22"/>
          <w:szCs w:val="22"/>
        </w:rPr>
        <w:t xml:space="preserve">the premises to </w:t>
      </w:r>
      <w:r w:rsidR="00706D5A">
        <w:rPr>
          <w:sz w:val="22"/>
          <w:szCs w:val="22"/>
        </w:rPr>
        <w:t xml:space="preserve">Rissik </w:t>
      </w:r>
      <w:r w:rsidR="00DB1B31">
        <w:rPr>
          <w:sz w:val="22"/>
          <w:szCs w:val="22"/>
        </w:rPr>
        <w:t>Street</w:t>
      </w:r>
      <w:r w:rsidR="00706D5A">
        <w:rPr>
          <w:sz w:val="22"/>
          <w:szCs w:val="22"/>
        </w:rPr>
        <w:t xml:space="preserve"> on which</w:t>
      </w:r>
      <w:r w:rsidR="002A1C7B">
        <w:rPr>
          <w:sz w:val="22"/>
          <w:szCs w:val="22"/>
        </w:rPr>
        <w:t xml:space="preserve"> it</w:t>
      </w:r>
      <w:r w:rsidR="002C237D" w:rsidRPr="00141E75">
        <w:rPr>
          <w:sz w:val="22"/>
          <w:szCs w:val="22"/>
        </w:rPr>
        <w:t xml:space="preserve"> operates its petroleum retail business</w:t>
      </w:r>
      <w:r w:rsidR="00706D5A">
        <w:rPr>
          <w:sz w:val="22"/>
          <w:szCs w:val="22"/>
        </w:rPr>
        <w:t>.</w:t>
      </w:r>
      <w:r w:rsidR="002C237D" w:rsidRPr="00141E75">
        <w:rPr>
          <w:sz w:val="22"/>
          <w:szCs w:val="22"/>
        </w:rPr>
        <w:t xml:space="preserve">  </w:t>
      </w:r>
      <w:r w:rsidR="004D3B28">
        <w:rPr>
          <w:sz w:val="22"/>
          <w:szCs w:val="22"/>
        </w:rPr>
        <w:t xml:space="preserve">Rissik Street has occupied the premises since 1998 under the terms of the operating lease, which had been renewed from time to time.  In anticipation of the expiry of the operating lease the parties endeavoured to negotiate the extension of the agreement.  </w:t>
      </w:r>
      <w:r w:rsidR="002C237D" w:rsidRPr="00141E75">
        <w:rPr>
          <w:sz w:val="22"/>
          <w:szCs w:val="22"/>
        </w:rPr>
        <w:t>A dispute arose b</w:t>
      </w:r>
      <w:r w:rsidR="00706D5A">
        <w:rPr>
          <w:sz w:val="22"/>
          <w:szCs w:val="22"/>
        </w:rPr>
        <w:t xml:space="preserve">etween the parties when the landowner of the premises demanded Engen make payment in the amount of </w:t>
      </w:r>
      <w:r w:rsidR="00722520">
        <w:rPr>
          <w:sz w:val="22"/>
          <w:szCs w:val="22"/>
        </w:rPr>
        <w:t>R 3million</w:t>
      </w:r>
      <w:r w:rsidR="00E64540">
        <w:rPr>
          <w:sz w:val="22"/>
          <w:szCs w:val="22"/>
        </w:rPr>
        <w:t xml:space="preserve"> </w:t>
      </w:r>
      <w:r w:rsidR="00706D5A">
        <w:rPr>
          <w:sz w:val="22"/>
          <w:szCs w:val="22"/>
        </w:rPr>
        <w:t>as a condition for the renewal of the notarial lease.  Engen obliged</w:t>
      </w:r>
      <w:r w:rsidR="00FE2D26">
        <w:rPr>
          <w:sz w:val="22"/>
          <w:szCs w:val="22"/>
        </w:rPr>
        <w:t xml:space="preserve"> but then sought to recover the payment from Rissik</w:t>
      </w:r>
      <w:r w:rsidR="004D3B28">
        <w:rPr>
          <w:sz w:val="22"/>
          <w:szCs w:val="22"/>
        </w:rPr>
        <w:t xml:space="preserve"> </w:t>
      </w:r>
      <w:r w:rsidR="00DB1B31">
        <w:rPr>
          <w:sz w:val="22"/>
          <w:szCs w:val="22"/>
        </w:rPr>
        <w:t>Street</w:t>
      </w:r>
      <w:r w:rsidR="00FE2D26">
        <w:rPr>
          <w:sz w:val="22"/>
          <w:szCs w:val="22"/>
        </w:rPr>
        <w:t xml:space="preserve"> </w:t>
      </w:r>
      <w:r w:rsidR="002A1C7B">
        <w:rPr>
          <w:sz w:val="22"/>
          <w:szCs w:val="22"/>
        </w:rPr>
        <w:t>by making it</w:t>
      </w:r>
      <w:r w:rsidR="00FE2D26">
        <w:rPr>
          <w:sz w:val="22"/>
          <w:szCs w:val="22"/>
        </w:rPr>
        <w:t xml:space="preserve"> a condition of renewing the operating </w:t>
      </w:r>
      <w:r w:rsidR="00C15A5F">
        <w:rPr>
          <w:sz w:val="22"/>
          <w:szCs w:val="22"/>
        </w:rPr>
        <w:t>lease</w:t>
      </w:r>
      <w:r w:rsidR="00FE2D26">
        <w:rPr>
          <w:sz w:val="22"/>
          <w:szCs w:val="22"/>
        </w:rPr>
        <w:t xml:space="preserve">.  The parties were unable to reach an agreement in respect of the </w:t>
      </w:r>
      <w:r w:rsidR="00722520">
        <w:rPr>
          <w:sz w:val="22"/>
          <w:szCs w:val="22"/>
        </w:rPr>
        <w:t>R</w:t>
      </w:r>
      <w:r w:rsidR="00BA4D41">
        <w:rPr>
          <w:sz w:val="22"/>
          <w:szCs w:val="22"/>
        </w:rPr>
        <w:t> </w:t>
      </w:r>
      <w:r w:rsidR="00722520">
        <w:rPr>
          <w:sz w:val="22"/>
          <w:szCs w:val="22"/>
        </w:rPr>
        <w:t>3million</w:t>
      </w:r>
      <w:r w:rsidR="00FE2D26">
        <w:rPr>
          <w:sz w:val="22"/>
          <w:szCs w:val="22"/>
        </w:rPr>
        <w:t xml:space="preserve"> payment</w:t>
      </w:r>
      <w:r w:rsidR="00722520">
        <w:rPr>
          <w:sz w:val="22"/>
          <w:szCs w:val="22"/>
        </w:rPr>
        <w:t>,</w:t>
      </w:r>
      <w:r w:rsidR="00FE2D26">
        <w:rPr>
          <w:sz w:val="22"/>
          <w:szCs w:val="22"/>
        </w:rPr>
        <w:t xml:space="preserve"> and Engen subsequently notified Rissik</w:t>
      </w:r>
      <w:r w:rsidR="006F5B6D">
        <w:rPr>
          <w:sz w:val="22"/>
          <w:szCs w:val="22"/>
        </w:rPr>
        <w:t> </w:t>
      </w:r>
      <w:r w:rsidR="00FE2D26">
        <w:rPr>
          <w:sz w:val="22"/>
          <w:szCs w:val="22"/>
        </w:rPr>
        <w:t>Street of its intention not to renew the operating</w:t>
      </w:r>
      <w:r w:rsidR="005248BC">
        <w:rPr>
          <w:sz w:val="22"/>
          <w:szCs w:val="22"/>
        </w:rPr>
        <w:t xml:space="preserve"> lease</w:t>
      </w:r>
      <w:r w:rsidR="00FE2D26">
        <w:rPr>
          <w:sz w:val="22"/>
          <w:szCs w:val="22"/>
        </w:rPr>
        <w:t xml:space="preserve"> </w:t>
      </w:r>
      <w:r w:rsidR="005248BC">
        <w:rPr>
          <w:sz w:val="22"/>
          <w:szCs w:val="22"/>
        </w:rPr>
        <w:t>which was to expire on 30 June 2018</w:t>
      </w:r>
      <w:r w:rsidR="00FE2D26">
        <w:rPr>
          <w:sz w:val="22"/>
          <w:szCs w:val="22"/>
        </w:rPr>
        <w:t xml:space="preserve">. </w:t>
      </w:r>
      <w:r w:rsidR="00706D5A">
        <w:rPr>
          <w:sz w:val="22"/>
          <w:szCs w:val="22"/>
        </w:rPr>
        <w:t xml:space="preserve"> </w:t>
      </w:r>
      <w:r w:rsidR="00507D10">
        <w:rPr>
          <w:sz w:val="22"/>
          <w:szCs w:val="22"/>
        </w:rPr>
        <w:t xml:space="preserve">The operating </w:t>
      </w:r>
      <w:r w:rsidR="005248BC">
        <w:rPr>
          <w:sz w:val="22"/>
          <w:szCs w:val="22"/>
        </w:rPr>
        <w:t xml:space="preserve">lease </w:t>
      </w:r>
      <w:r w:rsidR="00507D10">
        <w:rPr>
          <w:sz w:val="22"/>
          <w:szCs w:val="22"/>
        </w:rPr>
        <w:t>entitled Rissik</w:t>
      </w:r>
      <w:r w:rsidR="005248BC">
        <w:rPr>
          <w:sz w:val="22"/>
          <w:szCs w:val="22"/>
        </w:rPr>
        <w:t> </w:t>
      </w:r>
      <w:r w:rsidR="00507D10">
        <w:rPr>
          <w:sz w:val="22"/>
          <w:szCs w:val="22"/>
        </w:rPr>
        <w:t xml:space="preserve">Street to attempt to sell the business </w:t>
      </w:r>
      <w:r w:rsidR="00E64540">
        <w:rPr>
          <w:sz w:val="22"/>
          <w:szCs w:val="22"/>
        </w:rPr>
        <w:t xml:space="preserve">within </w:t>
      </w:r>
      <w:r w:rsidR="005248BC">
        <w:rPr>
          <w:sz w:val="22"/>
          <w:szCs w:val="22"/>
        </w:rPr>
        <w:t>a</w:t>
      </w:r>
      <w:r w:rsidR="00E64540">
        <w:rPr>
          <w:sz w:val="22"/>
          <w:szCs w:val="22"/>
        </w:rPr>
        <w:t xml:space="preserve"> twelve</w:t>
      </w:r>
      <w:r w:rsidR="00722520">
        <w:rPr>
          <w:sz w:val="22"/>
          <w:szCs w:val="22"/>
        </w:rPr>
        <w:noBreakHyphen/>
      </w:r>
      <w:r w:rsidR="00507D10">
        <w:rPr>
          <w:sz w:val="22"/>
          <w:szCs w:val="22"/>
        </w:rPr>
        <w:t>month notice period</w:t>
      </w:r>
      <w:r w:rsidR="005248BC">
        <w:rPr>
          <w:sz w:val="22"/>
          <w:szCs w:val="22"/>
        </w:rPr>
        <w:t>, Engen accordingly provided Rissik Street with the stipulated notice, which was to expire on 2 October 2018</w:t>
      </w:r>
      <w:r w:rsidR="00507D10">
        <w:rPr>
          <w:sz w:val="22"/>
          <w:szCs w:val="22"/>
        </w:rPr>
        <w:t xml:space="preserve">.  </w:t>
      </w:r>
      <w:r w:rsidR="004F20D1">
        <w:rPr>
          <w:sz w:val="22"/>
          <w:szCs w:val="22"/>
        </w:rPr>
        <w:t>Rissik</w:t>
      </w:r>
      <w:r w:rsidR="006F5B6D">
        <w:rPr>
          <w:sz w:val="22"/>
          <w:szCs w:val="22"/>
        </w:rPr>
        <w:t> </w:t>
      </w:r>
      <w:r w:rsidR="004F20D1">
        <w:rPr>
          <w:sz w:val="22"/>
          <w:szCs w:val="22"/>
        </w:rPr>
        <w:t xml:space="preserve">Street presented Engen with a potential purchaser for the business, but Engen did not approve the sale citing the proposed purchaser’s lack of compliance.  </w:t>
      </w:r>
      <w:r w:rsidR="00DB1B31">
        <w:rPr>
          <w:sz w:val="22"/>
          <w:szCs w:val="22"/>
        </w:rPr>
        <w:t>A request by Rissik</w:t>
      </w:r>
      <w:r w:rsidR="006F5B6D">
        <w:rPr>
          <w:sz w:val="22"/>
          <w:szCs w:val="22"/>
        </w:rPr>
        <w:t> </w:t>
      </w:r>
      <w:r w:rsidR="00DB1B31">
        <w:rPr>
          <w:sz w:val="22"/>
          <w:szCs w:val="22"/>
        </w:rPr>
        <w:t xml:space="preserve">Street for reasons for the </w:t>
      </w:r>
      <w:r w:rsidR="006F5B6D">
        <w:rPr>
          <w:sz w:val="22"/>
          <w:szCs w:val="22"/>
        </w:rPr>
        <w:t xml:space="preserve">alleged </w:t>
      </w:r>
      <w:r w:rsidR="00DB1B31">
        <w:rPr>
          <w:sz w:val="22"/>
          <w:szCs w:val="22"/>
        </w:rPr>
        <w:t>lack of c</w:t>
      </w:r>
      <w:r w:rsidR="006F5B6D">
        <w:rPr>
          <w:sz w:val="22"/>
          <w:szCs w:val="22"/>
        </w:rPr>
        <w:t>ompliance was refused.  Rissik</w:t>
      </w:r>
      <w:r w:rsidR="00722520">
        <w:rPr>
          <w:sz w:val="22"/>
          <w:szCs w:val="22"/>
        </w:rPr>
        <w:t> </w:t>
      </w:r>
      <w:r w:rsidR="006F5B6D">
        <w:rPr>
          <w:sz w:val="22"/>
          <w:szCs w:val="22"/>
        </w:rPr>
        <w:t>S</w:t>
      </w:r>
      <w:r w:rsidR="00DB1B31">
        <w:rPr>
          <w:sz w:val="22"/>
          <w:szCs w:val="22"/>
        </w:rPr>
        <w:t>treet consequently requested that</w:t>
      </w:r>
      <w:r w:rsidR="00FC35A7" w:rsidRPr="00141E75">
        <w:rPr>
          <w:sz w:val="22"/>
          <w:szCs w:val="22"/>
        </w:rPr>
        <w:t xml:space="preserve"> the Controller of Petroleum Products (Controller) direct that the parties should submit to arbitration on the basis </w:t>
      </w:r>
      <w:r w:rsidR="00FC35A7" w:rsidRPr="00141E75">
        <w:rPr>
          <w:sz w:val="22"/>
          <w:szCs w:val="22"/>
        </w:rPr>
        <w:lastRenderedPageBreak/>
        <w:t>that Engen’s conduct manifested unfair and unreasonable contractual practice in terms of section 12B of the Petroleum Products Act 120 of 1977 (PPA).</w:t>
      </w:r>
    </w:p>
    <w:p w14:paraId="49A20F7F" w14:textId="77777777" w:rsidR="002A0ECD" w:rsidRDefault="002A0ECD" w:rsidP="00EE2E75">
      <w:pPr>
        <w:rPr>
          <w:sz w:val="22"/>
          <w:szCs w:val="22"/>
        </w:rPr>
      </w:pPr>
    </w:p>
    <w:p w14:paraId="79AF0FD9" w14:textId="29E70268" w:rsidR="002A0ECD" w:rsidRDefault="002A0ECD" w:rsidP="00EE2E75">
      <w:pPr>
        <w:rPr>
          <w:sz w:val="22"/>
          <w:szCs w:val="22"/>
        </w:rPr>
      </w:pPr>
      <w:r>
        <w:rPr>
          <w:sz w:val="22"/>
          <w:szCs w:val="22"/>
        </w:rPr>
        <w:t>Whist awaiting the decision of the Controller on whether the matter would be referred for arbitration</w:t>
      </w:r>
      <w:r w:rsidR="00722520">
        <w:rPr>
          <w:sz w:val="22"/>
          <w:szCs w:val="22"/>
        </w:rPr>
        <w:t>,</w:t>
      </w:r>
      <w:r>
        <w:rPr>
          <w:sz w:val="22"/>
          <w:szCs w:val="22"/>
        </w:rPr>
        <w:t xml:space="preserve"> t</w:t>
      </w:r>
      <w:r w:rsidR="00E64540">
        <w:rPr>
          <w:sz w:val="22"/>
          <w:szCs w:val="22"/>
        </w:rPr>
        <w:t xml:space="preserve">he </w:t>
      </w:r>
      <w:r w:rsidR="005248BC">
        <w:rPr>
          <w:sz w:val="22"/>
          <w:szCs w:val="22"/>
        </w:rPr>
        <w:t xml:space="preserve">operating lease terminated through the effluxion of time </w:t>
      </w:r>
      <w:r w:rsidR="00071286">
        <w:rPr>
          <w:sz w:val="22"/>
          <w:szCs w:val="22"/>
        </w:rPr>
        <w:t xml:space="preserve">on 30 June 2018 </w:t>
      </w:r>
      <w:r w:rsidR="005248BC">
        <w:rPr>
          <w:sz w:val="22"/>
          <w:szCs w:val="22"/>
        </w:rPr>
        <w:t xml:space="preserve">and the </w:t>
      </w:r>
      <w:r w:rsidR="00E64540">
        <w:rPr>
          <w:sz w:val="22"/>
          <w:szCs w:val="22"/>
        </w:rPr>
        <w:t>twelve</w:t>
      </w:r>
      <w:r w:rsidR="002A21D5">
        <w:rPr>
          <w:sz w:val="22"/>
          <w:szCs w:val="22"/>
        </w:rPr>
        <w:t>-</w:t>
      </w:r>
      <w:r w:rsidR="00E64540">
        <w:rPr>
          <w:sz w:val="22"/>
          <w:szCs w:val="22"/>
        </w:rPr>
        <w:t xml:space="preserve">month notice period </w:t>
      </w:r>
      <w:r w:rsidR="00071286">
        <w:rPr>
          <w:sz w:val="22"/>
          <w:szCs w:val="22"/>
        </w:rPr>
        <w:t>subsequently</w:t>
      </w:r>
      <w:r w:rsidR="005248BC">
        <w:rPr>
          <w:sz w:val="22"/>
          <w:szCs w:val="22"/>
        </w:rPr>
        <w:t xml:space="preserve"> </w:t>
      </w:r>
      <w:r w:rsidR="00E64540">
        <w:rPr>
          <w:sz w:val="22"/>
          <w:szCs w:val="22"/>
        </w:rPr>
        <w:t>lapsed</w:t>
      </w:r>
      <w:r w:rsidR="005248BC">
        <w:rPr>
          <w:sz w:val="22"/>
          <w:szCs w:val="22"/>
        </w:rPr>
        <w:t xml:space="preserve"> on 2 October 2018</w:t>
      </w:r>
      <w:r w:rsidR="00E64540">
        <w:rPr>
          <w:sz w:val="22"/>
          <w:szCs w:val="22"/>
        </w:rPr>
        <w:t xml:space="preserve">.  Rissik Street </w:t>
      </w:r>
      <w:r>
        <w:rPr>
          <w:sz w:val="22"/>
          <w:szCs w:val="22"/>
        </w:rPr>
        <w:t xml:space="preserve">however attempted to introduce a second potential purchaser to Engen, but the proposed buyer was again rejected.  Engen </w:t>
      </w:r>
      <w:r w:rsidR="00D122CC">
        <w:rPr>
          <w:sz w:val="22"/>
          <w:szCs w:val="22"/>
        </w:rPr>
        <w:t xml:space="preserve">then </w:t>
      </w:r>
      <w:r>
        <w:rPr>
          <w:sz w:val="22"/>
          <w:szCs w:val="22"/>
        </w:rPr>
        <w:t xml:space="preserve">provided Rissik Street with written notice to vacate the premises. </w:t>
      </w:r>
      <w:r w:rsidR="006F5B6D">
        <w:rPr>
          <w:sz w:val="22"/>
          <w:szCs w:val="22"/>
        </w:rPr>
        <w:t xml:space="preserve"> Rissik </w:t>
      </w:r>
      <w:r>
        <w:rPr>
          <w:sz w:val="22"/>
          <w:szCs w:val="22"/>
        </w:rPr>
        <w:t>Street refused and Engen consequently launched eviction proceedings in the High</w:t>
      </w:r>
      <w:r w:rsidR="00071286">
        <w:rPr>
          <w:sz w:val="22"/>
          <w:szCs w:val="22"/>
        </w:rPr>
        <w:t> </w:t>
      </w:r>
      <w:r>
        <w:rPr>
          <w:sz w:val="22"/>
          <w:szCs w:val="22"/>
        </w:rPr>
        <w:t>Court.</w:t>
      </w:r>
    </w:p>
    <w:p w14:paraId="355708F7" w14:textId="6F564370" w:rsidR="002A0ECD" w:rsidRDefault="002A0ECD" w:rsidP="00EE2E75">
      <w:pPr>
        <w:rPr>
          <w:sz w:val="22"/>
          <w:szCs w:val="22"/>
        </w:rPr>
      </w:pPr>
    </w:p>
    <w:p w14:paraId="41CA3BFB" w14:textId="1824292F" w:rsidR="004A50D8" w:rsidRDefault="00212D2A" w:rsidP="00EE2E75">
      <w:pPr>
        <w:rPr>
          <w:sz w:val="22"/>
          <w:szCs w:val="22"/>
        </w:rPr>
      </w:pPr>
      <w:r>
        <w:rPr>
          <w:sz w:val="22"/>
          <w:szCs w:val="22"/>
        </w:rPr>
        <w:t xml:space="preserve">Rissik Street opposed the eviction application and brought a counterclaim seeking a stay of the proceedings pending the outcome of their request to the </w:t>
      </w:r>
      <w:r w:rsidR="00757326">
        <w:rPr>
          <w:sz w:val="22"/>
          <w:szCs w:val="22"/>
        </w:rPr>
        <w:t>C</w:t>
      </w:r>
      <w:r>
        <w:rPr>
          <w:sz w:val="22"/>
          <w:szCs w:val="22"/>
        </w:rPr>
        <w:t xml:space="preserve">ontroller.  </w:t>
      </w:r>
      <w:r w:rsidR="00465BC1" w:rsidRPr="00DC644F">
        <w:rPr>
          <w:sz w:val="22"/>
          <w:szCs w:val="22"/>
        </w:rPr>
        <w:t>Engen argued that Rissik </w:t>
      </w:r>
      <w:r w:rsidR="003371E6" w:rsidRPr="00DC644F">
        <w:rPr>
          <w:sz w:val="22"/>
          <w:szCs w:val="22"/>
        </w:rPr>
        <w:t>Street was not opposing the eviction application on the basis that it desired to remain in occupation of the premises, but instead the request was harboured under the belief that it was entitled to sell the business</w:t>
      </w:r>
      <w:r w:rsidR="00343763">
        <w:rPr>
          <w:sz w:val="22"/>
          <w:szCs w:val="22"/>
        </w:rPr>
        <w:t xml:space="preserve">.  </w:t>
      </w:r>
      <w:r w:rsidR="003371E6" w:rsidRPr="00DC644F">
        <w:rPr>
          <w:sz w:val="22"/>
          <w:szCs w:val="22"/>
        </w:rPr>
        <w:t>It contended that it was under no obligation, contractually or otherwise, to allow for the unlawful</w:t>
      </w:r>
      <w:r w:rsidR="003371E6">
        <w:rPr>
          <w:sz w:val="22"/>
          <w:szCs w:val="22"/>
        </w:rPr>
        <w:t xml:space="preserve"> occupation of the premises </w:t>
      </w:r>
      <w:r w:rsidR="006220AE">
        <w:rPr>
          <w:sz w:val="22"/>
          <w:szCs w:val="22"/>
        </w:rPr>
        <w:t xml:space="preserve">in order to facilitate </w:t>
      </w:r>
      <w:r w:rsidR="006F5B6D">
        <w:rPr>
          <w:sz w:val="22"/>
          <w:szCs w:val="22"/>
        </w:rPr>
        <w:t>Rissik Street’s</w:t>
      </w:r>
      <w:r w:rsidR="006220AE">
        <w:rPr>
          <w:sz w:val="22"/>
          <w:szCs w:val="22"/>
        </w:rPr>
        <w:t xml:space="preserve"> attempts to sell the business.</w:t>
      </w:r>
      <w:r w:rsidR="003D5128">
        <w:rPr>
          <w:sz w:val="22"/>
          <w:szCs w:val="22"/>
        </w:rPr>
        <w:t xml:space="preserve">  Engen argued that the operating </w:t>
      </w:r>
      <w:r w:rsidR="00AE069B">
        <w:rPr>
          <w:sz w:val="22"/>
          <w:szCs w:val="22"/>
        </w:rPr>
        <w:t xml:space="preserve">lease </w:t>
      </w:r>
      <w:r w:rsidR="003D5128">
        <w:rPr>
          <w:sz w:val="22"/>
          <w:szCs w:val="22"/>
        </w:rPr>
        <w:t xml:space="preserve">had terminated and as such, </w:t>
      </w:r>
      <w:r w:rsidR="006F5B6D">
        <w:rPr>
          <w:sz w:val="22"/>
          <w:szCs w:val="22"/>
        </w:rPr>
        <w:t>Rissik Street’s</w:t>
      </w:r>
      <w:r w:rsidR="003D5128">
        <w:rPr>
          <w:sz w:val="22"/>
          <w:szCs w:val="22"/>
        </w:rPr>
        <w:t xml:space="preserve"> continued occupation of the premises was unlawful.</w:t>
      </w:r>
      <w:r w:rsidR="00BA4D41">
        <w:rPr>
          <w:sz w:val="22"/>
          <w:szCs w:val="22"/>
        </w:rPr>
        <w:t xml:space="preserve">  </w:t>
      </w:r>
      <w:r w:rsidR="00757326">
        <w:rPr>
          <w:sz w:val="22"/>
          <w:szCs w:val="22"/>
        </w:rPr>
        <w:t xml:space="preserve">The High Court was therefore required to make a determination on </w:t>
      </w:r>
      <w:r w:rsidR="006F5B6D">
        <w:rPr>
          <w:sz w:val="22"/>
          <w:szCs w:val="22"/>
        </w:rPr>
        <w:t>the following issues: (a) </w:t>
      </w:r>
      <w:r w:rsidR="00757326">
        <w:rPr>
          <w:sz w:val="22"/>
          <w:szCs w:val="22"/>
        </w:rPr>
        <w:t>whether to stay eviction, pending the determination by the Controller of Rissik Street’s dispute referral in terms of section 12B of the PPA</w:t>
      </w:r>
      <w:r w:rsidR="009077F4">
        <w:rPr>
          <w:sz w:val="22"/>
          <w:szCs w:val="22"/>
        </w:rPr>
        <w:t>?</w:t>
      </w:r>
      <w:r w:rsidR="00D53F9A">
        <w:rPr>
          <w:sz w:val="22"/>
          <w:szCs w:val="22"/>
        </w:rPr>
        <w:t xml:space="preserve">; (b) if proceedings were to be stayed, whether Engen should be interdicted </w:t>
      </w:r>
      <w:r w:rsidR="00D53F9A" w:rsidRPr="00D53F9A">
        <w:rPr>
          <w:sz w:val="22"/>
          <w:szCs w:val="22"/>
        </w:rPr>
        <w:t>from taking steps that will adversely affect the operations of Rissik Street, pending the</w:t>
      </w:r>
      <w:r w:rsidR="00D53F9A">
        <w:rPr>
          <w:sz w:val="22"/>
          <w:szCs w:val="22"/>
        </w:rPr>
        <w:t xml:space="preserve"> arbitration</w:t>
      </w:r>
      <w:r w:rsidR="009077F4">
        <w:rPr>
          <w:sz w:val="22"/>
          <w:szCs w:val="22"/>
        </w:rPr>
        <w:t>?</w:t>
      </w:r>
      <w:r w:rsidR="00D53F9A">
        <w:rPr>
          <w:sz w:val="22"/>
          <w:szCs w:val="22"/>
        </w:rPr>
        <w:t>;</w:t>
      </w:r>
      <w:r w:rsidR="00C51D16">
        <w:rPr>
          <w:sz w:val="22"/>
          <w:szCs w:val="22"/>
        </w:rPr>
        <w:t xml:space="preserve"> and (</w:t>
      </w:r>
      <w:r w:rsidR="00286948">
        <w:rPr>
          <w:sz w:val="22"/>
          <w:szCs w:val="22"/>
        </w:rPr>
        <w:t>c</w:t>
      </w:r>
      <w:r w:rsidR="00C51D16">
        <w:rPr>
          <w:sz w:val="22"/>
          <w:szCs w:val="22"/>
        </w:rPr>
        <w:t xml:space="preserve">) if </w:t>
      </w:r>
      <w:r w:rsidR="006F5B6D">
        <w:rPr>
          <w:sz w:val="22"/>
          <w:szCs w:val="22"/>
        </w:rPr>
        <w:t>Rissik Street’s</w:t>
      </w:r>
      <w:r w:rsidR="00C51D16">
        <w:rPr>
          <w:sz w:val="22"/>
          <w:szCs w:val="22"/>
        </w:rPr>
        <w:t xml:space="preserve"> counte</w:t>
      </w:r>
      <w:r w:rsidR="006F5B6D">
        <w:rPr>
          <w:sz w:val="22"/>
          <w:szCs w:val="22"/>
        </w:rPr>
        <w:t>rclaim was refused, whether they</w:t>
      </w:r>
      <w:r w:rsidR="00C51D16">
        <w:rPr>
          <w:sz w:val="22"/>
          <w:szCs w:val="22"/>
        </w:rPr>
        <w:t xml:space="preserve"> should be evicted from the premises</w:t>
      </w:r>
      <w:r w:rsidR="009077F4">
        <w:rPr>
          <w:sz w:val="22"/>
          <w:szCs w:val="22"/>
        </w:rPr>
        <w:t>?</w:t>
      </w:r>
    </w:p>
    <w:p w14:paraId="734D7265" w14:textId="77777777" w:rsidR="004A50D8" w:rsidRDefault="004A50D8" w:rsidP="00EE2E75">
      <w:pPr>
        <w:rPr>
          <w:sz w:val="22"/>
          <w:szCs w:val="22"/>
        </w:rPr>
      </w:pPr>
    </w:p>
    <w:p w14:paraId="6756A712" w14:textId="726E2784" w:rsidR="00090168" w:rsidRDefault="004A50D8" w:rsidP="004A50D8">
      <w:pPr>
        <w:rPr>
          <w:sz w:val="22"/>
          <w:szCs w:val="22"/>
        </w:rPr>
      </w:pPr>
      <w:r w:rsidRPr="004A50D8">
        <w:rPr>
          <w:sz w:val="22"/>
          <w:szCs w:val="22"/>
        </w:rPr>
        <w:t>The High Court disagreed with Engen’s contention</w:t>
      </w:r>
      <w:r>
        <w:rPr>
          <w:sz w:val="22"/>
          <w:szCs w:val="22"/>
        </w:rPr>
        <w:t>s</w:t>
      </w:r>
      <w:r w:rsidRPr="004A50D8">
        <w:rPr>
          <w:sz w:val="22"/>
          <w:szCs w:val="22"/>
        </w:rPr>
        <w:t xml:space="preserve"> on the following basis:</w:t>
      </w:r>
      <w:r>
        <w:rPr>
          <w:sz w:val="22"/>
          <w:szCs w:val="22"/>
        </w:rPr>
        <w:t xml:space="preserve"> (a) t</w:t>
      </w:r>
      <w:r w:rsidRPr="004A50D8">
        <w:rPr>
          <w:sz w:val="22"/>
          <w:szCs w:val="22"/>
        </w:rPr>
        <w:t>hat it defeats the purpose of section 12B of the PPA</w:t>
      </w:r>
      <w:r w:rsidR="00BA4D41">
        <w:rPr>
          <w:sz w:val="22"/>
          <w:szCs w:val="22"/>
        </w:rPr>
        <w:t xml:space="preserve">; </w:t>
      </w:r>
      <w:r>
        <w:rPr>
          <w:sz w:val="22"/>
          <w:szCs w:val="22"/>
        </w:rPr>
        <w:t>(b) t</w:t>
      </w:r>
      <w:r w:rsidRPr="004A50D8">
        <w:rPr>
          <w:sz w:val="22"/>
          <w:szCs w:val="22"/>
        </w:rPr>
        <w:t>hat in terms section</w:t>
      </w:r>
      <w:r>
        <w:rPr>
          <w:sz w:val="22"/>
          <w:szCs w:val="22"/>
        </w:rPr>
        <w:t> </w:t>
      </w:r>
      <w:r w:rsidRPr="004A50D8">
        <w:rPr>
          <w:sz w:val="22"/>
          <w:szCs w:val="22"/>
        </w:rPr>
        <w:t>12(B)(a) of the PPA, the parties determine the rules of arbitration and are at liberty to include any dispute, which in the case at hand, may hav</w:t>
      </w:r>
      <w:r>
        <w:rPr>
          <w:sz w:val="22"/>
          <w:szCs w:val="22"/>
        </w:rPr>
        <w:t xml:space="preserve">e included eviction proceedings, (c) as soon as </w:t>
      </w:r>
      <w:r w:rsidR="006F5B6D">
        <w:rPr>
          <w:sz w:val="22"/>
          <w:szCs w:val="22"/>
        </w:rPr>
        <w:t>Rissik Street</w:t>
      </w:r>
      <w:r>
        <w:rPr>
          <w:sz w:val="22"/>
          <w:szCs w:val="22"/>
        </w:rPr>
        <w:t xml:space="preserve"> was</w:t>
      </w:r>
      <w:r w:rsidRPr="004A50D8">
        <w:rPr>
          <w:sz w:val="22"/>
          <w:szCs w:val="22"/>
        </w:rPr>
        <w:t xml:space="preserve"> evicted, </w:t>
      </w:r>
      <w:r w:rsidR="006F5B6D">
        <w:rPr>
          <w:sz w:val="22"/>
          <w:szCs w:val="22"/>
        </w:rPr>
        <w:t>their</w:t>
      </w:r>
      <w:r>
        <w:rPr>
          <w:sz w:val="22"/>
          <w:szCs w:val="22"/>
        </w:rPr>
        <w:t xml:space="preserve"> source</w:t>
      </w:r>
      <w:r w:rsidRPr="004A50D8">
        <w:rPr>
          <w:sz w:val="22"/>
          <w:szCs w:val="22"/>
        </w:rPr>
        <w:t xml:space="preserve"> of income would be diminished, which would </w:t>
      </w:r>
      <w:r w:rsidR="00286948">
        <w:rPr>
          <w:sz w:val="22"/>
          <w:szCs w:val="22"/>
        </w:rPr>
        <w:t>impede their ability to</w:t>
      </w:r>
      <w:r>
        <w:rPr>
          <w:sz w:val="22"/>
          <w:szCs w:val="22"/>
        </w:rPr>
        <w:t xml:space="preserve"> finance the pending litigation;</w:t>
      </w:r>
      <w:r w:rsidR="00F034BF">
        <w:rPr>
          <w:sz w:val="22"/>
          <w:szCs w:val="22"/>
        </w:rPr>
        <w:t xml:space="preserve"> and</w:t>
      </w:r>
      <w:r>
        <w:rPr>
          <w:sz w:val="22"/>
          <w:szCs w:val="22"/>
        </w:rPr>
        <w:t xml:space="preserve"> (d) </w:t>
      </w:r>
      <w:r w:rsidR="002A1C7B" w:rsidRPr="002A1C7B">
        <w:rPr>
          <w:i/>
          <w:sz w:val="22"/>
          <w:szCs w:val="22"/>
        </w:rPr>
        <w:t xml:space="preserve">Business Zone 1010 CC t/a Emmarentia Convenience Centre v Engen Petroleum Limited </w:t>
      </w:r>
      <w:r w:rsidR="002A1C7B" w:rsidRPr="00502723">
        <w:rPr>
          <w:sz w:val="22"/>
          <w:szCs w:val="22"/>
        </w:rPr>
        <w:t>2017 (6) BCLR 773 (CC)</w:t>
      </w:r>
      <w:r w:rsidR="002A1C7B">
        <w:rPr>
          <w:i/>
          <w:sz w:val="22"/>
          <w:szCs w:val="22"/>
        </w:rPr>
        <w:t xml:space="preserve"> </w:t>
      </w:r>
      <w:r w:rsidR="002A1C7B" w:rsidRPr="00C81425">
        <w:rPr>
          <w:sz w:val="22"/>
          <w:szCs w:val="22"/>
        </w:rPr>
        <w:t>(</w:t>
      </w:r>
      <w:r w:rsidR="002A1C7B">
        <w:rPr>
          <w:i/>
          <w:sz w:val="22"/>
          <w:szCs w:val="22"/>
        </w:rPr>
        <w:t>Business</w:t>
      </w:r>
      <w:r w:rsidR="002A21D5">
        <w:rPr>
          <w:i/>
          <w:sz w:val="22"/>
          <w:szCs w:val="22"/>
        </w:rPr>
        <w:t> </w:t>
      </w:r>
      <w:r w:rsidR="002A1C7B">
        <w:rPr>
          <w:i/>
          <w:sz w:val="22"/>
          <w:szCs w:val="22"/>
        </w:rPr>
        <w:t>Zone CC</w:t>
      </w:r>
      <w:r w:rsidR="002A1C7B" w:rsidRPr="00C81425">
        <w:rPr>
          <w:sz w:val="22"/>
          <w:szCs w:val="22"/>
        </w:rPr>
        <w:t>)</w:t>
      </w:r>
      <w:r w:rsidR="002A1C7B">
        <w:rPr>
          <w:i/>
          <w:sz w:val="22"/>
          <w:szCs w:val="22"/>
        </w:rPr>
        <w:t xml:space="preserve"> </w:t>
      </w:r>
      <w:r w:rsidR="002A21D5">
        <w:rPr>
          <w:sz w:val="22"/>
          <w:szCs w:val="22"/>
        </w:rPr>
        <w:t>provides</w:t>
      </w:r>
      <w:r w:rsidRPr="004A50D8">
        <w:rPr>
          <w:sz w:val="22"/>
          <w:szCs w:val="22"/>
        </w:rPr>
        <w:t xml:space="preserve"> that arbitration procedure suspends the institution of Court litigation.</w:t>
      </w:r>
      <w:r w:rsidR="00090168">
        <w:rPr>
          <w:sz w:val="22"/>
          <w:szCs w:val="22"/>
        </w:rPr>
        <w:t xml:space="preserve">  </w:t>
      </w:r>
      <w:r w:rsidR="00090168" w:rsidRPr="00090168">
        <w:rPr>
          <w:sz w:val="22"/>
          <w:szCs w:val="22"/>
        </w:rPr>
        <w:t xml:space="preserve">The Court </w:t>
      </w:r>
      <w:r w:rsidR="00090168">
        <w:rPr>
          <w:sz w:val="22"/>
          <w:szCs w:val="22"/>
        </w:rPr>
        <w:t>held</w:t>
      </w:r>
      <w:r w:rsidR="002A1C7B">
        <w:rPr>
          <w:sz w:val="22"/>
          <w:szCs w:val="22"/>
        </w:rPr>
        <w:t xml:space="preserve"> that an A</w:t>
      </w:r>
      <w:r w:rsidR="00090168" w:rsidRPr="00090168">
        <w:rPr>
          <w:sz w:val="22"/>
          <w:szCs w:val="22"/>
        </w:rPr>
        <w:t xml:space="preserve">rbitrator in </w:t>
      </w:r>
      <w:r w:rsidR="00090168">
        <w:rPr>
          <w:sz w:val="22"/>
          <w:szCs w:val="22"/>
        </w:rPr>
        <w:t xml:space="preserve">terms of </w:t>
      </w:r>
      <w:r w:rsidR="00090168" w:rsidRPr="00090168">
        <w:rPr>
          <w:sz w:val="22"/>
          <w:szCs w:val="22"/>
        </w:rPr>
        <w:t>section 12B(4)(a) has the power to make such</w:t>
      </w:r>
      <w:r w:rsidR="00090168">
        <w:rPr>
          <w:sz w:val="22"/>
          <w:szCs w:val="22"/>
        </w:rPr>
        <w:t xml:space="preserve"> an</w:t>
      </w:r>
      <w:r w:rsidR="00090168" w:rsidRPr="00090168">
        <w:rPr>
          <w:sz w:val="22"/>
          <w:szCs w:val="22"/>
        </w:rPr>
        <w:t xml:space="preserve"> award as he/she deems necessary to correct such practice</w:t>
      </w:r>
      <w:r w:rsidR="00D122CC">
        <w:rPr>
          <w:sz w:val="22"/>
          <w:szCs w:val="22"/>
        </w:rPr>
        <w:t xml:space="preserve">. </w:t>
      </w:r>
      <w:r w:rsidR="00090168">
        <w:rPr>
          <w:sz w:val="22"/>
          <w:szCs w:val="22"/>
        </w:rPr>
        <w:t xml:space="preserve"> </w:t>
      </w:r>
      <w:r w:rsidR="00691EF0" w:rsidRPr="00691EF0">
        <w:rPr>
          <w:sz w:val="22"/>
          <w:szCs w:val="22"/>
        </w:rPr>
        <w:t>The</w:t>
      </w:r>
      <w:r w:rsidR="006F5B6D">
        <w:rPr>
          <w:sz w:val="22"/>
          <w:szCs w:val="22"/>
        </w:rPr>
        <w:t xml:space="preserve"> High </w:t>
      </w:r>
      <w:r w:rsidR="00691EF0" w:rsidRPr="00691EF0">
        <w:rPr>
          <w:sz w:val="22"/>
          <w:szCs w:val="22"/>
        </w:rPr>
        <w:t xml:space="preserve">Court found that it </w:t>
      </w:r>
      <w:r w:rsidR="00BA4D41">
        <w:rPr>
          <w:sz w:val="22"/>
          <w:szCs w:val="22"/>
        </w:rPr>
        <w:t>would be</w:t>
      </w:r>
      <w:r w:rsidR="00691EF0" w:rsidRPr="00691EF0">
        <w:rPr>
          <w:sz w:val="22"/>
          <w:szCs w:val="22"/>
        </w:rPr>
        <w:t xml:space="preserve"> in the interests of justice </w:t>
      </w:r>
      <w:r w:rsidR="00BA4D41">
        <w:rPr>
          <w:sz w:val="22"/>
          <w:szCs w:val="22"/>
        </w:rPr>
        <w:t>for</w:t>
      </w:r>
      <w:r w:rsidR="00691EF0" w:rsidRPr="00691EF0">
        <w:rPr>
          <w:sz w:val="22"/>
          <w:szCs w:val="22"/>
        </w:rPr>
        <w:t xml:space="preserve"> the</w:t>
      </w:r>
      <w:r w:rsidR="002A0E10">
        <w:rPr>
          <w:sz w:val="22"/>
          <w:szCs w:val="22"/>
        </w:rPr>
        <w:t xml:space="preserve"> eviction</w:t>
      </w:r>
      <w:r w:rsidR="00691EF0" w:rsidRPr="00691EF0">
        <w:rPr>
          <w:sz w:val="22"/>
          <w:szCs w:val="22"/>
        </w:rPr>
        <w:t xml:space="preserve"> proceedings </w:t>
      </w:r>
      <w:r w:rsidR="00BA4D41">
        <w:rPr>
          <w:sz w:val="22"/>
          <w:szCs w:val="22"/>
        </w:rPr>
        <w:t>to be</w:t>
      </w:r>
      <w:r w:rsidR="00691EF0" w:rsidRPr="00691EF0">
        <w:rPr>
          <w:sz w:val="22"/>
          <w:szCs w:val="22"/>
        </w:rPr>
        <w:t xml:space="preserve"> stayed, pending the outcome of the referral by </w:t>
      </w:r>
      <w:r w:rsidR="002A0E10">
        <w:rPr>
          <w:sz w:val="22"/>
          <w:szCs w:val="22"/>
        </w:rPr>
        <w:t>Rissik</w:t>
      </w:r>
      <w:r w:rsidR="006F5B6D">
        <w:rPr>
          <w:sz w:val="22"/>
          <w:szCs w:val="22"/>
        </w:rPr>
        <w:t xml:space="preserve"> </w:t>
      </w:r>
      <w:r w:rsidR="00691EF0">
        <w:rPr>
          <w:sz w:val="22"/>
          <w:szCs w:val="22"/>
        </w:rPr>
        <w:t>Street</w:t>
      </w:r>
      <w:r w:rsidR="00691EF0" w:rsidRPr="00691EF0">
        <w:rPr>
          <w:sz w:val="22"/>
          <w:szCs w:val="22"/>
        </w:rPr>
        <w:t xml:space="preserve"> of the alleged unfair and/or unreasonable contractual practice to the Controller for determination</w:t>
      </w:r>
      <w:r w:rsidR="00C15A5F">
        <w:rPr>
          <w:sz w:val="22"/>
          <w:szCs w:val="22"/>
        </w:rPr>
        <w:t>.</w:t>
      </w:r>
      <w:r w:rsidR="002A0E10">
        <w:rPr>
          <w:sz w:val="22"/>
          <w:szCs w:val="22"/>
        </w:rPr>
        <w:t xml:space="preserve">  </w:t>
      </w:r>
      <w:r w:rsidR="002A0E10" w:rsidRPr="002A0E10">
        <w:rPr>
          <w:sz w:val="22"/>
          <w:szCs w:val="22"/>
        </w:rPr>
        <w:t xml:space="preserve">It also interdicted Engen from taking any steps that would adversely affect the operations of </w:t>
      </w:r>
      <w:r w:rsidR="006F5B6D">
        <w:rPr>
          <w:sz w:val="22"/>
          <w:szCs w:val="22"/>
        </w:rPr>
        <w:t>Rissik </w:t>
      </w:r>
      <w:r w:rsidR="002A0E10">
        <w:rPr>
          <w:sz w:val="22"/>
          <w:szCs w:val="22"/>
        </w:rPr>
        <w:t>Street</w:t>
      </w:r>
      <w:r w:rsidR="002A0E10" w:rsidRPr="002A0E10">
        <w:rPr>
          <w:sz w:val="22"/>
          <w:szCs w:val="22"/>
        </w:rPr>
        <w:t>, pending the final outcome of the process referred to the Controller.</w:t>
      </w:r>
    </w:p>
    <w:p w14:paraId="7541C5DF" w14:textId="77777777" w:rsidR="00090168" w:rsidRDefault="00090168" w:rsidP="004A50D8">
      <w:pPr>
        <w:rPr>
          <w:sz w:val="22"/>
          <w:szCs w:val="22"/>
        </w:rPr>
      </w:pPr>
    </w:p>
    <w:p w14:paraId="631FF03C" w14:textId="363A0611" w:rsidR="00856618" w:rsidRDefault="0020707A" w:rsidP="00377D84">
      <w:pPr>
        <w:rPr>
          <w:sz w:val="22"/>
          <w:szCs w:val="22"/>
        </w:rPr>
      </w:pPr>
      <w:r>
        <w:rPr>
          <w:sz w:val="22"/>
          <w:szCs w:val="22"/>
        </w:rPr>
        <w:t>Aggrieved by the High Court’s ruling</w:t>
      </w:r>
      <w:r w:rsidR="0071557D">
        <w:rPr>
          <w:sz w:val="22"/>
          <w:szCs w:val="22"/>
        </w:rPr>
        <w:t xml:space="preserve">, Engen approached the </w:t>
      </w:r>
      <w:r>
        <w:rPr>
          <w:sz w:val="22"/>
          <w:szCs w:val="22"/>
        </w:rPr>
        <w:t xml:space="preserve">Supreme Court of Appeal </w:t>
      </w:r>
      <w:r w:rsidR="0071557D">
        <w:rPr>
          <w:sz w:val="22"/>
          <w:szCs w:val="22"/>
        </w:rPr>
        <w:t xml:space="preserve">seeking to </w:t>
      </w:r>
      <w:r>
        <w:rPr>
          <w:sz w:val="22"/>
          <w:szCs w:val="22"/>
        </w:rPr>
        <w:t xml:space="preserve">appeal the High Court’s judgment and order.  </w:t>
      </w:r>
      <w:r w:rsidR="00856618" w:rsidRPr="00E43104">
        <w:rPr>
          <w:sz w:val="22"/>
          <w:szCs w:val="22"/>
        </w:rPr>
        <w:t>Engen challenged the findings of the High Court on various grounds.</w:t>
      </w:r>
      <w:r w:rsidR="00856618" w:rsidRPr="00856618">
        <w:rPr>
          <w:sz w:val="22"/>
          <w:szCs w:val="22"/>
        </w:rPr>
        <w:t xml:space="preserve">  The Supreme Court of Appeal found that it was not open for </w:t>
      </w:r>
      <w:r w:rsidR="006F5B6D">
        <w:rPr>
          <w:sz w:val="22"/>
          <w:szCs w:val="22"/>
        </w:rPr>
        <w:t>Rissik Street</w:t>
      </w:r>
      <w:r w:rsidR="00856618" w:rsidRPr="00856618">
        <w:rPr>
          <w:sz w:val="22"/>
          <w:szCs w:val="22"/>
        </w:rPr>
        <w:t xml:space="preserve"> to rely on the right to sell the business as a form of security against eviction.  It explained that the right to sell the business should be exercised during the currency of the lease.  </w:t>
      </w:r>
      <w:r w:rsidR="00377D84" w:rsidRPr="00377D84">
        <w:rPr>
          <w:sz w:val="22"/>
          <w:szCs w:val="22"/>
        </w:rPr>
        <w:t xml:space="preserve">The Supreme Court of Appeal found that the High Court’s exercise of its discretion to grant the stay of eviction proceedings was influenced by wrong principles and as such, it was entitled to interfere by setting aside the </w:t>
      </w:r>
      <w:r w:rsidR="00D122CC">
        <w:rPr>
          <w:sz w:val="22"/>
          <w:szCs w:val="22"/>
        </w:rPr>
        <w:t xml:space="preserve">High Court’s </w:t>
      </w:r>
      <w:r w:rsidR="00377D84" w:rsidRPr="00377D84">
        <w:rPr>
          <w:sz w:val="22"/>
          <w:szCs w:val="22"/>
        </w:rPr>
        <w:t xml:space="preserve">order. </w:t>
      </w:r>
      <w:r w:rsidR="00DE4B93">
        <w:rPr>
          <w:sz w:val="22"/>
          <w:szCs w:val="22"/>
        </w:rPr>
        <w:t xml:space="preserve"> </w:t>
      </w:r>
      <w:r w:rsidR="00377D84" w:rsidRPr="00377D84">
        <w:rPr>
          <w:sz w:val="22"/>
          <w:szCs w:val="22"/>
        </w:rPr>
        <w:t>Accordingly, the Supreme Court of Appeal upheld Engen’s appeal, set aside the High Court</w:t>
      </w:r>
      <w:r w:rsidR="00D122CC">
        <w:rPr>
          <w:sz w:val="22"/>
          <w:szCs w:val="22"/>
        </w:rPr>
        <w:t>’s order</w:t>
      </w:r>
      <w:r w:rsidR="00377D84" w:rsidRPr="00377D84">
        <w:rPr>
          <w:sz w:val="22"/>
          <w:szCs w:val="22"/>
        </w:rPr>
        <w:t xml:space="preserve"> and substituted it with an order dismissing </w:t>
      </w:r>
      <w:r w:rsidR="006F5B6D">
        <w:rPr>
          <w:sz w:val="22"/>
          <w:szCs w:val="22"/>
        </w:rPr>
        <w:t>Rissik Street’s</w:t>
      </w:r>
      <w:r w:rsidR="00377D84" w:rsidRPr="00377D84">
        <w:rPr>
          <w:sz w:val="22"/>
          <w:szCs w:val="22"/>
        </w:rPr>
        <w:t xml:space="preserve"> counter application.  </w:t>
      </w:r>
      <w:r w:rsidR="006F5B6D">
        <w:rPr>
          <w:sz w:val="22"/>
          <w:szCs w:val="22"/>
        </w:rPr>
        <w:t>Rissik Street was</w:t>
      </w:r>
      <w:r w:rsidR="00377D84" w:rsidRPr="00377D84">
        <w:rPr>
          <w:sz w:val="22"/>
          <w:szCs w:val="22"/>
        </w:rPr>
        <w:t xml:space="preserve"> ordered to vacate the premises within 30 days from the date its order.</w:t>
      </w:r>
    </w:p>
    <w:p w14:paraId="4A1F2484" w14:textId="58F5DF16" w:rsidR="00EE2E75" w:rsidRPr="00141E75" w:rsidRDefault="00EE2E75" w:rsidP="00EE2E75">
      <w:pPr>
        <w:rPr>
          <w:sz w:val="22"/>
          <w:szCs w:val="22"/>
          <w:highlight w:val="yellow"/>
        </w:rPr>
      </w:pPr>
    </w:p>
    <w:p w14:paraId="7E9B4A6E" w14:textId="492658ED" w:rsidR="00424450" w:rsidRDefault="006F5B6D" w:rsidP="00DE5133">
      <w:pPr>
        <w:rPr>
          <w:sz w:val="22"/>
          <w:szCs w:val="22"/>
        </w:rPr>
      </w:pPr>
      <w:r>
        <w:rPr>
          <w:sz w:val="22"/>
          <w:szCs w:val="22"/>
        </w:rPr>
        <w:lastRenderedPageBreak/>
        <w:t xml:space="preserve">Rissik Street approached the Constitutional Court seeking to appeal the Supreme Court of Appeal’s order upholding Engen’s appeal against the High Court’s order.  </w:t>
      </w:r>
      <w:r w:rsidR="005366DA" w:rsidRPr="00141E75">
        <w:rPr>
          <w:sz w:val="22"/>
          <w:szCs w:val="22"/>
        </w:rPr>
        <w:t>The pri</w:t>
      </w:r>
      <w:r w:rsidR="00047017">
        <w:rPr>
          <w:sz w:val="22"/>
          <w:szCs w:val="22"/>
        </w:rPr>
        <w:t>ncipal question</w:t>
      </w:r>
      <w:r w:rsidR="005366DA" w:rsidRPr="00141E75">
        <w:rPr>
          <w:sz w:val="22"/>
          <w:szCs w:val="22"/>
        </w:rPr>
        <w:t xml:space="preserve"> b</w:t>
      </w:r>
      <w:r>
        <w:rPr>
          <w:sz w:val="22"/>
          <w:szCs w:val="22"/>
        </w:rPr>
        <w:t>efore this</w:t>
      </w:r>
      <w:r w:rsidR="00CF4612" w:rsidRPr="00141E75">
        <w:rPr>
          <w:sz w:val="22"/>
          <w:szCs w:val="22"/>
        </w:rPr>
        <w:t xml:space="preserve"> Court</w:t>
      </w:r>
      <w:r w:rsidR="009928D3">
        <w:rPr>
          <w:sz w:val="22"/>
          <w:szCs w:val="22"/>
        </w:rPr>
        <w:t xml:space="preserve"> </w:t>
      </w:r>
      <w:r w:rsidR="00047017" w:rsidRPr="00047017">
        <w:rPr>
          <w:sz w:val="22"/>
          <w:szCs w:val="22"/>
        </w:rPr>
        <w:t>is</w:t>
      </w:r>
      <w:r w:rsidR="00047017">
        <w:rPr>
          <w:sz w:val="22"/>
          <w:szCs w:val="22"/>
        </w:rPr>
        <w:t>:</w:t>
      </w:r>
      <w:r w:rsidR="00047017" w:rsidRPr="00047017">
        <w:rPr>
          <w:sz w:val="22"/>
          <w:szCs w:val="22"/>
        </w:rPr>
        <w:t xml:space="preserve"> </w:t>
      </w:r>
      <w:r w:rsidR="00047017">
        <w:rPr>
          <w:sz w:val="22"/>
          <w:szCs w:val="22"/>
        </w:rPr>
        <w:t xml:space="preserve">under which </w:t>
      </w:r>
      <w:r w:rsidR="00047017" w:rsidRPr="00047017">
        <w:rPr>
          <w:sz w:val="22"/>
          <w:szCs w:val="22"/>
        </w:rPr>
        <w:t xml:space="preserve">circumstances </w:t>
      </w:r>
      <w:r w:rsidR="00047017">
        <w:rPr>
          <w:sz w:val="22"/>
          <w:szCs w:val="22"/>
        </w:rPr>
        <w:t>can</w:t>
      </w:r>
      <w:r w:rsidR="00047017" w:rsidRPr="00047017">
        <w:rPr>
          <w:sz w:val="22"/>
          <w:szCs w:val="22"/>
        </w:rPr>
        <w:t xml:space="preserve"> a s</w:t>
      </w:r>
      <w:r w:rsidR="00047017">
        <w:rPr>
          <w:sz w:val="22"/>
          <w:szCs w:val="22"/>
        </w:rPr>
        <w:t xml:space="preserve">tay of eviction proceedings </w:t>
      </w:r>
      <w:r w:rsidR="00047017" w:rsidRPr="00047017">
        <w:rPr>
          <w:sz w:val="22"/>
          <w:szCs w:val="22"/>
        </w:rPr>
        <w:t>be granted where a party has referred allegations of unfair and unreasonable contractual practices to arbitration u</w:t>
      </w:r>
      <w:r w:rsidR="00424450">
        <w:rPr>
          <w:sz w:val="22"/>
          <w:szCs w:val="22"/>
        </w:rPr>
        <w:t>nder section </w:t>
      </w:r>
      <w:r w:rsidR="00047017" w:rsidRPr="00047017">
        <w:rPr>
          <w:sz w:val="22"/>
          <w:szCs w:val="22"/>
        </w:rPr>
        <w:t>12B of the PPA</w:t>
      </w:r>
      <w:r w:rsidR="00047017">
        <w:rPr>
          <w:sz w:val="22"/>
          <w:szCs w:val="22"/>
        </w:rPr>
        <w:t>,</w:t>
      </w:r>
      <w:r w:rsidR="00047017" w:rsidRPr="00047017">
        <w:rPr>
          <w:sz w:val="22"/>
          <w:szCs w:val="22"/>
        </w:rPr>
        <w:t xml:space="preserve"> pending the outcome of arbitration processes in terms of the PPA</w:t>
      </w:r>
      <w:r w:rsidR="00C81425">
        <w:rPr>
          <w:sz w:val="22"/>
          <w:szCs w:val="22"/>
        </w:rPr>
        <w:t>?</w:t>
      </w:r>
    </w:p>
    <w:p w14:paraId="1578E8C5" w14:textId="77777777" w:rsidR="00424450" w:rsidRDefault="00424450" w:rsidP="00DE5133">
      <w:pPr>
        <w:rPr>
          <w:sz w:val="22"/>
          <w:szCs w:val="22"/>
        </w:rPr>
      </w:pPr>
    </w:p>
    <w:p w14:paraId="1D179E58" w14:textId="4E43AA2C" w:rsidR="00424450" w:rsidRDefault="00424450" w:rsidP="00DE5133">
      <w:pPr>
        <w:rPr>
          <w:sz w:val="22"/>
          <w:szCs w:val="22"/>
        </w:rPr>
      </w:pPr>
      <w:r>
        <w:rPr>
          <w:sz w:val="22"/>
          <w:szCs w:val="22"/>
        </w:rPr>
        <w:t>Rissik Street submits</w:t>
      </w:r>
      <w:r w:rsidR="00186A05">
        <w:rPr>
          <w:sz w:val="22"/>
          <w:szCs w:val="22"/>
        </w:rPr>
        <w:t xml:space="preserve"> that the jurisdiction of the Court is engaged </w:t>
      </w:r>
      <w:r w:rsidR="00C15A5F">
        <w:rPr>
          <w:sz w:val="22"/>
          <w:szCs w:val="22"/>
        </w:rPr>
        <w:t>as</w:t>
      </w:r>
      <w:r w:rsidR="00186A05">
        <w:rPr>
          <w:sz w:val="22"/>
          <w:szCs w:val="22"/>
        </w:rPr>
        <w:t xml:space="preserve"> the</w:t>
      </w:r>
      <w:r w:rsidR="00186A05" w:rsidRPr="00186A05">
        <w:rPr>
          <w:sz w:val="22"/>
          <w:szCs w:val="22"/>
        </w:rPr>
        <w:t xml:space="preserve"> application raises both constitutional matters as well as arguable points of law of general public importance</w:t>
      </w:r>
      <w:r w:rsidR="00186A05">
        <w:rPr>
          <w:sz w:val="22"/>
          <w:szCs w:val="22"/>
        </w:rPr>
        <w:t xml:space="preserve"> – the latter </w:t>
      </w:r>
      <w:r w:rsidR="009928D3">
        <w:rPr>
          <w:sz w:val="22"/>
          <w:szCs w:val="22"/>
        </w:rPr>
        <w:t>being reflected in the principal</w:t>
      </w:r>
      <w:r>
        <w:rPr>
          <w:sz w:val="22"/>
          <w:szCs w:val="22"/>
        </w:rPr>
        <w:t xml:space="preserve"> question</w:t>
      </w:r>
      <w:r w:rsidR="00186A05">
        <w:rPr>
          <w:sz w:val="22"/>
          <w:szCs w:val="22"/>
        </w:rPr>
        <w:t xml:space="preserve"> before the Court.  </w:t>
      </w:r>
      <w:r>
        <w:rPr>
          <w:sz w:val="22"/>
          <w:szCs w:val="22"/>
        </w:rPr>
        <w:t>Rissik Street argues that the Supreme</w:t>
      </w:r>
      <w:r w:rsidR="00C81425">
        <w:rPr>
          <w:sz w:val="22"/>
          <w:szCs w:val="22"/>
        </w:rPr>
        <w:t> Court </w:t>
      </w:r>
      <w:r>
        <w:rPr>
          <w:sz w:val="22"/>
          <w:szCs w:val="22"/>
        </w:rPr>
        <w:t>of</w:t>
      </w:r>
      <w:r w:rsidR="00C81425">
        <w:rPr>
          <w:sz w:val="22"/>
          <w:szCs w:val="22"/>
        </w:rPr>
        <w:t> </w:t>
      </w:r>
      <w:r>
        <w:rPr>
          <w:sz w:val="22"/>
          <w:szCs w:val="22"/>
        </w:rPr>
        <w:t xml:space="preserve">Appeal’s findings were </w:t>
      </w:r>
      <w:r w:rsidR="004D5C56">
        <w:rPr>
          <w:sz w:val="22"/>
          <w:szCs w:val="22"/>
        </w:rPr>
        <w:t xml:space="preserve">flawed in two respects. </w:t>
      </w:r>
      <w:r w:rsidR="002A21D5">
        <w:rPr>
          <w:sz w:val="22"/>
          <w:szCs w:val="22"/>
        </w:rPr>
        <w:t xml:space="preserve"> </w:t>
      </w:r>
      <w:r w:rsidR="004D5C56">
        <w:rPr>
          <w:sz w:val="22"/>
          <w:szCs w:val="22"/>
        </w:rPr>
        <w:t>Firstly</w:t>
      </w:r>
      <w:r w:rsidR="00C81425">
        <w:rPr>
          <w:sz w:val="22"/>
          <w:szCs w:val="22"/>
        </w:rPr>
        <w:t xml:space="preserve">, the </w:t>
      </w:r>
      <w:r>
        <w:rPr>
          <w:sz w:val="22"/>
          <w:szCs w:val="22"/>
        </w:rPr>
        <w:t>propositi</w:t>
      </w:r>
      <w:r w:rsidR="004D5C56">
        <w:rPr>
          <w:sz w:val="22"/>
          <w:szCs w:val="22"/>
        </w:rPr>
        <w:t xml:space="preserve">on that </w:t>
      </w:r>
      <w:r>
        <w:rPr>
          <w:sz w:val="22"/>
          <w:szCs w:val="22"/>
        </w:rPr>
        <w:t xml:space="preserve">the </w:t>
      </w:r>
      <w:r w:rsidR="004D5C56">
        <w:rPr>
          <w:sz w:val="22"/>
          <w:szCs w:val="22"/>
        </w:rPr>
        <w:t xml:space="preserve">relief sought by Rissik Street to extend </w:t>
      </w:r>
      <w:r>
        <w:rPr>
          <w:sz w:val="22"/>
          <w:szCs w:val="22"/>
        </w:rPr>
        <w:t xml:space="preserve">the operating lease was not specified in </w:t>
      </w:r>
      <w:r w:rsidR="004D5C56">
        <w:rPr>
          <w:sz w:val="22"/>
          <w:szCs w:val="22"/>
        </w:rPr>
        <w:t xml:space="preserve">the </w:t>
      </w:r>
      <w:r>
        <w:rPr>
          <w:sz w:val="22"/>
          <w:szCs w:val="22"/>
        </w:rPr>
        <w:t xml:space="preserve">request to the Controller </w:t>
      </w:r>
      <w:r w:rsidR="004D5C56">
        <w:rPr>
          <w:sz w:val="22"/>
          <w:szCs w:val="22"/>
        </w:rPr>
        <w:t>and could therefore not be considered by the Arbitrator was flawed in that it contradicted the Constitutional</w:t>
      </w:r>
      <w:r w:rsidR="00C81425">
        <w:rPr>
          <w:sz w:val="22"/>
          <w:szCs w:val="22"/>
        </w:rPr>
        <w:t> </w:t>
      </w:r>
      <w:r w:rsidR="004D5C56">
        <w:rPr>
          <w:sz w:val="22"/>
          <w:szCs w:val="22"/>
        </w:rPr>
        <w:t xml:space="preserve">Court’s findings in </w:t>
      </w:r>
      <w:r w:rsidR="004D5C56" w:rsidRPr="002A1C7B">
        <w:rPr>
          <w:i/>
          <w:sz w:val="22"/>
          <w:szCs w:val="22"/>
        </w:rPr>
        <w:t xml:space="preserve">Business Zone CC </w:t>
      </w:r>
      <w:r w:rsidR="004D5C56" w:rsidRPr="00C81425">
        <w:rPr>
          <w:sz w:val="22"/>
          <w:szCs w:val="22"/>
        </w:rPr>
        <w:t xml:space="preserve">and </w:t>
      </w:r>
      <w:r w:rsidR="002A1C7B" w:rsidRPr="002A1C7B">
        <w:rPr>
          <w:i/>
          <w:sz w:val="22"/>
          <w:szCs w:val="22"/>
        </w:rPr>
        <w:t>Crompton Street Motors CC t/a Wallers Garage Service Station v Bright</w:t>
      </w:r>
      <w:r w:rsidR="002A21D5">
        <w:rPr>
          <w:i/>
          <w:sz w:val="22"/>
          <w:szCs w:val="22"/>
        </w:rPr>
        <w:t> </w:t>
      </w:r>
      <w:r w:rsidR="002A1C7B" w:rsidRPr="002A1C7B">
        <w:rPr>
          <w:i/>
          <w:sz w:val="22"/>
          <w:szCs w:val="22"/>
        </w:rPr>
        <w:t xml:space="preserve">Idea Projects 66 (Pty) Ltd </w:t>
      </w:r>
      <w:r w:rsidR="002A1C7B" w:rsidRPr="00C81425">
        <w:rPr>
          <w:sz w:val="22"/>
          <w:szCs w:val="22"/>
        </w:rPr>
        <w:t>(</w:t>
      </w:r>
      <w:r w:rsidR="002A1C7B" w:rsidRPr="002A1C7B">
        <w:rPr>
          <w:i/>
          <w:sz w:val="22"/>
          <w:szCs w:val="22"/>
        </w:rPr>
        <w:t>Crompton</w:t>
      </w:r>
      <w:r w:rsidR="002A1C7B" w:rsidRPr="00C81425">
        <w:rPr>
          <w:sz w:val="22"/>
          <w:szCs w:val="22"/>
        </w:rPr>
        <w:t>)</w:t>
      </w:r>
      <w:r w:rsidR="004D5C56" w:rsidRPr="00C81425">
        <w:rPr>
          <w:sz w:val="22"/>
          <w:szCs w:val="22"/>
        </w:rPr>
        <w:t xml:space="preserve">.  </w:t>
      </w:r>
      <w:r w:rsidR="004D5C56" w:rsidRPr="004D5C56">
        <w:rPr>
          <w:sz w:val="22"/>
          <w:szCs w:val="22"/>
        </w:rPr>
        <w:t>Rissik Street argued that</w:t>
      </w:r>
      <w:r w:rsidR="004D5C56">
        <w:rPr>
          <w:sz w:val="22"/>
          <w:szCs w:val="22"/>
        </w:rPr>
        <w:t xml:space="preserve"> in these matters it was held that section</w:t>
      </w:r>
      <w:r w:rsidR="002A21D5">
        <w:rPr>
          <w:sz w:val="22"/>
          <w:szCs w:val="22"/>
        </w:rPr>
        <w:t> </w:t>
      </w:r>
      <w:r w:rsidR="004D5C56">
        <w:rPr>
          <w:sz w:val="22"/>
          <w:szCs w:val="22"/>
        </w:rPr>
        <w:t xml:space="preserve">12B of the PPA grants the Arbitrator </w:t>
      </w:r>
      <w:r w:rsidR="004D5C56" w:rsidRPr="004D5C56">
        <w:rPr>
          <w:sz w:val="22"/>
          <w:szCs w:val="22"/>
        </w:rPr>
        <w:t>“wide remedial powers” to make a reward that he/she “d</w:t>
      </w:r>
      <w:r w:rsidR="004D5C56">
        <w:rPr>
          <w:sz w:val="22"/>
          <w:szCs w:val="22"/>
        </w:rPr>
        <w:t>eems necessary” to “correct”</w:t>
      </w:r>
      <w:r w:rsidR="004D5C56" w:rsidRPr="004D5C56">
        <w:rPr>
          <w:sz w:val="22"/>
          <w:szCs w:val="22"/>
        </w:rPr>
        <w:t xml:space="preserve"> </w:t>
      </w:r>
      <w:r w:rsidR="004D5C56">
        <w:rPr>
          <w:sz w:val="22"/>
          <w:szCs w:val="22"/>
        </w:rPr>
        <w:t>“</w:t>
      </w:r>
      <w:r w:rsidR="004D5C56" w:rsidRPr="004D5C56">
        <w:rPr>
          <w:sz w:val="22"/>
          <w:szCs w:val="22"/>
        </w:rPr>
        <w:t>unfair or unreasonable</w:t>
      </w:r>
      <w:r w:rsidR="004D5C56">
        <w:rPr>
          <w:sz w:val="22"/>
          <w:szCs w:val="22"/>
        </w:rPr>
        <w:t>”</w:t>
      </w:r>
      <w:r w:rsidR="004D5C56" w:rsidRPr="004D5C56">
        <w:rPr>
          <w:sz w:val="22"/>
          <w:szCs w:val="22"/>
        </w:rPr>
        <w:t xml:space="preserve"> practice.</w:t>
      </w:r>
      <w:r w:rsidR="004D5C56">
        <w:rPr>
          <w:sz w:val="22"/>
          <w:szCs w:val="22"/>
        </w:rPr>
        <w:t xml:space="preserve"> </w:t>
      </w:r>
      <w:r w:rsidR="004D5C56" w:rsidRPr="004D5C56">
        <w:rPr>
          <w:sz w:val="22"/>
          <w:szCs w:val="22"/>
        </w:rPr>
        <w:t xml:space="preserve"> </w:t>
      </w:r>
      <w:r w:rsidR="004D5C56">
        <w:rPr>
          <w:sz w:val="22"/>
          <w:szCs w:val="22"/>
        </w:rPr>
        <w:t xml:space="preserve">It was further held that </w:t>
      </w:r>
      <w:r w:rsidR="004D5C56" w:rsidRPr="004D5C56">
        <w:rPr>
          <w:sz w:val="22"/>
          <w:szCs w:val="22"/>
        </w:rPr>
        <w:t xml:space="preserve">the </w:t>
      </w:r>
      <w:r w:rsidR="004D5C56">
        <w:rPr>
          <w:sz w:val="22"/>
          <w:szCs w:val="22"/>
        </w:rPr>
        <w:t xml:space="preserve">equitable standard that section 12B </w:t>
      </w:r>
      <w:r w:rsidR="002D194D">
        <w:rPr>
          <w:sz w:val="22"/>
          <w:szCs w:val="22"/>
        </w:rPr>
        <w:t>imposes,</w:t>
      </w:r>
      <w:r w:rsidR="004D5C56" w:rsidRPr="004D5C56">
        <w:rPr>
          <w:sz w:val="22"/>
          <w:szCs w:val="22"/>
        </w:rPr>
        <w:t xml:space="preserve"> “overrides the terms of their contract to ensure that fairness and reasonableness prevail”</w:t>
      </w:r>
      <w:r w:rsidR="002D194D">
        <w:rPr>
          <w:sz w:val="22"/>
          <w:szCs w:val="22"/>
        </w:rPr>
        <w:t xml:space="preserve"> and lastly that the </w:t>
      </w:r>
      <w:r w:rsidR="002D194D" w:rsidRPr="002D194D">
        <w:rPr>
          <w:sz w:val="22"/>
          <w:szCs w:val="22"/>
        </w:rPr>
        <w:t>purpose of the introduction of section</w:t>
      </w:r>
      <w:r w:rsidR="002A21D5">
        <w:rPr>
          <w:sz w:val="22"/>
          <w:szCs w:val="22"/>
        </w:rPr>
        <w:t> </w:t>
      </w:r>
      <w:r w:rsidR="002D194D" w:rsidRPr="002D194D">
        <w:rPr>
          <w:sz w:val="22"/>
          <w:szCs w:val="22"/>
        </w:rPr>
        <w:t xml:space="preserve">12B is to promote transformation in the petroleum industry, which includes addressing the unequal bargaining power </w:t>
      </w:r>
      <w:r w:rsidR="00C81425">
        <w:rPr>
          <w:sz w:val="22"/>
          <w:szCs w:val="22"/>
        </w:rPr>
        <w:t xml:space="preserve">of </w:t>
      </w:r>
      <w:r w:rsidR="002D194D" w:rsidRPr="002D194D">
        <w:rPr>
          <w:sz w:val="22"/>
          <w:szCs w:val="22"/>
        </w:rPr>
        <w:t xml:space="preserve">fuel wholesalers and suppliers.  </w:t>
      </w:r>
      <w:r w:rsidR="002D194D">
        <w:rPr>
          <w:sz w:val="22"/>
          <w:szCs w:val="22"/>
        </w:rPr>
        <w:t>Rissik Street</w:t>
      </w:r>
      <w:r w:rsidR="002D194D" w:rsidRPr="002D194D">
        <w:rPr>
          <w:sz w:val="22"/>
          <w:szCs w:val="22"/>
        </w:rPr>
        <w:t xml:space="preserve"> submit</w:t>
      </w:r>
      <w:r w:rsidR="002D194D">
        <w:rPr>
          <w:sz w:val="22"/>
          <w:szCs w:val="22"/>
        </w:rPr>
        <w:t>s</w:t>
      </w:r>
      <w:r w:rsidR="002D194D" w:rsidRPr="002D194D">
        <w:rPr>
          <w:sz w:val="22"/>
          <w:szCs w:val="22"/>
        </w:rPr>
        <w:t xml:space="preserve"> that the PPA only requires that the party alleges unfair or unreasonable practices, and that the </w:t>
      </w:r>
      <w:r w:rsidR="002D194D">
        <w:rPr>
          <w:sz w:val="22"/>
          <w:szCs w:val="22"/>
        </w:rPr>
        <w:t>A</w:t>
      </w:r>
      <w:r w:rsidR="002D194D" w:rsidRPr="002D194D">
        <w:rPr>
          <w:sz w:val="22"/>
          <w:szCs w:val="22"/>
        </w:rPr>
        <w:t xml:space="preserve">rbitrator should then make an award he/she </w:t>
      </w:r>
      <w:r w:rsidR="00C81425">
        <w:rPr>
          <w:sz w:val="22"/>
          <w:szCs w:val="22"/>
        </w:rPr>
        <w:t>deems necessary to correct it.</w:t>
      </w:r>
      <w:r w:rsidR="004D5C56" w:rsidRPr="004D5C56">
        <w:rPr>
          <w:sz w:val="22"/>
          <w:szCs w:val="22"/>
        </w:rPr>
        <w:t xml:space="preserve">  </w:t>
      </w:r>
      <w:r w:rsidR="00AF6E99">
        <w:rPr>
          <w:sz w:val="22"/>
          <w:szCs w:val="22"/>
        </w:rPr>
        <w:t>Secondly, the Supreme Court of Appeal’s proposition that the reinstatement of the operating lease is not a competent remedy under section12B of the PPA, is held by Rissik</w:t>
      </w:r>
      <w:r w:rsidR="00C81425">
        <w:rPr>
          <w:sz w:val="22"/>
          <w:szCs w:val="22"/>
        </w:rPr>
        <w:t> </w:t>
      </w:r>
      <w:r w:rsidR="00AF6E99">
        <w:rPr>
          <w:sz w:val="22"/>
          <w:szCs w:val="22"/>
        </w:rPr>
        <w:t>Street to be flawed as</w:t>
      </w:r>
      <w:r w:rsidR="004D5C56">
        <w:rPr>
          <w:sz w:val="22"/>
          <w:szCs w:val="22"/>
        </w:rPr>
        <w:t xml:space="preserve"> </w:t>
      </w:r>
      <w:r w:rsidR="00AF6E99" w:rsidRPr="00AF6E99">
        <w:rPr>
          <w:sz w:val="22"/>
          <w:szCs w:val="22"/>
        </w:rPr>
        <w:t>the text and purpose of section</w:t>
      </w:r>
      <w:r w:rsidR="00AF6E99">
        <w:rPr>
          <w:sz w:val="22"/>
          <w:szCs w:val="22"/>
        </w:rPr>
        <w:t> 12B</w:t>
      </w:r>
      <w:r w:rsidR="00AF6E99" w:rsidRPr="00AF6E99">
        <w:rPr>
          <w:sz w:val="22"/>
          <w:szCs w:val="22"/>
        </w:rPr>
        <w:t xml:space="preserve"> does not support </w:t>
      </w:r>
      <w:r w:rsidR="00D122CC">
        <w:rPr>
          <w:sz w:val="22"/>
          <w:szCs w:val="22"/>
        </w:rPr>
        <w:t xml:space="preserve">this </w:t>
      </w:r>
      <w:r w:rsidR="00AF6E99" w:rsidRPr="00AF6E99">
        <w:rPr>
          <w:sz w:val="22"/>
          <w:szCs w:val="22"/>
        </w:rPr>
        <w:t>assertion</w:t>
      </w:r>
      <w:r w:rsidR="00AF6E99">
        <w:rPr>
          <w:sz w:val="22"/>
          <w:szCs w:val="22"/>
        </w:rPr>
        <w:t>.  Rissik</w:t>
      </w:r>
      <w:r w:rsidR="00AE069B">
        <w:rPr>
          <w:sz w:val="22"/>
          <w:szCs w:val="22"/>
        </w:rPr>
        <w:t> </w:t>
      </w:r>
      <w:r w:rsidR="00AF6E99">
        <w:rPr>
          <w:sz w:val="22"/>
          <w:szCs w:val="22"/>
        </w:rPr>
        <w:t>Street</w:t>
      </w:r>
      <w:r w:rsidR="00AF6E99" w:rsidRPr="00AF6E99">
        <w:rPr>
          <w:sz w:val="22"/>
          <w:szCs w:val="22"/>
        </w:rPr>
        <w:t xml:space="preserve"> submit</w:t>
      </w:r>
      <w:r w:rsidR="00AF6E99">
        <w:rPr>
          <w:sz w:val="22"/>
          <w:szCs w:val="22"/>
        </w:rPr>
        <w:t>s</w:t>
      </w:r>
      <w:r w:rsidR="00AF6E99" w:rsidRPr="00AF6E99">
        <w:rPr>
          <w:sz w:val="22"/>
          <w:szCs w:val="22"/>
        </w:rPr>
        <w:t xml:space="preserve"> that it does</w:t>
      </w:r>
      <w:r w:rsidR="00B106DA">
        <w:rPr>
          <w:sz w:val="22"/>
          <w:szCs w:val="22"/>
        </w:rPr>
        <w:t xml:space="preserve"> </w:t>
      </w:r>
      <w:r w:rsidR="00AF6E99" w:rsidRPr="00AF6E99">
        <w:rPr>
          <w:sz w:val="22"/>
          <w:szCs w:val="22"/>
        </w:rPr>
        <w:t xml:space="preserve">not seek relief by way of the reinstatement of the operating </w:t>
      </w:r>
      <w:r w:rsidR="00C15A5F">
        <w:rPr>
          <w:sz w:val="22"/>
          <w:szCs w:val="22"/>
        </w:rPr>
        <w:t>lease</w:t>
      </w:r>
      <w:r w:rsidR="00C15A5F" w:rsidRPr="00AF6E99">
        <w:rPr>
          <w:sz w:val="22"/>
          <w:szCs w:val="22"/>
        </w:rPr>
        <w:t xml:space="preserve"> </w:t>
      </w:r>
      <w:r w:rsidR="00AF6E99" w:rsidRPr="00AF6E99">
        <w:rPr>
          <w:sz w:val="22"/>
          <w:szCs w:val="22"/>
        </w:rPr>
        <w:t xml:space="preserve">but seeks relief that would put it in the same position </w:t>
      </w:r>
      <w:r w:rsidR="00C81425">
        <w:rPr>
          <w:sz w:val="22"/>
          <w:szCs w:val="22"/>
        </w:rPr>
        <w:t xml:space="preserve">had Engen not frustrated </w:t>
      </w:r>
      <w:r w:rsidR="00AF6E99">
        <w:rPr>
          <w:sz w:val="22"/>
          <w:szCs w:val="22"/>
        </w:rPr>
        <w:t>Rissik Street’s</w:t>
      </w:r>
      <w:r w:rsidR="00AF6E99" w:rsidRPr="00AF6E99">
        <w:rPr>
          <w:sz w:val="22"/>
          <w:szCs w:val="22"/>
        </w:rPr>
        <w:t xml:space="preserve"> right to sell the business.  Such relief would require </w:t>
      </w:r>
      <w:r w:rsidR="00AF6E99">
        <w:rPr>
          <w:sz w:val="22"/>
          <w:szCs w:val="22"/>
        </w:rPr>
        <w:t>Rissik Street</w:t>
      </w:r>
      <w:r w:rsidR="00AF6E99" w:rsidRPr="00AF6E99">
        <w:rPr>
          <w:sz w:val="22"/>
          <w:szCs w:val="22"/>
        </w:rPr>
        <w:t xml:space="preserve"> to remain in occupancy of the premises and have the temporary extension of the arrangements provided for in the operating lease</w:t>
      </w:r>
      <w:r w:rsidR="007374AC">
        <w:rPr>
          <w:sz w:val="22"/>
          <w:szCs w:val="22"/>
        </w:rPr>
        <w:t>.</w:t>
      </w:r>
    </w:p>
    <w:p w14:paraId="2409D645" w14:textId="727AEC2C" w:rsidR="00424450" w:rsidRDefault="00424450" w:rsidP="00DE5133">
      <w:pPr>
        <w:rPr>
          <w:sz w:val="22"/>
          <w:szCs w:val="22"/>
        </w:rPr>
      </w:pPr>
    </w:p>
    <w:p w14:paraId="651C8594" w14:textId="1022799D" w:rsidR="00BA36A8" w:rsidRPr="00141E75" w:rsidRDefault="00BA36A8" w:rsidP="00DE5133">
      <w:pPr>
        <w:rPr>
          <w:sz w:val="22"/>
          <w:szCs w:val="22"/>
        </w:rPr>
      </w:pPr>
      <w:r>
        <w:rPr>
          <w:sz w:val="22"/>
          <w:szCs w:val="22"/>
        </w:rPr>
        <w:t>The application is opposed by Engen</w:t>
      </w:r>
      <w:r w:rsidR="009928D3">
        <w:rPr>
          <w:sz w:val="22"/>
          <w:szCs w:val="22"/>
        </w:rPr>
        <w:t xml:space="preserve"> who</w:t>
      </w:r>
      <w:r>
        <w:rPr>
          <w:sz w:val="22"/>
          <w:szCs w:val="22"/>
        </w:rPr>
        <w:t xml:space="preserve"> </w:t>
      </w:r>
      <w:r w:rsidR="009928D3">
        <w:rPr>
          <w:sz w:val="22"/>
          <w:szCs w:val="22"/>
        </w:rPr>
        <w:t xml:space="preserve">seeks to have </w:t>
      </w:r>
      <w:r w:rsidR="00F73329">
        <w:rPr>
          <w:sz w:val="22"/>
          <w:szCs w:val="22"/>
        </w:rPr>
        <w:t xml:space="preserve">the </w:t>
      </w:r>
      <w:r w:rsidR="007374AC">
        <w:rPr>
          <w:sz w:val="22"/>
          <w:szCs w:val="22"/>
        </w:rPr>
        <w:t>or</w:t>
      </w:r>
      <w:r w:rsidR="00C81425">
        <w:rPr>
          <w:sz w:val="22"/>
          <w:szCs w:val="22"/>
        </w:rPr>
        <w:t xml:space="preserve">der by the Supreme Court of Appeal </w:t>
      </w:r>
      <w:r w:rsidR="007374AC">
        <w:rPr>
          <w:sz w:val="22"/>
          <w:szCs w:val="22"/>
        </w:rPr>
        <w:t>upheld</w:t>
      </w:r>
      <w:r>
        <w:rPr>
          <w:sz w:val="22"/>
          <w:szCs w:val="22"/>
        </w:rPr>
        <w:t xml:space="preserve">.  </w:t>
      </w:r>
      <w:r w:rsidR="00C45F10">
        <w:rPr>
          <w:sz w:val="22"/>
          <w:szCs w:val="22"/>
        </w:rPr>
        <w:t>In</w:t>
      </w:r>
      <w:r w:rsidR="009928D3">
        <w:rPr>
          <w:sz w:val="22"/>
          <w:szCs w:val="22"/>
        </w:rPr>
        <w:t xml:space="preserve"> interpreting section 12B(4)(a), </w:t>
      </w:r>
      <w:r w:rsidR="00F73329">
        <w:rPr>
          <w:sz w:val="22"/>
          <w:szCs w:val="22"/>
        </w:rPr>
        <w:t xml:space="preserve">Engen submits that </w:t>
      </w:r>
      <w:r w:rsidR="00C45F10">
        <w:rPr>
          <w:sz w:val="22"/>
          <w:szCs w:val="22"/>
        </w:rPr>
        <w:t xml:space="preserve">on </w:t>
      </w:r>
      <w:r w:rsidR="00C45F10" w:rsidRPr="00C45F10">
        <w:rPr>
          <w:sz w:val="22"/>
          <w:szCs w:val="22"/>
        </w:rPr>
        <w:t>an ordinary, grammatical reading of this section, read in the context of se</w:t>
      </w:r>
      <w:r w:rsidR="002A1C7B">
        <w:rPr>
          <w:sz w:val="22"/>
          <w:szCs w:val="22"/>
        </w:rPr>
        <w:t xml:space="preserve">ction 12B(1), </w:t>
      </w:r>
      <w:r w:rsidR="00C81425">
        <w:rPr>
          <w:sz w:val="22"/>
          <w:szCs w:val="22"/>
        </w:rPr>
        <w:t xml:space="preserve">provides that </w:t>
      </w:r>
      <w:r w:rsidR="002A1C7B">
        <w:rPr>
          <w:sz w:val="22"/>
          <w:szCs w:val="22"/>
        </w:rPr>
        <w:t>the scope of the A</w:t>
      </w:r>
      <w:r w:rsidR="00C45F10" w:rsidRPr="00C45F10">
        <w:rPr>
          <w:sz w:val="22"/>
          <w:szCs w:val="22"/>
        </w:rPr>
        <w:t>rbitrator’s remedial power extends to putting right the relationship between two contracting parties.</w:t>
      </w:r>
      <w:r w:rsidR="00C45F10">
        <w:rPr>
          <w:sz w:val="22"/>
          <w:szCs w:val="22"/>
        </w:rPr>
        <w:t xml:space="preserve">  </w:t>
      </w:r>
      <w:r w:rsidR="00BA4D41">
        <w:rPr>
          <w:sz w:val="22"/>
          <w:szCs w:val="22"/>
        </w:rPr>
        <w:t>W</w:t>
      </w:r>
      <w:r w:rsidR="00C45F10" w:rsidRPr="00C45F10">
        <w:rPr>
          <w:sz w:val="22"/>
          <w:szCs w:val="22"/>
        </w:rPr>
        <w:t>hen a right or duty is exercised or enforced in a way</w:t>
      </w:r>
      <w:r w:rsidR="00C45F10">
        <w:rPr>
          <w:sz w:val="22"/>
          <w:szCs w:val="22"/>
        </w:rPr>
        <w:t xml:space="preserve"> </w:t>
      </w:r>
      <w:r w:rsidR="00C45F10" w:rsidRPr="00C45F10">
        <w:rPr>
          <w:sz w:val="22"/>
          <w:szCs w:val="22"/>
        </w:rPr>
        <w:t>that is unfai</w:t>
      </w:r>
      <w:r w:rsidR="00C45F10">
        <w:rPr>
          <w:sz w:val="22"/>
          <w:szCs w:val="22"/>
        </w:rPr>
        <w:t>r or unreasonable, t</w:t>
      </w:r>
      <w:r w:rsidR="002A1C7B">
        <w:rPr>
          <w:sz w:val="22"/>
          <w:szCs w:val="22"/>
        </w:rPr>
        <w:t>he purpose of the A</w:t>
      </w:r>
      <w:r w:rsidR="00C45F10" w:rsidRPr="00C45F10">
        <w:rPr>
          <w:sz w:val="22"/>
          <w:szCs w:val="22"/>
        </w:rPr>
        <w:t>rbitrator’s remedial power is to correct that particular practice.</w:t>
      </w:r>
      <w:r w:rsidR="00C45F10">
        <w:rPr>
          <w:sz w:val="22"/>
          <w:szCs w:val="22"/>
        </w:rPr>
        <w:t xml:space="preserve">  It is Engen’s submission</w:t>
      </w:r>
      <w:r w:rsidR="00C45F10" w:rsidRPr="00C45F10">
        <w:rPr>
          <w:sz w:val="22"/>
          <w:szCs w:val="22"/>
        </w:rPr>
        <w:t xml:space="preserve"> that </w:t>
      </w:r>
      <w:r w:rsidR="007374AC" w:rsidRPr="007374AC">
        <w:rPr>
          <w:sz w:val="22"/>
          <w:szCs w:val="22"/>
        </w:rPr>
        <w:t xml:space="preserve">an award extending the tenure </w:t>
      </w:r>
      <w:r w:rsidR="00C45F10" w:rsidRPr="00C45F10">
        <w:rPr>
          <w:sz w:val="22"/>
          <w:szCs w:val="22"/>
        </w:rPr>
        <w:t>does not alter, let alone transform, the structure of the parties’ relationship when they exercise their righ</w:t>
      </w:r>
      <w:r w:rsidR="00C45F10">
        <w:rPr>
          <w:sz w:val="22"/>
          <w:szCs w:val="22"/>
        </w:rPr>
        <w:t>ts or carry out their duties – i</w:t>
      </w:r>
      <w:r w:rsidR="00C45F10" w:rsidRPr="00C45F10">
        <w:rPr>
          <w:sz w:val="22"/>
          <w:szCs w:val="22"/>
        </w:rPr>
        <w:t xml:space="preserve">t does not correct the practice </w:t>
      </w:r>
      <w:r w:rsidR="00E25B20">
        <w:rPr>
          <w:sz w:val="22"/>
          <w:szCs w:val="22"/>
        </w:rPr>
        <w:t>that has been submitted to the A</w:t>
      </w:r>
      <w:r w:rsidR="00C45F10" w:rsidRPr="00C45F10">
        <w:rPr>
          <w:sz w:val="22"/>
          <w:szCs w:val="22"/>
        </w:rPr>
        <w:t>rbi</w:t>
      </w:r>
      <w:r w:rsidR="00522844">
        <w:rPr>
          <w:sz w:val="22"/>
          <w:szCs w:val="22"/>
        </w:rPr>
        <w:t>trator.  T</w:t>
      </w:r>
      <w:r w:rsidR="00C45F10" w:rsidRPr="00C45F10">
        <w:rPr>
          <w:sz w:val="22"/>
          <w:szCs w:val="22"/>
        </w:rPr>
        <w:t>his interpretation</w:t>
      </w:r>
      <w:r w:rsidR="00522844">
        <w:rPr>
          <w:sz w:val="22"/>
          <w:szCs w:val="22"/>
        </w:rPr>
        <w:t>, as contended for by Engen,</w:t>
      </w:r>
      <w:r w:rsidR="00C45F10" w:rsidRPr="00C45F10">
        <w:rPr>
          <w:sz w:val="22"/>
          <w:szCs w:val="22"/>
        </w:rPr>
        <w:t xml:space="preserve"> is supported by the text of section</w:t>
      </w:r>
      <w:r w:rsidR="00430DA8">
        <w:rPr>
          <w:sz w:val="22"/>
          <w:szCs w:val="22"/>
        </w:rPr>
        <w:t xml:space="preserve"> </w:t>
      </w:r>
      <w:r w:rsidR="00C45F10" w:rsidRPr="00C45F10">
        <w:rPr>
          <w:sz w:val="22"/>
          <w:szCs w:val="22"/>
        </w:rPr>
        <w:t>12B, its underlying purpo</w:t>
      </w:r>
      <w:r w:rsidR="00C45F10">
        <w:rPr>
          <w:sz w:val="22"/>
          <w:szCs w:val="22"/>
        </w:rPr>
        <w:t xml:space="preserve">se, and the statutory context, and is </w:t>
      </w:r>
      <w:r w:rsidR="00C45F10" w:rsidRPr="00C45F10">
        <w:rPr>
          <w:sz w:val="22"/>
          <w:szCs w:val="22"/>
        </w:rPr>
        <w:t>also the interpretation which best gives effect to the spirit, purport and object of the Bill of Rights.</w:t>
      </w:r>
      <w:r w:rsidR="00C45F10">
        <w:rPr>
          <w:sz w:val="22"/>
          <w:szCs w:val="22"/>
        </w:rPr>
        <w:t xml:space="preserve">  </w:t>
      </w:r>
      <w:r w:rsidR="00522844">
        <w:rPr>
          <w:sz w:val="22"/>
          <w:szCs w:val="22"/>
        </w:rPr>
        <w:t>Accordingly, a</w:t>
      </w:r>
      <w:r w:rsidR="00E25B20">
        <w:rPr>
          <w:sz w:val="22"/>
          <w:szCs w:val="22"/>
        </w:rPr>
        <w:t xml:space="preserve">n award extending the operating </w:t>
      </w:r>
      <w:r w:rsidR="00C15A5F">
        <w:rPr>
          <w:sz w:val="22"/>
          <w:szCs w:val="22"/>
        </w:rPr>
        <w:t xml:space="preserve">lease </w:t>
      </w:r>
      <w:r w:rsidR="00522844" w:rsidRPr="00522844">
        <w:rPr>
          <w:sz w:val="22"/>
          <w:szCs w:val="22"/>
        </w:rPr>
        <w:t>fails to realise the purpose of section</w:t>
      </w:r>
      <w:r w:rsidR="00430DA8">
        <w:rPr>
          <w:sz w:val="22"/>
          <w:szCs w:val="22"/>
        </w:rPr>
        <w:t> </w:t>
      </w:r>
      <w:r w:rsidR="00522844" w:rsidRPr="00522844">
        <w:rPr>
          <w:sz w:val="22"/>
          <w:szCs w:val="22"/>
        </w:rPr>
        <w:t>12B, which is to equalise power relations by correcting practices that materialise this inequality.</w:t>
      </w:r>
      <w:r w:rsidR="00522844">
        <w:rPr>
          <w:sz w:val="22"/>
          <w:szCs w:val="22"/>
        </w:rPr>
        <w:t xml:space="preserve">  Engen </w:t>
      </w:r>
      <w:r w:rsidR="00E25B20">
        <w:rPr>
          <w:sz w:val="22"/>
          <w:szCs w:val="22"/>
        </w:rPr>
        <w:t>further submits that the Supreme Court of Appeal was correct in its finding that the A</w:t>
      </w:r>
      <w:r w:rsidR="00E25B20" w:rsidRPr="00E25B20">
        <w:rPr>
          <w:sz w:val="22"/>
          <w:szCs w:val="22"/>
        </w:rPr>
        <w:t>rbitrator, as appointed under the provisions of section 12B of the PPA, does not have the jurisdiction nor the powers to determine an issue which has not been</w:t>
      </w:r>
      <w:r w:rsidR="00C81425">
        <w:rPr>
          <w:sz w:val="22"/>
          <w:szCs w:val="22"/>
        </w:rPr>
        <w:t xml:space="preserve"> specifically</w:t>
      </w:r>
      <w:r w:rsidR="00E25B20" w:rsidRPr="00E25B20">
        <w:rPr>
          <w:sz w:val="22"/>
          <w:szCs w:val="22"/>
        </w:rPr>
        <w:t xml:space="preserve"> cited in t</w:t>
      </w:r>
      <w:r w:rsidR="00E25B20">
        <w:rPr>
          <w:sz w:val="22"/>
          <w:szCs w:val="22"/>
        </w:rPr>
        <w:t>he request for referral to the C</w:t>
      </w:r>
      <w:r w:rsidR="00E25B20" w:rsidRPr="00E25B20">
        <w:rPr>
          <w:sz w:val="22"/>
          <w:szCs w:val="22"/>
        </w:rPr>
        <w:t>ontroller.</w:t>
      </w:r>
      <w:r w:rsidR="00FD2042" w:rsidRPr="00FD2042">
        <w:t xml:space="preserve"> </w:t>
      </w:r>
      <w:r w:rsidR="00FD2042">
        <w:rPr>
          <w:sz w:val="22"/>
          <w:szCs w:val="22"/>
        </w:rPr>
        <w:t xml:space="preserve"> </w:t>
      </w:r>
      <w:r w:rsidR="00BA4D41">
        <w:rPr>
          <w:sz w:val="22"/>
          <w:szCs w:val="22"/>
        </w:rPr>
        <w:t>It is submitted</w:t>
      </w:r>
      <w:r w:rsidR="00FD2042" w:rsidRPr="00FD2042">
        <w:rPr>
          <w:sz w:val="22"/>
          <w:szCs w:val="22"/>
        </w:rPr>
        <w:t xml:space="preserve"> that in exercising his/her remedial powers, </w:t>
      </w:r>
      <w:r w:rsidR="00FD2042">
        <w:rPr>
          <w:sz w:val="22"/>
          <w:szCs w:val="22"/>
        </w:rPr>
        <w:t>the A</w:t>
      </w:r>
      <w:r w:rsidR="00FD2042" w:rsidRPr="00FD2042">
        <w:rPr>
          <w:sz w:val="22"/>
          <w:szCs w:val="22"/>
        </w:rPr>
        <w:t>rbitrator is not empowered to award an extension of tenure, where the operating lease has terminated through the effluxion of time</w:t>
      </w:r>
      <w:r w:rsidR="00FD2042">
        <w:rPr>
          <w:sz w:val="22"/>
          <w:szCs w:val="22"/>
        </w:rPr>
        <w:t xml:space="preserve"> as this would amount to creating a contract on behalf of the parties</w:t>
      </w:r>
      <w:r w:rsidR="00C81425">
        <w:rPr>
          <w:sz w:val="22"/>
          <w:szCs w:val="22"/>
        </w:rPr>
        <w:t>,</w:t>
      </w:r>
      <w:r w:rsidR="00FD2042">
        <w:rPr>
          <w:sz w:val="22"/>
          <w:szCs w:val="22"/>
        </w:rPr>
        <w:t xml:space="preserve"> which is contrary to the right to freedom of contract afforded to parties.  Engen argues such an award would be unlawful.</w:t>
      </w:r>
    </w:p>
    <w:sectPr w:rsidR="00BA36A8" w:rsidRPr="00141E75" w:rsidSect="009F0F46">
      <w:pgSz w:w="12240" w:h="15840"/>
      <w:pgMar w:top="1440" w:right="1800" w:bottom="1276" w:left="180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0439A72" w14:textId="77777777" w:rsidR="0074393B" w:rsidRDefault="0074393B" w:rsidP="00B32119">
      <w:r>
        <w:separator/>
      </w:r>
    </w:p>
  </w:endnote>
  <w:endnote w:type="continuationSeparator" w:id="0">
    <w:p w14:paraId="5E60BC74" w14:textId="77777777" w:rsidR="0074393B" w:rsidRDefault="0074393B" w:rsidP="00B3211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D1B88BA" w14:textId="77777777" w:rsidR="0074393B" w:rsidRDefault="0074393B" w:rsidP="00B32119">
      <w:r>
        <w:separator/>
      </w:r>
    </w:p>
  </w:footnote>
  <w:footnote w:type="continuationSeparator" w:id="0">
    <w:p w14:paraId="5A60AAF2" w14:textId="77777777" w:rsidR="0074393B" w:rsidRDefault="0074393B" w:rsidP="00B3211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E6D569F"/>
    <w:multiLevelType w:val="multilevel"/>
    <w:tmpl w:val="8C146660"/>
    <w:lvl w:ilvl="0">
      <w:start w:val="1"/>
      <w:numFmt w:val="decimal"/>
      <w:lvlText w:val="%1"/>
      <w:lvlJc w:val="left"/>
      <w:pPr>
        <w:tabs>
          <w:tab w:val="num" w:pos="720"/>
        </w:tabs>
        <w:ind w:left="720" w:hanging="720"/>
      </w:pPr>
      <w:rPr>
        <w:rFonts w:hint="default"/>
        <w:b w:val="0"/>
        <w:i w:val="0"/>
      </w:rPr>
    </w:lvl>
    <w:lvl w:ilvl="1">
      <w:start w:val="1"/>
      <w:numFmt w:val="decimal"/>
      <w:isLgl/>
      <w:lvlText w:val="%1.%2"/>
      <w:lvlJc w:val="left"/>
      <w:pPr>
        <w:tabs>
          <w:tab w:val="num" w:pos="1440"/>
        </w:tabs>
        <w:ind w:left="1440" w:hanging="720"/>
      </w:pPr>
      <w:rPr>
        <w:rFonts w:hint="default"/>
      </w:rPr>
    </w:lvl>
    <w:lvl w:ilvl="2">
      <w:start w:val="1"/>
      <w:numFmt w:val="decimal"/>
      <w:isLgl/>
      <w:lvlText w:val="%1.%2.%3"/>
      <w:lvlJc w:val="left"/>
      <w:pPr>
        <w:tabs>
          <w:tab w:val="num" w:pos="1800"/>
        </w:tabs>
        <w:ind w:left="1800" w:hanging="720"/>
      </w:pPr>
      <w:rPr>
        <w:rFonts w:hint="default"/>
      </w:rPr>
    </w:lvl>
    <w:lvl w:ilvl="3">
      <w:start w:val="1"/>
      <w:numFmt w:val="decimal"/>
      <w:isLgl/>
      <w:lvlText w:val="%1.%2.%3.%4"/>
      <w:lvlJc w:val="left"/>
      <w:pPr>
        <w:tabs>
          <w:tab w:val="num" w:pos="2520"/>
        </w:tabs>
        <w:ind w:left="2520" w:hanging="1080"/>
      </w:pPr>
      <w:rPr>
        <w:rFonts w:hint="default"/>
      </w:rPr>
    </w:lvl>
    <w:lvl w:ilvl="4">
      <w:start w:val="1"/>
      <w:numFmt w:val="decimal"/>
      <w:isLgl/>
      <w:lvlText w:val="%1.%2.%3.%4.%5"/>
      <w:lvlJc w:val="left"/>
      <w:pPr>
        <w:tabs>
          <w:tab w:val="num" w:pos="2880"/>
        </w:tabs>
        <w:ind w:left="2880" w:hanging="1080"/>
      </w:pPr>
      <w:rPr>
        <w:rFonts w:hint="default"/>
      </w:rPr>
    </w:lvl>
    <w:lvl w:ilvl="5">
      <w:start w:val="1"/>
      <w:numFmt w:val="decimal"/>
      <w:isLgl/>
      <w:lvlText w:val="%1.%2.%3.%4.%5.%6"/>
      <w:lvlJc w:val="left"/>
      <w:pPr>
        <w:tabs>
          <w:tab w:val="num" w:pos="3600"/>
        </w:tabs>
        <w:ind w:left="3600" w:hanging="1440"/>
      </w:pPr>
      <w:rPr>
        <w:rFonts w:hint="default"/>
      </w:rPr>
    </w:lvl>
    <w:lvl w:ilvl="6">
      <w:start w:val="1"/>
      <w:numFmt w:val="decimal"/>
      <w:isLgl/>
      <w:lvlText w:val="%1.%2.%3.%4.%5.%6.%7"/>
      <w:lvlJc w:val="left"/>
      <w:pPr>
        <w:tabs>
          <w:tab w:val="num" w:pos="3960"/>
        </w:tabs>
        <w:ind w:left="3960" w:hanging="1440"/>
      </w:pPr>
      <w:rPr>
        <w:rFonts w:hint="default"/>
      </w:rPr>
    </w:lvl>
    <w:lvl w:ilvl="7">
      <w:start w:val="1"/>
      <w:numFmt w:val="decimal"/>
      <w:isLgl/>
      <w:lvlText w:val="%1.%2.%3.%4.%5.%6.%7.%8"/>
      <w:lvlJc w:val="left"/>
      <w:pPr>
        <w:tabs>
          <w:tab w:val="num" w:pos="4680"/>
        </w:tabs>
        <w:ind w:left="4680" w:hanging="1800"/>
      </w:pPr>
      <w:rPr>
        <w:rFonts w:hint="default"/>
      </w:rPr>
    </w:lvl>
    <w:lvl w:ilvl="8">
      <w:start w:val="1"/>
      <w:numFmt w:val="decimal"/>
      <w:isLgl/>
      <w:lvlText w:val="%1.%2.%3.%4.%5.%6.%7.%8.%9"/>
      <w:lvlJc w:val="left"/>
      <w:pPr>
        <w:tabs>
          <w:tab w:val="num" w:pos="5040"/>
        </w:tabs>
        <w:ind w:left="5040" w:hanging="180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MTU3MzIzNjM2NjS0sDRU0lEKTi0uzszPAykwrAUAXx/XbiwAAAA="/>
  </w:docVars>
  <w:rsids>
    <w:rsidRoot w:val="009342A7"/>
    <w:rsid w:val="00006DE8"/>
    <w:rsid w:val="0001092A"/>
    <w:rsid w:val="00012C72"/>
    <w:rsid w:val="000152DC"/>
    <w:rsid w:val="00015637"/>
    <w:rsid w:val="00017302"/>
    <w:rsid w:val="000220FD"/>
    <w:rsid w:val="00023E79"/>
    <w:rsid w:val="00023FA7"/>
    <w:rsid w:val="0003383F"/>
    <w:rsid w:val="00042529"/>
    <w:rsid w:val="00044771"/>
    <w:rsid w:val="00047017"/>
    <w:rsid w:val="000548D7"/>
    <w:rsid w:val="00055B29"/>
    <w:rsid w:val="00062A56"/>
    <w:rsid w:val="00063BB4"/>
    <w:rsid w:val="00063D7D"/>
    <w:rsid w:val="000654B1"/>
    <w:rsid w:val="0007028D"/>
    <w:rsid w:val="00070E99"/>
    <w:rsid w:val="00071286"/>
    <w:rsid w:val="00076CBD"/>
    <w:rsid w:val="000806AE"/>
    <w:rsid w:val="00080C42"/>
    <w:rsid w:val="00090168"/>
    <w:rsid w:val="0009089C"/>
    <w:rsid w:val="00091F8C"/>
    <w:rsid w:val="00093CD0"/>
    <w:rsid w:val="00093E39"/>
    <w:rsid w:val="00094E7C"/>
    <w:rsid w:val="000965AF"/>
    <w:rsid w:val="000A2FE3"/>
    <w:rsid w:val="000A36D1"/>
    <w:rsid w:val="000A36F3"/>
    <w:rsid w:val="000A3E78"/>
    <w:rsid w:val="000B1629"/>
    <w:rsid w:val="000D0467"/>
    <w:rsid w:val="000D09EA"/>
    <w:rsid w:val="000D35AE"/>
    <w:rsid w:val="000E2D16"/>
    <w:rsid w:val="000E5D1B"/>
    <w:rsid w:val="000F505F"/>
    <w:rsid w:val="00100894"/>
    <w:rsid w:val="00100B8E"/>
    <w:rsid w:val="001012E7"/>
    <w:rsid w:val="00110C58"/>
    <w:rsid w:val="00113454"/>
    <w:rsid w:val="00117D6B"/>
    <w:rsid w:val="00122E3D"/>
    <w:rsid w:val="00125BE8"/>
    <w:rsid w:val="00141E75"/>
    <w:rsid w:val="001425DF"/>
    <w:rsid w:val="00143037"/>
    <w:rsid w:val="00145795"/>
    <w:rsid w:val="0015307D"/>
    <w:rsid w:val="001616D8"/>
    <w:rsid w:val="00172A2C"/>
    <w:rsid w:val="00177687"/>
    <w:rsid w:val="00181DF6"/>
    <w:rsid w:val="0018233B"/>
    <w:rsid w:val="00182534"/>
    <w:rsid w:val="00186A05"/>
    <w:rsid w:val="00194E27"/>
    <w:rsid w:val="001A204B"/>
    <w:rsid w:val="001A24C8"/>
    <w:rsid w:val="001C1FF7"/>
    <w:rsid w:val="001D55D4"/>
    <w:rsid w:val="001E31D8"/>
    <w:rsid w:val="001E57F4"/>
    <w:rsid w:val="001E5F5A"/>
    <w:rsid w:val="001E7604"/>
    <w:rsid w:val="00200AB8"/>
    <w:rsid w:val="00204002"/>
    <w:rsid w:val="0020707A"/>
    <w:rsid w:val="00212D2A"/>
    <w:rsid w:val="00213724"/>
    <w:rsid w:val="00214228"/>
    <w:rsid w:val="00215823"/>
    <w:rsid w:val="0022481B"/>
    <w:rsid w:val="00225092"/>
    <w:rsid w:val="002348C0"/>
    <w:rsid w:val="00234A3B"/>
    <w:rsid w:val="0023777A"/>
    <w:rsid w:val="002378CB"/>
    <w:rsid w:val="002435AB"/>
    <w:rsid w:val="00250C27"/>
    <w:rsid w:val="00253986"/>
    <w:rsid w:val="00253F18"/>
    <w:rsid w:val="002705A8"/>
    <w:rsid w:val="002715F6"/>
    <w:rsid w:val="0027251B"/>
    <w:rsid w:val="00282BC6"/>
    <w:rsid w:val="00283CA4"/>
    <w:rsid w:val="00286948"/>
    <w:rsid w:val="00294BBB"/>
    <w:rsid w:val="002A0E10"/>
    <w:rsid w:val="002A0ECD"/>
    <w:rsid w:val="002A1C7B"/>
    <w:rsid w:val="002A21D5"/>
    <w:rsid w:val="002B3E1A"/>
    <w:rsid w:val="002C237D"/>
    <w:rsid w:val="002C55AA"/>
    <w:rsid w:val="002C77FF"/>
    <w:rsid w:val="002D184B"/>
    <w:rsid w:val="002D194D"/>
    <w:rsid w:val="002D4415"/>
    <w:rsid w:val="002D7582"/>
    <w:rsid w:val="002E3C4F"/>
    <w:rsid w:val="002F0409"/>
    <w:rsid w:val="00305423"/>
    <w:rsid w:val="003123B8"/>
    <w:rsid w:val="0031792A"/>
    <w:rsid w:val="00323149"/>
    <w:rsid w:val="00323162"/>
    <w:rsid w:val="00323F9B"/>
    <w:rsid w:val="003255EA"/>
    <w:rsid w:val="0032682A"/>
    <w:rsid w:val="00331205"/>
    <w:rsid w:val="003313F6"/>
    <w:rsid w:val="00331A61"/>
    <w:rsid w:val="00334E0F"/>
    <w:rsid w:val="003371E6"/>
    <w:rsid w:val="0034274C"/>
    <w:rsid w:val="00343763"/>
    <w:rsid w:val="00357788"/>
    <w:rsid w:val="00365A5E"/>
    <w:rsid w:val="0037027B"/>
    <w:rsid w:val="003706CA"/>
    <w:rsid w:val="00371E1E"/>
    <w:rsid w:val="0037720A"/>
    <w:rsid w:val="00377D84"/>
    <w:rsid w:val="003807A5"/>
    <w:rsid w:val="003845A8"/>
    <w:rsid w:val="003850ED"/>
    <w:rsid w:val="00386254"/>
    <w:rsid w:val="003954AD"/>
    <w:rsid w:val="003974B8"/>
    <w:rsid w:val="003B2DF5"/>
    <w:rsid w:val="003B4484"/>
    <w:rsid w:val="003B73B4"/>
    <w:rsid w:val="003C40ED"/>
    <w:rsid w:val="003C47FD"/>
    <w:rsid w:val="003C5C34"/>
    <w:rsid w:val="003D1CF1"/>
    <w:rsid w:val="003D39FD"/>
    <w:rsid w:val="003D5128"/>
    <w:rsid w:val="003D56D9"/>
    <w:rsid w:val="003F0347"/>
    <w:rsid w:val="003F1959"/>
    <w:rsid w:val="003F3E2F"/>
    <w:rsid w:val="004036FB"/>
    <w:rsid w:val="004065B7"/>
    <w:rsid w:val="00410075"/>
    <w:rsid w:val="004173B2"/>
    <w:rsid w:val="00420491"/>
    <w:rsid w:val="004209BD"/>
    <w:rsid w:val="00424450"/>
    <w:rsid w:val="00426812"/>
    <w:rsid w:val="004302FD"/>
    <w:rsid w:val="00430A5A"/>
    <w:rsid w:val="00430C6F"/>
    <w:rsid w:val="00430DA8"/>
    <w:rsid w:val="004426F8"/>
    <w:rsid w:val="00443E51"/>
    <w:rsid w:val="00450ABB"/>
    <w:rsid w:val="00455279"/>
    <w:rsid w:val="00456688"/>
    <w:rsid w:val="00465BC1"/>
    <w:rsid w:val="00465BDB"/>
    <w:rsid w:val="004830F1"/>
    <w:rsid w:val="00490008"/>
    <w:rsid w:val="00490F2C"/>
    <w:rsid w:val="004937E5"/>
    <w:rsid w:val="004A1AEE"/>
    <w:rsid w:val="004A3AF5"/>
    <w:rsid w:val="004A50D8"/>
    <w:rsid w:val="004A7EFF"/>
    <w:rsid w:val="004C5AD8"/>
    <w:rsid w:val="004C7EF7"/>
    <w:rsid w:val="004D3B28"/>
    <w:rsid w:val="004D5C56"/>
    <w:rsid w:val="004D716D"/>
    <w:rsid w:val="004F20D1"/>
    <w:rsid w:val="004F5485"/>
    <w:rsid w:val="00502723"/>
    <w:rsid w:val="005038A1"/>
    <w:rsid w:val="00507D10"/>
    <w:rsid w:val="00511769"/>
    <w:rsid w:val="005138E9"/>
    <w:rsid w:val="005164AC"/>
    <w:rsid w:val="00522844"/>
    <w:rsid w:val="005248BC"/>
    <w:rsid w:val="00524F3A"/>
    <w:rsid w:val="005257B9"/>
    <w:rsid w:val="00526226"/>
    <w:rsid w:val="005275CE"/>
    <w:rsid w:val="005307A5"/>
    <w:rsid w:val="00532739"/>
    <w:rsid w:val="0053527E"/>
    <w:rsid w:val="005366DA"/>
    <w:rsid w:val="00537D15"/>
    <w:rsid w:val="00542C96"/>
    <w:rsid w:val="00556C67"/>
    <w:rsid w:val="00556F88"/>
    <w:rsid w:val="005705CE"/>
    <w:rsid w:val="00571CD9"/>
    <w:rsid w:val="00573AEA"/>
    <w:rsid w:val="00575456"/>
    <w:rsid w:val="00583B54"/>
    <w:rsid w:val="005851AB"/>
    <w:rsid w:val="0058759D"/>
    <w:rsid w:val="00587A53"/>
    <w:rsid w:val="00594B56"/>
    <w:rsid w:val="005967FC"/>
    <w:rsid w:val="005A6719"/>
    <w:rsid w:val="005B2F2F"/>
    <w:rsid w:val="005B51EB"/>
    <w:rsid w:val="005C0624"/>
    <w:rsid w:val="005C7764"/>
    <w:rsid w:val="005D1333"/>
    <w:rsid w:val="005D26E3"/>
    <w:rsid w:val="005D724E"/>
    <w:rsid w:val="005E1996"/>
    <w:rsid w:val="005E19A9"/>
    <w:rsid w:val="005E52AC"/>
    <w:rsid w:val="005E557D"/>
    <w:rsid w:val="005F322E"/>
    <w:rsid w:val="005F4022"/>
    <w:rsid w:val="005F456A"/>
    <w:rsid w:val="005F66C7"/>
    <w:rsid w:val="00603036"/>
    <w:rsid w:val="00604F16"/>
    <w:rsid w:val="00611DC5"/>
    <w:rsid w:val="00616848"/>
    <w:rsid w:val="006220AE"/>
    <w:rsid w:val="006242C5"/>
    <w:rsid w:val="00624FFE"/>
    <w:rsid w:val="006262B2"/>
    <w:rsid w:val="00626FA6"/>
    <w:rsid w:val="00627B15"/>
    <w:rsid w:val="00630AA9"/>
    <w:rsid w:val="00631927"/>
    <w:rsid w:val="00635E96"/>
    <w:rsid w:val="00642528"/>
    <w:rsid w:val="00647427"/>
    <w:rsid w:val="006474CE"/>
    <w:rsid w:val="006524D4"/>
    <w:rsid w:val="006543E3"/>
    <w:rsid w:val="00672DA7"/>
    <w:rsid w:val="006735C9"/>
    <w:rsid w:val="00674452"/>
    <w:rsid w:val="006749D6"/>
    <w:rsid w:val="00676CFE"/>
    <w:rsid w:val="00685C91"/>
    <w:rsid w:val="006864A4"/>
    <w:rsid w:val="006879F3"/>
    <w:rsid w:val="00691EF0"/>
    <w:rsid w:val="00692FF6"/>
    <w:rsid w:val="00694175"/>
    <w:rsid w:val="006966FC"/>
    <w:rsid w:val="006A0AF7"/>
    <w:rsid w:val="006A7FB5"/>
    <w:rsid w:val="006B3405"/>
    <w:rsid w:val="006B623D"/>
    <w:rsid w:val="006C2FE7"/>
    <w:rsid w:val="006C5D54"/>
    <w:rsid w:val="006E2952"/>
    <w:rsid w:val="006E31E6"/>
    <w:rsid w:val="006E4649"/>
    <w:rsid w:val="006E6A2F"/>
    <w:rsid w:val="006F29BF"/>
    <w:rsid w:val="006F5920"/>
    <w:rsid w:val="006F5B6D"/>
    <w:rsid w:val="00702C32"/>
    <w:rsid w:val="00706D5A"/>
    <w:rsid w:val="007106E2"/>
    <w:rsid w:val="00712458"/>
    <w:rsid w:val="0071557D"/>
    <w:rsid w:val="00716FAA"/>
    <w:rsid w:val="00720ACA"/>
    <w:rsid w:val="00722520"/>
    <w:rsid w:val="00722A4D"/>
    <w:rsid w:val="007374AC"/>
    <w:rsid w:val="0074393B"/>
    <w:rsid w:val="00746B37"/>
    <w:rsid w:val="00747234"/>
    <w:rsid w:val="00750F83"/>
    <w:rsid w:val="00752C8F"/>
    <w:rsid w:val="00754D6F"/>
    <w:rsid w:val="00757326"/>
    <w:rsid w:val="00762738"/>
    <w:rsid w:val="007659FF"/>
    <w:rsid w:val="00771C00"/>
    <w:rsid w:val="007746CE"/>
    <w:rsid w:val="00775169"/>
    <w:rsid w:val="00776DFE"/>
    <w:rsid w:val="00780477"/>
    <w:rsid w:val="00780874"/>
    <w:rsid w:val="0078535D"/>
    <w:rsid w:val="00797919"/>
    <w:rsid w:val="00797F90"/>
    <w:rsid w:val="007B7B41"/>
    <w:rsid w:val="007C18A4"/>
    <w:rsid w:val="007C65D9"/>
    <w:rsid w:val="007D003C"/>
    <w:rsid w:val="007D37A2"/>
    <w:rsid w:val="007D6DF5"/>
    <w:rsid w:val="007E61FC"/>
    <w:rsid w:val="007F0EF4"/>
    <w:rsid w:val="007F7DCD"/>
    <w:rsid w:val="00801124"/>
    <w:rsid w:val="00816AE4"/>
    <w:rsid w:val="0081741F"/>
    <w:rsid w:val="00823B02"/>
    <w:rsid w:val="00823BEA"/>
    <w:rsid w:val="00825AB9"/>
    <w:rsid w:val="0083215D"/>
    <w:rsid w:val="00834D25"/>
    <w:rsid w:val="008351C8"/>
    <w:rsid w:val="0084198C"/>
    <w:rsid w:val="008546B4"/>
    <w:rsid w:val="00856618"/>
    <w:rsid w:val="0086048D"/>
    <w:rsid w:val="008639AE"/>
    <w:rsid w:val="00866508"/>
    <w:rsid w:val="00866B6B"/>
    <w:rsid w:val="00867767"/>
    <w:rsid w:val="0087005B"/>
    <w:rsid w:val="00881D33"/>
    <w:rsid w:val="00882096"/>
    <w:rsid w:val="008839E8"/>
    <w:rsid w:val="00883D6C"/>
    <w:rsid w:val="008943E7"/>
    <w:rsid w:val="008A5FDC"/>
    <w:rsid w:val="008B1777"/>
    <w:rsid w:val="008B532D"/>
    <w:rsid w:val="008B661D"/>
    <w:rsid w:val="008B7AF4"/>
    <w:rsid w:val="008C3682"/>
    <w:rsid w:val="008D24BC"/>
    <w:rsid w:val="008D3D39"/>
    <w:rsid w:val="008D425E"/>
    <w:rsid w:val="008E54C8"/>
    <w:rsid w:val="008E6AAC"/>
    <w:rsid w:val="008F4B8F"/>
    <w:rsid w:val="0090690C"/>
    <w:rsid w:val="009077F4"/>
    <w:rsid w:val="00910F26"/>
    <w:rsid w:val="00911DB9"/>
    <w:rsid w:val="00914A5D"/>
    <w:rsid w:val="00922660"/>
    <w:rsid w:val="00933D59"/>
    <w:rsid w:val="0093415D"/>
    <w:rsid w:val="009342A7"/>
    <w:rsid w:val="009348E6"/>
    <w:rsid w:val="009544B2"/>
    <w:rsid w:val="0096072E"/>
    <w:rsid w:val="009642D7"/>
    <w:rsid w:val="00965AF2"/>
    <w:rsid w:val="00970CB9"/>
    <w:rsid w:val="009754CF"/>
    <w:rsid w:val="00982E4B"/>
    <w:rsid w:val="009928D3"/>
    <w:rsid w:val="00992CAE"/>
    <w:rsid w:val="009A21E9"/>
    <w:rsid w:val="009B4F3C"/>
    <w:rsid w:val="009B57AD"/>
    <w:rsid w:val="009B7D1B"/>
    <w:rsid w:val="009C3B50"/>
    <w:rsid w:val="009D67E9"/>
    <w:rsid w:val="009D7E25"/>
    <w:rsid w:val="009E4433"/>
    <w:rsid w:val="009E5C52"/>
    <w:rsid w:val="009E7D9D"/>
    <w:rsid w:val="009F0F46"/>
    <w:rsid w:val="009F2F14"/>
    <w:rsid w:val="00A0140F"/>
    <w:rsid w:val="00A142B7"/>
    <w:rsid w:val="00A22E04"/>
    <w:rsid w:val="00A32744"/>
    <w:rsid w:val="00A37027"/>
    <w:rsid w:val="00A47D4A"/>
    <w:rsid w:val="00A51C04"/>
    <w:rsid w:val="00A51E59"/>
    <w:rsid w:val="00A53C13"/>
    <w:rsid w:val="00A55B9B"/>
    <w:rsid w:val="00A718F6"/>
    <w:rsid w:val="00A81378"/>
    <w:rsid w:val="00A8571D"/>
    <w:rsid w:val="00A85FFD"/>
    <w:rsid w:val="00A875A1"/>
    <w:rsid w:val="00A93911"/>
    <w:rsid w:val="00A946F5"/>
    <w:rsid w:val="00AA0D1D"/>
    <w:rsid w:val="00AA17C0"/>
    <w:rsid w:val="00AA3378"/>
    <w:rsid w:val="00AA517A"/>
    <w:rsid w:val="00AC133D"/>
    <w:rsid w:val="00AC5170"/>
    <w:rsid w:val="00AC799A"/>
    <w:rsid w:val="00AD0EF0"/>
    <w:rsid w:val="00AD14A5"/>
    <w:rsid w:val="00AE069B"/>
    <w:rsid w:val="00AE4640"/>
    <w:rsid w:val="00AE79D9"/>
    <w:rsid w:val="00AF0A36"/>
    <w:rsid w:val="00AF4708"/>
    <w:rsid w:val="00AF67D4"/>
    <w:rsid w:val="00AF6E99"/>
    <w:rsid w:val="00B01EB4"/>
    <w:rsid w:val="00B03C3F"/>
    <w:rsid w:val="00B106DA"/>
    <w:rsid w:val="00B11399"/>
    <w:rsid w:val="00B113DA"/>
    <w:rsid w:val="00B125B5"/>
    <w:rsid w:val="00B16B75"/>
    <w:rsid w:val="00B2229F"/>
    <w:rsid w:val="00B22EA8"/>
    <w:rsid w:val="00B3177F"/>
    <w:rsid w:val="00B31B92"/>
    <w:rsid w:val="00B31E30"/>
    <w:rsid w:val="00B32119"/>
    <w:rsid w:val="00B32DC2"/>
    <w:rsid w:val="00B35A91"/>
    <w:rsid w:val="00B36F54"/>
    <w:rsid w:val="00B4092A"/>
    <w:rsid w:val="00B428BE"/>
    <w:rsid w:val="00B4658E"/>
    <w:rsid w:val="00B47EF9"/>
    <w:rsid w:val="00B62B8B"/>
    <w:rsid w:val="00B630F2"/>
    <w:rsid w:val="00B667D0"/>
    <w:rsid w:val="00B66D1F"/>
    <w:rsid w:val="00B71B72"/>
    <w:rsid w:val="00B75813"/>
    <w:rsid w:val="00B758E3"/>
    <w:rsid w:val="00B80F33"/>
    <w:rsid w:val="00B97560"/>
    <w:rsid w:val="00BA36A8"/>
    <w:rsid w:val="00BA4C52"/>
    <w:rsid w:val="00BA4D41"/>
    <w:rsid w:val="00BB1F1E"/>
    <w:rsid w:val="00BB378B"/>
    <w:rsid w:val="00BB4AE6"/>
    <w:rsid w:val="00BB7220"/>
    <w:rsid w:val="00BB7490"/>
    <w:rsid w:val="00BC2FB3"/>
    <w:rsid w:val="00BD2999"/>
    <w:rsid w:val="00BE3A2C"/>
    <w:rsid w:val="00BE6FBD"/>
    <w:rsid w:val="00BE7B6C"/>
    <w:rsid w:val="00BF0B33"/>
    <w:rsid w:val="00BF3D54"/>
    <w:rsid w:val="00BF7FF2"/>
    <w:rsid w:val="00C12733"/>
    <w:rsid w:val="00C140D4"/>
    <w:rsid w:val="00C14E9E"/>
    <w:rsid w:val="00C15790"/>
    <w:rsid w:val="00C15A5F"/>
    <w:rsid w:val="00C2201E"/>
    <w:rsid w:val="00C27574"/>
    <w:rsid w:val="00C30D22"/>
    <w:rsid w:val="00C43D8A"/>
    <w:rsid w:val="00C44D82"/>
    <w:rsid w:val="00C45F10"/>
    <w:rsid w:val="00C45F8A"/>
    <w:rsid w:val="00C47F29"/>
    <w:rsid w:val="00C51AFC"/>
    <w:rsid w:val="00C51D16"/>
    <w:rsid w:val="00C536E8"/>
    <w:rsid w:val="00C55305"/>
    <w:rsid w:val="00C55A66"/>
    <w:rsid w:val="00C616DF"/>
    <w:rsid w:val="00C70B69"/>
    <w:rsid w:val="00C772D9"/>
    <w:rsid w:val="00C81425"/>
    <w:rsid w:val="00C83020"/>
    <w:rsid w:val="00C85429"/>
    <w:rsid w:val="00C87CA3"/>
    <w:rsid w:val="00C94CD1"/>
    <w:rsid w:val="00C96321"/>
    <w:rsid w:val="00CA21ED"/>
    <w:rsid w:val="00CA458C"/>
    <w:rsid w:val="00CB2E3D"/>
    <w:rsid w:val="00CB5343"/>
    <w:rsid w:val="00CC615A"/>
    <w:rsid w:val="00CC7D4D"/>
    <w:rsid w:val="00CD4DBE"/>
    <w:rsid w:val="00CE1309"/>
    <w:rsid w:val="00CE23D4"/>
    <w:rsid w:val="00CE51A0"/>
    <w:rsid w:val="00CF4612"/>
    <w:rsid w:val="00CF76C9"/>
    <w:rsid w:val="00D10D70"/>
    <w:rsid w:val="00D122CC"/>
    <w:rsid w:val="00D12501"/>
    <w:rsid w:val="00D200E8"/>
    <w:rsid w:val="00D2249B"/>
    <w:rsid w:val="00D26882"/>
    <w:rsid w:val="00D276AF"/>
    <w:rsid w:val="00D356A3"/>
    <w:rsid w:val="00D37119"/>
    <w:rsid w:val="00D40819"/>
    <w:rsid w:val="00D46A11"/>
    <w:rsid w:val="00D4719E"/>
    <w:rsid w:val="00D47EF8"/>
    <w:rsid w:val="00D528F2"/>
    <w:rsid w:val="00D5335F"/>
    <w:rsid w:val="00D53F9A"/>
    <w:rsid w:val="00D553C8"/>
    <w:rsid w:val="00D634EE"/>
    <w:rsid w:val="00D64480"/>
    <w:rsid w:val="00D64E65"/>
    <w:rsid w:val="00D659C5"/>
    <w:rsid w:val="00D670FC"/>
    <w:rsid w:val="00D75397"/>
    <w:rsid w:val="00D75BA8"/>
    <w:rsid w:val="00D81F8F"/>
    <w:rsid w:val="00D824A4"/>
    <w:rsid w:val="00D86239"/>
    <w:rsid w:val="00DA1235"/>
    <w:rsid w:val="00DB011F"/>
    <w:rsid w:val="00DB12FA"/>
    <w:rsid w:val="00DB1A44"/>
    <w:rsid w:val="00DB1B31"/>
    <w:rsid w:val="00DB677B"/>
    <w:rsid w:val="00DC5CC1"/>
    <w:rsid w:val="00DC644F"/>
    <w:rsid w:val="00DD19AE"/>
    <w:rsid w:val="00DD3019"/>
    <w:rsid w:val="00DD4C57"/>
    <w:rsid w:val="00DD5682"/>
    <w:rsid w:val="00DE4B93"/>
    <w:rsid w:val="00DE5133"/>
    <w:rsid w:val="00DE7B41"/>
    <w:rsid w:val="00DF0C88"/>
    <w:rsid w:val="00E046C8"/>
    <w:rsid w:val="00E04FE7"/>
    <w:rsid w:val="00E07942"/>
    <w:rsid w:val="00E11E06"/>
    <w:rsid w:val="00E16435"/>
    <w:rsid w:val="00E17A92"/>
    <w:rsid w:val="00E2105F"/>
    <w:rsid w:val="00E21452"/>
    <w:rsid w:val="00E25B20"/>
    <w:rsid w:val="00E27310"/>
    <w:rsid w:val="00E3316F"/>
    <w:rsid w:val="00E43104"/>
    <w:rsid w:val="00E52FDA"/>
    <w:rsid w:val="00E53AE0"/>
    <w:rsid w:val="00E545EA"/>
    <w:rsid w:val="00E6053E"/>
    <w:rsid w:val="00E611E6"/>
    <w:rsid w:val="00E62044"/>
    <w:rsid w:val="00E64540"/>
    <w:rsid w:val="00E661EE"/>
    <w:rsid w:val="00E70F05"/>
    <w:rsid w:val="00E71A9E"/>
    <w:rsid w:val="00E736CB"/>
    <w:rsid w:val="00E73CE9"/>
    <w:rsid w:val="00E75952"/>
    <w:rsid w:val="00E8342B"/>
    <w:rsid w:val="00E905F5"/>
    <w:rsid w:val="00E93F86"/>
    <w:rsid w:val="00E97F73"/>
    <w:rsid w:val="00EA113C"/>
    <w:rsid w:val="00EB0F3B"/>
    <w:rsid w:val="00EB5124"/>
    <w:rsid w:val="00EC0F74"/>
    <w:rsid w:val="00EC30F9"/>
    <w:rsid w:val="00EC3DF4"/>
    <w:rsid w:val="00ED5B69"/>
    <w:rsid w:val="00EE10EC"/>
    <w:rsid w:val="00EE2E75"/>
    <w:rsid w:val="00EE5AC0"/>
    <w:rsid w:val="00EE7EF0"/>
    <w:rsid w:val="00EF6D83"/>
    <w:rsid w:val="00F02A0E"/>
    <w:rsid w:val="00F034BF"/>
    <w:rsid w:val="00F04568"/>
    <w:rsid w:val="00F04EC0"/>
    <w:rsid w:val="00F342BF"/>
    <w:rsid w:val="00F43565"/>
    <w:rsid w:val="00F43ADD"/>
    <w:rsid w:val="00F50679"/>
    <w:rsid w:val="00F5283F"/>
    <w:rsid w:val="00F52D12"/>
    <w:rsid w:val="00F55913"/>
    <w:rsid w:val="00F56833"/>
    <w:rsid w:val="00F70E31"/>
    <w:rsid w:val="00F73329"/>
    <w:rsid w:val="00F7354E"/>
    <w:rsid w:val="00F74A3C"/>
    <w:rsid w:val="00F77A10"/>
    <w:rsid w:val="00F83B5D"/>
    <w:rsid w:val="00F91C22"/>
    <w:rsid w:val="00FB2AFF"/>
    <w:rsid w:val="00FB3D42"/>
    <w:rsid w:val="00FB43E0"/>
    <w:rsid w:val="00FB4B18"/>
    <w:rsid w:val="00FC0ACC"/>
    <w:rsid w:val="00FC212B"/>
    <w:rsid w:val="00FC2754"/>
    <w:rsid w:val="00FC35A7"/>
    <w:rsid w:val="00FC3C42"/>
    <w:rsid w:val="00FC678D"/>
    <w:rsid w:val="00FD2042"/>
    <w:rsid w:val="00FD2D52"/>
    <w:rsid w:val="00FD7F1E"/>
    <w:rsid w:val="00FE00A5"/>
    <w:rsid w:val="00FE2D26"/>
    <w:rsid w:val="00FF1E6E"/>
    <w:rsid w:val="00FF4500"/>
    <w:rsid w:val="00FF4508"/>
  </w:rsids>
  <m:mathPr>
    <m:mathFont m:val="Cambria Math"/>
    <m:brkBin m:val="before"/>
    <m:brkBinSub m:val="--"/>
    <m:smallFrac m:val="0"/>
    <m:dispDef/>
    <m:lMargin m:val="0"/>
    <m:rMargin m:val="0"/>
    <m:defJc m:val="centerGroup"/>
    <m:wrapIndent m:val="1440"/>
    <m:intLim m:val="subSup"/>
    <m:naryLim m:val="undOvr"/>
  </m:mathPr>
  <w:themeFontLang w:val="en-ZA"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D797E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ZA" w:eastAsia="en-ZA"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E4640"/>
    <w:pPr>
      <w:jc w:val="both"/>
    </w:pPr>
    <w:rPr>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semiHidden/>
    <w:rsid w:val="0003383F"/>
    <w:rPr>
      <w:rFonts w:ascii="Tahoma" w:hAnsi="Tahoma" w:cs="Tahoma"/>
      <w:sz w:val="16"/>
      <w:szCs w:val="16"/>
    </w:rPr>
  </w:style>
  <w:style w:type="character" w:styleId="CommentReference">
    <w:name w:val="annotation reference"/>
    <w:basedOn w:val="DefaultParagraphFont"/>
    <w:rsid w:val="006543E3"/>
    <w:rPr>
      <w:sz w:val="16"/>
      <w:szCs w:val="16"/>
    </w:rPr>
  </w:style>
  <w:style w:type="paragraph" w:styleId="CommentText">
    <w:name w:val="annotation text"/>
    <w:basedOn w:val="Normal"/>
    <w:link w:val="CommentTextChar"/>
    <w:rsid w:val="006543E3"/>
    <w:rPr>
      <w:sz w:val="20"/>
      <w:szCs w:val="20"/>
    </w:rPr>
  </w:style>
  <w:style w:type="character" w:customStyle="1" w:styleId="CommentTextChar">
    <w:name w:val="Comment Text Char"/>
    <w:basedOn w:val="DefaultParagraphFont"/>
    <w:link w:val="CommentText"/>
    <w:rsid w:val="006543E3"/>
    <w:rPr>
      <w:lang w:val="en-ZA"/>
    </w:rPr>
  </w:style>
  <w:style w:type="paragraph" w:styleId="CommentSubject">
    <w:name w:val="annotation subject"/>
    <w:basedOn w:val="CommentText"/>
    <w:next w:val="CommentText"/>
    <w:link w:val="CommentSubjectChar"/>
    <w:rsid w:val="006543E3"/>
    <w:rPr>
      <w:b/>
      <w:bCs/>
    </w:rPr>
  </w:style>
  <w:style w:type="character" w:customStyle="1" w:styleId="CommentSubjectChar">
    <w:name w:val="Comment Subject Char"/>
    <w:basedOn w:val="CommentTextChar"/>
    <w:link w:val="CommentSubject"/>
    <w:rsid w:val="006543E3"/>
    <w:rPr>
      <w:b/>
      <w:bCs/>
      <w:lang w:val="en-ZA"/>
    </w:rPr>
  </w:style>
  <w:style w:type="paragraph" w:customStyle="1" w:styleId="Default">
    <w:name w:val="Default"/>
    <w:rsid w:val="006543E3"/>
    <w:pPr>
      <w:autoSpaceDE w:val="0"/>
      <w:autoSpaceDN w:val="0"/>
      <w:adjustRightInd w:val="0"/>
    </w:pPr>
    <w:rPr>
      <w:rFonts w:ascii="Verdana" w:hAnsi="Verdana" w:cs="Verdana"/>
      <w:color w:val="000000"/>
      <w:sz w:val="24"/>
      <w:szCs w:val="24"/>
      <w:lang w:eastAsia="en-US"/>
    </w:rPr>
  </w:style>
  <w:style w:type="character" w:customStyle="1" w:styleId="apple-converted-space">
    <w:name w:val="apple-converted-space"/>
    <w:basedOn w:val="DefaultParagraphFont"/>
    <w:rsid w:val="007C65D9"/>
  </w:style>
  <w:style w:type="paragraph" w:styleId="Header">
    <w:name w:val="header"/>
    <w:basedOn w:val="Normal"/>
    <w:link w:val="HeaderChar"/>
    <w:unhideWhenUsed/>
    <w:rsid w:val="00B32119"/>
    <w:pPr>
      <w:tabs>
        <w:tab w:val="center" w:pos="4680"/>
        <w:tab w:val="right" w:pos="9360"/>
      </w:tabs>
    </w:pPr>
  </w:style>
  <w:style w:type="character" w:customStyle="1" w:styleId="HeaderChar">
    <w:name w:val="Header Char"/>
    <w:basedOn w:val="DefaultParagraphFont"/>
    <w:link w:val="Header"/>
    <w:rsid w:val="00B32119"/>
    <w:rPr>
      <w:sz w:val="24"/>
      <w:szCs w:val="24"/>
      <w:lang w:eastAsia="en-US"/>
    </w:rPr>
  </w:style>
  <w:style w:type="paragraph" w:styleId="Footer">
    <w:name w:val="footer"/>
    <w:basedOn w:val="Normal"/>
    <w:link w:val="FooterChar"/>
    <w:unhideWhenUsed/>
    <w:rsid w:val="00B32119"/>
    <w:pPr>
      <w:tabs>
        <w:tab w:val="center" w:pos="4680"/>
        <w:tab w:val="right" w:pos="9360"/>
      </w:tabs>
    </w:pPr>
  </w:style>
  <w:style w:type="character" w:customStyle="1" w:styleId="FooterChar">
    <w:name w:val="Footer Char"/>
    <w:basedOn w:val="DefaultParagraphFont"/>
    <w:link w:val="Footer"/>
    <w:rsid w:val="00B32119"/>
    <w:rPr>
      <w:sz w:val="24"/>
      <w:szCs w:val="24"/>
      <w:lang w:eastAsia="en-US"/>
    </w:rPr>
  </w:style>
  <w:style w:type="paragraph" w:styleId="FootnoteText">
    <w:name w:val="footnote text"/>
    <w:aliases w:val="Footnote,Footnote Text Char1,Footnote Text Char Char,Footnote Text Char1 Char Char,Footnote Text Char Char Char Char Char,Footnote Text Char Char1 Char Char,(NECG) Footnote Text,ALTS FOOTNOTE,AR Footnote Text,Footnote text Char,Car,Char Ch"/>
    <w:basedOn w:val="Normal"/>
    <w:link w:val="FootnoteTextChar"/>
    <w:unhideWhenUsed/>
    <w:qFormat/>
    <w:rsid w:val="007D003C"/>
    <w:rPr>
      <w:rFonts w:eastAsia="Calibri"/>
      <w:sz w:val="20"/>
      <w:szCs w:val="20"/>
    </w:rPr>
  </w:style>
  <w:style w:type="character" w:customStyle="1" w:styleId="FootnoteTextChar">
    <w:name w:val="Footnote Text Char"/>
    <w:aliases w:val="Footnote Char,Footnote Text Char1 Char,Footnote Text Char Char Char,Footnote Text Char1 Char Char Char,Footnote Text Char Char Char Char Char Char,Footnote Text Char Char1 Char Char Char,(NECG) Footnote Text Char,ALTS FOOTNOTE Char"/>
    <w:basedOn w:val="DefaultParagraphFont"/>
    <w:link w:val="FootnoteText"/>
    <w:rsid w:val="007D003C"/>
    <w:rPr>
      <w:rFonts w:eastAsia="Calibri"/>
      <w:lang w:eastAsia="en-US"/>
    </w:rPr>
  </w:style>
  <w:style w:type="character" w:styleId="FootnoteReference">
    <w:name w:val="footnote reference"/>
    <w:aliases w:val="Ref,de nota al pie,註腳內容,Footnotes refss,Appel note de bas de page,(NECG) Footnote Reference,fr,Footnote symbol,Style 12,Footnote Reference + Superscript,Footnote Reference in text,Footnote Reference Superscript,o,Style 4"/>
    <w:basedOn w:val="DefaultParagraphFont"/>
    <w:unhideWhenUsed/>
    <w:qFormat/>
    <w:rsid w:val="007D003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121161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image" Target="cid:image001.png@01CF121A.2263A8C0" TargetMode="External"/><Relationship Id="rId4" Type="http://schemas.openxmlformats.org/officeDocument/2006/relationships/styles" Target="styles.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4A60A608-54F0-5F4E-991B-6DD2646BAB3F}">
  <we:reference id="wa200001011" version="1.1.0.0" store="en-US" storeType="OMEX"/>
  <we:alternateReferences>
    <we:reference id="wa200001011" version="1.1.0.0" store="WA200001011"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596F37B-254B-43ED-B321-60CA67829D0F}">
  <ds:schemaRefs>
    <ds:schemaRef ds:uri="http://schemas.openxmlformats.org/officeDocument/2006/bibliography"/>
  </ds:schemaRefs>
</ds:datastoreItem>
</file>

<file path=customXml/itemProps2.xml><?xml version="1.0" encoding="utf-8"?>
<ds:datastoreItem xmlns:ds="http://schemas.openxmlformats.org/officeDocument/2006/customXml" ds:itemID="{D35A050D-FAB4-4415-ACD5-FC8F4A0363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1745</Words>
  <Characters>9952</Characters>
  <Application>Microsoft Office Word</Application>
  <DocSecurity>0</DocSecurity>
  <Lines>82</Lines>
  <Paragraphs>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11674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2022-08-03T09:21:00Z</dcterms:created>
  <dcterms:modified xsi:type="dcterms:W3CDTF">2022-08-03T09:21:00Z</dcterms:modified>
</cp:coreProperties>
</file>