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9FE5ED" w14:textId="77777777" w:rsidR="00F5283F" w:rsidRDefault="005956C2" w:rsidP="00720ACA">
      <w:pPr>
        <w:jc w:val="center"/>
      </w:pPr>
      <w:r w:rsidRPr="005956C2">
        <w:rPr>
          <w:noProof/>
          <w:lang w:eastAsia="en-ZA"/>
        </w:rPr>
        <w:drawing>
          <wp:inline distT="0" distB="0" distL="0" distR="0" wp14:anchorId="2D583D51" wp14:editId="2D351B7A">
            <wp:extent cx="809625" cy="828675"/>
            <wp:effectExtent l="19050" t="0" r="9525" b="0"/>
            <wp:docPr id="3"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10" r:link="rId11"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2448F50" w14:textId="77777777" w:rsidR="00F5283F" w:rsidRDefault="00F5283F" w:rsidP="00720ACA">
      <w:pPr>
        <w:jc w:val="center"/>
      </w:pPr>
    </w:p>
    <w:p w14:paraId="5B3ABE36"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77A008C3" w14:textId="77777777" w:rsidR="001E5F5A" w:rsidRPr="00100894" w:rsidRDefault="001E5F5A" w:rsidP="00AE4640"/>
    <w:p w14:paraId="517D174D" w14:textId="77777777" w:rsidR="006966FC" w:rsidRPr="002479FB" w:rsidRDefault="002479FB" w:rsidP="00587A53">
      <w:pPr>
        <w:jc w:val="center"/>
      </w:pPr>
      <w:r w:rsidRPr="002479FB">
        <w:rPr>
          <w:b/>
        </w:rPr>
        <w:t>Blind SA v Minister of Trade, Industry of Competition and Others</w:t>
      </w:r>
      <w:r w:rsidR="0007028D" w:rsidRPr="002479FB">
        <w:rPr>
          <w:b/>
        </w:rPr>
        <w:t xml:space="preserve"> </w:t>
      </w:r>
    </w:p>
    <w:p w14:paraId="46F3C58E" w14:textId="77777777" w:rsidR="006966FC" w:rsidRPr="002479FB" w:rsidRDefault="006966FC" w:rsidP="006966FC">
      <w:pPr>
        <w:tabs>
          <w:tab w:val="right" w:pos="9360"/>
        </w:tabs>
        <w:ind w:right="284"/>
        <w:rPr>
          <w:bCs/>
          <w:sz w:val="26"/>
          <w:szCs w:val="26"/>
          <w:lang w:val="en-GB"/>
        </w:rPr>
      </w:pPr>
    </w:p>
    <w:p w14:paraId="10EEB799" w14:textId="77777777" w:rsidR="00E07942" w:rsidRPr="00100894" w:rsidRDefault="00D40819" w:rsidP="00720ACA">
      <w:pPr>
        <w:jc w:val="right"/>
        <w:rPr>
          <w:b/>
        </w:rPr>
      </w:pPr>
      <w:r w:rsidRPr="00100894">
        <w:rPr>
          <w:b/>
        </w:rPr>
        <w:t>CCT</w:t>
      </w:r>
      <w:r w:rsidR="00720ACA" w:rsidRPr="00100894">
        <w:rPr>
          <w:b/>
        </w:rPr>
        <w:t xml:space="preserve"> </w:t>
      </w:r>
      <w:r w:rsidR="002479FB" w:rsidRPr="002479FB">
        <w:rPr>
          <w:b/>
        </w:rPr>
        <w:t>320/</w:t>
      </w:r>
      <w:r w:rsidR="002479FB">
        <w:rPr>
          <w:b/>
        </w:rPr>
        <w:t>21</w:t>
      </w:r>
    </w:p>
    <w:p w14:paraId="31062859" w14:textId="77777777" w:rsidR="00D40819" w:rsidRPr="00100894" w:rsidRDefault="00D40819" w:rsidP="00720ACA">
      <w:pPr>
        <w:jc w:val="right"/>
        <w:rPr>
          <w:b/>
        </w:rPr>
      </w:pPr>
      <w:r w:rsidRPr="00100894">
        <w:rPr>
          <w:b/>
        </w:rPr>
        <w:t xml:space="preserve"> </w:t>
      </w:r>
    </w:p>
    <w:p w14:paraId="5446A7E9" w14:textId="77777777" w:rsidR="00E07942" w:rsidRDefault="00E07942" w:rsidP="00720ACA">
      <w:pPr>
        <w:jc w:val="right"/>
        <w:rPr>
          <w:b/>
        </w:rPr>
      </w:pPr>
      <w:r w:rsidRPr="00100894">
        <w:rPr>
          <w:b/>
        </w:rPr>
        <w:t xml:space="preserve">Date of hearing: </w:t>
      </w:r>
      <w:r w:rsidR="002479FB">
        <w:rPr>
          <w:b/>
        </w:rPr>
        <w:t>12 May 2022</w:t>
      </w:r>
    </w:p>
    <w:p w14:paraId="35A47DB9" w14:textId="77777777" w:rsidR="00823B02" w:rsidRPr="00100894" w:rsidRDefault="00823B02" w:rsidP="00AE4640"/>
    <w:p w14:paraId="0277E127" w14:textId="77777777" w:rsidR="001E5F5A" w:rsidRPr="00100894" w:rsidRDefault="00526226" w:rsidP="00AE4640">
      <w:r w:rsidRPr="00100894">
        <w:t>________________________________________________________________________</w:t>
      </w:r>
    </w:p>
    <w:p w14:paraId="4C053875" w14:textId="77777777" w:rsidR="00526226" w:rsidRPr="00100894" w:rsidRDefault="00526226" w:rsidP="00526226">
      <w:pPr>
        <w:jc w:val="center"/>
        <w:rPr>
          <w:b/>
        </w:rPr>
      </w:pPr>
    </w:p>
    <w:p w14:paraId="7F53CF8C" w14:textId="77777777" w:rsidR="00526226" w:rsidRPr="00100894" w:rsidRDefault="001E5F5A" w:rsidP="00526226">
      <w:pPr>
        <w:jc w:val="center"/>
        <w:rPr>
          <w:b/>
        </w:rPr>
      </w:pPr>
      <w:r w:rsidRPr="00100894">
        <w:rPr>
          <w:b/>
        </w:rPr>
        <w:t>MEDIA SUMMARY</w:t>
      </w:r>
    </w:p>
    <w:p w14:paraId="4D4E260B" w14:textId="77777777" w:rsidR="00526226" w:rsidRPr="00100894" w:rsidRDefault="00526226" w:rsidP="00526226">
      <w:pPr>
        <w:jc w:val="center"/>
      </w:pPr>
      <w:r w:rsidRPr="00100894">
        <w:t>________________________________________________________________________</w:t>
      </w:r>
    </w:p>
    <w:p w14:paraId="4A165B52" w14:textId="77777777" w:rsidR="001E5F5A" w:rsidRPr="00100894" w:rsidRDefault="001E5F5A" w:rsidP="008B532D">
      <w:pPr>
        <w:spacing w:line="360" w:lineRule="auto"/>
        <w:jc w:val="left"/>
      </w:pPr>
    </w:p>
    <w:p w14:paraId="56BA4522"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42FB1C37" w14:textId="77777777" w:rsidR="001E5F5A" w:rsidRPr="00100894" w:rsidRDefault="001E5F5A" w:rsidP="006474CE">
      <w:pPr>
        <w:rPr>
          <w:sz w:val="28"/>
          <w:szCs w:val="28"/>
        </w:rPr>
      </w:pPr>
    </w:p>
    <w:p w14:paraId="36765547" w14:textId="6AE0AF04" w:rsidR="008F6977" w:rsidRDefault="002479FB" w:rsidP="002479FB">
      <w:r w:rsidRPr="002479FB">
        <w:t xml:space="preserve">On Thursday, 12 May 2022 </w:t>
      </w:r>
      <w:r>
        <w:t xml:space="preserve">at 10h00, </w:t>
      </w:r>
      <w:r w:rsidRPr="002479FB">
        <w:t xml:space="preserve">the Constitutional Court will hear an application </w:t>
      </w:r>
      <w:r w:rsidR="007803DA">
        <w:t xml:space="preserve">by Blind SA </w:t>
      </w:r>
      <w:r w:rsidRPr="002479FB">
        <w:t xml:space="preserve">for confirmation of an order of constitutional invalidity made by the High Court of </w:t>
      </w:r>
      <w:r w:rsidRPr="002479FB">
        <w:t>South Africa</w:t>
      </w:r>
      <w:r>
        <w:t>, Gauteng Division, Pretoria.  The High Court declared the Copyright Act</w:t>
      </w:r>
      <w:r w:rsidR="003B7039">
        <w:t xml:space="preserve"> 98 of 1978</w:t>
      </w:r>
      <w:r>
        <w:t xml:space="preserve"> </w:t>
      </w:r>
      <w:r w:rsidRPr="002479FB">
        <w:t xml:space="preserve">unconstitutional, to the extent that it (a) limits and/or prevents persons with visual and print disabilities from accessing works under copyright that persons without such disabilities are able to access and; (b) does not include provisions designed to ensure that persons with visual and print disabilities are able to access works under copyright in the manner contemplated by the </w:t>
      </w:r>
      <w:r w:rsidR="00E56D2B" w:rsidRPr="00E56D2B">
        <w:t>Marrakesh Treaty to Facilitate Access to Published Works for Persons Who Are Blind, Visually Impaired or Otherwise Print Disabled</w:t>
      </w:r>
      <w:r w:rsidR="00E56D2B">
        <w:t xml:space="preserve"> (Marrakesh  Treaty)</w:t>
      </w:r>
      <w:r>
        <w:t>.</w:t>
      </w:r>
    </w:p>
    <w:p w14:paraId="74B262D3" w14:textId="77777777" w:rsidR="008F6977" w:rsidRDefault="008F6977" w:rsidP="002479FB"/>
    <w:p w14:paraId="7A863747" w14:textId="4372CCDC" w:rsidR="002479FB" w:rsidRDefault="002479FB" w:rsidP="002479FB">
      <w:r>
        <w:t>Before the Constitutional Court, the applicant, Blind SA</w:t>
      </w:r>
      <w:r w:rsidR="00FB4546">
        <w:t>,</w:t>
      </w:r>
      <w:r>
        <w:t xml:space="preserve"> and </w:t>
      </w:r>
      <w:r w:rsidR="00FB4546">
        <w:t xml:space="preserve">the first respondent, the Minister of Trade, Industry and Competition </w:t>
      </w:r>
      <w:r w:rsidR="00B4750B">
        <w:t xml:space="preserve">(Minister) </w:t>
      </w:r>
      <w:r w:rsidR="00FB4546">
        <w:t>agree that the Copyright Act is unconstitutional</w:t>
      </w:r>
      <w:r w:rsidR="00B540D0">
        <w:t xml:space="preserve">, to the extent so declared by the High Court. </w:t>
      </w:r>
      <w:r w:rsidR="008F6977">
        <w:t xml:space="preserve"> </w:t>
      </w:r>
      <w:r w:rsidR="00FB4546">
        <w:t xml:space="preserve">Professor Owen Dean, </w:t>
      </w:r>
      <w:r w:rsidR="008F6977">
        <w:t>Media Monitoring Africa Trust and the International Commission of Jurist</w:t>
      </w:r>
      <w:r w:rsidR="00F9066C">
        <w:t>s</w:t>
      </w:r>
      <w:r w:rsidR="008F6977">
        <w:t xml:space="preserve"> </w:t>
      </w:r>
      <w:r w:rsidR="00E56D2B">
        <w:t>have been admitted as the first, second and third amici respectively.</w:t>
      </w:r>
    </w:p>
    <w:p w14:paraId="0A039E1A" w14:textId="77777777" w:rsidR="00580F15" w:rsidRDefault="00580F15" w:rsidP="002479FB"/>
    <w:p w14:paraId="47D4EFEF" w14:textId="1469F95D" w:rsidR="00580F15" w:rsidRDefault="00580F15" w:rsidP="003E47C4">
      <w:r w:rsidRPr="00580F15">
        <w:t>The factual matrix of this matter has its genesis</w:t>
      </w:r>
      <w:r>
        <w:t xml:space="preserve"> </w:t>
      </w:r>
      <w:r w:rsidR="001E0840">
        <w:t>in an ongoing legislative pro</w:t>
      </w:r>
      <w:r w:rsidR="00AD6CD2">
        <w:t xml:space="preserve">cess to amend the </w:t>
      </w:r>
      <w:r w:rsidR="00D279CE">
        <w:t xml:space="preserve">Copyright </w:t>
      </w:r>
      <w:r w:rsidR="00AD6CD2">
        <w:t>Act</w:t>
      </w:r>
      <w:r w:rsidR="003E47C4">
        <w:t xml:space="preserve"> to, amongst other things, align it with the Marrakesh Treaty</w:t>
      </w:r>
      <w:r w:rsidR="00AD6CD2">
        <w:t xml:space="preserve">.  On 28 </w:t>
      </w:r>
      <w:r w:rsidR="00E56D2B">
        <w:t> </w:t>
      </w:r>
      <w:r w:rsidR="00AD6CD2">
        <w:t>March 2019, parliament passed the Copyright Amendment Bill</w:t>
      </w:r>
      <w:r w:rsidR="003E47C4">
        <w:t xml:space="preserve"> (Bill)</w:t>
      </w:r>
      <w:r w:rsidR="00AD6CD2">
        <w:t xml:space="preserve">.  The </w:t>
      </w:r>
      <w:r w:rsidR="003E47C4">
        <w:t>Bill</w:t>
      </w:r>
      <w:r w:rsidR="00AD6CD2">
        <w:t xml:space="preserve"> sought to i</w:t>
      </w:r>
      <w:r w:rsidR="00284D30">
        <w:t xml:space="preserve">ntroduce section </w:t>
      </w:r>
      <w:r w:rsidR="00AD6CD2">
        <w:t xml:space="preserve">19D </w:t>
      </w:r>
      <w:r w:rsidR="00BC6862">
        <w:t>in terms of which</w:t>
      </w:r>
      <w:r w:rsidR="00AD6CD2">
        <w:t xml:space="preserve"> prescribed persons may, </w:t>
      </w:r>
      <w:r w:rsidR="00AD6CD2" w:rsidRPr="00AD6CD2">
        <w:t>without the authorization of the copyright owner, make</w:t>
      </w:r>
      <w:r w:rsidR="0013735E">
        <w:t>, supply</w:t>
      </w:r>
      <w:r w:rsidR="00AD6CD2" w:rsidRPr="00AD6CD2">
        <w:t xml:space="preserve"> </w:t>
      </w:r>
      <w:r w:rsidR="00CA60EC">
        <w:t xml:space="preserve">and undertake any intermediate steps to provide </w:t>
      </w:r>
      <w:r w:rsidR="00AD6CD2" w:rsidRPr="00AD6CD2">
        <w:t>an</w:t>
      </w:r>
      <w:r w:rsidR="00AD6CD2">
        <w:t xml:space="preserve"> </w:t>
      </w:r>
      <w:r w:rsidR="00AD6CD2" w:rsidRPr="00AD6CD2">
        <w:t>accessible format copy for the benefit of a person with a disability</w:t>
      </w:r>
      <w:r w:rsidR="00E56D2B">
        <w:t>; t</w:t>
      </w:r>
      <w:r w:rsidR="003E47C4">
        <w:t xml:space="preserve">hus providing exceptions to copyright </w:t>
      </w:r>
      <w:r w:rsidR="00B540D0">
        <w:t>protections so as to</w:t>
      </w:r>
      <w:r w:rsidR="003E47C4">
        <w:t xml:space="preserve"> allow blin</w:t>
      </w:r>
      <w:r w:rsidR="00BC6862">
        <w:t xml:space="preserve">d and visually impaired </w:t>
      </w:r>
      <w:r w:rsidR="00BC6862">
        <w:lastRenderedPageBreak/>
        <w:t xml:space="preserve">persons and persons </w:t>
      </w:r>
      <w:r w:rsidR="003E47C4">
        <w:t>with other disabilities to access such works in formats that are appropriate for</w:t>
      </w:r>
      <w:r w:rsidR="00BC6862">
        <w:t xml:space="preserve"> </w:t>
      </w:r>
      <w:r w:rsidR="003E47C4">
        <w:t>their particular disabilities.</w:t>
      </w:r>
    </w:p>
    <w:p w14:paraId="4F058F45" w14:textId="77777777" w:rsidR="00BC6862" w:rsidRDefault="00BC6862" w:rsidP="003E47C4"/>
    <w:p w14:paraId="2356360A" w14:textId="4C125796" w:rsidR="002479FB" w:rsidRDefault="00BC6862" w:rsidP="00BC6862">
      <w:r>
        <w:t>After being passed, on 16 June 2020, the President referre</w:t>
      </w:r>
      <w:r w:rsidR="00BD5BBE">
        <w:t>d the Bill back to the National </w:t>
      </w:r>
      <w:r>
        <w:t xml:space="preserve">Assembly for reconsideration.  Presently, </w:t>
      </w:r>
      <w:r w:rsidRPr="00BC6862">
        <w:t xml:space="preserve">the National Assembly’s decision to pass the </w:t>
      </w:r>
      <w:r>
        <w:t>Bill</w:t>
      </w:r>
      <w:r w:rsidRPr="00BC6862">
        <w:t xml:space="preserve"> has</w:t>
      </w:r>
      <w:r>
        <w:t xml:space="preserve"> been rescinded</w:t>
      </w:r>
      <w:r w:rsidRPr="00BC6862">
        <w:t xml:space="preserve"> and the </w:t>
      </w:r>
      <w:r>
        <w:t>Bill</w:t>
      </w:r>
      <w:r w:rsidRPr="00BC6862">
        <w:t xml:space="preserve"> has been </w:t>
      </w:r>
      <w:r>
        <w:t>reclassified</w:t>
      </w:r>
      <w:r w:rsidRPr="00BC6862">
        <w:t xml:space="preserve"> as a section 76 bill</w:t>
      </w:r>
      <w:r>
        <w:t>.  As a result, section 19D is also held in abeyance pending the</w:t>
      </w:r>
      <w:r w:rsidR="00B540D0">
        <w:t xml:space="preserve"> outcome of the</w:t>
      </w:r>
      <w:r>
        <w:t xml:space="preserve"> legislative process for the entire Bill.</w:t>
      </w:r>
    </w:p>
    <w:p w14:paraId="3D63EDA8" w14:textId="77777777" w:rsidR="00994CAE" w:rsidRDefault="00994CAE" w:rsidP="00BC6862"/>
    <w:p w14:paraId="3DA11F92" w14:textId="465AFCF7" w:rsidR="00BC6862" w:rsidRDefault="00994CAE" w:rsidP="00A2044B">
      <w:r>
        <w:t xml:space="preserve">On </w:t>
      </w:r>
      <w:r w:rsidR="00064F2E">
        <w:t xml:space="preserve">24 March 2021, Blind SA initiated proceedings before the High Court </w:t>
      </w:r>
      <w:r w:rsidR="00E56D2B">
        <w:t>on the basis that the</w:t>
      </w:r>
      <w:r w:rsidR="00A2044B">
        <w:t xml:space="preserve"> </w:t>
      </w:r>
      <w:r w:rsidR="00D279CE">
        <w:t xml:space="preserve">Copyright </w:t>
      </w:r>
      <w:r w:rsidR="00A2044B">
        <w:t xml:space="preserve">Act impedes access to works under copyright for persons with visual and print disabilities.  Blind SA sought </w:t>
      </w:r>
      <w:r w:rsidR="00BD5BBE">
        <w:t>a reading-</w:t>
      </w:r>
      <w:r w:rsidR="00A2044B">
        <w:t>in of the proposed section 19D</w:t>
      </w:r>
      <w:r w:rsidR="00B540D0">
        <w:t>,</w:t>
      </w:r>
      <w:r w:rsidR="00A2044B">
        <w:t xml:space="preserve"> </w:t>
      </w:r>
      <w:r w:rsidR="00A2044B" w:rsidRPr="00A2044B">
        <w:t>without having to await the final</w:t>
      </w:r>
      <w:r w:rsidR="00A2044B">
        <w:t xml:space="preserve"> </w:t>
      </w:r>
      <w:r w:rsidR="00A2044B" w:rsidRPr="00A2044B">
        <w:t xml:space="preserve">enactment </w:t>
      </w:r>
      <w:r w:rsidR="00A2044B">
        <w:t xml:space="preserve">of the </w:t>
      </w:r>
      <w:r w:rsidR="00BD5BBE">
        <w:t>Bill</w:t>
      </w:r>
      <w:r w:rsidR="00A2044B">
        <w:t xml:space="preserve">.  On 7 December 2021, the High Court </w:t>
      </w:r>
      <w:r w:rsidR="00A2044B" w:rsidRPr="00A2044B">
        <w:t xml:space="preserve">declared the </w:t>
      </w:r>
      <w:r w:rsidR="00D279CE">
        <w:t xml:space="preserve">Copyright </w:t>
      </w:r>
      <w:r w:rsidR="00A2044B" w:rsidRPr="00A2044B">
        <w:t>Act to be unconstitutional to the extent that it fails to make provision for exceptions that would enable, through the conversion of works, access to such works by persons with visual and print disabilities</w:t>
      </w:r>
      <w:r w:rsidR="00A2044B">
        <w:t>.</w:t>
      </w:r>
      <w:r w:rsidR="00CF383D">
        <w:t xml:space="preserve">  </w:t>
      </w:r>
      <w:r w:rsidR="00CF383D" w:rsidRPr="00CF383D">
        <w:t xml:space="preserve">The </w:t>
      </w:r>
      <w:r w:rsidR="00B540D0">
        <w:t xml:space="preserve">High </w:t>
      </w:r>
      <w:r w:rsidR="00CF383D" w:rsidRPr="00CF383D">
        <w:t>Court found that</w:t>
      </w:r>
      <w:r w:rsidR="00CF383D">
        <w:t>,</w:t>
      </w:r>
      <w:r w:rsidR="00CF383D" w:rsidRPr="00CF383D">
        <w:t xml:space="preserve"> acting in line with the declaration of intent to ratify the Marrakesh Treaty, </w:t>
      </w:r>
      <w:r w:rsidR="00CF383D">
        <w:t>p</w:t>
      </w:r>
      <w:r w:rsidR="00CF383D" w:rsidRPr="00CF383D">
        <w:t>arliament adopted the Bill which proposes the insertion of the new proposed section 19D to create exceptions for the benefit of the blind and people with visual and print disabilities</w:t>
      </w:r>
      <w:r w:rsidR="00CF383D">
        <w:t xml:space="preserve">.  </w:t>
      </w:r>
      <w:r w:rsidR="00CF383D" w:rsidRPr="00CF383D">
        <w:t xml:space="preserve">The Court found the delay to be unreasonable and contrary to section 36(1) of the Constitution as it unjustifiably perpetuates the violation of the rights of the blind, </w:t>
      </w:r>
      <w:r w:rsidR="0068208F">
        <w:t xml:space="preserve">and </w:t>
      </w:r>
      <w:r w:rsidR="00CF383D" w:rsidRPr="00CF383D">
        <w:t>visually and print disabled persons.</w:t>
      </w:r>
      <w:r w:rsidR="00CF383D">
        <w:t xml:space="preserve">  It declared the </w:t>
      </w:r>
      <w:r w:rsidR="00D279CE">
        <w:t xml:space="preserve">Copyright </w:t>
      </w:r>
      <w:r w:rsidR="00CF383D">
        <w:t>Act</w:t>
      </w:r>
      <w:r w:rsidR="006A677A">
        <w:t xml:space="preserve"> unconstitutional and ordered a reading</w:t>
      </w:r>
      <w:r w:rsidR="00E56D2B">
        <w:t>-in of the new proposed section </w:t>
      </w:r>
      <w:r w:rsidR="006A677A">
        <w:t>19D.  The declaration of unconstitutionality was suspended for 24 months to afford parliament an opportunity to remedy the defect.</w:t>
      </w:r>
    </w:p>
    <w:p w14:paraId="69450033" w14:textId="77777777" w:rsidR="00CF383D" w:rsidRDefault="00CF383D" w:rsidP="00A2044B"/>
    <w:p w14:paraId="17258E67" w14:textId="1C3CD1A6" w:rsidR="00557E2E" w:rsidRDefault="00E56D2B" w:rsidP="00A2044B">
      <w:r>
        <w:t>B</w:t>
      </w:r>
      <w:r w:rsidR="006A677A">
        <w:t xml:space="preserve">lind SA </w:t>
      </w:r>
      <w:r>
        <w:t>seeks</w:t>
      </w:r>
      <w:r w:rsidR="0063514B" w:rsidRPr="0063514B">
        <w:t xml:space="preserve"> confirmation of the </w:t>
      </w:r>
      <w:r w:rsidR="0063514B">
        <w:t xml:space="preserve">High Court’s order </w:t>
      </w:r>
      <w:r w:rsidR="0063514B" w:rsidRPr="0063514B">
        <w:t xml:space="preserve">that the </w:t>
      </w:r>
      <w:r w:rsidR="0063514B">
        <w:t>Copy</w:t>
      </w:r>
      <w:r w:rsidR="0063514B" w:rsidRPr="0063514B">
        <w:t>right Act 98 of 1978</w:t>
      </w:r>
      <w:r w:rsidR="0063514B" w:rsidRPr="0063514B" w:rsidDel="0063514B">
        <w:t xml:space="preserve"> </w:t>
      </w:r>
      <w:r w:rsidR="00557E2E">
        <w:t>is unconstitutional</w:t>
      </w:r>
      <w:r w:rsidR="0068208F">
        <w:t>.</w:t>
      </w:r>
    </w:p>
    <w:p w14:paraId="7D8EAF47" w14:textId="77777777" w:rsidR="006A677A" w:rsidRDefault="006A677A" w:rsidP="00A2044B"/>
    <w:p w14:paraId="65E72ED3" w14:textId="644391F0" w:rsidR="00B4750B" w:rsidRDefault="00144AB3" w:rsidP="00BD5BBE">
      <w:r>
        <w:t xml:space="preserve">Before this Court, </w:t>
      </w:r>
      <w:r w:rsidR="006A677A">
        <w:t xml:space="preserve">Blind SA submits that </w:t>
      </w:r>
      <w:r w:rsidR="00B4750B">
        <w:t xml:space="preserve">the key provision that is required to give effect to the Marrakesh Treaty is the Bill’s proposed new section 19D.  Blind SA </w:t>
      </w:r>
      <w:r w:rsidR="0068208F">
        <w:t>contends</w:t>
      </w:r>
      <w:r w:rsidR="00B4750B">
        <w:t xml:space="preserve"> that section 19D is universally accepted and thus delaying its entry into force unreasonably</w:t>
      </w:r>
    </w:p>
    <w:p w14:paraId="70FC548D" w14:textId="2629F076" w:rsidR="006A677A" w:rsidRDefault="00B4750B" w:rsidP="00BD5BBE">
      <w:r>
        <w:t xml:space="preserve">and unjustifiably delays South Africa’s accession to the Marrakesh Treaty.  Blind SA further submits that section 13 of the </w:t>
      </w:r>
      <w:r w:rsidR="00D279CE">
        <w:t>Copyright Act</w:t>
      </w:r>
      <w:r>
        <w:t>, which provides for g</w:t>
      </w:r>
      <w:r w:rsidRPr="00B4750B">
        <w:t xml:space="preserve">eneral exceptions in respect of </w:t>
      </w:r>
      <w:r w:rsidR="0068208F">
        <w:t xml:space="preserve">the </w:t>
      </w:r>
      <w:r w:rsidRPr="00B4750B">
        <w:t>reproduction of works</w:t>
      </w:r>
      <w:r w:rsidR="00BD5BBE">
        <w:t xml:space="preserve">, </w:t>
      </w:r>
      <w:r>
        <w:t>i</w:t>
      </w:r>
      <w:r w:rsidRPr="00B4750B">
        <w:t>nsofar as literary works are</w:t>
      </w:r>
      <w:r>
        <w:t xml:space="preserve"> </w:t>
      </w:r>
      <w:r w:rsidRPr="00B4750B">
        <w:t>concerned, provides no power to make regulations dealing with the</w:t>
      </w:r>
      <w:r>
        <w:t xml:space="preserve"> </w:t>
      </w:r>
      <w:r w:rsidRPr="00B4750B">
        <w:t>publication of unpublished works, the transmission of works, and/or the</w:t>
      </w:r>
      <w:r>
        <w:t xml:space="preserve"> </w:t>
      </w:r>
      <w:r w:rsidRPr="00B4750B">
        <w:t>adaptation of works.</w:t>
      </w:r>
      <w:r>
        <w:t xml:space="preserve">  Blind SA submits that </w:t>
      </w:r>
      <w:r w:rsidRPr="00B4750B">
        <w:t>s</w:t>
      </w:r>
      <w:r>
        <w:t>ection</w:t>
      </w:r>
      <w:r w:rsidR="008A3FEF">
        <w:t> </w:t>
      </w:r>
      <w:r>
        <w:t xml:space="preserve">13 should be interpreted </w:t>
      </w:r>
      <w:proofErr w:type="gramStart"/>
      <w:r w:rsidR="00913F2E">
        <w:t>narrowly,</w:t>
      </w:r>
      <w:proofErr w:type="gramEnd"/>
      <w:r w:rsidR="00913F2E">
        <w:t xml:space="preserve"> otherwise,</w:t>
      </w:r>
      <w:r w:rsidRPr="00B4750B">
        <w:t xml:space="preserve"> </w:t>
      </w:r>
      <w:r w:rsidR="00BD5BBE">
        <w:t>the section</w:t>
      </w:r>
      <w:r w:rsidR="00913F2E">
        <w:t xml:space="preserve"> would be treated as </w:t>
      </w:r>
      <w:r w:rsidRPr="00B4750B">
        <w:t>assigning plenary legislative power, which is constitutionally impermissible</w:t>
      </w:r>
      <w:r w:rsidR="00913F2E">
        <w:t xml:space="preserve">.  Blind SA also </w:t>
      </w:r>
      <w:r w:rsidR="0068208F">
        <w:t>argues</w:t>
      </w:r>
      <w:r w:rsidR="00913F2E">
        <w:t xml:space="preserve"> that the </w:t>
      </w:r>
      <w:r w:rsidR="00D279CE">
        <w:t xml:space="preserve">Copyright </w:t>
      </w:r>
      <w:r w:rsidR="00913F2E">
        <w:t xml:space="preserve">Act in its current form limits the following rights: equality, dignity, basic and further education, freedom of expression, and participation in the cultural life of one’s choice.  Blind SA seeks </w:t>
      </w:r>
      <w:r w:rsidR="0068208F">
        <w:t>the</w:t>
      </w:r>
      <w:r w:rsidR="00913F2E">
        <w:t xml:space="preserve"> confirmation of the order granted by the High Court, a reading-in of the proposed new section 19D</w:t>
      </w:r>
      <w:r w:rsidR="0068208F">
        <w:t>,</w:t>
      </w:r>
      <w:r w:rsidR="00913F2E">
        <w:t xml:space="preserve"> but submits that this Court should not suspend the declaration of </w:t>
      </w:r>
      <w:r w:rsidR="00CB6909">
        <w:t xml:space="preserve">invalidity </w:t>
      </w:r>
      <w:r w:rsidR="00913F2E">
        <w:t xml:space="preserve">as </w:t>
      </w:r>
      <w:r w:rsidR="00913F2E" w:rsidRPr="00913F2E">
        <w:t>it</w:t>
      </w:r>
      <w:r w:rsidR="00913F2E">
        <w:t xml:space="preserve"> </w:t>
      </w:r>
      <w:r w:rsidR="00913F2E" w:rsidRPr="00913F2E">
        <w:t>is c</w:t>
      </w:r>
      <w:r w:rsidR="00913F2E">
        <w:t>oupled with a reading-in remedy.</w:t>
      </w:r>
    </w:p>
    <w:p w14:paraId="1B44A7C0" w14:textId="77777777" w:rsidR="006A677A" w:rsidRDefault="006A677A" w:rsidP="00A2044B"/>
    <w:p w14:paraId="33E43469" w14:textId="55D6E7BC" w:rsidR="00CB6909" w:rsidRDefault="00CB6909" w:rsidP="00FF1711">
      <w:pPr>
        <w:rPr>
          <w:iCs/>
        </w:rPr>
      </w:pPr>
      <w:r>
        <w:lastRenderedPageBreak/>
        <w:t xml:space="preserve">The Minister does not </w:t>
      </w:r>
      <w:r w:rsidRPr="00CB6909">
        <w:t>oppose the finding</w:t>
      </w:r>
      <w:r w:rsidR="000D1E6E">
        <w:t xml:space="preserve"> of invalidity made by the High </w:t>
      </w:r>
      <w:r w:rsidRPr="00CB6909">
        <w:t>Court</w:t>
      </w:r>
      <w:r>
        <w:t xml:space="preserve">.  The Minister </w:t>
      </w:r>
      <w:r w:rsidR="00CC212F">
        <w:t>submits</w:t>
      </w:r>
      <w:r>
        <w:t xml:space="preserve"> that </w:t>
      </w:r>
      <w:r w:rsidR="00CC212F">
        <w:t>the relief sought by Blind SA,</w:t>
      </w:r>
      <w:r w:rsidR="00BD5BBE">
        <w:t xml:space="preserve"> namely that of a final reading-</w:t>
      </w:r>
      <w:r w:rsidR="00CC212F">
        <w:t xml:space="preserve">in without suspension of the finding of unconstitutionality, is inappropriate.  The Minister refers to this Court’s judgment in </w:t>
      </w:r>
      <w:r w:rsidR="00CC212F" w:rsidRPr="00CC212F">
        <w:rPr>
          <w:i/>
          <w:iCs/>
        </w:rPr>
        <w:t>NL v Estate of the Late Sidney Lewis Frankel</w:t>
      </w:r>
      <w:r w:rsidR="00CC212F">
        <w:rPr>
          <w:i/>
          <w:iCs/>
        </w:rPr>
        <w:t xml:space="preserve"> </w:t>
      </w:r>
      <w:r w:rsidR="00CC212F">
        <w:rPr>
          <w:iCs/>
        </w:rPr>
        <w:t>where this Court held that s</w:t>
      </w:r>
      <w:r w:rsidR="00CC212F" w:rsidRPr="00CC212F">
        <w:rPr>
          <w:iCs/>
        </w:rPr>
        <w:t>uspension coupled with an interim reading-in is a</w:t>
      </w:r>
      <w:r w:rsidR="00CC212F">
        <w:rPr>
          <w:iCs/>
        </w:rPr>
        <w:t xml:space="preserve"> </w:t>
      </w:r>
      <w:r w:rsidR="00CC212F" w:rsidRPr="00CC212F">
        <w:rPr>
          <w:iCs/>
        </w:rPr>
        <w:t xml:space="preserve">remedy that does not intrude unduly </w:t>
      </w:r>
      <w:r w:rsidR="0068208F">
        <w:rPr>
          <w:iCs/>
        </w:rPr>
        <w:t>upon</w:t>
      </w:r>
      <w:r w:rsidR="00CC212F" w:rsidRPr="00CC212F">
        <w:rPr>
          <w:iCs/>
        </w:rPr>
        <w:t xml:space="preserve"> the domain of</w:t>
      </w:r>
      <w:r w:rsidR="00CC212F">
        <w:rPr>
          <w:iCs/>
        </w:rPr>
        <w:t xml:space="preserve"> p</w:t>
      </w:r>
      <w:r w:rsidR="00CC212F" w:rsidRPr="00CC212F">
        <w:rPr>
          <w:iCs/>
        </w:rPr>
        <w:t>arliament.</w:t>
      </w:r>
      <w:r w:rsidR="00CC212F">
        <w:rPr>
          <w:iCs/>
        </w:rPr>
        <w:t xml:space="preserve">  The Minister submits that </w:t>
      </w:r>
      <w:r w:rsidR="00FF1711" w:rsidRPr="00FF1711">
        <w:rPr>
          <w:iCs/>
        </w:rPr>
        <w:t xml:space="preserve">this Court ought to make an </w:t>
      </w:r>
      <w:r w:rsidR="00BD5BBE">
        <w:rPr>
          <w:iCs/>
        </w:rPr>
        <w:t xml:space="preserve">order </w:t>
      </w:r>
      <w:r w:rsidR="00FF1711">
        <w:rPr>
          <w:iCs/>
        </w:rPr>
        <w:t>confirming</w:t>
      </w:r>
      <w:r w:rsidR="00FF1711" w:rsidRPr="00FF1711">
        <w:rPr>
          <w:iCs/>
        </w:rPr>
        <w:t xml:space="preserve"> the order of invalidity and suspend the order of</w:t>
      </w:r>
      <w:r w:rsidR="00FF1711">
        <w:rPr>
          <w:iCs/>
        </w:rPr>
        <w:t xml:space="preserve"> </w:t>
      </w:r>
      <w:r w:rsidR="00FF1711" w:rsidRPr="00FF1711">
        <w:rPr>
          <w:iCs/>
        </w:rPr>
        <w:t xml:space="preserve">unconstitutionality </w:t>
      </w:r>
      <w:r w:rsidR="00FF1711">
        <w:rPr>
          <w:iCs/>
        </w:rPr>
        <w:t>for a 24 month period to allow p</w:t>
      </w:r>
      <w:r w:rsidR="00FF1711" w:rsidRPr="00FF1711">
        <w:rPr>
          <w:iCs/>
        </w:rPr>
        <w:t>arliament to</w:t>
      </w:r>
      <w:r w:rsidR="00FF1711">
        <w:rPr>
          <w:iCs/>
        </w:rPr>
        <w:t xml:space="preserve"> </w:t>
      </w:r>
      <w:r w:rsidR="00FF1711" w:rsidRPr="00FF1711">
        <w:rPr>
          <w:iCs/>
        </w:rPr>
        <w:t>cure the defect.</w:t>
      </w:r>
    </w:p>
    <w:p w14:paraId="54BB7ACF" w14:textId="77777777" w:rsidR="007803DA" w:rsidRDefault="007803DA" w:rsidP="006474CE"/>
    <w:p w14:paraId="376328CC" w14:textId="285C519F" w:rsidR="007803DA" w:rsidRDefault="0068208F" w:rsidP="006474CE">
      <w:r>
        <w:t xml:space="preserve">Professor </w:t>
      </w:r>
      <w:r w:rsidR="00EB39AD">
        <w:t xml:space="preserve">Dean </w:t>
      </w:r>
      <w:r w:rsidR="00EB39AD" w:rsidRPr="00EB39AD">
        <w:t>has been admitted as the first amicus curiae</w:t>
      </w:r>
      <w:r w:rsidR="00EB39AD">
        <w:t xml:space="preserve">. </w:t>
      </w:r>
      <w:r w:rsidR="008A3FEF">
        <w:t xml:space="preserve"> </w:t>
      </w:r>
      <w:r w:rsidR="00EB39AD">
        <w:t>He submits that t</w:t>
      </w:r>
      <w:r w:rsidR="00EB39AD" w:rsidRPr="00EB39AD">
        <w:t>he Copyright Act is not unconstitutional, because it allows the Minister in terms of section</w:t>
      </w:r>
      <w:r w:rsidR="008A3FEF">
        <w:t> </w:t>
      </w:r>
      <w:r w:rsidR="00EB39AD" w:rsidRPr="00EB39AD">
        <w:t xml:space="preserve">13 of the Act to promulgate regulations which would allow for </w:t>
      </w:r>
      <w:r>
        <w:t xml:space="preserve">the </w:t>
      </w:r>
      <w:r w:rsidR="00EB39AD" w:rsidRPr="00EB39AD">
        <w:t xml:space="preserve">reproduction of copyrighted works, in the manner sought by </w:t>
      </w:r>
      <w:r w:rsidR="00284D30">
        <w:t>Blind SA</w:t>
      </w:r>
      <w:r w:rsidR="00EB39AD">
        <w:t xml:space="preserve">. </w:t>
      </w:r>
      <w:r w:rsidR="008A3FEF">
        <w:t xml:space="preserve"> </w:t>
      </w:r>
      <w:r w:rsidR="00044680">
        <w:t>Alternatively, h</w:t>
      </w:r>
      <w:r w:rsidR="00EB39AD">
        <w:t xml:space="preserve">e contends </w:t>
      </w:r>
      <w:r w:rsidR="00EB39AD" w:rsidRPr="00EB39AD">
        <w:t>the High Court</w:t>
      </w:r>
      <w:r w:rsidR="00044680">
        <w:t>’s</w:t>
      </w:r>
      <w:r w:rsidR="00EB39AD" w:rsidRPr="00EB39AD">
        <w:t xml:space="preserve"> reading in of section 19D of the Bill is not just and equitable relief.</w:t>
      </w:r>
      <w:r w:rsidR="00566548">
        <w:t xml:space="preserve"> </w:t>
      </w:r>
      <w:r w:rsidR="008A3FEF">
        <w:t xml:space="preserve"> </w:t>
      </w:r>
      <w:r w:rsidR="00566548">
        <w:t xml:space="preserve">He argues </w:t>
      </w:r>
      <w:r w:rsidR="00566548" w:rsidRPr="00566548">
        <w:t xml:space="preserve">the reading in of section 19D </w:t>
      </w:r>
      <w:r w:rsidR="00044680">
        <w:t>should not be ordered</w:t>
      </w:r>
      <w:r w:rsidR="00566548">
        <w:t xml:space="preserve"> </w:t>
      </w:r>
      <w:r w:rsidR="00566548" w:rsidRPr="00566548">
        <w:t>because section</w:t>
      </w:r>
      <w:r w:rsidR="008A3FEF">
        <w:t> </w:t>
      </w:r>
      <w:r w:rsidR="00566548" w:rsidRPr="00566548">
        <w:t>19D is not consistent with the Marrakesh Treaty, and it creates various lacuna</w:t>
      </w:r>
      <w:r w:rsidR="00044680">
        <w:t>e,</w:t>
      </w:r>
      <w:r w:rsidR="00284D30">
        <w:t xml:space="preserve"> if read-</w:t>
      </w:r>
      <w:r w:rsidR="00566548" w:rsidRPr="00566548">
        <w:t xml:space="preserve">in without the other provisions of </w:t>
      </w:r>
      <w:r w:rsidR="00566548" w:rsidRPr="00566548">
        <w:rPr>
          <w:lang w:val="en-US"/>
        </w:rPr>
        <w:t xml:space="preserve">the Bill.  Amongst others, a) section 19D does not define the “works”, which it permits to be reproduced, and the definition of “works” in the </w:t>
      </w:r>
      <w:r w:rsidR="00284D30">
        <w:rPr>
          <w:lang w:val="en-US"/>
        </w:rPr>
        <w:t xml:space="preserve">Copyright </w:t>
      </w:r>
      <w:r w:rsidR="00566548" w:rsidRPr="00566548">
        <w:rPr>
          <w:lang w:val="en-US"/>
        </w:rPr>
        <w:t xml:space="preserve">Act includes such things as sound recordings, which is a far wider definition of that term than </w:t>
      </w:r>
      <w:r w:rsidR="008E3A97">
        <w:rPr>
          <w:lang w:val="en-US"/>
        </w:rPr>
        <w:t xml:space="preserve">appears in the Marrakesh Treaty. </w:t>
      </w:r>
      <w:r w:rsidR="008A3FEF">
        <w:rPr>
          <w:lang w:val="en-US"/>
        </w:rPr>
        <w:t xml:space="preserve"> Professor</w:t>
      </w:r>
      <w:r w:rsidR="008E3A97" w:rsidRPr="008E3A97">
        <w:rPr>
          <w:lang w:val="en-US"/>
        </w:rPr>
        <w:t xml:space="preserve"> Dean proposes </w:t>
      </w:r>
      <w:r w:rsidR="008E3A97">
        <w:rPr>
          <w:lang w:val="en-US"/>
        </w:rPr>
        <w:t xml:space="preserve">an </w:t>
      </w:r>
      <w:r w:rsidR="008E3A97" w:rsidRPr="008E3A97">
        <w:rPr>
          <w:lang w:val="en-US"/>
        </w:rPr>
        <w:t xml:space="preserve">alternative wording for the exception, which he says could be promulgated by regulation by the Minister or, if this Court finds the </w:t>
      </w:r>
      <w:r w:rsidR="00284D30">
        <w:rPr>
          <w:lang w:val="en-US"/>
        </w:rPr>
        <w:t xml:space="preserve">Copyright </w:t>
      </w:r>
      <w:r w:rsidR="008E3A97" w:rsidRPr="008E3A97">
        <w:rPr>
          <w:lang w:val="en-US"/>
        </w:rPr>
        <w:t xml:space="preserve">Act is unconstitutional, </w:t>
      </w:r>
      <w:r w:rsidR="00284D30">
        <w:rPr>
          <w:lang w:val="en-US"/>
        </w:rPr>
        <w:t>proposes an inclusion of a read-</w:t>
      </w:r>
      <w:r w:rsidR="008E3A97" w:rsidRPr="008E3A97">
        <w:rPr>
          <w:lang w:val="en-US"/>
        </w:rPr>
        <w:t xml:space="preserve">in </w:t>
      </w:r>
      <w:r w:rsidR="008E3A97" w:rsidRPr="008E3A97">
        <w:t>of a temporary provision in the Act that is immediately operative and which, unlike section</w:t>
      </w:r>
      <w:r w:rsidR="004444F2">
        <w:t xml:space="preserve"> 19D, conforms to the Marrakesh </w:t>
      </w:r>
      <w:r w:rsidR="008E3A97" w:rsidRPr="008E3A97">
        <w:t>Treaty</w:t>
      </w:r>
      <w:r w:rsidR="008E3A97">
        <w:t>.</w:t>
      </w:r>
    </w:p>
    <w:p w14:paraId="7220EC87" w14:textId="77777777" w:rsidR="008E3A97" w:rsidRDefault="008E3A97" w:rsidP="006474CE"/>
    <w:p w14:paraId="741EEFC0" w14:textId="248A226B" w:rsidR="008E3A97" w:rsidRDefault="008E3A97" w:rsidP="006474CE">
      <w:r>
        <w:t xml:space="preserve">Media Monitoring Africa Trust </w:t>
      </w:r>
      <w:r w:rsidRPr="008E3A97">
        <w:t xml:space="preserve">has been admitted as </w:t>
      </w:r>
      <w:r w:rsidR="00044680">
        <w:t>the</w:t>
      </w:r>
      <w:r w:rsidRPr="008E3A97">
        <w:t xml:space="preserve"> second amicus curiae</w:t>
      </w:r>
      <w:r>
        <w:t xml:space="preserve">. </w:t>
      </w:r>
      <w:r w:rsidR="008A3FEF">
        <w:t xml:space="preserve"> </w:t>
      </w:r>
      <w:r w:rsidR="00044680">
        <w:t>It</w:t>
      </w:r>
      <w:r>
        <w:t xml:space="preserve"> contend</w:t>
      </w:r>
      <w:r w:rsidR="00044680">
        <w:t>s</w:t>
      </w:r>
      <w:r>
        <w:t xml:space="preserve"> </w:t>
      </w:r>
      <w:r w:rsidRPr="008E3A97">
        <w:rPr>
          <w:rFonts w:hint="eastAsia"/>
        </w:rPr>
        <w:t>that the Copyright Act unduly limits the ability of persons with print and visual impairments from accessing information and, in turn, this creates a barrier to the realisation of their rights</w:t>
      </w:r>
      <w:r w:rsidR="00002B56">
        <w:t xml:space="preserve">. </w:t>
      </w:r>
      <w:r w:rsidR="008A3FEF">
        <w:t xml:space="preserve"> </w:t>
      </w:r>
      <w:r w:rsidR="00044680">
        <w:t>It</w:t>
      </w:r>
      <w:r w:rsidR="00002B56">
        <w:t xml:space="preserve"> argue</w:t>
      </w:r>
      <w:r w:rsidR="00044680">
        <w:t>s</w:t>
      </w:r>
      <w:r w:rsidR="00002B56">
        <w:t xml:space="preserve"> that </w:t>
      </w:r>
      <w:r w:rsidR="00002B56" w:rsidRPr="00002B56">
        <w:t xml:space="preserve">the Copyright Act provides for limitations on the reproduction of original works. </w:t>
      </w:r>
      <w:r w:rsidR="008A3FEF">
        <w:t xml:space="preserve"> </w:t>
      </w:r>
      <w:r w:rsidR="00002B56" w:rsidRPr="00002B56">
        <w:t>As a result, adapting a copyrighted work may amount to a copyright infringement, which may constitute an offence</w:t>
      </w:r>
      <w:r w:rsidR="00002B56">
        <w:t xml:space="preserve">. </w:t>
      </w:r>
      <w:r w:rsidR="008A3FEF">
        <w:t xml:space="preserve"> </w:t>
      </w:r>
      <w:r w:rsidR="00EC4F4D">
        <w:t>It</w:t>
      </w:r>
      <w:r w:rsidR="00002B56">
        <w:t xml:space="preserve"> contend</w:t>
      </w:r>
      <w:r w:rsidR="00EC4F4D">
        <w:t>s</w:t>
      </w:r>
      <w:r w:rsidR="00002B56" w:rsidRPr="00002B56">
        <w:t xml:space="preserve"> copyrighted works often need to be adapted to “accessible formats” in order for them to be usable by persons with visual and print disabilities. </w:t>
      </w:r>
      <w:r w:rsidR="008A3FEF">
        <w:t xml:space="preserve"> </w:t>
      </w:r>
      <w:r w:rsidR="00002B56" w:rsidRPr="00002B56">
        <w:t>These include “digital formats that enable the use of screen readers”, and may include “adding audio descriptions to films and broadcasts, as well as subtitles</w:t>
      </w:r>
      <w:r w:rsidR="004444F2">
        <w:t>”</w:t>
      </w:r>
      <w:r w:rsidR="00002B56">
        <w:t xml:space="preserve">. </w:t>
      </w:r>
      <w:r w:rsidR="008A3FEF">
        <w:t xml:space="preserve"> It </w:t>
      </w:r>
      <w:r w:rsidR="00002B56">
        <w:t>contend</w:t>
      </w:r>
      <w:r w:rsidR="008A3FEF">
        <w:t>s</w:t>
      </w:r>
      <w:r w:rsidR="00002B56">
        <w:t xml:space="preserve"> </w:t>
      </w:r>
      <w:r w:rsidR="00002B56" w:rsidRPr="00002B56">
        <w:t>that the current South Africa</w:t>
      </w:r>
      <w:r w:rsidR="008A3FEF">
        <w:t>n</w:t>
      </w:r>
      <w:r w:rsidR="00002B56" w:rsidRPr="00002B56">
        <w:t xml:space="preserve"> </w:t>
      </w:r>
      <w:r w:rsidR="008A3FEF">
        <w:t>c</w:t>
      </w:r>
      <w:r w:rsidR="00002B56" w:rsidRPr="00002B56">
        <w:t>opyright regime is in conflict with the right to freedom of expression and access to information</w:t>
      </w:r>
      <w:r w:rsidR="00EC4F4D">
        <w:t xml:space="preserve">. </w:t>
      </w:r>
      <w:r w:rsidR="00002B56" w:rsidRPr="00002B56">
        <w:t xml:space="preserve"> </w:t>
      </w:r>
      <w:r w:rsidR="00EC4F4D">
        <w:t>As</w:t>
      </w:r>
      <w:r w:rsidR="00002B56" w:rsidRPr="00002B56">
        <w:t xml:space="preserve"> a result</w:t>
      </w:r>
      <w:r w:rsidR="00EC4F4D">
        <w:t>,</w:t>
      </w:r>
      <w:r w:rsidR="00002B56" w:rsidRPr="00002B56">
        <w:t xml:space="preserve"> a balance must be struck between the rights of copyright and intellectual property owners and the rights of all people to access and impart knowledge and ideas</w:t>
      </w:r>
      <w:r w:rsidR="00002B56">
        <w:t>.</w:t>
      </w:r>
      <w:r w:rsidR="00101769">
        <w:t xml:space="preserve"> </w:t>
      </w:r>
      <w:r w:rsidR="008A3FEF">
        <w:t xml:space="preserve"> </w:t>
      </w:r>
      <w:r w:rsidR="00EC4F4D">
        <w:t>It</w:t>
      </w:r>
      <w:r w:rsidR="00101769">
        <w:t xml:space="preserve"> contend</w:t>
      </w:r>
      <w:r w:rsidR="00EC4F4D">
        <w:t>s</w:t>
      </w:r>
      <w:r w:rsidR="00101769">
        <w:t xml:space="preserve"> </w:t>
      </w:r>
      <w:r w:rsidR="00101769" w:rsidRPr="00101769">
        <w:rPr>
          <w:rFonts w:hint="eastAsia"/>
        </w:rPr>
        <w:t>in terms of section 237 of the Constitution, the reading in remedy proposed by the applicants is appropriate, having regard to the fact that the state has not performed its obligations to person</w:t>
      </w:r>
      <w:r w:rsidR="004444F2">
        <w:t>s</w:t>
      </w:r>
      <w:r w:rsidR="00101769" w:rsidRPr="00101769">
        <w:rPr>
          <w:rFonts w:hint="eastAsia"/>
        </w:rPr>
        <w:t xml:space="preserve"> with visual disabilities</w:t>
      </w:r>
      <w:r w:rsidR="00101769">
        <w:t>.</w:t>
      </w:r>
    </w:p>
    <w:p w14:paraId="61E08A90" w14:textId="77777777" w:rsidR="00101769" w:rsidRDefault="00101769" w:rsidP="006474CE"/>
    <w:p w14:paraId="7E30B337" w14:textId="09E4996E" w:rsidR="00101769" w:rsidRDefault="00EC4F4D" w:rsidP="006474CE">
      <w:r>
        <w:t xml:space="preserve">The </w:t>
      </w:r>
      <w:r w:rsidR="0047282D">
        <w:t xml:space="preserve">International Commission of Jurists has been admitted as </w:t>
      </w:r>
      <w:r>
        <w:t>the</w:t>
      </w:r>
      <w:r w:rsidR="0047282D">
        <w:t xml:space="preserve"> third</w:t>
      </w:r>
      <w:r w:rsidR="0047282D" w:rsidRPr="0047282D">
        <w:t xml:space="preserve"> amicus curiae</w:t>
      </w:r>
      <w:r w:rsidR="0047282D">
        <w:t xml:space="preserve">. </w:t>
      </w:r>
      <w:r w:rsidR="008A3FEF">
        <w:t xml:space="preserve"> </w:t>
      </w:r>
      <w:r w:rsidR="0047282D" w:rsidRPr="0047282D">
        <w:t xml:space="preserve">They contend </w:t>
      </w:r>
      <w:r w:rsidR="0047282D" w:rsidRPr="0047282D">
        <w:rPr>
          <w:rFonts w:hint="eastAsia"/>
        </w:rPr>
        <w:t>that the Copyright Act</w:t>
      </w:r>
      <w:r w:rsidR="0047282D">
        <w:t xml:space="preserve"> </w:t>
      </w:r>
      <w:r w:rsidR="0047282D" w:rsidRPr="0047282D">
        <w:t>is unconstitutional</w:t>
      </w:r>
      <w:r w:rsidR="0047282D">
        <w:t>,</w:t>
      </w:r>
      <w:r w:rsidR="0047282D" w:rsidRPr="0047282D">
        <w:t xml:space="preserve"> a</w:t>
      </w:r>
      <w:r w:rsidR="004444F2">
        <w:t>nd is in contravention of South </w:t>
      </w:r>
      <w:r w:rsidR="0047282D" w:rsidRPr="0047282D">
        <w:t>Africa’s international law obligations, and which South Africa must perform in terms of section 237 of the Constitution</w:t>
      </w:r>
      <w:r w:rsidR="0047282D">
        <w:t>.</w:t>
      </w:r>
      <w:r w:rsidR="0099094B">
        <w:t xml:space="preserve"> </w:t>
      </w:r>
      <w:r w:rsidR="008A3FEF">
        <w:t xml:space="preserve"> </w:t>
      </w:r>
      <w:r w:rsidR="0099094B">
        <w:t xml:space="preserve">They argue that the </w:t>
      </w:r>
      <w:r w:rsidR="0099094B" w:rsidRPr="0099094B">
        <w:t xml:space="preserve">enactment of provisions like </w:t>
      </w:r>
      <w:r w:rsidR="0099094B" w:rsidRPr="0099094B">
        <w:lastRenderedPageBreak/>
        <w:t>section</w:t>
      </w:r>
      <w:r w:rsidR="008A3FEF">
        <w:t> </w:t>
      </w:r>
      <w:r w:rsidR="0099094B" w:rsidRPr="0099094B">
        <w:t>19D of the Bill is legally permissible in terms of South Africa’s international human rights law obligations.</w:t>
      </w:r>
      <w:r w:rsidR="0099094B">
        <w:t xml:space="preserve"> </w:t>
      </w:r>
      <w:r w:rsidR="00D279CE">
        <w:t xml:space="preserve"> </w:t>
      </w:r>
      <w:r w:rsidR="0099094B">
        <w:t xml:space="preserve">They contend that </w:t>
      </w:r>
      <w:r w:rsidR="0099094B" w:rsidRPr="0099094B">
        <w:t>South</w:t>
      </w:r>
      <w:r w:rsidR="00D279CE">
        <w:t> </w:t>
      </w:r>
      <w:r w:rsidR="0099094B" w:rsidRPr="0099094B">
        <w:t>Africa has obligations in terms of the Convention on the Rights of Persons with Disabilities (CRPD), the International Covenant on Economic, Social and Cultural Rights (ICESCR) and the Marrakesh Treaty</w:t>
      </w:r>
      <w:r w:rsidR="00D279CE">
        <w:t xml:space="preserve">.  </w:t>
      </w:r>
      <w:r w:rsidR="0099094B">
        <w:t xml:space="preserve">They argue that the </w:t>
      </w:r>
      <w:r w:rsidR="0099094B" w:rsidRPr="0099094B">
        <w:t>interpretation of the CPRD and ICESCR as well as the interpretation of the constitutional p</w:t>
      </w:r>
      <w:r w:rsidR="0099094B">
        <w:t xml:space="preserve">rovisions and legislation </w:t>
      </w:r>
      <w:r w:rsidR="0099094B" w:rsidRPr="0099094B">
        <w:t xml:space="preserve">is important in the Court’s test of constitutionality of the </w:t>
      </w:r>
      <w:r w:rsidR="004444F2">
        <w:t xml:space="preserve">Copyright </w:t>
      </w:r>
      <w:r w:rsidR="0099094B" w:rsidRPr="0099094B">
        <w:t>Act and the determination of a just and equitable remedy.</w:t>
      </w:r>
      <w:r w:rsidR="0099094B">
        <w:t xml:space="preserve"> </w:t>
      </w:r>
      <w:r w:rsidR="00D279CE">
        <w:t xml:space="preserve"> </w:t>
      </w:r>
      <w:r w:rsidR="0099094B">
        <w:t>They provide</w:t>
      </w:r>
      <w:r w:rsidR="0099094B" w:rsidRPr="0099094B">
        <w:t xml:space="preserve"> interpretation</w:t>
      </w:r>
      <w:r w:rsidR="00B825E6">
        <w:t>s</w:t>
      </w:r>
      <w:r w:rsidR="0099094B" w:rsidRPr="0099094B">
        <w:t xml:space="preserve"> </w:t>
      </w:r>
      <w:r w:rsidR="00B825E6">
        <w:t xml:space="preserve">of the </w:t>
      </w:r>
      <w:r w:rsidR="0099094B" w:rsidRPr="0099094B">
        <w:t>provisions of the Vienna Convention on the Law of Treaties (VCLT); the Marrakesh Treaty, CRPD and ICESCR</w:t>
      </w:r>
      <w:r w:rsidR="00D279CE">
        <w:t>.</w:t>
      </w:r>
      <w:bookmarkStart w:id="0" w:name="_GoBack"/>
      <w:bookmarkEnd w:id="0"/>
      <w:r w:rsidR="0099094B">
        <w:t xml:space="preserve"> </w:t>
      </w:r>
      <w:r w:rsidR="00D279CE">
        <w:t xml:space="preserve"> </w:t>
      </w:r>
      <w:r w:rsidR="0099094B">
        <w:t xml:space="preserve">They argue </w:t>
      </w:r>
      <w:r>
        <w:t xml:space="preserve">that </w:t>
      </w:r>
      <w:r w:rsidR="0099094B" w:rsidRPr="0099094B">
        <w:t>any interpretation of international law</w:t>
      </w:r>
      <w:r>
        <w:t xml:space="preserve"> </w:t>
      </w:r>
      <w:r w:rsidR="0099094B" w:rsidRPr="0099094B">
        <w:t>which omit</w:t>
      </w:r>
      <w:r>
        <w:t xml:space="preserve">s </w:t>
      </w:r>
      <w:r w:rsidR="0099094B" w:rsidRPr="0099094B">
        <w:t xml:space="preserve">South Africa’s international human rights law obligations disregards the prescriptions of </w:t>
      </w:r>
      <w:r w:rsidR="00D279CE">
        <w:t xml:space="preserve">the </w:t>
      </w:r>
      <w:r w:rsidR="0099094B" w:rsidRPr="0099094B">
        <w:t>VCLT Article 31(3</w:t>
      </w:r>
      <w:proofErr w:type="gramStart"/>
      <w:r w:rsidR="0099094B" w:rsidRPr="0099094B">
        <w:t>)(</w:t>
      </w:r>
      <w:proofErr w:type="gramEnd"/>
      <w:r w:rsidR="0099094B" w:rsidRPr="0099094B">
        <w:t>c)</w:t>
      </w:r>
      <w:r w:rsidR="0099094B">
        <w:t>.</w:t>
      </w:r>
    </w:p>
    <w:sectPr w:rsidR="00101769" w:rsidSect="00883D6C">
      <w:pgSz w:w="12240" w:h="15840"/>
      <w:pgMar w:top="1440" w:right="1800" w:bottom="1440" w:left="180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16BD09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2535EB" w16cex:dateUtc="2022-05-10T16: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16BD097" w16cid:durableId="262535E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ECB36E" w14:textId="77777777" w:rsidR="003D586D" w:rsidRDefault="003D586D" w:rsidP="00002B56">
      <w:r>
        <w:separator/>
      </w:r>
    </w:p>
  </w:endnote>
  <w:endnote w:type="continuationSeparator" w:id="0">
    <w:p w14:paraId="29357269" w14:textId="77777777" w:rsidR="003D586D" w:rsidRDefault="003D586D" w:rsidP="00002B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2D20BC" w14:textId="77777777" w:rsidR="003D586D" w:rsidRDefault="003D586D" w:rsidP="00002B56">
      <w:r>
        <w:separator/>
      </w:r>
    </w:p>
  </w:footnote>
  <w:footnote w:type="continuationSeparator" w:id="0">
    <w:p w14:paraId="2570467B" w14:textId="77777777" w:rsidR="003D586D" w:rsidRDefault="003D586D" w:rsidP="00002B5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avid unterhalter">
    <w15:presenceInfo w15:providerId="Windows Live" w15:userId="32d3ddf00b6c8f9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E75"/>
    <w:rsid w:val="00002B56"/>
    <w:rsid w:val="00017302"/>
    <w:rsid w:val="00023FA7"/>
    <w:rsid w:val="0003383F"/>
    <w:rsid w:val="00044680"/>
    <w:rsid w:val="00044771"/>
    <w:rsid w:val="000548D7"/>
    <w:rsid w:val="00055B29"/>
    <w:rsid w:val="00064F2E"/>
    <w:rsid w:val="000654B1"/>
    <w:rsid w:val="0007028D"/>
    <w:rsid w:val="00070E99"/>
    <w:rsid w:val="000806AE"/>
    <w:rsid w:val="00082DB6"/>
    <w:rsid w:val="00091F8C"/>
    <w:rsid w:val="00093E39"/>
    <w:rsid w:val="00094E7C"/>
    <w:rsid w:val="000A36D1"/>
    <w:rsid w:val="000A36F3"/>
    <w:rsid w:val="000D09EA"/>
    <w:rsid w:val="000D1E6E"/>
    <w:rsid w:val="000D35AE"/>
    <w:rsid w:val="000E72AA"/>
    <w:rsid w:val="00100894"/>
    <w:rsid w:val="00101769"/>
    <w:rsid w:val="00101A9E"/>
    <w:rsid w:val="00113454"/>
    <w:rsid w:val="00117D6B"/>
    <w:rsid w:val="00122E3D"/>
    <w:rsid w:val="00125BE8"/>
    <w:rsid w:val="0013735E"/>
    <w:rsid w:val="00144AB3"/>
    <w:rsid w:val="0015307D"/>
    <w:rsid w:val="00172A2C"/>
    <w:rsid w:val="001A24C8"/>
    <w:rsid w:val="001B2721"/>
    <w:rsid w:val="001E0840"/>
    <w:rsid w:val="001E31D8"/>
    <w:rsid w:val="001E57F4"/>
    <w:rsid w:val="001E5F5A"/>
    <w:rsid w:val="001E7604"/>
    <w:rsid w:val="00200AB8"/>
    <w:rsid w:val="00215823"/>
    <w:rsid w:val="002348C0"/>
    <w:rsid w:val="002435AB"/>
    <w:rsid w:val="002479FB"/>
    <w:rsid w:val="00250C27"/>
    <w:rsid w:val="00253986"/>
    <w:rsid w:val="00256C3D"/>
    <w:rsid w:val="002705A8"/>
    <w:rsid w:val="0027251B"/>
    <w:rsid w:val="00284D30"/>
    <w:rsid w:val="002D184B"/>
    <w:rsid w:val="002D7582"/>
    <w:rsid w:val="00305423"/>
    <w:rsid w:val="0031792A"/>
    <w:rsid w:val="00323149"/>
    <w:rsid w:val="003255EA"/>
    <w:rsid w:val="0032682A"/>
    <w:rsid w:val="00334E0F"/>
    <w:rsid w:val="00357788"/>
    <w:rsid w:val="0037720A"/>
    <w:rsid w:val="003807A5"/>
    <w:rsid w:val="003845A8"/>
    <w:rsid w:val="003850ED"/>
    <w:rsid w:val="00386254"/>
    <w:rsid w:val="003A6FB7"/>
    <w:rsid w:val="003B4484"/>
    <w:rsid w:val="003B7039"/>
    <w:rsid w:val="003C40ED"/>
    <w:rsid w:val="003D1CF1"/>
    <w:rsid w:val="003D586D"/>
    <w:rsid w:val="003E47C4"/>
    <w:rsid w:val="003F0347"/>
    <w:rsid w:val="003F1959"/>
    <w:rsid w:val="003F3E2F"/>
    <w:rsid w:val="004036FB"/>
    <w:rsid w:val="004065B7"/>
    <w:rsid w:val="00410075"/>
    <w:rsid w:val="004302FD"/>
    <w:rsid w:val="00430C6F"/>
    <w:rsid w:val="004426F8"/>
    <w:rsid w:val="004444F2"/>
    <w:rsid w:val="00461E75"/>
    <w:rsid w:val="0047282D"/>
    <w:rsid w:val="00490F2C"/>
    <w:rsid w:val="004A1AEE"/>
    <w:rsid w:val="004C5AD8"/>
    <w:rsid w:val="004C7EF7"/>
    <w:rsid w:val="004D716D"/>
    <w:rsid w:val="005038A1"/>
    <w:rsid w:val="00524F3A"/>
    <w:rsid w:val="005257B9"/>
    <w:rsid w:val="00526226"/>
    <w:rsid w:val="005307A5"/>
    <w:rsid w:val="0053527E"/>
    <w:rsid w:val="00557E2E"/>
    <w:rsid w:val="00566548"/>
    <w:rsid w:val="00573AEA"/>
    <w:rsid w:val="00580F15"/>
    <w:rsid w:val="00587A53"/>
    <w:rsid w:val="00594B56"/>
    <w:rsid w:val="005956C2"/>
    <w:rsid w:val="005B2F2F"/>
    <w:rsid w:val="005B51EB"/>
    <w:rsid w:val="005C4482"/>
    <w:rsid w:val="005E52AC"/>
    <w:rsid w:val="005E557D"/>
    <w:rsid w:val="005F322E"/>
    <w:rsid w:val="00606CD7"/>
    <w:rsid w:val="00616848"/>
    <w:rsid w:val="00624FFE"/>
    <w:rsid w:val="00630AA9"/>
    <w:rsid w:val="0063514B"/>
    <w:rsid w:val="00642528"/>
    <w:rsid w:val="006474CE"/>
    <w:rsid w:val="006524D4"/>
    <w:rsid w:val="006543E3"/>
    <w:rsid w:val="006735C9"/>
    <w:rsid w:val="00674452"/>
    <w:rsid w:val="006749D6"/>
    <w:rsid w:val="00676CFE"/>
    <w:rsid w:val="0068208F"/>
    <w:rsid w:val="00685C91"/>
    <w:rsid w:val="006879F3"/>
    <w:rsid w:val="00694175"/>
    <w:rsid w:val="006966FC"/>
    <w:rsid w:val="006A677A"/>
    <w:rsid w:val="006C12C4"/>
    <w:rsid w:val="006E6A2F"/>
    <w:rsid w:val="007106E2"/>
    <w:rsid w:val="00712458"/>
    <w:rsid w:val="00716FAA"/>
    <w:rsid w:val="00720ACA"/>
    <w:rsid w:val="007328EC"/>
    <w:rsid w:val="007408D3"/>
    <w:rsid w:val="00750F83"/>
    <w:rsid w:val="00752C8F"/>
    <w:rsid w:val="00762738"/>
    <w:rsid w:val="007659FF"/>
    <w:rsid w:val="007746CE"/>
    <w:rsid w:val="00775169"/>
    <w:rsid w:val="007803DA"/>
    <w:rsid w:val="00780874"/>
    <w:rsid w:val="0078535D"/>
    <w:rsid w:val="007C65D9"/>
    <w:rsid w:val="007D1E4D"/>
    <w:rsid w:val="007D6DF5"/>
    <w:rsid w:val="007F0EF4"/>
    <w:rsid w:val="007F3C29"/>
    <w:rsid w:val="007F7DCD"/>
    <w:rsid w:val="00801124"/>
    <w:rsid w:val="0081741F"/>
    <w:rsid w:val="00823B02"/>
    <w:rsid w:val="0083215D"/>
    <w:rsid w:val="00834D25"/>
    <w:rsid w:val="008351C8"/>
    <w:rsid w:val="0086048D"/>
    <w:rsid w:val="00866508"/>
    <w:rsid w:val="00867767"/>
    <w:rsid w:val="0087005B"/>
    <w:rsid w:val="00881D33"/>
    <w:rsid w:val="00882096"/>
    <w:rsid w:val="00883D6C"/>
    <w:rsid w:val="008943E7"/>
    <w:rsid w:val="008A3FEF"/>
    <w:rsid w:val="008A5FDC"/>
    <w:rsid w:val="008B1777"/>
    <w:rsid w:val="008B532D"/>
    <w:rsid w:val="008C3682"/>
    <w:rsid w:val="008D24BC"/>
    <w:rsid w:val="008D3D39"/>
    <w:rsid w:val="008D67F0"/>
    <w:rsid w:val="008E3A97"/>
    <w:rsid w:val="008E54C8"/>
    <w:rsid w:val="008F4B8F"/>
    <w:rsid w:val="008F6977"/>
    <w:rsid w:val="0090690C"/>
    <w:rsid w:val="00910F26"/>
    <w:rsid w:val="00911DB9"/>
    <w:rsid w:val="00913F2E"/>
    <w:rsid w:val="0096072E"/>
    <w:rsid w:val="009642D7"/>
    <w:rsid w:val="009742EB"/>
    <w:rsid w:val="0099094B"/>
    <w:rsid w:val="00992CAE"/>
    <w:rsid w:val="00994CAE"/>
    <w:rsid w:val="009B7D1B"/>
    <w:rsid w:val="009E7D9D"/>
    <w:rsid w:val="00A0140F"/>
    <w:rsid w:val="00A142B7"/>
    <w:rsid w:val="00A17858"/>
    <w:rsid w:val="00A2044B"/>
    <w:rsid w:val="00A37027"/>
    <w:rsid w:val="00A47D4A"/>
    <w:rsid w:val="00A51C04"/>
    <w:rsid w:val="00A55B9B"/>
    <w:rsid w:val="00AA17C0"/>
    <w:rsid w:val="00AA3378"/>
    <w:rsid w:val="00AC799A"/>
    <w:rsid w:val="00AD14A5"/>
    <w:rsid w:val="00AD6CD2"/>
    <w:rsid w:val="00AE4640"/>
    <w:rsid w:val="00AF0A36"/>
    <w:rsid w:val="00AF67D4"/>
    <w:rsid w:val="00B3177F"/>
    <w:rsid w:val="00B31B92"/>
    <w:rsid w:val="00B36F54"/>
    <w:rsid w:val="00B428BE"/>
    <w:rsid w:val="00B4658E"/>
    <w:rsid w:val="00B4750B"/>
    <w:rsid w:val="00B540D0"/>
    <w:rsid w:val="00B630F2"/>
    <w:rsid w:val="00B80F33"/>
    <w:rsid w:val="00B825E6"/>
    <w:rsid w:val="00BC6862"/>
    <w:rsid w:val="00BD5BBE"/>
    <w:rsid w:val="00BE6FBD"/>
    <w:rsid w:val="00C14E9E"/>
    <w:rsid w:val="00C15790"/>
    <w:rsid w:val="00C43D8A"/>
    <w:rsid w:val="00C44D82"/>
    <w:rsid w:val="00C45F8A"/>
    <w:rsid w:val="00C47F29"/>
    <w:rsid w:val="00C51AFC"/>
    <w:rsid w:val="00C536E8"/>
    <w:rsid w:val="00C55A66"/>
    <w:rsid w:val="00C616DF"/>
    <w:rsid w:val="00C70B69"/>
    <w:rsid w:val="00C85429"/>
    <w:rsid w:val="00C96321"/>
    <w:rsid w:val="00CA21ED"/>
    <w:rsid w:val="00CA60EC"/>
    <w:rsid w:val="00CB2E3D"/>
    <w:rsid w:val="00CB6909"/>
    <w:rsid w:val="00CC212F"/>
    <w:rsid w:val="00CE51A0"/>
    <w:rsid w:val="00CF383D"/>
    <w:rsid w:val="00D00963"/>
    <w:rsid w:val="00D12501"/>
    <w:rsid w:val="00D200E8"/>
    <w:rsid w:val="00D279CE"/>
    <w:rsid w:val="00D356A3"/>
    <w:rsid w:val="00D40819"/>
    <w:rsid w:val="00D43D03"/>
    <w:rsid w:val="00D64E65"/>
    <w:rsid w:val="00D659C5"/>
    <w:rsid w:val="00D81F8F"/>
    <w:rsid w:val="00D86239"/>
    <w:rsid w:val="00DB12FA"/>
    <w:rsid w:val="00DB1A44"/>
    <w:rsid w:val="00DC59A4"/>
    <w:rsid w:val="00DD5682"/>
    <w:rsid w:val="00DE5133"/>
    <w:rsid w:val="00DE7B41"/>
    <w:rsid w:val="00E07942"/>
    <w:rsid w:val="00E27310"/>
    <w:rsid w:val="00E545EA"/>
    <w:rsid w:val="00E56D2B"/>
    <w:rsid w:val="00E636E4"/>
    <w:rsid w:val="00E661EE"/>
    <w:rsid w:val="00E736CB"/>
    <w:rsid w:val="00E8342B"/>
    <w:rsid w:val="00E93F86"/>
    <w:rsid w:val="00EA113C"/>
    <w:rsid w:val="00EB39AD"/>
    <w:rsid w:val="00EC30F9"/>
    <w:rsid w:val="00EC3DF4"/>
    <w:rsid w:val="00EC4F4D"/>
    <w:rsid w:val="00ED5B69"/>
    <w:rsid w:val="00EE10EC"/>
    <w:rsid w:val="00EE7EF0"/>
    <w:rsid w:val="00F04568"/>
    <w:rsid w:val="00F43565"/>
    <w:rsid w:val="00F43ADD"/>
    <w:rsid w:val="00F50679"/>
    <w:rsid w:val="00F5283F"/>
    <w:rsid w:val="00F70E31"/>
    <w:rsid w:val="00F74A3C"/>
    <w:rsid w:val="00F77A10"/>
    <w:rsid w:val="00F9066C"/>
    <w:rsid w:val="00F91C22"/>
    <w:rsid w:val="00F97B17"/>
    <w:rsid w:val="00FA6E8D"/>
    <w:rsid w:val="00FB2AFF"/>
    <w:rsid w:val="00FB43E0"/>
    <w:rsid w:val="00FB4546"/>
    <w:rsid w:val="00FC2754"/>
    <w:rsid w:val="00FD2D52"/>
    <w:rsid w:val="00FE00A5"/>
    <w:rsid w:val="00FF171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DCF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basedOn w:val="Normal"/>
    <w:link w:val="FootnoteTextChar"/>
    <w:semiHidden/>
    <w:unhideWhenUsed/>
    <w:rsid w:val="00002B56"/>
    <w:rPr>
      <w:sz w:val="20"/>
      <w:szCs w:val="20"/>
    </w:rPr>
  </w:style>
  <w:style w:type="character" w:customStyle="1" w:styleId="FootnoteTextChar">
    <w:name w:val="Footnote Text Char"/>
    <w:basedOn w:val="DefaultParagraphFont"/>
    <w:link w:val="FootnoteText"/>
    <w:semiHidden/>
    <w:rsid w:val="00002B56"/>
    <w:rPr>
      <w:lang w:eastAsia="en-US"/>
    </w:rPr>
  </w:style>
  <w:style w:type="character" w:styleId="FootnoteReference">
    <w:name w:val="footnote reference"/>
    <w:basedOn w:val="DefaultParagraphFont"/>
    <w:semiHidden/>
    <w:unhideWhenUsed/>
    <w:rsid w:val="00002B56"/>
    <w:rPr>
      <w:vertAlign w:val="superscript"/>
    </w:rPr>
  </w:style>
  <w:style w:type="paragraph" w:styleId="Revision">
    <w:name w:val="Revision"/>
    <w:hidden/>
    <w:uiPriority w:val="99"/>
    <w:semiHidden/>
    <w:rsid w:val="00B540D0"/>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basedOn w:val="Normal"/>
    <w:link w:val="FootnoteTextChar"/>
    <w:semiHidden/>
    <w:unhideWhenUsed/>
    <w:rsid w:val="00002B56"/>
    <w:rPr>
      <w:sz w:val="20"/>
      <w:szCs w:val="20"/>
    </w:rPr>
  </w:style>
  <w:style w:type="character" w:customStyle="1" w:styleId="FootnoteTextChar">
    <w:name w:val="Footnote Text Char"/>
    <w:basedOn w:val="DefaultParagraphFont"/>
    <w:link w:val="FootnoteText"/>
    <w:semiHidden/>
    <w:rsid w:val="00002B56"/>
    <w:rPr>
      <w:lang w:eastAsia="en-US"/>
    </w:rPr>
  </w:style>
  <w:style w:type="character" w:styleId="FootnoteReference">
    <w:name w:val="footnote reference"/>
    <w:basedOn w:val="DefaultParagraphFont"/>
    <w:semiHidden/>
    <w:unhideWhenUsed/>
    <w:rsid w:val="00002B56"/>
    <w:rPr>
      <w:vertAlign w:val="superscript"/>
    </w:rPr>
  </w:style>
  <w:style w:type="paragraph" w:styleId="Revision">
    <w:name w:val="Revision"/>
    <w:hidden/>
    <w:uiPriority w:val="99"/>
    <w:semiHidden/>
    <w:rsid w:val="00B540D0"/>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cid:image001.png@01CF121A.2263A8C0" TargetMode="External"/><Relationship Id="rId5" Type="http://schemas.microsoft.com/office/2007/relationships/stylesWithEffects" Target="stylesWithEffects.xml"/><Relationship Id="rId15" Type="http://schemas.microsoft.com/office/2011/relationships/commentsExtended" Target="commentsExtended.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L:\TEMPLATES\Previous%20templates\JUDGMENT%20MEDIA%20SUMMAR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506E97-8BBC-4B77-B5A6-01DF44558196}">
  <ds:schemaRefs>
    <ds:schemaRef ds:uri="http://schemas.openxmlformats.org/officeDocument/2006/bibliography"/>
  </ds:schemaRefs>
</ds:datastoreItem>
</file>

<file path=customXml/itemProps2.xml><?xml version="1.0" encoding="utf-8"?>
<ds:datastoreItem xmlns:ds="http://schemas.openxmlformats.org/officeDocument/2006/customXml" ds:itemID="{F25F7923-1315-4D71-8DC0-33B84014D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JUDGMENT MEDIA SUMMARY TEMPLATE</Template>
  <TotalTime>15</TotalTime>
  <Pages>4</Pages>
  <Words>1519</Words>
  <Characters>8664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10163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Katy Hindle</dc:creator>
  <cp:lastModifiedBy>Tshephisho Somo</cp:lastModifiedBy>
  <cp:revision>4</cp:revision>
  <cp:lastPrinted>2012-11-28T14:40:00Z</cp:lastPrinted>
  <dcterms:created xsi:type="dcterms:W3CDTF">2022-05-10T19:10:00Z</dcterms:created>
  <dcterms:modified xsi:type="dcterms:W3CDTF">2022-05-11T07:38:00Z</dcterms:modified>
</cp:coreProperties>
</file>