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070756" w14:textId="77777777" w:rsidR="00664A82" w:rsidRPr="004B4ACA" w:rsidRDefault="00664A82" w:rsidP="000A6BD8">
      <w:pPr>
        <w:spacing w:line="240" w:lineRule="auto"/>
        <w:jc w:val="center"/>
        <w:outlineLvl w:val="0"/>
        <w:rPr>
          <w:sz w:val="24"/>
          <w:szCs w:val="24"/>
        </w:rPr>
      </w:pPr>
      <w:r w:rsidRPr="004B4ACA">
        <w:rPr>
          <w:b/>
          <w:bCs/>
          <w:noProof/>
          <w:color w:val="1F497D"/>
          <w:sz w:val="24"/>
          <w:szCs w:val="24"/>
          <w:lang w:eastAsia="en-ZA"/>
        </w:rPr>
        <w:drawing>
          <wp:inline distT="0" distB="0" distL="0" distR="0" wp14:anchorId="367B40A2" wp14:editId="316B5348">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4B11E0D" w14:textId="77777777" w:rsidR="00664A82" w:rsidRPr="004B4ACA" w:rsidRDefault="00664A82" w:rsidP="000A6BD8">
      <w:pPr>
        <w:spacing w:line="240" w:lineRule="auto"/>
        <w:jc w:val="center"/>
        <w:outlineLvl w:val="0"/>
        <w:rPr>
          <w:sz w:val="24"/>
          <w:szCs w:val="24"/>
        </w:rPr>
      </w:pPr>
    </w:p>
    <w:p w14:paraId="19DA87DB" w14:textId="77777777" w:rsidR="00664A82" w:rsidRPr="004B4ACA" w:rsidRDefault="00664A82" w:rsidP="000A6BD8">
      <w:pPr>
        <w:spacing w:line="240" w:lineRule="auto"/>
        <w:jc w:val="center"/>
        <w:outlineLvl w:val="0"/>
        <w:rPr>
          <w:b/>
          <w:sz w:val="24"/>
          <w:szCs w:val="24"/>
        </w:rPr>
      </w:pPr>
      <w:r w:rsidRPr="004B4ACA">
        <w:rPr>
          <w:b/>
          <w:sz w:val="24"/>
          <w:szCs w:val="24"/>
        </w:rPr>
        <w:t>CONSTITUTIONAL COURT OF SOUTH AFRICA</w:t>
      </w:r>
    </w:p>
    <w:p w14:paraId="5F2BF078" w14:textId="77777777" w:rsidR="00664A82" w:rsidRPr="004B4ACA" w:rsidRDefault="00664A82" w:rsidP="000A6BD8">
      <w:pPr>
        <w:tabs>
          <w:tab w:val="left" w:pos="8998"/>
        </w:tabs>
        <w:spacing w:line="240" w:lineRule="auto"/>
        <w:rPr>
          <w:sz w:val="24"/>
          <w:szCs w:val="24"/>
        </w:rPr>
      </w:pPr>
    </w:p>
    <w:p w14:paraId="63764468" w14:textId="6A29E363" w:rsidR="00985AE4" w:rsidRDefault="00E74421" w:rsidP="000A6BD8">
      <w:pPr>
        <w:tabs>
          <w:tab w:val="right" w:pos="9356"/>
        </w:tabs>
        <w:spacing w:line="240" w:lineRule="auto"/>
        <w:ind w:right="-138"/>
        <w:jc w:val="center"/>
        <w:rPr>
          <w:b/>
          <w:sz w:val="24"/>
          <w:szCs w:val="24"/>
        </w:rPr>
      </w:pPr>
      <w:r>
        <w:rPr>
          <w:b/>
          <w:sz w:val="24"/>
          <w:szCs w:val="24"/>
        </w:rPr>
        <w:t>Willem Grobler v Clara Phillips and Others</w:t>
      </w:r>
    </w:p>
    <w:p w14:paraId="345F88B1" w14:textId="77777777" w:rsidR="0014061F" w:rsidRPr="004B4ACA" w:rsidRDefault="0014061F" w:rsidP="000A6BD8">
      <w:pPr>
        <w:tabs>
          <w:tab w:val="right" w:pos="9356"/>
        </w:tabs>
        <w:spacing w:line="240" w:lineRule="auto"/>
        <w:ind w:right="-138"/>
        <w:jc w:val="center"/>
        <w:rPr>
          <w:b/>
          <w:sz w:val="24"/>
          <w:szCs w:val="24"/>
        </w:rPr>
      </w:pPr>
    </w:p>
    <w:p w14:paraId="6A00D9F1" w14:textId="612733F1" w:rsidR="000A6BD8" w:rsidRPr="004B4ACA" w:rsidRDefault="000A6BD8" w:rsidP="000A6BD8">
      <w:pPr>
        <w:tabs>
          <w:tab w:val="right" w:pos="9356"/>
        </w:tabs>
        <w:spacing w:line="240" w:lineRule="auto"/>
        <w:ind w:right="-138"/>
        <w:jc w:val="left"/>
        <w:rPr>
          <w:b/>
          <w:bCs/>
          <w:sz w:val="24"/>
          <w:szCs w:val="24"/>
        </w:rPr>
      </w:pPr>
      <w:r w:rsidRPr="004B4ACA">
        <w:rPr>
          <w:b/>
          <w:sz w:val="24"/>
          <w:szCs w:val="24"/>
        </w:rPr>
        <w:tab/>
      </w:r>
      <w:r w:rsidRPr="004B4ACA">
        <w:rPr>
          <w:b/>
          <w:bCs/>
          <w:sz w:val="24"/>
          <w:szCs w:val="24"/>
        </w:rPr>
        <w:t xml:space="preserve">Case CCT </w:t>
      </w:r>
      <w:r w:rsidR="00E74421">
        <w:rPr>
          <w:b/>
          <w:bCs/>
          <w:sz w:val="24"/>
          <w:szCs w:val="24"/>
        </w:rPr>
        <w:t>243</w:t>
      </w:r>
      <w:r w:rsidRPr="004B4ACA">
        <w:rPr>
          <w:b/>
          <w:bCs/>
          <w:sz w:val="24"/>
          <w:szCs w:val="24"/>
        </w:rPr>
        <w:t>/21</w:t>
      </w:r>
    </w:p>
    <w:p w14:paraId="25D4FC14" w14:textId="76D749D4" w:rsidR="000A6BD8" w:rsidRPr="004B4ACA" w:rsidRDefault="000A6BD8" w:rsidP="000A6BD8">
      <w:pPr>
        <w:tabs>
          <w:tab w:val="right" w:pos="9356"/>
        </w:tabs>
        <w:spacing w:line="240" w:lineRule="auto"/>
        <w:ind w:right="-138"/>
        <w:jc w:val="left"/>
        <w:rPr>
          <w:b/>
          <w:bCs/>
          <w:sz w:val="24"/>
          <w:szCs w:val="24"/>
        </w:rPr>
      </w:pPr>
      <w:r w:rsidRPr="004B4ACA">
        <w:rPr>
          <w:b/>
          <w:bCs/>
          <w:sz w:val="24"/>
          <w:szCs w:val="24"/>
        </w:rPr>
        <w:tab/>
      </w:r>
    </w:p>
    <w:p w14:paraId="4A3BE90E" w14:textId="5D5C8F5D" w:rsidR="000A6BD8" w:rsidRPr="004B4ACA" w:rsidRDefault="000A6BD8" w:rsidP="000A6BD8">
      <w:pPr>
        <w:tabs>
          <w:tab w:val="right" w:pos="9356"/>
        </w:tabs>
        <w:spacing w:line="240" w:lineRule="auto"/>
        <w:ind w:right="-138"/>
        <w:jc w:val="left"/>
        <w:rPr>
          <w:b/>
          <w:bCs/>
          <w:sz w:val="24"/>
          <w:szCs w:val="24"/>
        </w:rPr>
      </w:pPr>
      <w:r w:rsidRPr="004B4ACA">
        <w:rPr>
          <w:b/>
          <w:bCs/>
          <w:sz w:val="24"/>
          <w:szCs w:val="24"/>
        </w:rPr>
        <w:tab/>
        <w:t xml:space="preserve">Date of hearing: </w:t>
      </w:r>
      <w:r w:rsidR="0014061F">
        <w:rPr>
          <w:b/>
          <w:bCs/>
          <w:sz w:val="24"/>
          <w:szCs w:val="24"/>
        </w:rPr>
        <w:t>1</w:t>
      </w:r>
      <w:r w:rsidR="00E74421">
        <w:rPr>
          <w:b/>
          <w:bCs/>
          <w:sz w:val="24"/>
          <w:szCs w:val="24"/>
        </w:rPr>
        <w:t>0 May 2022</w:t>
      </w:r>
    </w:p>
    <w:p w14:paraId="7174F367" w14:textId="77777777" w:rsidR="00664A82" w:rsidRPr="004B4ACA" w:rsidRDefault="00664A82" w:rsidP="000A6BD8">
      <w:pPr>
        <w:spacing w:line="240" w:lineRule="auto"/>
        <w:rPr>
          <w:sz w:val="24"/>
          <w:szCs w:val="24"/>
        </w:rPr>
      </w:pPr>
    </w:p>
    <w:p w14:paraId="2EAABBDE" w14:textId="77777777" w:rsidR="00664A82" w:rsidRPr="004B4ACA" w:rsidRDefault="00664A82" w:rsidP="000A6BD8">
      <w:pPr>
        <w:pStyle w:val="JUDGMENTCONTINUED"/>
        <w:spacing w:line="240" w:lineRule="auto"/>
        <w:rPr>
          <w:sz w:val="24"/>
          <w:szCs w:val="24"/>
        </w:rPr>
      </w:pPr>
    </w:p>
    <w:p w14:paraId="66F5FA74" w14:textId="77777777" w:rsidR="00664A82" w:rsidRPr="004B4ACA" w:rsidRDefault="00664A82" w:rsidP="000A6BD8">
      <w:pPr>
        <w:pStyle w:val="JUDGMENTCONTINUED"/>
        <w:spacing w:line="240" w:lineRule="auto"/>
        <w:rPr>
          <w:sz w:val="24"/>
          <w:szCs w:val="24"/>
        </w:rPr>
        <w:sectPr w:rsidR="00664A82" w:rsidRPr="004B4ACA" w:rsidSect="00664A82">
          <w:footerReference w:type="default" r:id="rId9"/>
          <w:type w:val="continuous"/>
          <w:pgSz w:w="11907" w:h="16839" w:code="9"/>
          <w:pgMar w:top="1440" w:right="1440" w:bottom="1440" w:left="1440" w:header="708" w:footer="708" w:gutter="0"/>
          <w:pgNumType w:start="1"/>
          <w:cols w:space="708"/>
          <w:titlePg/>
          <w:docGrid w:linePitch="360"/>
        </w:sectPr>
      </w:pPr>
    </w:p>
    <w:p w14:paraId="059626EF" w14:textId="77777777" w:rsidR="00664A82" w:rsidRPr="004B4ACA" w:rsidRDefault="00664A82" w:rsidP="000A6BD8">
      <w:pPr>
        <w:keepNext/>
        <w:pBdr>
          <w:top w:val="single" w:sz="4" w:space="1" w:color="auto"/>
          <w:bottom w:val="single" w:sz="4" w:space="1" w:color="auto"/>
        </w:pBdr>
        <w:spacing w:line="240" w:lineRule="auto"/>
        <w:jc w:val="center"/>
        <w:rPr>
          <w:sz w:val="24"/>
          <w:szCs w:val="24"/>
        </w:rPr>
      </w:pPr>
    </w:p>
    <w:p w14:paraId="6C605CCA" w14:textId="0D11D607" w:rsidR="00664A82" w:rsidRPr="004B4ACA" w:rsidRDefault="000A6BD8" w:rsidP="000A6BD8">
      <w:pPr>
        <w:pBdr>
          <w:top w:val="single" w:sz="4" w:space="1" w:color="auto"/>
          <w:bottom w:val="single" w:sz="4" w:space="1" w:color="auto"/>
        </w:pBdr>
        <w:spacing w:line="240" w:lineRule="auto"/>
        <w:jc w:val="center"/>
        <w:rPr>
          <w:b/>
          <w:bCs/>
          <w:sz w:val="24"/>
          <w:szCs w:val="24"/>
        </w:rPr>
      </w:pPr>
      <w:r w:rsidRPr="004B4ACA">
        <w:rPr>
          <w:b/>
          <w:bCs/>
          <w:sz w:val="24"/>
          <w:szCs w:val="24"/>
        </w:rPr>
        <w:t>MEDIA SUMMARY</w:t>
      </w:r>
    </w:p>
    <w:p w14:paraId="47D4938A" w14:textId="77777777" w:rsidR="00664A82" w:rsidRPr="004B4ACA" w:rsidRDefault="00664A82" w:rsidP="000A6BD8">
      <w:pPr>
        <w:pBdr>
          <w:top w:val="single" w:sz="4" w:space="1" w:color="auto"/>
          <w:bottom w:val="single" w:sz="4" w:space="1" w:color="auto"/>
        </w:pBdr>
        <w:spacing w:line="240" w:lineRule="auto"/>
        <w:jc w:val="center"/>
        <w:rPr>
          <w:sz w:val="24"/>
          <w:szCs w:val="24"/>
        </w:rPr>
      </w:pPr>
    </w:p>
    <w:p w14:paraId="73939B3B" w14:textId="77777777" w:rsidR="00664A82" w:rsidRPr="004B4ACA" w:rsidRDefault="00664A82" w:rsidP="000A6BD8">
      <w:pPr>
        <w:spacing w:line="240" w:lineRule="auto"/>
        <w:rPr>
          <w:sz w:val="24"/>
          <w:szCs w:val="24"/>
        </w:rPr>
      </w:pPr>
    </w:p>
    <w:p w14:paraId="1AA2D8C0" w14:textId="02AFF43E" w:rsidR="000A6BD8" w:rsidRPr="004B4ACA" w:rsidRDefault="000A6BD8" w:rsidP="000A6BD8">
      <w:pPr>
        <w:spacing w:line="240" w:lineRule="auto"/>
        <w:rPr>
          <w:i/>
          <w:sz w:val="24"/>
          <w:szCs w:val="24"/>
        </w:rPr>
      </w:pPr>
      <w:r w:rsidRPr="004B4ACA">
        <w:rPr>
          <w:i/>
          <w:sz w:val="24"/>
          <w:szCs w:val="24"/>
        </w:rPr>
        <w:t>The following explanatory note is provided to assist the media in reporting this case and is not binding on the Constitutional Court or any member of the Court.</w:t>
      </w:r>
    </w:p>
    <w:p w14:paraId="33399051" w14:textId="77777777" w:rsidR="000A6BD8" w:rsidRPr="004B4ACA" w:rsidRDefault="000A6BD8" w:rsidP="000A6BD8">
      <w:pPr>
        <w:spacing w:line="240" w:lineRule="auto"/>
        <w:rPr>
          <w:i/>
          <w:sz w:val="24"/>
          <w:szCs w:val="24"/>
        </w:rPr>
      </w:pPr>
    </w:p>
    <w:p w14:paraId="0A170AD6" w14:textId="3C153709" w:rsidR="00AB6441" w:rsidRDefault="00AB6441" w:rsidP="000A6BD8">
      <w:pPr>
        <w:spacing w:line="240" w:lineRule="auto"/>
        <w:rPr>
          <w:sz w:val="24"/>
          <w:szCs w:val="24"/>
        </w:rPr>
      </w:pPr>
      <w:r>
        <w:rPr>
          <w:sz w:val="24"/>
          <w:szCs w:val="24"/>
        </w:rPr>
        <w:t>On T</w:t>
      </w:r>
      <w:r w:rsidR="00E74421">
        <w:rPr>
          <w:sz w:val="24"/>
          <w:szCs w:val="24"/>
        </w:rPr>
        <w:t>uesday</w:t>
      </w:r>
      <w:r>
        <w:rPr>
          <w:sz w:val="24"/>
          <w:szCs w:val="24"/>
        </w:rPr>
        <w:t>, 1</w:t>
      </w:r>
      <w:r w:rsidR="00E74421">
        <w:rPr>
          <w:sz w:val="24"/>
          <w:szCs w:val="24"/>
        </w:rPr>
        <w:t>0</w:t>
      </w:r>
      <w:r>
        <w:rPr>
          <w:sz w:val="24"/>
          <w:szCs w:val="24"/>
        </w:rPr>
        <w:t xml:space="preserve"> </w:t>
      </w:r>
      <w:r w:rsidR="00E74421">
        <w:rPr>
          <w:sz w:val="24"/>
          <w:szCs w:val="24"/>
        </w:rPr>
        <w:t>May</w:t>
      </w:r>
      <w:r>
        <w:rPr>
          <w:sz w:val="24"/>
          <w:szCs w:val="24"/>
        </w:rPr>
        <w:t xml:space="preserve"> 202</w:t>
      </w:r>
      <w:r w:rsidR="00E74421">
        <w:rPr>
          <w:sz w:val="24"/>
          <w:szCs w:val="24"/>
        </w:rPr>
        <w:t>2</w:t>
      </w:r>
      <w:r>
        <w:rPr>
          <w:sz w:val="24"/>
          <w:szCs w:val="24"/>
        </w:rPr>
        <w:t xml:space="preserve"> at 10h00, the Constitutional Court will hear an </w:t>
      </w:r>
      <w:r w:rsidRPr="00AB6441">
        <w:rPr>
          <w:sz w:val="24"/>
          <w:szCs w:val="24"/>
        </w:rPr>
        <w:t xml:space="preserve">application for leave to appeal against </w:t>
      </w:r>
      <w:r w:rsidR="00E74421">
        <w:rPr>
          <w:sz w:val="24"/>
          <w:szCs w:val="24"/>
        </w:rPr>
        <w:t>the order and judgment of the Supreme Court of Appeal,</w:t>
      </w:r>
      <w:r w:rsidR="00E74421" w:rsidRPr="00E74421">
        <w:t xml:space="preserve"> </w:t>
      </w:r>
      <w:r w:rsidR="00E74421" w:rsidRPr="00E74421">
        <w:rPr>
          <w:sz w:val="24"/>
          <w:szCs w:val="24"/>
        </w:rPr>
        <w:t xml:space="preserve">wherein </w:t>
      </w:r>
      <w:r w:rsidR="00E74421">
        <w:rPr>
          <w:sz w:val="24"/>
          <w:szCs w:val="24"/>
        </w:rPr>
        <w:t xml:space="preserve">the Court </w:t>
      </w:r>
      <w:r w:rsidR="00E74421" w:rsidRPr="00E74421">
        <w:rPr>
          <w:sz w:val="24"/>
          <w:szCs w:val="24"/>
        </w:rPr>
        <w:t>dismissed the appea</w:t>
      </w:r>
      <w:r w:rsidR="006638D8">
        <w:rPr>
          <w:sz w:val="24"/>
          <w:szCs w:val="24"/>
        </w:rPr>
        <w:t>l brought by the applicant for</w:t>
      </w:r>
      <w:r w:rsidR="00E74421" w:rsidRPr="00E74421">
        <w:rPr>
          <w:sz w:val="24"/>
          <w:szCs w:val="24"/>
        </w:rPr>
        <w:t xml:space="preserve"> an eviction order against the first and second</w:t>
      </w:r>
      <w:r w:rsidR="001B10DF">
        <w:rPr>
          <w:sz w:val="24"/>
          <w:szCs w:val="24"/>
        </w:rPr>
        <w:t xml:space="preserve"> respondents.  The </w:t>
      </w:r>
      <w:r w:rsidR="00E74421" w:rsidRPr="00E74421">
        <w:rPr>
          <w:sz w:val="24"/>
          <w:szCs w:val="24"/>
        </w:rPr>
        <w:t xml:space="preserve">appeal </w:t>
      </w:r>
      <w:r w:rsidR="00E74421">
        <w:rPr>
          <w:sz w:val="24"/>
          <w:szCs w:val="24"/>
        </w:rPr>
        <w:t xml:space="preserve">before this Court </w:t>
      </w:r>
      <w:r w:rsidR="00E74421" w:rsidRPr="00E74421">
        <w:rPr>
          <w:sz w:val="24"/>
          <w:szCs w:val="24"/>
        </w:rPr>
        <w:t>lies in the determination of whether it would be just and equitable to relocate the first and second respondents from their current dwelling to alternative accommodation which is within a 5 km radius of their current residence.</w:t>
      </w:r>
    </w:p>
    <w:p w14:paraId="6ECA0C29" w14:textId="584175B5" w:rsidR="00AB6441" w:rsidRDefault="00AB6441" w:rsidP="000A6BD8">
      <w:pPr>
        <w:spacing w:line="240" w:lineRule="auto"/>
        <w:rPr>
          <w:sz w:val="24"/>
          <w:szCs w:val="24"/>
        </w:rPr>
      </w:pPr>
    </w:p>
    <w:p w14:paraId="220DF80A" w14:textId="37620092" w:rsidR="00554AAD" w:rsidRPr="00554AAD" w:rsidRDefault="00AB6441" w:rsidP="00554AAD">
      <w:pPr>
        <w:spacing w:line="240" w:lineRule="auto"/>
        <w:rPr>
          <w:sz w:val="24"/>
          <w:szCs w:val="24"/>
        </w:rPr>
      </w:pPr>
      <w:r>
        <w:rPr>
          <w:sz w:val="24"/>
          <w:szCs w:val="24"/>
        </w:rPr>
        <w:t>In these proceedings, t</w:t>
      </w:r>
      <w:r w:rsidRPr="00AB6441">
        <w:rPr>
          <w:sz w:val="24"/>
          <w:szCs w:val="24"/>
        </w:rPr>
        <w:t xml:space="preserve">he applicant is </w:t>
      </w:r>
      <w:r w:rsidR="00E74421">
        <w:rPr>
          <w:sz w:val="24"/>
          <w:szCs w:val="24"/>
        </w:rPr>
        <w:t>Willem Grobler</w:t>
      </w:r>
      <w:r w:rsidR="00554AAD">
        <w:rPr>
          <w:sz w:val="24"/>
          <w:szCs w:val="24"/>
        </w:rPr>
        <w:t xml:space="preserve">, </w:t>
      </w:r>
      <w:r w:rsidR="00554AAD" w:rsidRPr="00554AAD">
        <w:rPr>
          <w:sz w:val="24"/>
          <w:szCs w:val="24"/>
        </w:rPr>
        <w:t xml:space="preserve">the registered owner of the property </w:t>
      </w:r>
      <w:r w:rsidR="00554AAD">
        <w:rPr>
          <w:sz w:val="24"/>
          <w:szCs w:val="24"/>
        </w:rPr>
        <w:t>currently occupied by the first and second respondents.</w:t>
      </w:r>
      <w:r w:rsidR="00554AAD" w:rsidRPr="00554AAD">
        <w:rPr>
          <w:sz w:val="24"/>
          <w:szCs w:val="24"/>
        </w:rPr>
        <w:t xml:space="preserve">  The first respondent is</w:t>
      </w:r>
      <w:r w:rsidR="0091341F">
        <w:rPr>
          <w:sz w:val="24"/>
          <w:szCs w:val="24"/>
        </w:rPr>
        <w:t xml:space="preserve"> Mrs Clara Phillips, an </w:t>
      </w:r>
      <w:proofErr w:type="gramStart"/>
      <w:r w:rsidR="0091341F">
        <w:rPr>
          <w:sz w:val="24"/>
          <w:szCs w:val="24"/>
        </w:rPr>
        <w:t>84 year-</w:t>
      </w:r>
      <w:r w:rsidR="00554AAD" w:rsidRPr="00554AAD">
        <w:rPr>
          <w:sz w:val="24"/>
          <w:szCs w:val="24"/>
        </w:rPr>
        <w:t>old</w:t>
      </w:r>
      <w:proofErr w:type="gramEnd"/>
      <w:r w:rsidR="00554AAD" w:rsidRPr="00554AAD">
        <w:rPr>
          <w:sz w:val="24"/>
          <w:szCs w:val="24"/>
        </w:rPr>
        <w:t xml:space="preserve"> widower who occupies a residential house on the property together with her son, Mr Adam Phillips, who s</w:t>
      </w:r>
      <w:r w:rsidR="0091341F">
        <w:rPr>
          <w:sz w:val="24"/>
          <w:szCs w:val="24"/>
        </w:rPr>
        <w:t>uffers from a disability</w:t>
      </w:r>
      <w:r w:rsidR="00554AAD" w:rsidRPr="00554AAD">
        <w:rPr>
          <w:sz w:val="24"/>
          <w:szCs w:val="24"/>
        </w:rPr>
        <w:t xml:space="preserve">.  Mr Johan Venter N.O, </w:t>
      </w:r>
      <w:r w:rsidR="00554AAD">
        <w:rPr>
          <w:sz w:val="24"/>
          <w:szCs w:val="24"/>
        </w:rPr>
        <w:t xml:space="preserve">is </w:t>
      </w:r>
      <w:r w:rsidR="00554AAD" w:rsidRPr="00554AAD">
        <w:rPr>
          <w:sz w:val="24"/>
          <w:szCs w:val="24"/>
        </w:rPr>
        <w:t xml:space="preserve">the </w:t>
      </w:r>
      <w:r w:rsidR="00554AAD" w:rsidRPr="00554AAD">
        <w:rPr>
          <w:i/>
          <w:sz w:val="24"/>
          <w:szCs w:val="24"/>
        </w:rPr>
        <w:t xml:space="preserve">curator </w:t>
      </w:r>
      <w:proofErr w:type="spellStart"/>
      <w:r w:rsidR="00554AAD" w:rsidRPr="00554AAD">
        <w:rPr>
          <w:i/>
          <w:sz w:val="24"/>
          <w:szCs w:val="24"/>
        </w:rPr>
        <w:t>bonis</w:t>
      </w:r>
      <w:proofErr w:type="spellEnd"/>
      <w:r w:rsidR="00554AAD" w:rsidRPr="00554AAD">
        <w:rPr>
          <w:sz w:val="24"/>
          <w:szCs w:val="24"/>
        </w:rPr>
        <w:t xml:space="preserve"> of Mr Adam Phillips (Mr</w:t>
      </w:r>
      <w:r w:rsidR="00554AAD">
        <w:rPr>
          <w:sz w:val="24"/>
          <w:szCs w:val="24"/>
        </w:rPr>
        <w:t> </w:t>
      </w:r>
      <w:r w:rsidR="00554AAD" w:rsidRPr="00554AAD">
        <w:rPr>
          <w:sz w:val="24"/>
          <w:szCs w:val="24"/>
        </w:rPr>
        <w:t>Phi</w:t>
      </w:r>
      <w:r w:rsidR="00554AAD">
        <w:rPr>
          <w:sz w:val="24"/>
          <w:szCs w:val="24"/>
        </w:rPr>
        <w:t>l</w:t>
      </w:r>
      <w:r w:rsidR="00554AAD" w:rsidRPr="00554AAD">
        <w:rPr>
          <w:sz w:val="24"/>
          <w:szCs w:val="24"/>
        </w:rPr>
        <w:t xml:space="preserve">lips).  </w:t>
      </w:r>
      <w:r w:rsidR="0091341F">
        <w:rPr>
          <w:sz w:val="24"/>
          <w:szCs w:val="24"/>
        </w:rPr>
        <w:t xml:space="preserve">The second respondent abides </w:t>
      </w:r>
      <w:r w:rsidR="00554AAD" w:rsidRPr="00554AAD">
        <w:rPr>
          <w:sz w:val="24"/>
          <w:szCs w:val="24"/>
        </w:rPr>
        <w:t>the outcome of the proceedings before this Court and has not opposed any of the proceedings in the Sommerset West Magistrates Court (</w:t>
      </w:r>
      <w:r w:rsidR="009F285D">
        <w:rPr>
          <w:sz w:val="24"/>
          <w:szCs w:val="24"/>
        </w:rPr>
        <w:t>M</w:t>
      </w:r>
      <w:r w:rsidR="00554AAD" w:rsidRPr="00554AAD">
        <w:rPr>
          <w:sz w:val="24"/>
          <w:szCs w:val="24"/>
        </w:rPr>
        <w:t xml:space="preserve">agistrate’s </w:t>
      </w:r>
      <w:r w:rsidR="009F285D">
        <w:rPr>
          <w:sz w:val="24"/>
          <w:szCs w:val="24"/>
        </w:rPr>
        <w:t>C</w:t>
      </w:r>
      <w:r w:rsidR="00554AAD" w:rsidRPr="00554AAD">
        <w:rPr>
          <w:sz w:val="24"/>
          <w:szCs w:val="24"/>
        </w:rPr>
        <w:t>ourt), the Western Cape Division of the High Court, Cape Town (</w:t>
      </w:r>
      <w:r w:rsidR="009F285D">
        <w:rPr>
          <w:sz w:val="24"/>
          <w:szCs w:val="24"/>
        </w:rPr>
        <w:t>H</w:t>
      </w:r>
      <w:r w:rsidR="00554AAD" w:rsidRPr="00554AAD">
        <w:rPr>
          <w:sz w:val="24"/>
          <w:szCs w:val="24"/>
        </w:rPr>
        <w:t>igh </w:t>
      </w:r>
      <w:r w:rsidR="009F285D">
        <w:rPr>
          <w:sz w:val="24"/>
          <w:szCs w:val="24"/>
        </w:rPr>
        <w:t>C</w:t>
      </w:r>
      <w:r w:rsidR="00554AAD" w:rsidRPr="00554AAD">
        <w:rPr>
          <w:sz w:val="24"/>
          <w:szCs w:val="24"/>
        </w:rPr>
        <w:t xml:space="preserve">ourt) </w:t>
      </w:r>
      <w:r w:rsidR="009F285D">
        <w:rPr>
          <w:sz w:val="24"/>
          <w:szCs w:val="24"/>
        </w:rPr>
        <w:t>n</w:t>
      </w:r>
      <w:r w:rsidR="00554AAD" w:rsidRPr="00554AAD">
        <w:rPr>
          <w:sz w:val="24"/>
          <w:szCs w:val="24"/>
        </w:rPr>
        <w:t xml:space="preserve">or the Supreme Court of Appeal.  The third respondent, the </w:t>
      </w:r>
      <w:proofErr w:type="spellStart"/>
      <w:r w:rsidR="00554AAD" w:rsidRPr="00554AAD">
        <w:rPr>
          <w:sz w:val="24"/>
          <w:szCs w:val="24"/>
        </w:rPr>
        <w:t>Helderberg</w:t>
      </w:r>
      <w:proofErr w:type="spellEnd"/>
      <w:r w:rsidR="00554AAD" w:rsidRPr="00554AAD">
        <w:rPr>
          <w:sz w:val="24"/>
          <w:szCs w:val="24"/>
        </w:rPr>
        <w:t xml:space="preserve"> Municipality </w:t>
      </w:r>
      <w:r w:rsidR="0091341F">
        <w:rPr>
          <w:sz w:val="24"/>
          <w:szCs w:val="24"/>
        </w:rPr>
        <w:t xml:space="preserve">of Somerset West also abides </w:t>
      </w:r>
      <w:r w:rsidR="00554AAD" w:rsidRPr="00554AAD">
        <w:rPr>
          <w:sz w:val="24"/>
          <w:szCs w:val="24"/>
        </w:rPr>
        <w:t>the outcome of these proceedings.</w:t>
      </w:r>
    </w:p>
    <w:p w14:paraId="3949BA83" w14:textId="5C851751" w:rsidR="000B6628" w:rsidRDefault="000B6628" w:rsidP="00AB6441">
      <w:pPr>
        <w:spacing w:line="240" w:lineRule="auto"/>
        <w:rPr>
          <w:sz w:val="24"/>
          <w:szCs w:val="24"/>
        </w:rPr>
      </w:pPr>
    </w:p>
    <w:p w14:paraId="780061F5" w14:textId="26AB40DC" w:rsidR="007824F8" w:rsidRDefault="00F56A15" w:rsidP="009F285D">
      <w:pPr>
        <w:spacing w:line="240" w:lineRule="auto"/>
        <w:rPr>
          <w:sz w:val="24"/>
          <w:szCs w:val="24"/>
        </w:rPr>
      </w:pPr>
      <w:r>
        <w:rPr>
          <w:sz w:val="24"/>
          <w:szCs w:val="24"/>
        </w:rPr>
        <w:t>The applicant purchased a residential property situa</w:t>
      </w:r>
      <w:r w:rsidR="007F0387">
        <w:rPr>
          <w:sz w:val="24"/>
          <w:szCs w:val="24"/>
        </w:rPr>
        <w:t xml:space="preserve">ted in Somerset West on auction. The property </w:t>
      </w:r>
      <w:r>
        <w:rPr>
          <w:sz w:val="24"/>
          <w:szCs w:val="24"/>
        </w:rPr>
        <w:t xml:space="preserve">was registered in his name on 15 September 2008. </w:t>
      </w:r>
      <w:r w:rsidR="007F0387">
        <w:rPr>
          <w:sz w:val="24"/>
          <w:szCs w:val="24"/>
        </w:rPr>
        <w:t>The first respondent has been residing at the property since 1947.</w:t>
      </w:r>
      <w:r>
        <w:rPr>
          <w:sz w:val="24"/>
          <w:szCs w:val="24"/>
        </w:rPr>
        <w:t xml:space="preserve"> Th</w:t>
      </w:r>
      <w:r w:rsidR="007F0387">
        <w:rPr>
          <w:sz w:val="24"/>
          <w:szCs w:val="24"/>
        </w:rPr>
        <w:t xml:space="preserve">e applicant requested </w:t>
      </w:r>
      <w:r w:rsidR="004B6CFA">
        <w:rPr>
          <w:sz w:val="24"/>
          <w:szCs w:val="24"/>
        </w:rPr>
        <w:t>the first respondent</w:t>
      </w:r>
      <w:r>
        <w:rPr>
          <w:sz w:val="24"/>
          <w:szCs w:val="24"/>
        </w:rPr>
        <w:t xml:space="preserve"> </w:t>
      </w:r>
      <w:r w:rsidR="007F0387">
        <w:rPr>
          <w:sz w:val="24"/>
          <w:szCs w:val="24"/>
        </w:rPr>
        <w:t>to vacate the property</w:t>
      </w:r>
      <w:r>
        <w:rPr>
          <w:sz w:val="24"/>
          <w:szCs w:val="24"/>
        </w:rPr>
        <w:t xml:space="preserve">.  </w:t>
      </w:r>
      <w:r w:rsidR="004B6CFA">
        <w:rPr>
          <w:sz w:val="24"/>
          <w:szCs w:val="24"/>
        </w:rPr>
        <w:t>The first respondent</w:t>
      </w:r>
      <w:r w:rsidR="005D076D">
        <w:rPr>
          <w:sz w:val="24"/>
          <w:szCs w:val="24"/>
        </w:rPr>
        <w:t xml:space="preserve"> refused to vacate the property </w:t>
      </w:r>
      <w:r w:rsidR="007F0387">
        <w:rPr>
          <w:sz w:val="24"/>
          <w:szCs w:val="24"/>
        </w:rPr>
        <w:t xml:space="preserve">allegedly </w:t>
      </w:r>
      <w:r w:rsidR="005D076D">
        <w:rPr>
          <w:sz w:val="24"/>
          <w:szCs w:val="24"/>
        </w:rPr>
        <w:t xml:space="preserve">on the ground that </w:t>
      </w:r>
      <w:r w:rsidR="007F0387">
        <w:rPr>
          <w:sz w:val="24"/>
          <w:szCs w:val="24"/>
          <w:lang w:val="en-US"/>
        </w:rPr>
        <w:t>she</w:t>
      </w:r>
      <w:r w:rsidR="009F285D">
        <w:rPr>
          <w:sz w:val="24"/>
          <w:szCs w:val="24"/>
          <w:lang w:val="en-US"/>
        </w:rPr>
        <w:t xml:space="preserve"> </w:t>
      </w:r>
      <w:r w:rsidR="005D076D" w:rsidRPr="005D076D">
        <w:rPr>
          <w:sz w:val="24"/>
          <w:szCs w:val="24"/>
          <w:lang w:val="en-US"/>
        </w:rPr>
        <w:t>enjoyed a</w:t>
      </w:r>
      <w:r w:rsidR="005D076D">
        <w:rPr>
          <w:sz w:val="24"/>
          <w:szCs w:val="24"/>
          <w:lang w:val="en-US"/>
        </w:rPr>
        <w:t xml:space="preserve"> </w:t>
      </w:r>
      <w:r w:rsidR="005D076D" w:rsidRPr="005D076D">
        <w:rPr>
          <w:sz w:val="24"/>
          <w:szCs w:val="24"/>
          <w:lang w:val="en-US"/>
        </w:rPr>
        <w:t xml:space="preserve">right of life-long </w:t>
      </w:r>
      <w:proofErr w:type="spellStart"/>
      <w:r w:rsidR="005D076D" w:rsidRPr="005D076D">
        <w:rPr>
          <w:i/>
          <w:sz w:val="24"/>
          <w:szCs w:val="24"/>
          <w:lang w:val="en-US"/>
        </w:rPr>
        <w:t>habitatio</w:t>
      </w:r>
      <w:proofErr w:type="spellEnd"/>
      <w:r w:rsidR="005D076D" w:rsidRPr="005D076D">
        <w:rPr>
          <w:i/>
          <w:sz w:val="24"/>
          <w:szCs w:val="24"/>
          <w:lang w:val="en-US"/>
        </w:rPr>
        <w:t xml:space="preserve"> </w:t>
      </w:r>
      <w:r w:rsidR="005D076D" w:rsidRPr="005D076D">
        <w:rPr>
          <w:sz w:val="24"/>
          <w:szCs w:val="24"/>
          <w:lang w:val="en-US"/>
        </w:rPr>
        <w:t xml:space="preserve">granted to her by a previous owner which </w:t>
      </w:r>
      <w:r w:rsidR="009F285D">
        <w:rPr>
          <w:sz w:val="24"/>
          <w:szCs w:val="24"/>
          <w:lang w:val="en-US"/>
        </w:rPr>
        <w:t>she sought to</w:t>
      </w:r>
      <w:r w:rsidR="009F285D" w:rsidRPr="005D076D">
        <w:rPr>
          <w:sz w:val="24"/>
          <w:szCs w:val="24"/>
          <w:lang w:val="en-US"/>
        </w:rPr>
        <w:t xml:space="preserve"> </w:t>
      </w:r>
      <w:r w:rsidR="005D076D" w:rsidRPr="005D076D">
        <w:rPr>
          <w:sz w:val="24"/>
          <w:szCs w:val="24"/>
          <w:lang w:val="en-US"/>
        </w:rPr>
        <w:t xml:space="preserve">enforce against </w:t>
      </w:r>
      <w:r w:rsidR="005D076D">
        <w:rPr>
          <w:sz w:val="24"/>
          <w:szCs w:val="24"/>
          <w:lang w:val="en-US"/>
        </w:rPr>
        <w:t xml:space="preserve">the applicant.  </w:t>
      </w:r>
      <w:r>
        <w:rPr>
          <w:sz w:val="24"/>
          <w:szCs w:val="24"/>
        </w:rPr>
        <w:t xml:space="preserve">The applicant </w:t>
      </w:r>
      <w:r w:rsidR="009F285D">
        <w:rPr>
          <w:sz w:val="24"/>
          <w:szCs w:val="24"/>
        </w:rPr>
        <w:t xml:space="preserve">made </w:t>
      </w:r>
      <w:r>
        <w:rPr>
          <w:sz w:val="24"/>
          <w:szCs w:val="24"/>
        </w:rPr>
        <w:t xml:space="preserve">various offers </w:t>
      </w:r>
      <w:r w:rsidR="009F285D">
        <w:rPr>
          <w:sz w:val="24"/>
          <w:szCs w:val="24"/>
        </w:rPr>
        <w:t xml:space="preserve">to </w:t>
      </w:r>
      <w:r w:rsidR="004B6CFA">
        <w:rPr>
          <w:sz w:val="24"/>
          <w:szCs w:val="24"/>
        </w:rPr>
        <w:t>the first respondent</w:t>
      </w:r>
      <w:r w:rsidR="009F285D">
        <w:rPr>
          <w:sz w:val="24"/>
          <w:szCs w:val="24"/>
        </w:rPr>
        <w:t xml:space="preserve"> in a bid to reach a compromise, </w:t>
      </w:r>
      <w:r>
        <w:rPr>
          <w:sz w:val="24"/>
          <w:szCs w:val="24"/>
        </w:rPr>
        <w:t>including paying for relocation costs and offering alternative accommodation</w:t>
      </w:r>
      <w:r w:rsidR="007F0387">
        <w:rPr>
          <w:sz w:val="24"/>
          <w:szCs w:val="24"/>
        </w:rPr>
        <w:t xml:space="preserve">. These </w:t>
      </w:r>
      <w:r w:rsidR="009F285D">
        <w:rPr>
          <w:sz w:val="24"/>
          <w:szCs w:val="24"/>
        </w:rPr>
        <w:t xml:space="preserve">offers </w:t>
      </w:r>
      <w:r w:rsidR="005D076D">
        <w:rPr>
          <w:sz w:val="24"/>
          <w:szCs w:val="24"/>
        </w:rPr>
        <w:t>were declined.  The applicant then approached the Magistrates’ Court for relief.</w:t>
      </w:r>
    </w:p>
    <w:p w14:paraId="5C02516E" w14:textId="5FFAE231" w:rsidR="005D076D" w:rsidRDefault="005D076D" w:rsidP="001F6080">
      <w:pPr>
        <w:spacing w:line="240" w:lineRule="auto"/>
        <w:rPr>
          <w:sz w:val="24"/>
          <w:szCs w:val="24"/>
        </w:rPr>
      </w:pPr>
    </w:p>
    <w:p w14:paraId="36C46DF5" w14:textId="6B41FE9A" w:rsidR="005D076D" w:rsidRDefault="00D41DA2" w:rsidP="001F6080">
      <w:pPr>
        <w:spacing w:line="240" w:lineRule="auto"/>
        <w:rPr>
          <w:sz w:val="24"/>
          <w:szCs w:val="24"/>
        </w:rPr>
      </w:pPr>
      <w:r>
        <w:rPr>
          <w:sz w:val="24"/>
          <w:szCs w:val="24"/>
          <w:lang w:val="en-US"/>
        </w:rPr>
        <w:lastRenderedPageBreak/>
        <w:t xml:space="preserve">The applicant launched an </w:t>
      </w:r>
      <w:r w:rsidRPr="00D41DA2">
        <w:rPr>
          <w:sz w:val="24"/>
          <w:szCs w:val="24"/>
          <w:lang w:val="en-US"/>
        </w:rPr>
        <w:t xml:space="preserve">eviction </w:t>
      </w:r>
      <w:r>
        <w:rPr>
          <w:sz w:val="24"/>
          <w:szCs w:val="24"/>
          <w:lang w:val="en-US"/>
        </w:rPr>
        <w:t>application which was referred to trial.</w:t>
      </w:r>
      <w:r w:rsidRPr="00D41DA2">
        <w:rPr>
          <w:sz w:val="24"/>
          <w:szCs w:val="24"/>
          <w:lang w:val="en-US"/>
        </w:rPr>
        <w:t xml:space="preserve">  Before the trial commenced, the parties concluded an oral pre-trial agreement</w:t>
      </w:r>
      <w:r>
        <w:rPr>
          <w:sz w:val="24"/>
          <w:szCs w:val="24"/>
          <w:lang w:val="en-US"/>
        </w:rPr>
        <w:t xml:space="preserve"> to the effect that the provisions of </w:t>
      </w:r>
      <w:r w:rsidR="000700EA">
        <w:rPr>
          <w:sz w:val="24"/>
          <w:szCs w:val="24"/>
          <w:lang w:val="en-US"/>
        </w:rPr>
        <w:t xml:space="preserve">the </w:t>
      </w:r>
      <w:r w:rsidRPr="00D41DA2">
        <w:rPr>
          <w:sz w:val="24"/>
          <w:szCs w:val="24"/>
          <w:lang w:val="en-US"/>
        </w:rPr>
        <w:t>Prevention of Illegal Eviction from and Unlawful Occupation of Land Act</w:t>
      </w:r>
      <w:r w:rsidR="009F285D">
        <w:rPr>
          <w:sz w:val="24"/>
          <w:szCs w:val="24"/>
          <w:lang w:val="en-US"/>
        </w:rPr>
        <w:t xml:space="preserve"> 19 of 1998</w:t>
      </w:r>
      <w:r w:rsidRPr="00D41DA2">
        <w:rPr>
          <w:sz w:val="24"/>
          <w:szCs w:val="24"/>
          <w:lang w:val="en-US"/>
        </w:rPr>
        <w:t xml:space="preserve"> (PIE)</w:t>
      </w:r>
      <w:r>
        <w:rPr>
          <w:sz w:val="24"/>
          <w:szCs w:val="24"/>
          <w:lang w:val="en-US"/>
        </w:rPr>
        <w:t xml:space="preserve"> were applicable to the proceedings and that the only issue for determination was </w:t>
      </w:r>
      <w:r w:rsidRPr="00D41DA2">
        <w:rPr>
          <w:sz w:val="24"/>
          <w:szCs w:val="24"/>
          <w:lang w:val="en-US"/>
        </w:rPr>
        <w:t xml:space="preserve">whether </w:t>
      </w:r>
      <w:r w:rsidR="004B6CFA">
        <w:rPr>
          <w:sz w:val="24"/>
          <w:szCs w:val="24"/>
          <w:lang w:val="en-US"/>
        </w:rPr>
        <w:t>the first respondent</w:t>
      </w:r>
      <w:r w:rsidRPr="00D41DA2">
        <w:rPr>
          <w:sz w:val="24"/>
          <w:szCs w:val="24"/>
          <w:lang w:val="en-US"/>
        </w:rPr>
        <w:t xml:space="preserve"> held some title to occupancy and whether her occupancy was lawful or not in terms of PIE</w:t>
      </w:r>
      <w:r w:rsidR="000700EA">
        <w:rPr>
          <w:sz w:val="24"/>
          <w:szCs w:val="24"/>
          <w:lang w:val="en-US"/>
        </w:rPr>
        <w:t xml:space="preserve">.  </w:t>
      </w:r>
      <w:r w:rsidR="000700EA" w:rsidRPr="000700EA">
        <w:rPr>
          <w:sz w:val="24"/>
          <w:szCs w:val="24"/>
          <w:lang w:val="en-GB"/>
        </w:rPr>
        <w:t xml:space="preserve">On 2 August 2016, the </w:t>
      </w:r>
      <w:r w:rsidR="00AB70DA">
        <w:rPr>
          <w:sz w:val="24"/>
          <w:szCs w:val="24"/>
          <w:lang w:val="en-GB"/>
        </w:rPr>
        <w:t xml:space="preserve">Magistrates </w:t>
      </w:r>
      <w:r w:rsidR="000700EA">
        <w:rPr>
          <w:sz w:val="24"/>
          <w:szCs w:val="24"/>
          <w:lang w:val="en-GB"/>
        </w:rPr>
        <w:t>Court</w:t>
      </w:r>
      <w:r w:rsidR="000700EA" w:rsidRPr="000700EA">
        <w:rPr>
          <w:sz w:val="24"/>
          <w:szCs w:val="24"/>
          <w:lang w:val="en-GB"/>
        </w:rPr>
        <w:t xml:space="preserve"> granted an eviction order and determined that the eviction date would be 30 August 2017.</w:t>
      </w:r>
      <w:r w:rsidR="000700EA">
        <w:rPr>
          <w:sz w:val="24"/>
          <w:szCs w:val="24"/>
          <w:lang w:val="en-GB"/>
        </w:rPr>
        <w:t xml:space="preserve">  T</w:t>
      </w:r>
      <w:r w:rsidR="000700EA" w:rsidRPr="000700EA">
        <w:rPr>
          <w:sz w:val="24"/>
          <w:szCs w:val="24"/>
          <w:lang w:val="en-GB"/>
        </w:rPr>
        <w:t>he</w:t>
      </w:r>
      <w:r w:rsidR="00AB70DA" w:rsidRPr="00AB70DA">
        <w:rPr>
          <w:sz w:val="24"/>
          <w:szCs w:val="24"/>
          <w:lang w:val="en-GB"/>
        </w:rPr>
        <w:t xml:space="preserve"> Magistrates</w:t>
      </w:r>
      <w:r w:rsidR="000700EA" w:rsidRPr="000700EA">
        <w:rPr>
          <w:sz w:val="24"/>
          <w:szCs w:val="24"/>
          <w:lang w:val="en-GB"/>
        </w:rPr>
        <w:t xml:space="preserve"> Court held that </w:t>
      </w:r>
      <w:r w:rsidR="004B6CFA">
        <w:rPr>
          <w:sz w:val="24"/>
          <w:szCs w:val="24"/>
          <w:lang w:val="en-GB"/>
        </w:rPr>
        <w:t>the first respondent</w:t>
      </w:r>
      <w:r w:rsidR="000700EA" w:rsidRPr="000700EA">
        <w:rPr>
          <w:sz w:val="24"/>
          <w:szCs w:val="24"/>
          <w:lang w:val="en-GB"/>
        </w:rPr>
        <w:t xml:space="preserve"> had no registered interest in the property whether </w:t>
      </w:r>
      <w:r w:rsidR="003A2857">
        <w:rPr>
          <w:sz w:val="24"/>
          <w:szCs w:val="24"/>
          <w:lang w:val="en-GB"/>
        </w:rPr>
        <w:t xml:space="preserve">in the form of habitation or </w:t>
      </w:r>
      <w:r w:rsidR="000700EA" w:rsidRPr="000700EA">
        <w:rPr>
          <w:i/>
          <w:iCs/>
          <w:sz w:val="24"/>
          <w:szCs w:val="24"/>
          <w:lang w:val="en-GB"/>
        </w:rPr>
        <w:t>usufruc</w:t>
      </w:r>
      <w:r w:rsidR="000700EA" w:rsidRPr="000700EA">
        <w:rPr>
          <w:sz w:val="24"/>
          <w:szCs w:val="24"/>
          <w:lang w:val="en-GB"/>
        </w:rPr>
        <w:t>t</w:t>
      </w:r>
      <w:r w:rsidR="000700EA">
        <w:rPr>
          <w:sz w:val="24"/>
          <w:szCs w:val="24"/>
          <w:lang w:val="en-GB"/>
        </w:rPr>
        <w:t>.</w:t>
      </w:r>
      <w:r w:rsidR="000700EA" w:rsidRPr="000700EA">
        <w:rPr>
          <w:sz w:val="24"/>
          <w:szCs w:val="24"/>
          <w:lang w:val="en-GB"/>
        </w:rPr>
        <w:t xml:space="preserve">  F</w:t>
      </w:r>
      <w:r w:rsidR="000700EA">
        <w:rPr>
          <w:sz w:val="24"/>
          <w:szCs w:val="24"/>
          <w:lang w:val="en-GB"/>
        </w:rPr>
        <w:t>urther</w:t>
      </w:r>
      <w:r w:rsidR="00AB70DA">
        <w:rPr>
          <w:sz w:val="24"/>
          <w:szCs w:val="24"/>
          <w:lang w:val="en-GB"/>
        </w:rPr>
        <w:t>more</w:t>
      </w:r>
      <w:r w:rsidR="000700EA" w:rsidRPr="000700EA">
        <w:rPr>
          <w:sz w:val="24"/>
          <w:szCs w:val="24"/>
          <w:lang w:val="en-GB"/>
        </w:rPr>
        <w:t xml:space="preserve">, the Court held that </w:t>
      </w:r>
      <w:r w:rsidR="004B6CFA">
        <w:rPr>
          <w:sz w:val="24"/>
          <w:szCs w:val="24"/>
          <w:lang w:val="en-GB"/>
        </w:rPr>
        <w:t>the first respondent</w:t>
      </w:r>
      <w:r w:rsidR="000700EA" w:rsidRPr="000700EA">
        <w:rPr>
          <w:sz w:val="24"/>
          <w:szCs w:val="24"/>
          <w:lang w:val="en-GB"/>
        </w:rPr>
        <w:t xml:space="preserve"> is an unlawful occupier as she had no tacit and/or express consent from the applicant to occupy the property</w:t>
      </w:r>
      <w:r w:rsidR="00AB70DA">
        <w:rPr>
          <w:sz w:val="24"/>
          <w:szCs w:val="24"/>
          <w:lang w:val="en-GB"/>
        </w:rPr>
        <w:t>.</w:t>
      </w:r>
    </w:p>
    <w:p w14:paraId="734C1CD1" w14:textId="77777777" w:rsidR="00F56A15" w:rsidRPr="007824F8" w:rsidRDefault="00F56A15" w:rsidP="001F6080">
      <w:pPr>
        <w:spacing w:line="240" w:lineRule="auto"/>
        <w:rPr>
          <w:sz w:val="24"/>
          <w:szCs w:val="24"/>
        </w:rPr>
      </w:pPr>
    </w:p>
    <w:p w14:paraId="654A5ACA" w14:textId="62D7BD49" w:rsidR="00B5381A" w:rsidRDefault="004B6CFA" w:rsidP="00266F39">
      <w:pPr>
        <w:spacing w:line="240" w:lineRule="auto"/>
        <w:rPr>
          <w:sz w:val="24"/>
          <w:szCs w:val="24"/>
          <w:lang w:val="en-US"/>
        </w:rPr>
      </w:pPr>
      <w:r>
        <w:rPr>
          <w:sz w:val="24"/>
          <w:szCs w:val="24"/>
        </w:rPr>
        <w:t>The first respondent</w:t>
      </w:r>
      <w:r w:rsidR="00054DCF">
        <w:rPr>
          <w:sz w:val="24"/>
          <w:szCs w:val="24"/>
        </w:rPr>
        <w:t xml:space="preserve"> appealed to the High Court.  </w:t>
      </w:r>
      <w:r w:rsidR="00054DCF" w:rsidRPr="00054DCF">
        <w:rPr>
          <w:sz w:val="24"/>
          <w:szCs w:val="24"/>
          <w:lang w:val="en-GB"/>
        </w:rPr>
        <w:t>The High Court set aside the eviction order issued by the Magistrates Court and upheld the appeal with costs</w:t>
      </w:r>
      <w:r w:rsidR="00054DCF">
        <w:rPr>
          <w:sz w:val="24"/>
          <w:szCs w:val="24"/>
          <w:lang w:val="en-GB"/>
        </w:rPr>
        <w:t xml:space="preserve">.  </w:t>
      </w:r>
      <w:r w:rsidR="00054DCF" w:rsidRPr="00054DCF">
        <w:rPr>
          <w:sz w:val="24"/>
          <w:szCs w:val="24"/>
          <w:lang w:val="en-US"/>
        </w:rPr>
        <w:t xml:space="preserve">The </w:t>
      </w:r>
      <w:r w:rsidR="004A469A">
        <w:rPr>
          <w:sz w:val="24"/>
          <w:szCs w:val="24"/>
          <w:lang w:val="en-US"/>
        </w:rPr>
        <w:t xml:space="preserve">High </w:t>
      </w:r>
      <w:r w:rsidR="00054DCF" w:rsidRPr="00054DCF">
        <w:rPr>
          <w:sz w:val="24"/>
          <w:szCs w:val="24"/>
          <w:lang w:val="en-US"/>
        </w:rPr>
        <w:t xml:space="preserve">Court held that the applicant had not established that </w:t>
      </w:r>
      <w:r>
        <w:rPr>
          <w:sz w:val="24"/>
          <w:szCs w:val="24"/>
          <w:lang w:val="en-US"/>
        </w:rPr>
        <w:t xml:space="preserve">the first respondent </w:t>
      </w:r>
      <w:r w:rsidR="00054DCF" w:rsidRPr="00054DCF">
        <w:rPr>
          <w:sz w:val="24"/>
          <w:szCs w:val="24"/>
          <w:lang w:val="en-US"/>
        </w:rPr>
        <w:t>is an unlawful occupier as defined in PIE.</w:t>
      </w:r>
      <w:r w:rsidR="00054DCF" w:rsidRPr="00054DCF">
        <w:rPr>
          <w:sz w:val="24"/>
          <w:szCs w:val="24"/>
        </w:rPr>
        <w:t xml:space="preserve">  </w:t>
      </w:r>
      <w:r w:rsidR="00054DCF" w:rsidRPr="00054DCF">
        <w:rPr>
          <w:sz w:val="24"/>
          <w:szCs w:val="24"/>
          <w:lang w:val="en-US"/>
        </w:rPr>
        <w:t xml:space="preserve">The </w:t>
      </w:r>
      <w:r w:rsidR="004A469A">
        <w:rPr>
          <w:sz w:val="24"/>
          <w:szCs w:val="24"/>
          <w:lang w:val="en-US"/>
        </w:rPr>
        <w:t xml:space="preserve">High </w:t>
      </w:r>
      <w:r w:rsidR="00054DCF" w:rsidRPr="00054DCF">
        <w:rPr>
          <w:sz w:val="24"/>
          <w:szCs w:val="24"/>
          <w:lang w:val="en-US"/>
        </w:rPr>
        <w:t xml:space="preserve">Court took the view that </w:t>
      </w:r>
      <w:r w:rsidR="00D71C7C">
        <w:rPr>
          <w:sz w:val="24"/>
          <w:szCs w:val="24"/>
          <w:lang w:val="en-US"/>
        </w:rPr>
        <w:t>the first respondent</w:t>
      </w:r>
      <w:r w:rsidR="00054DCF">
        <w:rPr>
          <w:sz w:val="24"/>
          <w:szCs w:val="24"/>
          <w:lang w:val="en-US"/>
        </w:rPr>
        <w:t xml:space="preserve"> </w:t>
      </w:r>
      <w:r w:rsidR="00054DCF" w:rsidRPr="00054DCF">
        <w:rPr>
          <w:sz w:val="24"/>
          <w:szCs w:val="24"/>
          <w:lang w:val="en-US"/>
        </w:rPr>
        <w:t xml:space="preserve">was </w:t>
      </w:r>
      <w:r w:rsidR="003A2857">
        <w:rPr>
          <w:sz w:val="24"/>
          <w:szCs w:val="24"/>
          <w:lang w:val="en-US"/>
        </w:rPr>
        <w:t xml:space="preserve">also </w:t>
      </w:r>
      <w:r w:rsidR="00054DCF" w:rsidRPr="00054DCF">
        <w:rPr>
          <w:sz w:val="24"/>
          <w:szCs w:val="24"/>
          <w:lang w:val="en-US"/>
        </w:rPr>
        <w:t>entitled to rely on ESTA</w:t>
      </w:r>
      <w:r w:rsidR="003A2857">
        <w:rPr>
          <w:sz w:val="24"/>
          <w:szCs w:val="24"/>
          <w:lang w:val="en-US"/>
        </w:rPr>
        <w:t>, which was raised</w:t>
      </w:r>
      <w:r w:rsidR="00054DCF" w:rsidRPr="00054DCF">
        <w:rPr>
          <w:sz w:val="24"/>
          <w:szCs w:val="24"/>
          <w:lang w:val="en-US"/>
        </w:rPr>
        <w:t xml:space="preserve"> for the first time on appeal</w:t>
      </w:r>
      <w:r w:rsidR="003A2857">
        <w:rPr>
          <w:sz w:val="24"/>
          <w:szCs w:val="24"/>
          <w:lang w:val="en-US"/>
        </w:rPr>
        <w:t xml:space="preserve"> to that Court</w:t>
      </w:r>
      <w:r w:rsidR="00054DCF">
        <w:rPr>
          <w:sz w:val="24"/>
          <w:szCs w:val="24"/>
          <w:lang w:val="en-US"/>
        </w:rPr>
        <w:t>.</w:t>
      </w:r>
    </w:p>
    <w:p w14:paraId="727CC5C1" w14:textId="77777777" w:rsidR="00B5381A" w:rsidRDefault="00B5381A" w:rsidP="00266F39">
      <w:pPr>
        <w:spacing w:line="240" w:lineRule="auto"/>
        <w:rPr>
          <w:sz w:val="24"/>
          <w:szCs w:val="24"/>
          <w:lang w:val="en-US"/>
        </w:rPr>
      </w:pPr>
    </w:p>
    <w:p w14:paraId="1B58BDEF" w14:textId="3E14A730" w:rsidR="00860C4E" w:rsidRDefault="00054DCF" w:rsidP="00266F39">
      <w:pPr>
        <w:spacing w:line="240" w:lineRule="auto"/>
        <w:rPr>
          <w:sz w:val="24"/>
          <w:szCs w:val="24"/>
          <w:lang w:val="en-US"/>
        </w:rPr>
      </w:pPr>
      <w:r>
        <w:rPr>
          <w:sz w:val="24"/>
          <w:szCs w:val="24"/>
          <w:lang w:val="en-US"/>
        </w:rPr>
        <w:t xml:space="preserve">The </w:t>
      </w:r>
      <w:r w:rsidR="004A469A">
        <w:rPr>
          <w:sz w:val="24"/>
          <w:szCs w:val="24"/>
          <w:lang w:val="en-US"/>
        </w:rPr>
        <w:t xml:space="preserve">High </w:t>
      </w:r>
      <w:r>
        <w:rPr>
          <w:sz w:val="24"/>
          <w:szCs w:val="24"/>
          <w:lang w:val="en-US"/>
        </w:rPr>
        <w:t xml:space="preserve">Court </w:t>
      </w:r>
      <w:r w:rsidR="004A469A">
        <w:rPr>
          <w:sz w:val="24"/>
          <w:szCs w:val="24"/>
          <w:lang w:val="en-US"/>
        </w:rPr>
        <w:t xml:space="preserve">then </w:t>
      </w:r>
      <w:r w:rsidRPr="00054DCF">
        <w:rPr>
          <w:sz w:val="24"/>
          <w:szCs w:val="24"/>
          <w:lang w:val="en-US"/>
        </w:rPr>
        <w:t>concluded that the applicant had not disc</w:t>
      </w:r>
      <w:r w:rsidR="00EE2ADE">
        <w:rPr>
          <w:sz w:val="24"/>
          <w:szCs w:val="24"/>
          <w:lang w:val="en-US"/>
        </w:rPr>
        <w:t>harged the onus of establishing</w:t>
      </w:r>
      <w:r w:rsidRPr="00054DCF">
        <w:rPr>
          <w:sz w:val="24"/>
          <w:szCs w:val="24"/>
          <w:lang w:val="en-US"/>
        </w:rPr>
        <w:t xml:space="preserve"> that the provisions of ESTA did not apply.  </w:t>
      </w:r>
      <w:r w:rsidRPr="00054DCF">
        <w:rPr>
          <w:sz w:val="24"/>
          <w:szCs w:val="24"/>
        </w:rPr>
        <w:t xml:space="preserve">The Court further held that </w:t>
      </w:r>
      <w:r w:rsidRPr="00054DCF">
        <w:rPr>
          <w:sz w:val="24"/>
          <w:szCs w:val="24"/>
          <w:lang w:val="en-US"/>
        </w:rPr>
        <w:t xml:space="preserve">even if </w:t>
      </w:r>
      <w:r w:rsidR="004B6CFA">
        <w:rPr>
          <w:sz w:val="24"/>
          <w:szCs w:val="24"/>
          <w:lang w:val="en-US"/>
        </w:rPr>
        <w:t>the first respondent</w:t>
      </w:r>
      <w:r w:rsidRPr="00054DCF">
        <w:rPr>
          <w:sz w:val="24"/>
          <w:szCs w:val="24"/>
          <w:lang w:val="en-US"/>
        </w:rPr>
        <w:t xml:space="preserve"> were an unlawful occupier, and even if ESTA did not apply, it would not be just and equitable to grant an eviction order having regard to </w:t>
      </w:r>
      <w:r>
        <w:rPr>
          <w:sz w:val="24"/>
          <w:szCs w:val="24"/>
          <w:lang w:val="en-US"/>
        </w:rPr>
        <w:t>her</w:t>
      </w:r>
      <w:r w:rsidRPr="00054DCF">
        <w:rPr>
          <w:sz w:val="24"/>
          <w:szCs w:val="24"/>
          <w:lang w:val="en-US"/>
        </w:rPr>
        <w:t xml:space="preserve"> advanced age, the period for which she had resided on the property, and the fact that her household was occupied by a disabled person</w:t>
      </w:r>
      <w:r>
        <w:rPr>
          <w:sz w:val="24"/>
          <w:szCs w:val="24"/>
          <w:lang w:val="en-US"/>
        </w:rPr>
        <w:t>.</w:t>
      </w:r>
    </w:p>
    <w:p w14:paraId="369F5BA9" w14:textId="1A8C315F" w:rsidR="00054DCF" w:rsidRDefault="00054DCF" w:rsidP="00266F39">
      <w:pPr>
        <w:spacing w:line="240" w:lineRule="auto"/>
        <w:rPr>
          <w:sz w:val="24"/>
          <w:szCs w:val="24"/>
          <w:lang w:val="en-US"/>
        </w:rPr>
      </w:pPr>
    </w:p>
    <w:p w14:paraId="7E0DD3F4" w14:textId="51426AED" w:rsidR="00FA5D0C" w:rsidRDefault="00054DCF" w:rsidP="00B5381A">
      <w:pPr>
        <w:spacing w:line="240" w:lineRule="auto"/>
        <w:rPr>
          <w:sz w:val="24"/>
          <w:szCs w:val="24"/>
          <w:lang w:val="en-US"/>
        </w:rPr>
      </w:pPr>
      <w:r>
        <w:rPr>
          <w:sz w:val="24"/>
          <w:szCs w:val="24"/>
        </w:rPr>
        <w:t xml:space="preserve">The applicant subsequently launched an application for leave to appeal against the order and judgment of the High Court before the Supreme Court of Appeal.  </w:t>
      </w:r>
      <w:r w:rsidR="00D96C00">
        <w:rPr>
          <w:sz w:val="24"/>
          <w:szCs w:val="24"/>
        </w:rPr>
        <w:t xml:space="preserve">The </w:t>
      </w:r>
      <w:r w:rsidR="00210F6C">
        <w:rPr>
          <w:sz w:val="24"/>
          <w:szCs w:val="24"/>
        </w:rPr>
        <w:t>Supreme</w:t>
      </w:r>
      <w:r w:rsidR="004A469A">
        <w:rPr>
          <w:sz w:val="24"/>
          <w:szCs w:val="24"/>
        </w:rPr>
        <w:t xml:space="preserve"> </w:t>
      </w:r>
      <w:r w:rsidR="00D96C00">
        <w:rPr>
          <w:sz w:val="24"/>
          <w:szCs w:val="24"/>
        </w:rPr>
        <w:t xml:space="preserve">Court </w:t>
      </w:r>
      <w:r w:rsidR="00210F6C">
        <w:rPr>
          <w:sz w:val="24"/>
          <w:szCs w:val="24"/>
        </w:rPr>
        <w:t xml:space="preserve">of Appeal </w:t>
      </w:r>
      <w:r w:rsidR="00D96C00">
        <w:rPr>
          <w:sz w:val="24"/>
          <w:szCs w:val="24"/>
        </w:rPr>
        <w:t>dismissed the appeal</w:t>
      </w:r>
      <w:r w:rsidR="004A469A">
        <w:rPr>
          <w:sz w:val="24"/>
          <w:szCs w:val="24"/>
        </w:rPr>
        <w:t xml:space="preserve"> holding</w:t>
      </w:r>
      <w:r w:rsidR="00D96C00">
        <w:rPr>
          <w:sz w:val="24"/>
          <w:szCs w:val="24"/>
        </w:rPr>
        <w:t xml:space="preserve"> that </w:t>
      </w:r>
      <w:r w:rsidR="00210F6C">
        <w:rPr>
          <w:sz w:val="24"/>
          <w:szCs w:val="24"/>
          <w:lang w:val="en-US"/>
        </w:rPr>
        <w:t>the High Court</w:t>
      </w:r>
      <w:r w:rsidR="00B5381A" w:rsidRPr="00B5381A">
        <w:rPr>
          <w:sz w:val="24"/>
          <w:szCs w:val="24"/>
          <w:lang w:val="en-US"/>
        </w:rPr>
        <w:t xml:space="preserve"> was entitled to exercise a discretion not to grant </w:t>
      </w:r>
      <w:r w:rsidR="00B5381A">
        <w:rPr>
          <w:sz w:val="24"/>
          <w:szCs w:val="24"/>
          <w:lang w:val="en-US"/>
        </w:rPr>
        <w:t xml:space="preserve">an </w:t>
      </w:r>
      <w:r w:rsidR="00B5381A" w:rsidRPr="00B5381A">
        <w:rPr>
          <w:sz w:val="24"/>
          <w:szCs w:val="24"/>
          <w:lang w:val="en-US"/>
        </w:rPr>
        <w:t xml:space="preserve">eviction </w:t>
      </w:r>
      <w:r w:rsidR="00B5381A">
        <w:rPr>
          <w:sz w:val="24"/>
          <w:szCs w:val="24"/>
          <w:lang w:val="en-US"/>
        </w:rPr>
        <w:t xml:space="preserve">order </w:t>
      </w:r>
      <w:r w:rsidR="00B5381A" w:rsidRPr="00B5381A">
        <w:rPr>
          <w:sz w:val="24"/>
          <w:szCs w:val="24"/>
          <w:lang w:val="en-US"/>
        </w:rPr>
        <w:t xml:space="preserve">in spite of the unlawful occupation, and that there was therefore no misapplication or misdirection </w:t>
      </w:r>
      <w:r w:rsidR="00B5381A">
        <w:rPr>
          <w:sz w:val="24"/>
          <w:szCs w:val="24"/>
          <w:lang w:val="en-US"/>
        </w:rPr>
        <w:t xml:space="preserve">of the </w:t>
      </w:r>
      <w:r w:rsidR="00B5381A" w:rsidRPr="00B5381A">
        <w:rPr>
          <w:sz w:val="24"/>
          <w:szCs w:val="24"/>
          <w:lang w:val="en-US"/>
        </w:rPr>
        <w:t>law, or any misdirection on the facts</w:t>
      </w:r>
      <w:r w:rsidR="00B5381A">
        <w:rPr>
          <w:sz w:val="24"/>
          <w:szCs w:val="24"/>
          <w:lang w:val="en-US"/>
        </w:rPr>
        <w:t>.</w:t>
      </w:r>
      <w:r w:rsidR="00B5381A" w:rsidRPr="00B5381A">
        <w:rPr>
          <w:lang w:val="en-US" w:eastAsia="en-ZA"/>
        </w:rPr>
        <w:t xml:space="preserve"> </w:t>
      </w:r>
      <w:r w:rsidR="00B5381A">
        <w:rPr>
          <w:lang w:val="en-US" w:eastAsia="en-ZA"/>
        </w:rPr>
        <w:t xml:space="preserve"> </w:t>
      </w:r>
      <w:r w:rsidR="00B5381A" w:rsidRPr="00B5381A">
        <w:rPr>
          <w:sz w:val="24"/>
          <w:szCs w:val="24"/>
          <w:lang w:val="en-US"/>
        </w:rPr>
        <w:t>Th</w:t>
      </w:r>
      <w:r w:rsidR="00B5381A">
        <w:rPr>
          <w:sz w:val="24"/>
          <w:szCs w:val="24"/>
          <w:lang w:val="en-US"/>
        </w:rPr>
        <w:t>e Court further held that this</w:t>
      </w:r>
      <w:r w:rsidR="00B5381A" w:rsidRPr="00B5381A">
        <w:rPr>
          <w:sz w:val="24"/>
          <w:szCs w:val="24"/>
          <w:lang w:val="en-US"/>
        </w:rPr>
        <w:t xml:space="preserve"> was a situation in which the full exercise of ownership had to give way to the right of vulnerable persons to a home.</w:t>
      </w:r>
    </w:p>
    <w:p w14:paraId="711F176D" w14:textId="77777777" w:rsidR="00FA5D0C" w:rsidRDefault="00FA5D0C" w:rsidP="00B5381A">
      <w:pPr>
        <w:spacing w:line="240" w:lineRule="auto"/>
        <w:rPr>
          <w:sz w:val="24"/>
          <w:szCs w:val="24"/>
          <w:lang w:val="en-US"/>
        </w:rPr>
      </w:pPr>
    </w:p>
    <w:p w14:paraId="5A6225F3" w14:textId="66068092" w:rsidR="00B5381A" w:rsidRDefault="00FA5D0C" w:rsidP="00B5381A">
      <w:pPr>
        <w:spacing w:line="240" w:lineRule="auto"/>
        <w:rPr>
          <w:sz w:val="24"/>
          <w:szCs w:val="24"/>
          <w:lang w:val="en-US"/>
        </w:rPr>
      </w:pPr>
      <w:r w:rsidRPr="00FA5D0C">
        <w:rPr>
          <w:sz w:val="24"/>
          <w:szCs w:val="24"/>
          <w:lang w:val="en-US"/>
        </w:rPr>
        <w:t>The Court accepted that the applicant’s offer</w:t>
      </w:r>
      <w:r>
        <w:rPr>
          <w:sz w:val="24"/>
          <w:szCs w:val="24"/>
          <w:lang w:val="en-US"/>
        </w:rPr>
        <w:t>s</w:t>
      </w:r>
      <w:r w:rsidRPr="00FA5D0C">
        <w:rPr>
          <w:sz w:val="24"/>
          <w:szCs w:val="24"/>
          <w:lang w:val="en-US"/>
        </w:rPr>
        <w:t xml:space="preserve"> had been made in good faith but decided that it did not tilt the scales in </w:t>
      </w:r>
      <w:proofErr w:type="spellStart"/>
      <w:r w:rsidRPr="00FA5D0C">
        <w:rPr>
          <w:sz w:val="24"/>
          <w:szCs w:val="24"/>
          <w:lang w:val="en-US"/>
        </w:rPr>
        <w:t>favour</w:t>
      </w:r>
      <w:proofErr w:type="spellEnd"/>
      <w:r w:rsidRPr="00FA5D0C">
        <w:rPr>
          <w:sz w:val="24"/>
          <w:szCs w:val="24"/>
          <w:lang w:val="en-US"/>
        </w:rPr>
        <w:t xml:space="preserve"> of eviction</w:t>
      </w:r>
      <w:r>
        <w:rPr>
          <w:sz w:val="24"/>
          <w:szCs w:val="24"/>
          <w:lang w:val="en-US"/>
        </w:rPr>
        <w:t xml:space="preserve">.  </w:t>
      </w:r>
      <w:r w:rsidRPr="00FA5D0C">
        <w:rPr>
          <w:sz w:val="24"/>
          <w:szCs w:val="24"/>
          <w:lang w:val="en-US"/>
        </w:rPr>
        <w:t xml:space="preserve">The </w:t>
      </w:r>
      <w:r>
        <w:rPr>
          <w:sz w:val="24"/>
          <w:szCs w:val="24"/>
          <w:lang w:val="en-US"/>
        </w:rPr>
        <w:t>C</w:t>
      </w:r>
      <w:r w:rsidRPr="00FA5D0C">
        <w:rPr>
          <w:sz w:val="24"/>
          <w:szCs w:val="24"/>
          <w:lang w:val="en-US"/>
        </w:rPr>
        <w:t>ourt also noted that the reasonableness of</w:t>
      </w:r>
      <w:r>
        <w:rPr>
          <w:sz w:val="24"/>
          <w:szCs w:val="24"/>
          <w:lang w:val="en-US"/>
        </w:rPr>
        <w:t xml:space="preserve"> </w:t>
      </w:r>
      <w:r w:rsidR="004B6CFA">
        <w:rPr>
          <w:sz w:val="24"/>
          <w:szCs w:val="24"/>
          <w:lang w:val="en-US"/>
        </w:rPr>
        <w:t>the first respondent</w:t>
      </w:r>
      <w:r>
        <w:rPr>
          <w:sz w:val="24"/>
          <w:szCs w:val="24"/>
          <w:lang w:val="en-US"/>
        </w:rPr>
        <w:t>’</w:t>
      </w:r>
      <w:r w:rsidR="004B6CFA">
        <w:rPr>
          <w:sz w:val="24"/>
          <w:szCs w:val="24"/>
          <w:lang w:val="en-US"/>
        </w:rPr>
        <w:t>s</w:t>
      </w:r>
      <w:r w:rsidRPr="00FA5D0C">
        <w:rPr>
          <w:sz w:val="24"/>
          <w:szCs w:val="24"/>
          <w:lang w:val="en-US"/>
        </w:rPr>
        <w:t xml:space="preserve"> refusal of the offer was not a “central issue” and had been raised “tangentially and belatedly”.  </w:t>
      </w:r>
      <w:r>
        <w:rPr>
          <w:sz w:val="24"/>
          <w:szCs w:val="24"/>
          <w:lang w:val="en-US"/>
        </w:rPr>
        <w:t>Finally, the Court reasoned that t</w:t>
      </w:r>
      <w:r w:rsidRPr="00FA5D0C">
        <w:rPr>
          <w:sz w:val="24"/>
          <w:szCs w:val="24"/>
          <w:lang w:val="en-US"/>
        </w:rPr>
        <w:t>o look past the weighty considerations against e</w:t>
      </w:r>
      <w:r w:rsidR="00744EFF">
        <w:rPr>
          <w:sz w:val="24"/>
          <w:szCs w:val="24"/>
          <w:lang w:val="en-US"/>
        </w:rPr>
        <w:t>viction merely because there is</w:t>
      </w:r>
      <w:r w:rsidRPr="00FA5D0C">
        <w:rPr>
          <w:sz w:val="24"/>
          <w:szCs w:val="24"/>
          <w:lang w:val="en-US"/>
        </w:rPr>
        <w:t xml:space="preserve"> alternative </w:t>
      </w:r>
      <w:r w:rsidR="00BB53E7">
        <w:rPr>
          <w:sz w:val="24"/>
          <w:szCs w:val="24"/>
          <w:lang w:val="en-US"/>
        </w:rPr>
        <w:t>accommodation which has been</w:t>
      </w:r>
      <w:r w:rsidR="00BB53E7" w:rsidRPr="00FA5D0C">
        <w:rPr>
          <w:sz w:val="24"/>
          <w:szCs w:val="24"/>
          <w:lang w:val="en-US"/>
        </w:rPr>
        <w:t xml:space="preserve"> </w:t>
      </w:r>
      <w:r w:rsidRPr="00FA5D0C">
        <w:rPr>
          <w:sz w:val="24"/>
          <w:szCs w:val="24"/>
          <w:lang w:val="en-US"/>
        </w:rPr>
        <w:t>offered would</w:t>
      </w:r>
      <w:r w:rsidR="00EE2ADE">
        <w:rPr>
          <w:sz w:val="24"/>
          <w:szCs w:val="24"/>
          <w:lang w:val="en-US"/>
        </w:rPr>
        <w:t xml:space="preserve"> breach </w:t>
      </w:r>
      <w:r w:rsidR="00D71C7C">
        <w:rPr>
          <w:sz w:val="24"/>
          <w:szCs w:val="24"/>
          <w:lang w:val="en-US"/>
        </w:rPr>
        <w:t>the first respondent’s</w:t>
      </w:r>
      <w:r>
        <w:rPr>
          <w:sz w:val="24"/>
          <w:szCs w:val="24"/>
          <w:lang w:val="en-US"/>
        </w:rPr>
        <w:t xml:space="preserve"> </w:t>
      </w:r>
      <w:r w:rsidRPr="00FA5D0C">
        <w:rPr>
          <w:sz w:val="24"/>
          <w:szCs w:val="24"/>
          <w:lang w:val="en-US"/>
        </w:rPr>
        <w:t>dignity rather than protect it</w:t>
      </w:r>
      <w:r>
        <w:rPr>
          <w:sz w:val="24"/>
          <w:szCs w:val="24"/>
          <w:lang w:val="en-US"/>
        </w:rPr>
        <w:t>.</w:t>
      </w:r>
    </w:p>
    <w:p w14:paraId="5FC61A9C" w14:textId="4DF7B3EE" w:rsidR="00FA5D0C" w:rsidRDefault="00FA5D0C" w:rsidP="00B5381A">
      <w:pPr>
        <w:spacing w:line="240" w:lineRule="auto"/>
        <w:rPr>
          <w:sz w:val="24"/>
          <w:szCs w:val="24"/>
          <w:lang w:val="en-US"/>
        </w:rPr>
      </w:pPr>
    </w:p>
    <w:p w14:paraId="32BE8276" w14:textId="437E05D5" w:rsidR="00FA5D0C" w:rsidRDefault="00945C76" w:rsidP="00B5381A">
      <w:pPr>
        <w:spacing w:line="240" w:lineRule="auto"/>
        <w:rPr>
          <w:sz w:val="24"/>
          <w:szCs w:val="24"/>
          <w:lang w:val="en-US"/>
        </w:rPr>
      </w:pPr>
      <w:r>
        <w:rPr>
          <w:sz w:val="24"/>
          <w:szCs w:val="24"/>
        </w:rPr>
        <w:t xml:space="preserve">In this Court, the applicant submits that this Court’s jurisdiction is engaged as the matter concerns </w:t>
      </w:r>
      <w:r w:rsidRPr="00945C76">
        <w:rPr>
          <w:sz w:val="24"/>
          <w:szCs w:val="24"/>
          <w:lang w:val="en-US"/>
        </w:rPr>
        <w:t>the Supreme Court of Appeal</w:t>
      </w:r>
      <w:r>
        <w:rPr>
          <w:sz w:val="24"/>
          <w:szCs w:val="24"/>
          <w:lang w:val="en-US"/>
        </w:rPr>
        <w:t>’s incorrect application of</w:t>
      </w:r>
      <w:r w:rsidRPr="00945C76">
        <w:rPr>
          <w:sz w:val="24"/>
          <w:szCs w:val="24"/>
          <w:lang w:val="en-US"/>
        </w:rPr>
        <w:t xml:space="preserve"> </w:t>
      </w:r>
      <w:r>
        <w:rPr>
          <w:sz w:val="24"/>
          <w:szCs w:val="24"/>
          <w:lang w:val="en-US"/>
        </w:rPr>
        <w:t>the provisions of</w:t>
      </w:r>
      <w:r w:rsidRPr="00945C76">
        <w:rPr>
          <w:sz w:val="24"/>
          <w:szCs w:val="24"/>
          <w:lang w:val="en-US"/>
        </w:rPr>
        <w:t xml:space="preserve"> section 4(7) of PIE</w:t>
      </w:r>
      <w:r>
        <w:rPr>
          <w:sz w:val="24"/>
          <w:szCs w:val="24"/>
          <w:lang w:val="en-US"/>
        </w:rPr>
        <w:t>.  The applicant further submits that this matter raises an arguable point of law of general public importance as there is no jurisprudence which supports the Supreme Court of Appeal’s decision that an unlawful occupier may not be evicted even in circumstances where alternative accommodation has been offered.</w:t>
      </w:r>
    </w:p>
    <w:p w14:paraId="4191462A" w14:textId="7D3DA214" w:rsidR="00945C76" w:rsidRDefault="00945C76" w:rsidP="00B5381A">
      <w:pPr>
        <w:spacing w:line="240" w:lineRule="auto"/>
        <w:rPr>
          <w:sz w:val="24"/>
          <w:szCs w:val="24"/>
          <w:lang w:val="en-US"/>
        </w:rPr>
      </w:pPr>
    </w:p>
    <w:p w14:paraId="666FA893" w14:textId="754F3FA8" w:rsidR="004D1292" w:rsidRPr="004D1292" w:rsidRDefault="00945C76" w:rsidP="004D1292">
      <w:pPr>
        <w:spacing w:line="240" w:lineRule="auto"/>
        <w:rPr>
          <w:sz w:val="24"/>
          <w:szCs w:val="24"/>
          <w:lang w:val="en-US"/>
        </w:rPr>
      </w:pPr>
      <w:r>
        <w:rPr>
          <w:sz w:val="24"/>
          <w:szCs w:val="24"/>
          <w:lang w:val="en-US"/>
        </w:rPr>
        <w:t xml:space="preserve">On the merits, the applicant contends that </w:t>
      </w:r>
      <w:r w:rsidR="004D1292">
        <w:rPr>
          <w:sz w:val="24"/>
          <w:szCs w:val="24"/>
          <w:lang w:val="en-US"/>
        </w:rPr>
        <w:t xml:space="preserve">in the </w:t>
      </w:r>
      <w:r w:rsidR="004D1292" w:rsidRPr="004D1292">
        <w:rPr>
          <w:sz w:val="24"/>
          <w:szCs w:val="24"/>
          <w:lang w:val="en-US"/>
        </w:rPr>
        <w:t xml:space="preserve">light of the factual findings of the Supreme Court of Appeal regarding the specific </w:t>
      </w:r>
      <w:proofErr w:type="spellStart"/>
      <w:r w:rsidR="004D1292" w:rsidRPr="004D1292">
        <w:rPr>
          <w:sz w:val="24"/>
          <w:szCs w:val="24"/>
          <w:lang w:val="en-US"/>
        </w:rPr>
        <w:t>defences</w:t>
      </w:r>
      <w:proofErr w:type="spellEnd"/>
      <w:r w:rsidR="004D1292" w:rsidRPr="004D1292">
        <w:rPr>
          <w:sz w:val="24"/>
          <w:szCs w:val="24"/>
          <w:lang w:val="en-US"/>
        </w:rPr>
        <w:t xml:space="preserve"> raised by </w:t>
      </w:r>
      <w:r w:rsidR="00D71C7C">
        <w:rPr>
          <w:sz w:val="24"/>
          <w:szCs w:val="24"/>
          <w:lang w:val="en-US"/>
        </w:rPr>
        <w:t>the first respondent</w:t>
      </w:r>
      <w:r w:rsidR="004D1292" w:rsidRPr="004D1292">
        <w:rPr>
          <w:sz w:val="24"/>
          <w:szCs w:val="24"/>
          <w:lang w:val="en-US"/>
        </w:rPr>
        <w:t xml:space="preserve"> having been dismissed by that </w:t>
      </w:r>
      <w:r w:rsidR="004D1292">
        <w:rPr>
          <w:sz w:val="24"/>
          <w:szCs w:val="24"/>
          <w:lang w:val="en-US"/>
        </w:rPr>
        <w:t>C</w:t>
      </w:r>
      <w:r w:rsidR="004D1292" w:rsidRPr="004D1292">
        <w:rPr>
          <w:sz w:val="24"/>
          <w:szCs w:val="24"/>
          <w:lang w:val="en-US"/>
        </w:rPr>
        <w:t xml:space="preserve">ourt, all that now remains is the question whether it would be just and </w:t>
      </w:r>
      <w:r w:rsidR="004D1292" w:rsidRPr="004D1292">
        <w:rPr>
          <w:sz w:val="24"/>
          <w:szCs w:val="24"/>
          <w:lang w:val="en-US"/>
        </w:rPr>
        <w:lastRenderedPageBreak/>
        <w:t>equitable to order the relocation of the unlawful occupier as contemplated in section 4(7) of PIE.</w:t>
      </w:r>
    </w:p>
    <w:p w14:paraId="407FDDE4" w14:textId="0DB617A8" w:rsidR="00945C76" w:rsidRDefault="00945C76" w:rsidP="00B5381A">
      <w:pPr>
        <w:spacing w:line="240" w:lineRule="auto"/>
        <w:rPr>
          <w:sz w:val="24"/>
          <w:szCs w:val="24"/>
        </w:rPr>
      </w:pPr>
    </w:p>
    <w:p w14:paraId="1DB64480" w14:textId="349DF8FF" w:rsidR="004D1292" w:rsidRDefault="004D1292" w:rsidP="00B5381A">
      <w:pPr>
        <w:spacing w:line="240" w:lineRule="auto"/>
        <w:rPr>
          <w:iCs/>
          <w:sz w:val="24"/>
          <w:szCs w:val="24"/>
          <w:lang w:val="en-US"/>
        </w:rPr>
      </w:pPr>
      <w:r>
        <w:rPr>
          <w:sz w:val="24"/>
          <w:szCs w:val="24"/>
        </w:rPr>
        <w:t xml:space="preserve">The applicant further submits that the decision of the Supreme Court of Appeal </w:t>
      </w:r>
      <w:r w:rsidRPr="004D1292">
        <w:rPr>
          <w:iCs/>
          <w:sz w:val="24"/>
          <w:szCs w:val="24"/>
          <w:lang w:val="en-US"/>
        </w:rPr>
        <w:t xml:space="preserve">is in conflict with </w:t>
      </w:r>
      <w:r>
        <w:rPr>
          <w:iCs/>
          <w:sz w:val="24"/>
          <w:szCs w:val="24"/>
          <w:lang w:val="en-US"/>
        </w:rPr>
        <w:t xml:space="preserve">this Court’s judgment in </w:t>
      </w:r>
      <w:r w:rsidRPr="004D1292">
        <w:rPr>
          <w:i/>
          <w:iCs/>
          <w:sz w:val="24"/>
          <w:szCs w:val="24"/>
          <w:lang w:val="en-US"/>
        </w:rPr>
        <w:t xml:space="preserve">City of Johannesburg Metropolitan Municipality </w:t>
      </w:r>
      <w:proofErr w:type="gramStart"/>
      <w:r w:rsidRPr="004D1292">
        <w:rPr>
          <w:i/>
          <w:iCs/>
          <w:sz w:val="24"/>
          <w:szCs w:val="24"/>
          <w:lang w:val="en-US"/>
        </w:rPr>
        <w:t>v</w:t>
      </w:r>
      <w:proofErr w:type="gramEnd"/>
      <w:r w:rsidRPr="004D1292">
        <w:rPr>
          <w:i/>
          <w:iCs/>
          <w:sz w:val="24"/>
          <w:szCs w:val="24"/>
          <w:lang w:val="en-US"/>
        </w:rPr>
        <w:t xml:space="preserve"> Blue Moonlight Properties 39 (Pty) Ltd </w:t>
      </w:r>
      <w:r w:rsidRPr="004D1292">
        <w:rPr>
          <w:iCs/>
          <w:sz w:val="24"/>
          <w:szCs w:val="24"/>
          <w:lang w:val="en-US"/>
        </w:rPr>
        <w:t xml:space="preserve">because </w:t>
      </w:r>
      <w:r>
        <w:rPr>
          <w:iCs/>
          <w:sz w:val="24"/>
          <w:szCs w:val="24"/>
          <w:lang w:val="en-US"/>
        </w:rPr>
        <w:t>the applicant</w:t>
      </w:r>
      <w:r w:rsidRPr="004D1292">
        <w:rPr>
          <w:iCs/>
          <w:sz w:val="24"/>
          <w:szCs w:val="24"/>
          <w:lang w:val="en-US"/>
        </w:rPr>
        <w:t xml:space="preserve"> is now expected to provide free housing to </w:t>
      </w:r>
      <w:r w:rsidR="00D71C7C">
        <w:rPr>
          <w:iCs/>
          <w:sz w:val="24"/>
          <w:szCs w:val="24"/>
          <w:lang w:val="en-US"/>
        </w:rPr>
        <w:t>the respondents</w:t>
      </w:r>
      <w:r w:rsidRPr="004D1292">
        <w:rPr>
          <w:iCs/>
          <w:sz w:val="24"/>
          <w:szCs w:val="24"/>
          <w:lang w:val="en-US"/>
        </w:rPr>
        <w:t xml:space="preserve"> for an indefinite period.  Moreover, </w:t>
      </w:r>
      <w:r>
        <w:rPr>
          <w:iCs/>
          <w:sz w:val="24"/>
          <w:szCs w:val="24"/>
          <w:lang w:val="en-US"/>
        </w:rPr>
        <w:t>the applicant</w:t>
      </w:r>
      <w:r w:rsidRPr="004D1292">
        <w:rPr>
          <w:iCs/>
          <w:sz w:val="24"/>
          <w:szCs w:val="24"/>
          <w:lang w:val="en-US"/>
        </w:rPr>
        <w:t xml:space="preserve"> submits that the Supreme Court of Appeal overlooked the fact that </w:t>
      </w:r>
      <w:r w:rsidR="00D71C7C">
        <w:rPr>
          <w:iCs/>
          <w:sz w:val="24"/>
          <w:szCs w:val="24"/>
          <w:lang w:val="en-US"/>
        </w:rPr>
        <w:t>the first respondent</w:t>
      </w:r>
      <w:r w:rsidRPr="004D1292">
        <w:rPr>
          <w:iCs/>
          <w:sz w:val="24"/>
          <w:szCs w:val="24"/>
          <w:lang w:val="en-US"/>
        </w:rPr>
        <w:t xml:space="preserve"> would not have been rendered homeless as alternative accommodation had been tendered to her</w:t>
      </w:r>
      <w:r>
        <w:rPr>
          <w:iCs/>
          <w:sz w:val="24"/>
          <w:szCs w:val="24"/>
          <w:lang w:val="en-US"/>
        </w:rPr>
        <w:t>.</w:t>
      </w:r>
    </w:p>
    <w:p w14:paraId="5349B700" w14:textId="4DFE6AB8" w:rsidR="004D1292" w:rsidRDefault="004D1292" w:rsidP="00B5381A">
      <w:pPr>
        <w:spacing w:line="240" w:lineRule="auto"/>
        <w:rPr>
          <w:iCs/>
          <w:sz w:val="24"/>
          <w:szCs w:val="24"/>
          <w:lang w:val="en-US"/>
        </w:rPr>
      </w:pPr>
    </w:p>
    <w:p w14:paraId="06A2B354" w14:textId="146DF953" w:rsidR="00553D86" w:rsidRDefault="00553D86" w:rsidP="00B5381A">
      <w:pPr>
        <w:spacing w:line="240" w:lineRule="auto"/>
        <w:rPr>
          <w:iCs/>
          <w:sz w:val="24"/>
          <w:szCs w:val="24"/>
          <w:lang w:val="en-US"/>
        </w:rPr>
      </w:pPr>
      <w:r w:rsidRPr="00553D86">
        <w:rPr>
          <w:iCs/>
          <w:sz w:val="24"/>
          <w:szCs w:val="24"/>
          <w:lang w:val="en-US"/>
        </w:rPr>
        <w:t xml:space="preserve">The objective effect of the Supreme Court of Appeal’s judgment, as per </w:t>
      </w:r>
      <w:r>
        <w:rPr>
          <w:iCs/>
          <w:sz w:val="24"/>
          <w:szCs w:val="24"/>
          <w:lang w:val="en-US"/>
        </w:rPr>
        <w:t xml:space="preserve">the applicant’s </w:t>
      </w:r>
      <w:r w:rsidRPr="00553D86">
        <w:rPr>
          <w:iCs/>
          <w:sz w:val="24"/>
          <w:szCs w:val="24"/>
          <w:lang w:val="en-US"/>
        </w:rPr>
        <w:t xml:space="preserve">submissions is that it effectively infringes on his property rights as protected by section 25 of the Constitution through the misapplication of </w:t>
      </w:r>
      <w:r w:rsidR="009E7797" w:rsidRPr="00553D86">
        <w:rPr>
          <w:iCs/>
          <w:sz w:val="24"/>
          <w:szCs w:val="24"/>
          <w:lang w:val="en-US"/>
        </w:rPr>
        <w:t>PIE</w:t>
      </w:r>
      <w:r w:rsidR="009E7797">
        <w:rPr>
          <w:iCs/>
          <w:sz w:val="24"/>
          <w:szCs w:val="24"/>
          <w:lang w:val="en-US"/>
        </w:rPr>
        <w:t xml:space="preserve">. </w:t>
      </w:r>
      <w:r w:rsidR="00210F6C">
        <w:rPr>
          <w:iCs/>
          <w:sz w:val="24"/>
          <w:szCs w:val="24"/>
          <w:lang w:val="en-US"/>
        </w:rPr>
        <w:t xml:space="preserve"> </w:t>
      </w:r>
      <w:r w:rsidR="009E7797">
        <w:rPr>
          <w:iCs/>
          <w:sz w:val="24"/>
          <w:szCs w:val="24"/>
          <w:lang w:val="en-US"/>
        </w:rPr>
        <w:t>The</w:t>
      </w:r>
      <w:r w:rsidR="00A96B42">
        <w:rPr>
          <w:iCs/>
          <w:sz w:val="24"/>
          <w:szCs w:val="24"/>
          <w:lang w:val="en-US"/>
        </w:rPr>
        <w:t xml:space="preserve"> applicant </w:t>
      </w:r>
      <w:r w:rsidRPr="00553D86">
        <w:rPr>
          <w:iCs/>
          <w:sz w:val="24"/>
          <w:szCs w:val="24"/>
          <w:lang w:val="en-US"/>
        </w:rPr>
        <w:t xml:space="preserve">submits that by repeatedly offering alternative accommodation to </w:t>
      </w:r>
      <w:r w:rsidR="00D71C7C">
        <w:rPr>
          <w:iCs/>
          <w:sz w:val="24"/>
          <w:szCs w:val="24"/>
          <w:lang w:val="en-US"/>
        </w:rPr>
        <w:t>the first respondent</w:t>
      </w:r>
      <w:r w:rsidRPr="00553D86">
        <w:rPr>
          <w:iCs/>
          <w:sz w:val="24"/>
          <w:szCs w:val="24"/>
          <w:lang w:val="en-US"/>
        </w:rPr>
        <w:t>, he has consistently complied with section 26(3) of the Constitution and that said right only grants her the right to adequate housing, it does not give her the right to choose exactly where in Somerset West she wishes to live</w:t>
      </w:r>
      <w:r>
        <w:rPr>
          <w:iCs/>
          <w:sz w:val="24"/>
          <w:szCs w:val="24"/>
          <w:lang w:val="en-US"/>
        </w:rPr>
        <w:t>.</w:t>
      </w:r>
      <w:r w:rsidR="009E7797">
        <w:rPr>
          <w:sz w:val="24"/>
          <w:szCs w:val="24"/>
          <w:lang w:val="en-US"/>
        </w:rPr>
        <w:t xml:space="preserve">  </w:t>
      </w:r>
      <w:r w:rsidR="00A96B42" w:rsidRPr="00A96B42">
        <w:rPr>
          <w:sz w:val="24"/>
          <w:szCs w:val="24"/>
          <w:lang w:val="en-US"/>
        </w:rPr>
        <w:t>Relying on this Court’s judgment in</w:t>
      </w:r>
      <w:r w:rsidR="00A96B42">
        <w:rPr>
          <w:i/>
          <w:iCs/>
          <w:sz w:val="24"/>
          <w:szCs w:val="24"/>
          <w:lang w:val="en-US"/>
        </w:rPr>
        <w:t xml:space="preserve"> </w:t>
      </w:r>
      <w:r w:rsidRPr="00553D86">
        <w:rPr>
          <w:i/>
          <w:iCs/>
          <w:sz w:val="24"/>
          <w:szCs w:val="24"/>
          <w:lang w:val="en-US"/>
        </w:rPr>
        <w:t xml:space="preserve">Baron and Others v </w:t>
      </w:r>
      <w:proofErr w:type="spellStart"/>
      <w:r w:rsidRPr="00553D86">
        <w:rPr>
          <w:i/>
          <w:iCs/>
          <w:sz w:val="24"/>
          <w:szCs w:val="24"/>
          <w:lang w:val="en-US"/>
        </w:rPr>
        <w:t>Claytile</w:t>
      </w:r>
      <w:proofErr w:type="spellEnd"/>
      <w:r w:rsidRPr="00553D86">
        <w:rPr>
          <w:i/>
          <w:iCs/>
          <w:sz w:val="24"/>
          <w:szCs w:val="24"/>
          <w:lang w:val="en-US"/>
        </w:rPr>
        <w:t xml:space="preserve"> (Pty) Ltd and Another</w:t>
      </w:r>
      <w:bookmarkStart w:id="0" w:name="_GoBack"/>
      <w:bookmarkEnd w:id="0"/>
      <w:r w:rsidR="00A96B42">
        <w:rPr>
          <w:iCs/>
          <w:sz w:val="24"/>
          <w:szCs w:val="24"/>
          <w:lang w:val="en-US"/>
        </w:rPr>
        <w:t>,</w:t>
      </w:r>
      <w:r w:rsidR="009E7797">
        <w:rPr>
          <w:iCs/>
          <w:sz w:val="24"/>
          <w:szCs w:val="24"/>
          <w:lang w:val="en-US"/>
        </w:rPr>
        <w:t xml:space="preserve"> </w:t>
      </w:r>
      <w:r w:rsidR="00A96B42">
        <w:rPr>
          <w:iCs/>
          <w:sz w:val="24"/>
          <w:szCs w:val="24"/>
          <w:lang w:val="en-US"/>
        </w:rPr>
        <w:t>the applicant</w:t>
      </w:r>
      <w:r w:rsidRPr="00553D86">
        <w:rPr>
          <w:iCs/>
          <w:sz w:val="24"/>
          <w:szCs w:val="24"/>
          <w:lang w:val="en-US"/>
        </w:rPr>
        <w:t xml:space="preserve"> submits that a balance should be struck between his property rights and </w:t>
      </w:r>
      <w:r w:rsidR="00D71C7C">
        <w:rPr>
          <w:iCs/>
          <w:sz w:val="24"/>
          <w:szCs w:val="24"/>
          <w:lang w:val="en-US"/>
        </w:rPr>
        <w:t>the respondents</w:t>
      </w:r>
      <w:r w:rsidRPr="00553D86">
        <w:rPr>
          <w:iCs/>
          <w:sz w:val="24"/>
          <w:szCs w:val="24"/>
          <w:lang w:val="en-US"/>
        </w:rPr>
        <w:t xml:space="preserve"> right to adequate housing, a balance the Supreme Court of Appeal failed to strike</w:t>
      </w:r>
    </w:p>
    <w:p w14:paraId="6728353C" w14:textId="0C8F3EA1" w:rsidR="00553D86" w:rsidRDefault="00553D86" w:rsidP="00B5381A">
      <w:pPr>
        <w:spacing w:line="240" w:lineRule="auto"/>
        <w:rPr>
          <w:iCs/>
          <w:sz w:val="24"/>
          <w:szCs w:val="24"/>
          <w:lang w:val="en-US"/>
        </w:rPr>
      </w:pPr>
    </w:p>
    <w:p w14:paraId="66879BAA" w14:textId="2595610F" w:rsidR="00425489" w:rsidRDefault="00D71C7C" w:rsidP="00B5381A">
      <w:pPr>
        <w:spacing w:line="240" w:lineRule="auto"/>
        <w:rPr>
          <w:iCs/>
          <w:sz w:val="24"/>
          <w:szCs w:val="24"/>
          <w:lang w:val="en-US"/>
        </w:rPr>
      </w:pPr>
      <w:r>
        <w:rPr>
          <w:iCs/>
          <w:sz w:val="24"/>
          <w:szCs w:val="24"/>
          <w:lang w:val="en-US"/>
        </w:rPr>
        <w:t>The first respondent</w:t>
      </w:r>
      <w:r w:rsidR="0065081C">
        <w:rPr>
          <w:iCs/>
          <w:sz w:val="24"/>
          <w:szCs w:val="24"/>
          <w:lang w:val="en-US"/>
        </w:rPr>
        <w:t xml:space="preserve"> </w:t>
      </w:r>
      <w:r w:rsidR="00553D86">
        <w:rPr>
          <w:iCs/>
          <w:sz w:val="24"/>
          <w:szCs w:val="24"/>
          <w:lang w:val="en-US"/>
        </w:rPr>
        <w:t xml:space="preserve">submits that this </w:t>
      </w:r>
      <w:r w:rsidR="00425489">
        <w:rPr>
          <w:iCs/>
          <w:sz w:val="24"/>
          <w:szCs w:val="24"/>
          <w:lang w:val="en-US"/>
        </w:rPr>
        <w:t xml:space="preserve">matter does not raise an arguable point of law of general public interest because </w:t>
      </w:r>
      <w:r w:rsidR="00425489" w:rsidRPr="00425489">
        <w:rPr>
          <w:iCs/>
          <w:sz w:val="24"/>
          <w:szCs w:val="24"/>
          <w:lang w:val="en-US"/>
        </w:rPr>
        <w:t>the Supreme Court of Appeal</w:t>
      </w:r>
      <w:r w:rsidR="0065081C">
        <w:rPr>
          <w:iCs/>
          <w:sz w:val="24"/>
          <w:szCs w:val="24"/>
          <w:lang w:val="en-US"/>
        </w:rPr>
        <w:t>’s</w:t>
      </w:r>
      <w:r w:rsidR="00425489" w:rsidRPr="00425489">
        <w:rPr>
          <w:iCs/>
          <w:sz w:val="24"/>
          <w:szCs w:val="24"/>
          <w:lang w:val="en-US"/>
        </w:rPr>
        <w:t xml:space="preserve"> judgment does not remotely establish the general principle that an occupier of a residential property who has resided there long enough can be immunized from eviction indefinitely, notwithstanding her unlawful occupation.  This is because the circumstances of the case are exceptional</w:t>
      </w:r>
      <w:r w:rsidR="00037FD6">
        <w:rPr>
          <w:iCs/>
          <w:sz w:val="24"/>
          <w:szCs w:val="24"/>
          <w:lang w:val="en-US"/>
        </w:rPr>
        <w:t>.</w:t>
      </w:r>
      <w:r w:rsidR="006B63D4">
        <w:rPr>
          <w:iCs/>
          <w:sz w:val="24"/>
          <w:szCs w:val="24"/>
          <w:lang w:val="en-US"/>
        </w:rPr>
        <w:t xml:space="preserve">  </w:t>
      </w:r>
      <w:r>
        <w:rPr>
          <w:iCs/>
          <w:sz w:val="24"/>
          <w:szCs w:val="24"/>
          <w:lang w:val="en-US"/>
        </w:rPr>
        <w:t xml:space="preserve">The first respondent </w:t>
      </w:r>
      <w:r w:rsidR="006B63D4">
        <w:rPr>
          <w:iCs/>
          <w:sz w:val="24"/>
          <w:szCs w:val="24"/>
          <w:lang w:val="en-US"/>
        </w:rPr>
        <w:t xml:space="preserve">further submits that the application should be dismissed as the applicant seeks to traverse a new issue on appeal without the requisite application.  To this end, </w:t>
      </w:r>
      <w:r>
        <w:rPr>
          <w:iCs/>
          <w:sz w:val="24"/>
          <w:szCs w:val="24"/>
          <w:lang w:val="en-US"/>
        </w:rPr>
        <w:t>the first respondent</w:t>
      </w:r>
      <w:r w:rsidR="006B63D4">
        <w:rPr>
          <w:iCs/>
          <w:sz w:val="24"/>
          <w:szCs w:val="24"/>
          <w:lang w:val="en-US"/>
        </w:rPr>
        <w:t xml:space="preserve"> argues that a belated alternative accommodation offer does not invalidate</w:t>
      </w:r>
      <w:r w:rsidR="00A96B42">
        <w:rPr>
          <w:iCs/>
          <w:sz w:val="24"/>
          <w:szCs w:val="24"/>
          <w:lang w:val="en-US"/>
        </w:rPr>
        <w:t xml:space="preserve"> the just and equitable orders given by the High Court and the Supreme Court of Appeal.</w:t>
      </w:r>
    </w:p>
    <w:p w14:paraId="63EC7269" w14:textId="00EE0409" w:rsidR="00037FD6" w:rsidRDefault="00037FD6" w:rsidP="00B5381A">
      <w:pPr>
        <w:spacing w:line="240" w:lineRule="auto"/>
        <w:rPr>
          <w:iCs/>
          <w:sz w:val="24"/>
          <w:szCs w:val="24"/>
          <w:lang w:val="en-US"/>
        </w:rPr>
      </w:pPr>
    </w:p>
    <w:p w14:paraId="461D713C" w14:textId="3CCFC20B" w:rsidR="00037FD6" w:rsidRDefault="00D71C7C" w:rsidP="00B5381A">
      <w:pPr>
        <w:spacing w:line="240" w:lineRule="auto"/>
        <w:rPr>
          <w:iCs/>
          <w:sz w:val="24"/>
          <w:szCs w:val="24"/>
          <w:lang w:val="en-US"/>
        </w:rPr>
      </w:pPr>
      <w:r>
        <w:rPr>
          <w:iCs/>
          <w:sz w:val="24"/>
          <w:szCs w:val="24"/>
          <w:lang w:val="en-US"/>
        </w:rPr>
        <w:t>The first respondent</w:t>
      </w:r>
      <w:r w:rsidR="00037FD6">
        <w:rPr>
          <w:iCs/>
          <w:sz w:val="24"/>
          <w:szCs w:val="24"/>
          <w:lang w:val="en-US"/>
        </w:rPr>
        <w:t xml:space="preserve"> further relies on this Court’s judgment in </w:t>
      </w:r>
      <w:r w:rsidR="00037FD6" w:rsidRPr="00037FD6">
        <w:rPr>
          <w:i/>
          <w:sz w:val="24"/>
          <w:szCs w:val="24"/>
          <w:lang w:val="en-US"/>
        </w:rPr>
        <w:t>Occupiers, Berea v De Wet N.O. and Another</w:t>
      </w:r>
      <w:r w:rsidR="00037FD6">
        <w:rPr>
          <w:iCs/>
          <w:sz w:val="24"/>
          <w:szCs w:val="24"/>
          <w:lang w:val="en-US"/>
        </w:rPr>
        <w:t xml:space="preserve"> and submits that what is just and equitable goes beyond the confines of the lawfulness of the occupation.  </w:t>
      </w:r>
      <w:r>
        <w:rPr>
          <w:iCs/>
          <w:sz w:val="24"/>
          <w:szCs w:val="24"/>
          <w:lang w:val="en-US"/>
        </w:rPr>
        <w:t>The first respondent</w:t>
      </w:r>
      <w:r w:rsidR="00037FD6">
        <w:rPr>
          <w:iCs/>
          <w:sz w:val="24"/>
          <w:szCs w:val="24"/>
          <w:lang w:val="en-US"/>
        </w:rPr>
        <w:t xml:space="preserve"> argues that the High Court and Supreme Court of Appeal correctly exercised their judicial discretion because the alternative accommodation offer was made at an advanced stage of the proceedings and that the Courts had no jurisdiction to consider the merits of the offers or the reasonableness of </w:t>
      </w:r>
      <w:r>
        <w:rPr>
          <w:iCs/>
          <w:sz w:val="24"/>
          <w:szCs w:val="24"/>
          <w:lang w:val="en-US"/>
        </w:rPr>
        <w:t>the first respondent’s</w:t>
      </w:r>
      <w:r w:rsidR="00037FD6">
        <w:rPr>
          <w:iCs/>
          <w:sz w:val="24"/>
          <w:szCs w:val="24"/>
          <w:lang w:val="en-US"/>
        </w:rPr>
        <w:t xml:space="preserve"> rejection thereof.</w:t>
      </w:r>
    </w:p>
    <w:p w14:paraId="6BBC9414" w14:textId="77777777" w:rsidR="00425489" w:rsidRPr="00B5381A" w:rsidRDefault="00425489" w:rsidP="00B5381A">
      <w:pPr>
        <w:spacing w:line="240" w:lineRule="auto"/>
        <w:rPr>
          <w:sz w:val="24"/>
          <w:szCs w:val="24"/>
        </w:rPr>
      </w:pPr>
    </w:p>
    <w:p w14:paraId="0F4ECE39" w14:textId="0256AEC0" w:rsidR="00054DCF" w:rsidRPr="004B4ACA" w:rsidRDefault="00054DCF" w:rsidP="00266F39">
      <w:pPr>
        <w:spacing w:line="240" w:lineRule="auto"/>
        <w:rPr>
          <w:sz w:val="24"/>
          <w:szCs w:val="24"/>
        </w:rPr>
      </w:pPr>
    </w:p>
    <w:sectPr w:rsidR="00054DCF" w:rsidRPr="004B4ACA" w:rsidSect="00CC54A4">
      <w:headerReference w:type="default" r:id="rId10"/>
      <w:footerReference w:type="default" r:id="rId11"/>
      <w:type w:val="continuous"/>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FBED1B" w14:textId="77777777" w:rsidR="008C6147" w:rsidRDefault="008C6147" w:rsidP="00E4607C">
      <w:pPr>
        <w:spacing w:line="240" w:lineRule="auto"/>
      </w:pPr>
      <w:r>
        <w:separator/>
      </w:r>
    </w:p>
  </w:endnote>
  <w:endnote w:type="continuationSeparator" w:id="0">
    <w:p w14:paraId="5CA0C1F3" w14:textId="77777777" w:rsidR="008C6147" w:rsidRDefault="008C6147"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66D80" w14:textId="46CCC32F" w:rsidR="0016132A" w:rsidRDefault="0016132A" w:rsidP="0087217E">
    <w:pPr>
      <w:pStyle w:val="Footer"/>
      <w:jc w:val="center"/>
    </w:pPr>
    <w:r>
      <w:fldChar w:fldCharType="begin"/>
    </w:r>
    <w:r>
      <w:instrText xml:space="preserve"> PAGE   \* MERGEFORMAT </w:instrText>
    </w:r>
    <w:r>
      <w:fldChar w:fldCharType="separate"/>
    </w:r>
    <w:r w:rsidR="00AA68B1">
      <w:rPr>
        <w:noProof/>
      </w:rPr>
      <w:t>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03BB9" w14:textId="77777777" w:rsidR="0016132A" w:rsidRDefault="0016132A"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28380A" w14:textId="77777777" w:rsidR="008C6147" w:rsidRDefault="008C6147" w:rsidP="00E4607C">
      <w:pPr>
        <w:spacing w:line="240" w:lineRule="auto"/>
      </w:pPr>
      <w:r>
        <w:separator/>
      </w:r>
    </w:p>
  </w:footnote>
  <w:footnote w:type="continuationSeparator" w:id="0">
    <w:p w14:paraId="5527724A" w14:textId="77777777" w:rsidR="008C6147" w:rsidRDefault="008C6147" w:rsidP="00E460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E7CF7" w14:textId="77777777" w:rsidR="0016132A" w:rsidRDefault="0016132A"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63797"/>
    <w:multiLevelType w:val="hybridMultilevel"/>
    <w:tmpl w:val="D2B03474"/>
    <w:lvl w:ilvl="0" w:tplc="FEE2A95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602C515D"/>
    <w:multiLevelType w:val="hybridMultilevel"/>
    <w:tmpl w:val="F5B813AE"/>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5" w15:restartNumberingAfterBreak="0">
    <w:nsid w:val="6CED13CF"/>
    <w:multiLevelType w:val="hybridMultilevel"/>
    <w:tmpl w:val="E1A03C6C"/>
    <w:lvl w:ilvl="0" w:tplc="9CD8A720">
      <w:start w:val="4"/>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1"/>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2"/>
  </w:num>
  <w:num w:numId="12">
    <w:abstractNumId w:val="2"/>
    <w:lvlOverride w:ilvl="0">
      <w:startOverride w:val="1"/>
    </w:lvlOverride>
  </w:num>
  <w:num w:numId="13">
    <w:abstractNumId w:val="1"/>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0A64"/>
    <w:rsid w:val="00003278"/>
    <w:rsid w:val="00016E88"/>
    <w:rsid w:val="00021B45"/>
    <w:rsid w:val="00027365"/>
    <w:rsid w:val="0003222E"/>
    <w:rsid w:val="0003332C"/>
    <w:rsid w:val="0003374F"/>
    <w:rsid w:val="000356B3"/>
    <w:rsid w:val="00037FD6"/>
    <w:rsid w:val="00047A2F"/>
    <w:rsid w:val="00053A02"/>
    <w:rsid w:val="00054DCF"/>
    <w:rsid w:val="000570BC"/>
    <w:rsid w:val="00063ECD"/>
    <w:rsid w:val="000700EA"/>
    <w:rsid w:val="000704F2"/>
    <w:rsid w:val="0008323F"/>
    <w:rsid w:val="0008371B"/>
    <w:rsid w:val="00095A15"/>
    <w:rsid w:val="00095E82"/>
    <w:rsid w:val="000A65B1"/>
    <w:rsid w:val="000A6BD8"/>
    <w:rsid w:val="000B0C92"/>
    <w:rsid w:val="000B1A1D"/>
    <w:rsid w:val="000B22E6"/>
    <w:rsid w:val="000B6628"/>
    <w:rsid w:val="000C38CF"/>
    <w:rsid w:val="000D2B90"/>
    <w:rsid w:val="000D47BD"/>
    <w:rsid w:val="000D5208"/>
    <w:rsid w:val="000F49FA"/>
    <w:rsid w:val="000F7521"/>
    <w:rsid w:val="001016AC"/>
    <w:rsid w:val="001047B2"/>
    <w:rsid w:val="00110D79"/>
    <w:rsid w:val="0011207A"/>
    <w:rsid w:val="001254AF"/>
    <w:rsid w:val="00127EF4"/>
    <w:rsid w:val="00130ACC"/>
    <w:rsid w:val="0014061F"/>
    <w:rsid w:val="00145826"/>
    <w:rsid w:val="0015232E"/>
    <w:rsid w:val="00153546"/>
    <w:rsid w:val="001611B1"/>
    <w:rsid w:val="0016132A"/>
    <w:rsid w:val="00161759"/>
    <w:rsid w:val="001636AE"/>
    <w:rsid w:val="00165B7A"/>
    <w:rsid w:val="00166D13"/>
    <w:rsid w:val="00174981"/>
    <w:rsid w:val="00183FC9"/>
    <w:rsid w:val="00186166"/>
    <w:rsid w:val="0019142D"/>
    <w:rsid w:val="001927E9"/>
    <w:rsid w:val="0019367E"/>
    <w:rsid w:val="00194B9C"/>
    <w:rsid w:val="00196007"/>
    <w:rsid w:val="001A4C2A"/>
    <w:rsid w:val="001A7757"/>
    <w:rsid w:val="001B10DF"/>
    <w:rsid w:val="001B4C29"/>
    <w:rsid w:val="001C050A"/>
    <w:rsid w:val="001D31D7"/>
    <w:rsid w:val="001D3D21"/>
    <w:rsid w:val="001D6134"/>
    <w:rsid w:val="001D61C1"/>
    <w:rsid w:val="001E4EED"/>
    <w:rsid w:val="001E58AD"/>
    <w:rsid w:val="001F6080"/>
    <w:rsid w:val="001F67DD"/>
    <w:rsid w:val="00210F6C"/>
    <w:rsid w:val="00211D5F"/>
    <w:rsid w:val="002160B9"/>
    <w:rsid w:val="002208F2"/>
    <w:rsid w:val="00221A3A"/>
    <w:rsid w:val="00232B8F"/>
    <w:rsid w:val="00236F9A"/>
    <w:rsid w:val="00244D82"/>
    <w:rsid w:val="0024725F"/>
    <w:rsid w:val="00266F39"/>
    <w:rsid w:val="00270530"/>
    <w:rsid w:val="00281EA6"/>
    <w:rsid w:val="002821B5"/>
    <w:rsid w:val="00282D8E"/>
    <w:rsid w:val="00283D54"/>
    <w:rsid w:val="00285368"/>
    <w:rsid w:val="00287753"/>
    <w:rsid w:val="00295C91"/>
    <w:rsid w:val="0029698C"/>
    <w:rsid w:val="002A7F07"/>
    <w:rsid w:val="002B0BEE"/>
    <w:rsid w:val="002C341B"/>
    <w:rsid w:val="002C4C6D"/>
    <w:rsid w:val="002C5F97"/>
    <w:rsid w:val="002C63E9"/>
    <w:rsid w:val="002C7AC5"/>
    <w:rsid w:val="002D1FD9"/>
    <w:rsid w:val="002D406C"/>
    <w:rsid w:val="002D5DD9"/>
    <w:rsid w:val="002D6E04"/>
    <w:rsid w:val="002E1AA1"/>
    <w:rsid w:val="002E3F09"/>
    <w:rsid w:val="002E4857"/>
    <w:rsid w:val="002E6C0B"/>
    <w:rsid w:val="002F2C97"/>
    <w:rsid w:val="002F4FD8"/>
    <w:rsid w:val="002F6A17"/>
    <w:rsid w:val="00310DB3"/>
    <w:rsid w:val="00313A5A"/>
    <w:rsid w:val="00322D78"/>
    <w:rsid w:val="00326649"/>
    <w:rsid w:val="00327D56"/>
    <w:rsid w:val="00341131"/>
    <w:rsid w:val="00346927"/>
    <w:rsid w:val="00346E6A"/>
    <w:rsid w:val="003511FD"/>
    <w:rsid w:val="00357F49"/>
    <w:rsid w:val="00363F8D"/>
    <w:rsid w:val="003644DF"/>
    <w:rsid w:val="00366550"/>
    <w:rsid w:val="003770DD"/>
    <w:rsid w:val="00381E96"/>
    <w:rsid w:val="003837F4"/>
    <w:rsid w:val="00386F56"/>
    <w:rsid w:val="00386FCB"/>
    <w:rsid w:val="0038714E"/>
    <w:rsid w:val="00393210"/>
    <w:rsid w:val="0039390E"/>
    <w:rsid w:val="003A1095"/>
    <w:rsid w:val="003A18CF"/>
    <w:rsid w:val="003A2857"/>
    <w:rsid w:val="003A3C4A"/>
    <w:rsid w:val="003A3E5C"/>
    <w:rsid w:val="003B12C2"/>
    <w:rsid w:val="003B7D83"/>
    <w:rsid w:val="003C5CF6"/>
    <w:rsid w:val="003C7B6C"/>
    <w:rsid w:val="003D7DE0"/>
    <w:rsid w:val="003E2373"/>
    <w:rsid w:val="003E3C87"/>
    <w:rsid w:val="003F76CB"/>
    <w:rsid w:val="004110F6"/>
    <w:rsid w:val="00411A65"/>
    <w:rsid w:val="00416BEE"/>
    <w:rsid w:val="00425489"/>
    <w:rsid w:val="00432310"/>
    <w:rsid w:val="00432ABF"/>
    <w:rsid w:val="0043330E"/>
    <w:rsid w:val="004347EC"/>
    <w:rsid w:val="004374F5"/>
    <w:rsid w:val="00437F49"/>
    <w:rsid w:val="0044313C"/>
    <w:rsid w:val="00445F18"/>
    <w:rsid w:val="004470CF"/>
    <w:rsid w:val="0044789D"/>
    <w:rsid w:val="004506D9"/>
    <w:rsid w:val="00450F1B"/>
    <w:rsid w:val="00454E8A"/>
    <w:rsid w:val="0046182E"/>
    <w:rsid w:val="004620BF"/>
    <w:rsid w:val="00462875"/>
    <w:rsid w:val="00466519"/>
    <w:rsid w:val="00471A42"/>
    <w:rsid w:val="00472359"/>
    <w:rsid w:val="0048306F"/>
    <w:rsid w:val="00484278"/>
    <w:rsid w:val="004912B6"/>
    <w:rsid w:val="00493849"/>
    <w:rsid w:val="004A08C2"/>
    <w:rsid w:val="004A14DE"/>
    <w:rsid w:val="004A1D7F"/>
    <w:rsid w:val="004A4073"/>
    <w:rsid w:val="004A469A"/>
    <w:rsid w:val="004B1061"/>
    <w:rsid w:val="004B4ACA"/>
    <w:rsid w:val="004B6CFA"/>
    <w:rsid w:val="004C054B"/>
    <w:rsid w:val="004C7588"/>
    <w:rsid w:val="004D02BA"/>
    <w:rsid w:val="004D1292"/>
    <w:rsid w:val="004D3AD0"/>
    <w:rsid w:val="004D4037"/>
    <w:rsid w:val="004D44B6"/>
    <w:rsid w:val="004D5C20"/>
    <w:rsid w:val="004E00EA"/>
    <w:rsid w:val="004E1354"/>
    <w:rsid w:val="004E2361"/>
    <w:rsid w:val="004E3677"/>
    <w:rsid w:val="004F3AF4"/>
    <w:rsid w:val="00502DE4"/>
    <w:rsid w:val="00503030"/>
    <w:rsid w:val="00520FED"/>
    <w:rsid w:val="00526CE6"/>
    <w:rsid w:val="005314E0"/>
    <w:rsid w:val="00533037"/>
    <w:rsid w:val="0053488C"/>
    <w:rsid w:val="00535E74"/>
    <w:rsid w:val="00537C15"/>
    <w:rsid w:val="00542F53"/>
    <w:rsid w:val="005536A1"/>
    <w:rsid w:val="00553D86"/>
    <w:rsid w:val="00554AAD"/>
    <w:rsid w:val="00561AE9"/>
    <w:rsid w:val="00562155"/>
    <w:rsid w:val="005627D3"/>
    <w:rsid w:val="0056742C"/>
    <w:rsid w:val="00590B22"/>
    <w:rsid w:val="00597667"/>
    <w:rsid w:val="005A4CF8"/>
    <w:rsid w:val="005B2A94"/>
    <w:rsid w:val="005B4D2F"/>
    <w:rsid w:val="005C20ED"/>
    <w:rsid w:val="005D076D"/>
    <w:rsid w:val="005D7287"/>
    <w:rsid w:val="005E07C7"/>
    <w:rsid w:val="005E3DFF"/>
    <w:rsid w:val="005F25A8"/>
    <w:rsid w:val="00601A88"/>
    <w:rsid w:val="00604B1D"/>
    <w:rsid w:val="00606AC1"/>
    <w:rsid w:val="0061143E"/>
    <w:rsid w:val="00613396"/>
    <w:rsid w:val="006179D6"/>
    <w:rsid w:val="00636442"/>
    <w:rsid w:val="00643214"/>
    <w:rsid w:val="0065073B"/>
    <w:rsid w:val="0065081C"/>
    <w:rsid w:val="00657B43"/>
    <w:rsid w:val="006638D8"/>
    <w:rsid w:val="00664A82"/>
    <w:rsid w:val="0067159E"/>
    <w:rsid w:val="006724E0"/>
    <w:rsid w:val="0067644D"/>
    <w:rsid w:val="00684219"/>
    <w:rsid w:val="006A0EBD"/>
    <w:rsid w:val="006A18AA"/>
    <w:rsid w:val="006A6304"/>
    <w:rsid w:val="006B63D4"/>
    <w:rsid w:val="006D21A9"/>
    <w:rsid w:val="006D4634"/>
    <w:rsid w:val="006E3711"/>
    <w:rsid w:val="006F5BF0"/>
    <w:rsid w:val="007038B4"/>
    <w:rsid w:val="007049D6"/>
    <w:rsid w:val="00707C78"/>
    <w:rsid w:val="007213DB"/>
    <w:rsid w:val="00721DCB"/>
    <w:rsid w:val="00730113"/>
    <w:rsid w:val="007410F3"/>
    <w:rsid w:val="00744EFF"/>
    <w:rsid w:val="007459C4"/>
    <w:rsid w:val="0074753B"/>
    <w:rsid w:val="00753373"/>
    <w:rsid w:val="00774FB8"/>
    <w:rsid w:val="007824F8"/>
    <w:rsid w:val="00785DE6"/>
    <w:rsid w:val="00793F89"/>
    <w:rsid w:val="007947C8"/>
    <w:rsid w:val="007970E0"/>
    <w:rsid w:val="007A5E9B"/>
    <w:rsid w:val="007B5814"/>
    <w:rsid w:val="007C2FC8"/>
    <w:rsid w:val="007C4840"/>
    <w:rsid w:val="007D064C"/>
    <w:rsid w:val="007D16BB"/>
    <w:rsid w:val="007D31B5"/>
    <w:rsid w:val="007E403C"/>
    <w:rsid w:val="007F0387"/>
    <w:rsid w:val="007F6FB3"/>
    <w:rsid w:val="00800B3B"/>
    <w:rsid w:val="00807A5D"/>
    <w:rsid w:val="00815914"/>
    <w:rsid w:val="008210D8"/>
    <w:rsid w:val="0082400F"/>
    <w:rsid w:val="00831E8F"/>
    <w:rsid w:val="00834803"/>
    <w:rsid w:val="00842678"/>
    <w:rsid w:val="00851D8D"/>
    <w:rsid w:val="0085291E"/>
    <w:rsid w:val="00856F4A"/>
    <w:rsid w:val="008572BC"/>
    <w:rsid w:val="00860C4E"/>
    <w:rsid w:val="00866212"/>
    <w:rsid w:val="00867537"/>
    <w:rsid w:val="00870FCF"/>
    <w:rsid w:val="0087217E"/>
    <w:rsid w:val="00872F02"/>
    <w:rsid w:val="00873722"/>
    <w:rsid w:val="00877FDE"/>
    <w:rsid w:val="00893F46"/>
    <w:rsid w:val="0089691B"/>
    <w:rsid w:val="00897B62"/>
    <w:rsid w:val="008A65D2"/>
    <w:rsid w:val="008B1882"/>
    <w:rsid w:val="008B63AC"/>
    <w:rsid w:val="008C6147"/>
    <w:rsid w:val="008C727F"/>
    <w:rsid w:val="008D11FE"/>
    <w:rsid w:val="008D13FC"/>
    <w:rsid w:val="008D170A"/>
    <w:rsid w:val="008D4593"/>
    <w:rsid w:val="008E0A88"/>
    <w:rsid w:val="008E31EF"/>
    <w:rsid w:val="008E4105"/>
    <w:rsid w:val="008E562C"/>
    <w:rsid w:val="008F0402"/>
    <w:rsid w:val="008F1AED"/>
    <w:rsid w:val="0090795F"/>
    <w:rsid w:val="00911782"/>
    <w:rsid w:val="0091341F"/>
    <w:rsid w:val="00917E06"/>
    <w:rsid w:val="00924747"/>
    <w:rsid w:val="00936FB3"/>
    <w:rsid w:val="00937742"/>
    <w:rsid w:val="009404BA"/>
    <w:rsid w:val="00940A0D"/>
    <w:rsid w:val="00945C76"/>
    <w:rsid w:val="00947BA9"/>
    <w:rsid w:val="009559B5"/>
    <w:rsid w:val="00977EC2"/>
    <w:rsid w:val="0098219B"/>
    <w:rsid w:val="00985AE4"/>
    <w:rsid w:val="00985C07"/>
    <w:rsid w:val="00987555"/>
    <w:rsid w:val="00987B57"/>
    <w:rsid w:val="00990C93"/>
    <w:rsid w:val="00993CD1"/>
    <w:rsid w:val="009A0C1B"/>
    <w:rsid w:val="009A4976"/>
    <w:rsid w:val="009C3888"/>
    <w:rsid w:val="009E12A3"/>
    <w:rsid w:val="009E7797"/>
    <w:rsid w:val="009E79C7"/>
    <w:rsid w:val="009E7ADD"/>
    <w:rsid w:val="009F08A7"/>
    <w:rsid w:val="009F285D"/>
    <w:rsid w:val="009F6BE4"/>
    <w:rsid w:val="00A014CE"/>
    <w:rsid w:val="00A061D3"/>
    <w:rsid w:val="00A166F2"/>
    <w:rsid w:val="00A203C4"/>
    <w:rsid w:val="00A21608"/>
    <w:rsid w:val="00A2637A"/>
    <w:rsid w:val="00A35CE0"/>
    <w:rsid w:val="00A44A8F"/>
    <w:rsid w:val="00A73AE5"/>
    <w:rsid w:val="00A81C1D"/>
    <w:rsid w:val="00A9476E"/>
    <w:rsid w:val="00A96B42"/>
    <w:rsid w:val="00A97332"/>
    <w:rsid w:val="00AA158F"/>
    <w:rsid w:val="00AA45E6"/>
    <w:rsid w:val="00AA6755"/>
    <w:rsid w:val="00AA68B1"/>
    <w:rsid w:val="00AB4DC3"/>
    <w:rsid w:val="00AB6441"/>
    <w:rsid w:val="00AB70DA"/>
    <w:rsid w:val="00AC4738"/>
    <w:rsid w:val="00AD2D1A"/>
    <w:rsid w:val="00AD35F4"/>
    <w:rsid w:val="00AD3B92"/>
    <w:rsid w:val="00AE15AA"/>
    <w:rsid w:val="00AE1728"/>
    <w:rsid w:val="00AE25CF"/>
    <w:rsid w:val="00AE66F8"/>
    <w:rsid w:val="00AE7143"/>
    <w:rsid w:val="00AE7602"/>
    <w:rsid w:val="00AF0F24"/>
    <w:rsid w:val="00AF1AF7"/>
    <w:rsid w:val="00B11501"/>
    <w:rsid w:val="00B1485D"/>
    <w:rsid w:val="00B252E8"/>
    <w:rsid w:val="00B31462"/>
    <w:rsid w:val="00B32AB4"/>
    <w:rsid w:val="00B5381A"/>
    <w:rsid w:val="00B6373D"/>
    <w:rsid w:val="00B64ADD"/>
    <w:rsid w:val="00B7017B"/>
    <w:rsid w:val="00B77D29"/>
    <w:rsid w:val="00B81F77"/>
    <w:rsid w:val="00B8590B"/>
    <w:rsid w:val="00B925C1"/>
    <w:rsid w:val="00B9297D"/>
    <w:rsid w:val="00B92A5D"/>
    <w:rsid w:val="00B97ED9"/>
    <w:rsid w:val="00BA3BEF"/>
    <w:rsid w:val="00BA7BFB"/>
    <w:rsid w:val="00BB0654"/>
    <w:rsid w:val="00BB2307"/>
    <w:rsid w:val="00BB312F"/>
    <w:rsid w:val="00BB36C9"/>
    <w:rsid w:val="00BB53E7"/>
    <w:rsid w:val="00BC231D"/>
    <w:rsid w:val="00BC4E49"/>
    <w:rsid w:val="00BD0174"/>
    <w:rsid w:val="00BD73E4"/>
    <w:rsid w:val="00BE700A"/>
    <w:rsid w:val="00BF03C2"/>
    <w:rsid w:val="00BF1C09"/>
    <w:rsid w:val="00BF3824"/>
    <w:rsid w:val="00BF706A"/>
    <w:rsid w:val="00BF77DE"/>
    <w:rsid w:val="00C066B6"/>
    <w:rsid w:val="00C122BA"/>
    <w:rsid w:val="00C122F9"/>
    <w:rsid w:val="00C306CE"/>
    <w:rsid w:val="00C314C3"/>
    <w:rsid w:val="00C34367"/>
    <w:rsid w:val="00C437B6"/>
    <w:rsid w:val="00C44207"/>
    <w:rsid w:val="00C51413"/>
    <w:rsid w:val="00C6034D"/>
    <w:rsid w:val="00C60ADB"/>
    <w:rsid w:val="00C62A5D"/>
    <w:rsid w:val="00C63EC7"/>
    <w:rsid w:val="00C67D73"/>
    <w:rsid w:val="00C72639"/>
    <w:rsid w:val="00C739DB"/>
    <w:rsid w:val="00C74761"/>
    <w:rsid w:val="00C8109D"/>
    <w:rsid w:val="00C95D7C"/>
    <w:rsid w:val="00CA3BF8"/>
    <w:rsid w:val="00CA6ACC"/>
    <w:rsid w:val="00CB0CB2"/>
    <w:rsid w:val="00CB63EA"/>
    <w:rsid w:val="00CC158D"/>
    <w:rsid w:val="00CC301A"/>
    <w:rsid w:val="00CC38E6"/>
    <w:rsid w:val="00CC54A4"/>
    <w:rsid w:val="00CC6FCA"/>
    <w:rsid w:val="00CE44B4"/>
    <w:rsid w:val="00CE5F9F"/>
    <w:rsid w:val="00CE6D3C"/>
    <w:rsid w:val="00CF0044"/>
    <w:rsid w:val="00CF06CC"/>
    <w:rsid w:val="00CF2D4A"/>
    <w:rsid w:val="00CF6022"/>
    <w:rsid w:val="00D033C4"/>
    <w:rsid w:val="00D055CD"/>
    <w:rsid w:val="00D0567C"/>
    <w:rsid w:val="00D254C4"/>
    <w:rsid w:val="00D37CB9"/>
    <w:rsid w:val="00D41DA2"/>
    <w:rsid w:val="00D506EF"/>
    <w:rsid w:val="00D71C7C"/>
    <w:rsid w:val="00D73159"/>
    <w:rsid w:val="00D75F57"/>
    <w:rsid w:val="00D76A1F"/>
    <w:rsid w:val="00D772F2"/>
    <w:rsid w:val="00D95149"/>
    <w:rsid w:val="00D96C00"/>
    <w:rsid w:val="00DA2C45"/>
    <w:rsid w:val="00DA4108"/>
    <w:rsid w:val="00DA5AB8"/>
    <w:rsid w:val="00DA7CDD"/>
    <w:rsid w:val="00DB3839"/>
    <w:rsid w:val="00DB3FC8"/>
    <w:rsid w:val="00DB4070"/>
    <w:rsid w:val="00DC4853"/>
    <w:rsid w:val="00DD7AF6"/>
    <w:rsid w:val="00DE2B05"/>
    <w:rsid w:val="00DE7926"/>
    <w:rsid w:val="00DE7E61"/>
    <w:rsid w:val="00E11912"/>
    <w:rsid w:val="00E12D4B"/>
    <w:rsid w:val="00E210D3"/>
    <w:rsid w:val="00E213E9"/>
    <w:rsid w:val="00E230D7"/>
    <w:rsid w:val="00E30BFF"/>
    <w:rsid w:val="00E45515"/>
    <w:rsid w:val="00E4607C"/>
    <w:rsid w:val="00E4636A"/>
    <w:rsid w:val="00E51128"/>
    <w:rsid w:val="00E514BB"/>
    <w:rsid w:val="00E53E7C"/>
    <w:rsid w:val="00E63C65"/>
    <w:rsid w:val="00E64B7F"/>
    <w:rsid w:val="00E70761"/>
    <w:rsid w:val="00E73C7F"/>
    <w:rsid w:val="00E74421"/>
    <w:rsid w:val="00E77AD3"/>
    <w:rsid w:val="00E830FB"/>
    <w:rsid w:val="00E93A1B"/>
    <w:rsid w:val="00EA0D99"/>
    <w:rsid w:val="00EA1C03"/>
    <w:rsid w:val="00EA29E4"/>
    <w:rsid w:val="00EB5227"/>
    <w:rsid w:val="00EC0DE3"/>
    <w:rsid w:val="00ED0FE3"/>
    <w:rsid w:val="00ED7275"/>
    <w:rsid w:val="00EE1CD1"/>
    <w:rsid w:val="00EE2ADE"/>
    <w:rsid w:val="00EE31BC"/>
    <w:rsid w:val="00EE38F3"/>
    <w:rsid w:val="00F0070C"/>
    <w:rsid w:val="00F008DA"/>
    <w:rsid w:val="00F06C41"/>
    <w:rsid w:val="00F12F57"/>
    <w:rsid w:val="00F245CE"/>
    <w:rsid w:val="00F33C0A"/>
    <w:rsid w:val="00F3447C"/>
    <w:rsid w:val="00F41F86"/>
    <w:rsid w:val="00F44521"/>
    <w:rsid w:val="00F45DC4"/>
    <w:rsid w:val="00F52CE6"/>
    <w:rsid w:val="00F54069"/>
    <w:rsid w:val="00F5442D"/>
    <w:rsid w:val="00F549F8"/>
    <w:rsid w:val="00F56A15"/>
    <w:rsid w:val="00F76D30"/>
    <w:rsid w:val="00F8303E"/>
    <w:rsid w:val="00F83319"/>
    <w:rsid w:val="00F834F2"/>
    <w:rsid w:val="00F84453"/>
    <w:rsid w:val="00F8545F"/>
    <w:rsid w:val="00F93D84"/>
    <w:rsid w:val="00FA0F37"/>
    <w:rsid w:val="00FA257C"/>
    <w:rsid w:val="00FA4218"/>
    <w:rsid w:val="00FA5D0C"/>
    <w:rsid w:val="00FA6ACF"/>
    <w:rsid w:val="00FA6C3E"/>
    <w:rsid w:val="00FB798C"/>
    <w:rsid w:val="00FC65A6"/>
    <w:rsid w:val="00FE25C1"/>
    <w:rsid w:val="00FE6B1B"/>
    <w:rsid w:val="00FE7672"/>
    <w:rsid w:val="00FF01FB"/>
    <w:rsid w:val="00FF1E4C"/>
    <w:rsid w:val="00FF246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D690C7"/>
  <w15:docId w15:val="{73EEF368-842B-4260-A4C7-C12AA153C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2D5DD9"/>
    <w:pPr>
      <w:spacing w:before="100" w:beforeAutospacing="1" w:after="100" w:afterAutospacing="1" w:line="240" w:lineRule="auto"/>
      <w:jc w:val="left"/>
      <w:outlineLvl w:val="1"/>
    </w:pPr>
    <w:rPr>
      <w:rFonts w:eastAsia="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FootnoteText1"/>
    <w:link w:val="FootnoteTextChar"/>
    <w:unhideWhenUsed/>
    <w:qFormat/>
    <w:rsid w:val="00CB63EA"/>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DA2C45"/>
    <w:rPr>
      <w:sz w:val="16"/>
      <w:szCs w:val="16"/>
    </w:rPr>
  </w:style>
  <w:style w:type="paragraph" w:styleId="CommentText">
    <w:name w:val="annotation text"/>
    <w:basedOn w:val="Normal"/>
    <w:link w:val="CommentTextChar"/>
    <w:uiPriority w:val="99"/>
    <w:semiHidden/>
    <w:unhideWhenUsed/>
    <w:rsid w:val="00DA2C45"/>
    <w:pPr>
      <w:spacing w:line="240" w:lineRule="auto"/>
    </w:pPr>
    <w:rPr>
      <w:sz w:val="20"/>
      <w:szCs w:val="20"/>
    </w:rPr>
  </w:style>
  <w:style w:type="character" w:customStyle="1" w:styleId="CommentTextChar">
    <w:name w:val="Comment Text Char"/>
    <w:basedOn w:val="DefaultParagraphFont"/>
    <w:link w:val="CommentText"/>
    <w:uiPriority w:val="99"/>
    <w:semiHidden/>
    <w:rsid w:val="00DA2C4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DA2C45"/>
    <w:rPr>
      <w:b/>
      <w:bCs/>
    </w:rPr>
  </w:style>
  <w:style w:type="character" w:customStyle="1" w:styleId="CommentSubjectChar">
    <w:name w:val="Comment Subject Char"/>
    <w:basedOn w:val="CommentTextChar"/>
    <w:link w:val="CommentSubject"/>
    <w:uiPriority w:val="99"/>
    <w:semiHidden/>
    <w:rsid w:val="00DA2C45"/>
    <w:rPr>
      <w:rFonts w:ascii="Times New Roman" w:hAnsi="Times New Roman"/>
      <w:b/>
      <w:bCs/>
      <w:lang w:val="en-ZA"/>
    </w:rPr>
  </w:style>
  <w:style w:type="character" w:styleId="Hyperlink">
    <w:name w:val="Hyperlink"/>
    <w:basedOn w:val="DefaultParagraphFont"/>
    <w:uiPriority w:val="99"/>
    <w:unhideWhenUsed/>
    <w:rsid w:val="003770DD"/>
    <w:rPr>
      <w:color w:val="0000FF" w:themeColor="hyperlink"/>
      <w:u w:val="single"/>
    </w:rPr>
  </w:style>
  <w:style w:type="character" w:customStyle="1" w:styleId="Heading2Char">
    <w:name w:val="Heading 2 Char"/>
    <w:basedOn w:val="DefaultParagraphFont"/>
    <w:link w:val="Heading2"/>
    <w:uiPriority w:val="9"/>
    <w:rsid w:val="002D5DD9"/>
    <w:rPr>
      <w:rFonts w:ascii="Times New Roman" w:eastAsia="Times New Roman" w:hAnsi="Times New Roman"/>
      <w:b/>
      <w:bCs/>
      <w:sz w:val="36"/>
      <w:szCs w:val="36"/>
      <w:lang w:val="en-ZA" w:eastAsia="en-GB"/>
    </w:rPr>
  </w:style>
  <w:style w:type="paragraph" w:styleId="Revision">
    <w:name w:val="Revision"/>
    <w:hidden/>
    <w:uiPriority w:val="99"/>
    <w:semiHidden/>
    <w:rsid w:val="00210F6C"/>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742571">
      <w:bodyDiv w:val="1"/>
      <w:marLeft w:val="0"/>
      <w:marRight w:val="0"/>
      <w:marTop w:val="0"/>
      <w:marBottom w:val="0"/>
      <w:divBdr>
        <w:top w:val="none" w:sz="0" w:space="0" w:color="auto"/>
        <w:left w:val="none" w:sz="0" w:space="0" w:color="auto"/>
        <w:bottom w:val="none" w:sz="0" w:space="0" w:color="auto"/>
        <w:right w:val="none" w:sz="0" w:space="0" w:color="auto"/>
      </w:divBdr>
    </w:div>
    <w:div w:id="1123425753">
      <w:bodyDiv w:val="1"/>
      <w:marLeft w:val="0"/>
      <w:marRight w:val="0"/>
      <w:marTop w:val="0"/>
      <w:marBottom w:val="0"/>
      <w:divBdr>
        <w:top w:val="none" w:sz="0" w:space="0" w:color="auto"/>
        <w:left w:val="none" w:sz="0" w:space="0" w:color="auto"/>
        <w:bottom w:val="none" w:sz="0" w:space="0" w:color="auto"/>
        <w:right w:val="none" w:sz="0" w:space="0" w:color="auto"/>
      </w:divBdr>
    </w:div>
    <w:div w:id="1880163368">
      <w:bodyDiv w:val="1"/>
      <w:marLeft w:val="0"/>
      <w:marRight w:val="0"/>
      <w:marTop w:val="0"/>
      <w:marBottom w:val="0"/>
      <w:divBdr>
        <w:top w:val="none" w:sz="0" w:space="0" w:color="auto"/>
        <w:left w:val="none" w:sz="0" w:space="0" w:color="auto"/>
        <w:bottom w:val="none" w:sz="0" w:space="0" w:color="auto"/>
        <w:right w:val="none" w:sz="0" w:space="0" w:color="auto"/>
      </w:divBdr>
    </w:div>
    <w:div w:id="1909879242">
      <w:bodyDiv w:val="1"/>
      <w:marLeft w:val="0"/>
      <w:marRight w:val="0"/>
      <w:marTop w:val="0"/>
      <w:marBottom w:val="0"/>
      <w:divBdr>
        <w:top w:val="none" w:sz="0" w:space="0" w:color="auto"/>
        <w:left w:val="none" w:sz="0" w:space="0" w:color="auto"/>
        <w:bottom w:val="none" w:sz="0" w:space="0" w:color="auto"/>
        <w:right w:val="none" w:sz="0" w:space="0" w:color="auto"/>
      </w:divBdr>
    </w:div>
    <w:div w:id="212167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F30E6A-66B5-4878-9782-AEF6ECA3D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1351</Words>
  <Characters>7704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Peters</dc:creator>
  <cp:lastModifiedBy>Lehlohonolo January</cp:lastModifiedBy>
  <cp:revision>7</cp:revision>
  <dcterms:created xsi:type="dcterms:W3CDTF">2022-05-09T09:08:00Z</dcterms:created>
  <dcterms:modified xsi:type="dcterms:W3CDTF">2022-05-09T09:49:00Z</dcterms:modified>
</cp:coreProperties>
</file>