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customXml/itemProps2.xml" ContentType="application/vnd.openxmlformats-officedocument.customXmlProperties+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E4B51B" w14:textId="77777777" w:rsidR="00F5283F" w:rsidRDefault="00CA458C" w:rsidP="00720ACA">
      <w:pPr>
        <w:jc w:val="center"/>
      </w:pPr>
      <w:r w:rsidRPr="00CA458C">
        <w:rPr>
          <w:noProof/>
          <w:lang w:eastAsia="en-ZA"/>
        </w:rPr>
        <w:drawing>
          <wp:inline distT="0" distB="0" distL="0" distR="0" wp14:anchorId="0B94B13B" wp14:editId="625FE385">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5C049710" w14:textId="77777777" w:rsidR="00F5283F" w:rsidRDefault="00F5283F" w:rsidP="00720ACA">
      <w:pPr>
        <w:jc w:val="center"/>
      </w:pPr>
    </w:p>
    <w:p w14:paraId="37241AE1"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7F27E9F3" w14:textId="77777777" w:rsidR="001E5F5A" w:rsidRPr="00100894" w:rsidRDefault="001E5F5A" w:rsidP="00AE4640"/>
    <w:p w14:paraId="394702AB" w14:textId="50DFA725" w:rsidR="006966FC" w:rsidRPr="0007028D" w:rsidRDefault="00B7793F" w:rsidP="00587A53">
      <w:pPr>
        <w:jc w:val="center"/>
      </w:pPr>
      <w:r w:rsidRPr="00B7793F">
        <w:rPr>
          <w:b/>
        </w:rPr>
        <w:t>Competition Commission and Group Five Construction Limited</w:t>
      </w:r>
    </w:p>
    <w:p w14:paraId="743E2978" w14:textId="77777777" w:rsidR="006966FC" w:rsidRDefault="006966FC" w:rsidP="006966FC">
      <w:pPr>
        <w:tabs>
          <w:tab w:val="right" w:pos="9360"/>
        </w:tabs>
        <w:ind w:right="284"/>
        <w:rPr>
          <w:bCs/>
          <w:sz w:val="26"/>
          <w:szCs w:val="26"/>
          <w:lang w:val="en-GB"/>
        </w:rPr>
      </w:pPr>
    </w:p>
    <w:p w14:paraId="0FC9C826" w14:textId="6A874EE3" w:rsidR="00E07942" w:rsidRPr="00B7793F" w:rsidRDefault="00D40819" w:rsidP="00720ACA">
      <w:pPr>
        <w:jc w:val="right"/>
        <w:rPr>
          <w:b/>
        </w:rPr>
      </w:pPr>
      <w:r w:rsidRPr="00B7793F">
        <w:rPr>
          <w:b/>
        </w:rPr>
        <w:t>CCT</w:t>
      </w:r>
      <w:r w:rsidR="00720ACA" w:rsidRPr="00B7793F">
        <w:rPr>
          <w:b/>
        </w:rPr>
        <w:t xml:space="preserve"> </w:t>
      </w:r>
      <w:r w:rsidR="00B7793F" w:rsidRPr="00B7793F">
        <w:rPr>
          <w:b/>
        </w:rPr>
        <w:t>141</w:t>
      </w:r>
      <w:r w:rsidR="0007028D" w:rsidRPr="00B7793F">
        <w:rPr>
          <w:b/>
        </w:rPr>
        <w:t>/</w:t>
      </w:r>
      <w:r w:rsidR="00B7793F" w:rsidRPr="00B7793F">
        <w:rPr>
          <w:b/>
        </w:rPr>
        <w:t>21</w:t>
      </w:r>
    </w:p>
    <w:p w14:paraId="4B100E7B" w14:textId="5DA5E62A" w:rsidR="00D40819" w:rsidRPr="00B7793F" w:rsidRDefault="00D40819" w:rsidP="00720ACA">
      <w:pPr>
        <w:jc w:val="right"/>
        <w:rPr>
          <w:b/>
        </w:rPr>
      </w:pPr>
    </w:p>
    <w:p w14:paraId="420852C2" w14:textId="5FD731FF" w:rsidR="00E07942" w:rsidRPr="00100894" w:rsidRDefault="00E07942" w:rsidP="00720ACA">
      <w:pPr>
        <w:jc w:val="right"/>
        <w:rPr>
          <w:b/>
        </w:rPr>
      </w:pPr>
      <w:r w:rsidRPr="00B7793F">
        <w:rPr>
          <w:b/>
        </w:rPr>
        <w:t xml:space="preserve">Date of hearing: </w:t>
      </w:r>
      <w:r w:rsidR="00B7793F" w:rsidRPr="00B7793F">
        <w:rPr>
          <w:b/>
        </w:rPr>
        <w:t>3</w:t>
      </w:r>
      <w:r w:rsidR="0007028D" w:rsidRPr="00B7793F">
        <w:rPr>
          <w:b/>
        </w:rPr>
        <w:t xml:space="preserve"> </w:t>
      </w:r>
      <w:r w:rsidR="00B7793F" w:rsidRPr="00B7793F">
        <w:rPr>
          <w:b/>
        </w:rPr>
        <w:t>May 2022</w:t>
      </w:r>
    </w:p>
    <w:p w14:paraId="545BC0A8" w14:textId="77777777" w:rsidR="00823B02" w:rsidRPr="00100894" w:rsidRDefault="00823B02" w:rsidP="00AE4640"/>
    <w:p w14:paraId="5EFAC140" w14:textId="77777777" w:rsidR="001E5F5A" w:rsidRPr="00100894" w:rsidRDefault="00526226" w:rsidP="00AE4640">
      <w:r w:rsidRPr="00100894">
        <w:t>________________________________________________________________________</w:t>
      </w:r>
    </w:p>
    <w:p w14:paraId="54D49462" w14:textId="77777777" w:rsidR="00526226" w:rsidRPr="00100894" w:rsidRDefault="00526226" w:rsidP="00526226">
      <w:pPr>
        <w:jc w:val="center"/>
        <w:rPr>
          <w:b/>
        </w:rPr>
      </w:pPr>
    </w:p>
    <w:p w14:paraId="7A4D4F29" w14:textId="77777777" w:rsidR="00526226" w:rsidRPr="00100894" w:rsidRDefault="001E5F5A" w:rsidP="00526226">
      <w:pPr>
        <w:jc w:val="center"/>
        <w:rPr>
          <w:b/>
        </w:rPr>
      </w:pPr>
      <w:r w:rsidRPr="00100894">
        <w:rPr>
          <w:b/>
        </w:rPr>
        <w:t>MEDIA SUMMARY</w:t>
      </w:r>
    </w:p>
    <w:p w14:paraId="02E2D6C1" w14:textId="77777777" w:rsidR="00526226" w:rsidRPr="00100894" w:rsidRDefault="00526226" w:rsidP="00526226">
      <w:pPr>
        <w:jc w:val="center"/>
      </w:pPr>
      <w:r w:rsidRPr="00100894">
        <w:t>________________________________________________________________________</w:t>
      </w:r>
    </w:p>
    <w:p w14:paraId="53554B28" w14:textId="77777777" w:rsidR="001E5F5A" w:rsidRPr="00100894" w:rsidRDefault="001E5F5A" w:rsidP="008B532D">
      <w:pPr>
        <w:spacing w:line="360" w:lineRule="auto"/>
        <w:jc w:val="left"/>
      </w:pPr>
    </w:p>
    <w:p w14:paraId="0A311B59"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18F2D956" w14:textId="77777777" w:rsidR="001E5F5A" w:rsidRPr="00100894" w:rsidRDefault="001E5F5A" w:rsidP="006474CE">
      <w:pPr>
        <w:rPr>
          <w:sz w:val="28"/>
          <w:szCs w:val="28"/>
        </w:rPr>
      </w:pPr>
    </w:p>
    <w:p w14:paraId="37886DF7" w14:textId="4A725664" w:rsidR="00F77A10" w:rsidRPr="0007028D" w:rsidRDefault="006474CE" w:rsidP="00DE5133">
      <w:pPr>
        <w:rPr>
          <w:i/>
        </w:rPr>
      </w:pPr>
      <w:r>
        <w:t xml:space="preserve">On </w:t>
      </w:r>
      <w:r w:rsidR="0030356C">
        <w:t xml:space="preserve">Tuesday, </w:t>
      </w:r>
      <w:r w:rsidR="00B7793F">
        <w:t>3 May 2022</w:t>
      </w:r>
      <w:r w:rsidR="0030356C">
        <w:t xml:space="preserve">, </w:t>
      </w:r>
      <w:r w:rsidR="000D35AE" w:rsidRPr="001E647A">
        <w:t xml:space="preserve">the </w:t>
      </w:r>
      <w:r w:rsidR="008C3682" w:rsidRPr="001E647A">
        <w:t xml:space="preserve">Constitutional Court </w:t>
      </w:r>
      <w:r w:rsidR="000D35AE" w:rsidRPr="001E647A">
        <w:t xml:space="preserve">will hear </w:t>
      </w:r>
      <w:r w:rsidR="00B7793F" w:rsidRPr="001E647A">
        <w:t>an application for leave to appeal against a judgment and</w:t>
      </w:r>
      <w:r w:rsidR="00B7793F">
        <w:t xml:space="preserve"> order of the Supreme Court of Appeal which found that the High</w:t>
      </w:r>
      <w:r w:rsidR="0036636C">
        <w:t> </w:t>
      </w:r>
      <w:r w:rsidR="00B7793F">
        <w:t>Court had jurisdiction to decide a review</w:t>
      </w:r>
      <w:r w:rsidR="0036636C">
        <w:t xml:space="preserve"> application</w:t>
      </w:r>
      <w:r w:rsidR="00732930">
        <w:t xml:space="preserve"> </w:t>
      </w:r>
      <w:r w:rsidR="00B7793F">
        <w:t xml:space="preserve">brought </w:t>
      </w:r>
      <w:r w:rsidR="00732930">
        <w:t>by Group Five Construction Limited (Group Five)</w:t>
      </w:r>
      <w:r w:rsidR="00B7793F">
        <w:t xml:space="preserve"> in terms of the Promotion of Administrative Justice Act </w:t>
      </w:r>
      <w:r w:rsidR="00AF6649">
        <w:t xml:space="preserve">3 of 2000 </w:t>
      </w:r>
      <w:r w:rsidR="00B7793F">
        <w:t>(PAJA)</w:t>
      </w:r>
      <w:r w:rsidR="00732930">
        <w:t>,</w:t>
      </w:r>
      <w:r w:rsidR="00B7793F">
        <w:t xml:space="preserve"> alternatively the principle of legality, </w:t>
      </w:r>
      <w:r w:rsidR="00AF6649">
        <w:t xml:space="preserve">against </w:t>
      </w:r>
      <w:r w:rsidR="00B7793F">
        <w:t>certain decisions taken by the Competition Commission</w:t>
      </w:r>
      <w:r w:rsidR="00732930">
        <w:t xml:space="preserve"> (Commission).</w:t>
      </w:r>
    </w:p>
    <w:p w14:paraId="07EF7FA4" w14:textId="77777777" w:rsidR="00F77A10" w:rsidRDefault="00F77A10" w:rsidP="00DE5133"/>
    <w:p w14:paraId="69B9FDA2" w14:textId="3AF177C4" w:rsidR="001E647A" w:rsidRPr="001E647A" w:rsidRDefault="001E647A" w:rsidP="001E647A">
      <w:pPr>
        <w:rPr>
          <w:lang w:val="en-US"/>
        </w:rPr>
      </w:pPr>
      <w:r w:rsidRPr="001E647A">
        <w:rPr>
          <w:lang w:val="en-US"/>
        </w:rPr>
        <w:t xml:space="preserve">The underlying factual dispute in this matter relates to a complaint initiated by the Commission into collusion between construction companies in the process for bidding for tenders to construct stadia for the 2010 Soccer World Cup. Group Five was alleged to be one of the construction companies involved. On 12 November 2014, the Commission subsequently referred a complaint to the </w:t>
      </w:r>
      <w:r w:rsidR="00AF6649">
        <w:rPr>
          <w:lang w:val="en-US"/>
        </w:rPr>
        <w:t xml:space="preserve">Competition </w:t>
      </w:r>
      <w:r w:rsidRPr="001E647A">
        <w:rPr>
          <w:lang w:val="en-US"/>
        </w:rPr>
        <w:t>Tribunal</w:t>
      </w:r>
      <w:r w:rsidR="00AF6649">
        <w:rPr>
          <w:lang w:val="en-US"/>
        </w:rPr>
        <w:t xml:space="preserve"> (Tribunal)</w:t>
      </w:r>
      <w:r w:rsidRPr="001E647A">
        <w:rPr>
          <w:lang w:val="en-US"/>
        </w:rPr>
        <w:t xml:space="preserve"> against Group</w:t>
      </w:r>
      <w:r w:rsidR="0036636C">
        <w:rPr>
          <w:lang w:val="en-US"/>
        </w:rPr>
        <w:t> </w:t>
      </w:r>
      <w:r w:rsidRPr="001E647A">
        <w:rPr>
          <w:lang w:val="en-US"/>
        </w:rPr>
        <w:t xml:space="preserve">Five and </w:t>
      </w:r>
      <w:r w:rsidR="00AF6649">
        <w:rPr>
          <w:lang w:val="en-US"/>
        </w:rPr>
        <w:t xml:space="preserve">the </w:t>
      </w:r>
      <w:r w:rsidRPr="001E647A">
        <w:rPr>
          <w:lang w:val="en-US"/>
        </w:rPr>
        <w:t>other construction companies</w:t>
      </w:r>
      <w:r w:rsidR="00AF6649">
        <w:rPr>
          <w:lang w:val="en-US"/>
        </w:rPr>
        <w:t xml:space="preserve"> involved</w:t>
      </w:r>
      <w:r w:rsidR="0036636C">
        <w:rPr>
          <w:lang w:val="en-US"/>
        </w:rPr>
        <w:t xml:space="preserve"> in the collusion</w:t>
      </w:r>
      <w:r w:rsidRPr="001E647A">
        <w:rPr>
          <w:lang w:val="en-US"/>
        </w:rPr>
        <w:t>.</w:t>
      </w:r>
    </w:p>
    <w:p w14:paraId="1F4431B4" w14:textId="77777777" w:rsidR="001E647A" w:rsidRPr="001E647A" w:rsidRDefault="001E647A" w:rsidP="001E647A">
      <w:pPr>
        <w:rPr>
          <w:lang w:val="en-US"/>
        </w:rPr>
      </w:pPr>
    </w:p>
    <w:p w14:paraId="163397EA" w14:textId="63E58C5F" w:rsidR="001E647A" w:rsidRDefault="001E647A" w:rsidP="001E647A">
      <w:r w:rsidRPr="001E647A">
        <w:rPr>
          <w:lang w:val="en-US"/>
        </w:rPr>
        <w:t xml:space="preserve">Group Five submits that </w:t>
      </w:r>
      <w:r w:rsidR="0036636C">
        <w:rPr>
          <w:lang w:val="en-US"/>
        </w:rPr>
        <w:t xml:space="preserve">because </w:t>
      </w:r>
      <w:r w:rsidRPr="001E647A">
        <w:rPr>
          <w:lang w:val="en-US"/>
        </w:rPr>
        <w:t>the Commission had previously granted it immunity from prosecution through its Corporate Leniency Policy (CLP), in its view, the about</w:t>
      </w:r>
      <w:r>
        <w:rPr>
          <w:lang w:val="en-US"/>
        </w:rPr>
        <w:noBreakHyphen/>
      </w:r>
      <w:r w:rsidRPr="001E647A">
        <w:rPr>
          <w:lang w:val="en-US"/>
        </w:rPr>
        <w:t>face by the Commission to refer a complaint to the Tribunal was oppressive, vexatious and motivated by bad faith.</w:t>
      </w:r>
      <w:r>
        <w:rPr>
          <w:lang w:val="en-US"/>
        </w:rPr>
        <w:t xml:space="preserve"> Accordingly, Group Five launched an application in November</w:t>
      </w:r>
      <w:r w:rsidR="00AF6649">
        <w:rPr>
          <w:lang w:val="en-US"/>
        </w:rPr>
        <w:t> </w:t>
      </w:r>
      <w:r>
        <w:rPr>
          <w:lang w:val="en-US"/>
        </w:rPr>
        <w:t xml:space="preserve">2017 to review the Commission’s referral of the complaint to the Tribunal. In response to the review proceedings launched by Group Five, the Commission sought an order to declare and set aside the review proceedings instituted by Group Five on the basis that they constituted an irregular step. The Commission claimed that the </w:t>
      </w:r>
      <w:r w:rsidR="009731FE">
        <w:rPr>
          <w:lang w:val="en-US"/>
        </w:rPr>
        <w:t>High Court lacked jurisdiction to hear the matter, because it fell within the provisions of Chapter 2 of the Act and, in terms of section 62(1)(a) of the</w:t>
      </w:r>
      <w:r w:rsidR="0059419E">
        <w:rPr>
          <w:lang w:val="en-US"/>
        </w:rPr>
        <w:t xml:space="preserve"> Competition</w:t>
      </w:r>
      <w:r w:rsidR="009731FE">
        <w:rPr>
          <w:lang w:val="en-US"/>
        </w:rPr>
        <w:t xml:space="preserve"> Act</w:t>
      </w:r>
      <w:r w:rsidR="0059419E">
        <w:rPr>
          <w:lang w:val="en-US"/>
        </w:rPr>
        <w:t xml:space="preserve"> 89 of 1998 (Act)</w:t>
      </w:r>
      <w:r w:rsidR="009731FE">
        <w:rPr>
          <w:lang w:val="en-US"/>
        </w:rPr>
        <w:t xml:space="preserve">, the </w:t>
      </w:r>
      <w:r>
        <w:rPr>
          <w:lang w:val="en-US"/>
        </w:rPr>
        <w:t>Tribunal ha</w:t>
      </w:r>
      <w:r w:rsidR="009731FE">
        <w:rPr>
          <w:lang w:val="en-US"/>
        </w:rPr>
        <w:t>s</w:t>
      </w:r>
      <w:r>
        <w:rPr>
          <w:lang w:val="en-US"/>
        </w:rPr>
        <w:t xml:space="preserve"> </w:t>
      </w:r>
      <w:r>
        <w:rPr>
          <w:lang w:val="en-US"/>
        </w:rPr>
        <w:lastRenderedPageBreak/>
        <w:t xml:space="preserve">exclusive jurisdiction </w:t>
      </w:r>
      <w:r w:rsidR="009731FE">
        <w:rPr>
          <w:lang w:val="en-US"/>
        </w:rPr>
        <w:t xml:space="preserve">to hear the matter. The High Court disagreed with the Commission’s claim, holding that while the Tribunal does have exclusive jurisdiction over matters pertaining to the interpretation and application of Chapter 2, 3 and 5 of the Act, it did not have </w:t>
      </w:r>
      <w:r w:rsidR="00231828">
        <w:rPr>
          <w:lang w:val="en-US"/>
        </w:rPr>
        <w:t xml:space="preserve">jurisdiction over matters listed in section 62(2) of the Act and this was such a matter. In short, in matters concerning a challenge to the lawfulness and validity of </w:t>
      </w:r>
      <w:r w:rsidR="00231828">
        <w:t>a referral itself, the High Court found that the Tribunal does not have exclusive jurisdiction and the High Court does not lack jurisdiction.</w:t>
      </w:r>
    </w:p>
    <w:p w14:paraId="6F2A1262" w14:textId="3C1021FA" w:rsidR="00231828" w:rsidRDefault="00231828" w:rsidP="001E647A"/>
    <w:p w14:paraId="51F44EB5" w14:textId="5FE781D9" w:rsidR="00231828" w:rsidRPr="001E647A" w:rsidRDefault="00231828" w:rsidP="001E647A">
      <w:pPr>
        <w:rPr>
          <w:lang w:val="en-US"/>
        </w:rPr>
      </w:pPr>
      <w:r>
        <w:rPr>
          <w:lang w:val="en-US"/>
        </w:rPr>
        <w:t>The Supreme Court of Appeal agreed with the High Court</w:t>
      </w:r>
      <w:r w:rsidR="00924AFE">
        <w:rPr>
          <w:lang w:val="en-US"/>
        </w:rPr>
        <w:t xml:space="preserve"> that the Commission’s challenge of jurisdiction had no merit. It held that</w:t>
      </w:r>
      <w:r>
        <w:rPr>
          <w:lang w:val="en-US"/>
        </w:rPr>
        <w:t xml:space="preserve"> </w:t>
      </w:r>
      <w:r w:rsidR="00924AFE">
        <w:t>the issues raised on review by Group Five were not of a specialist nature which section 62(1) exclusively reserves for the Competition Appeal Court and the Tribunal. Instead, the Supreme Court of Appeal found that they related to questions of legality concerning the validity and lawfulness of the initiation and referral of the Commission’s complaint. The legality of a public body’s conduct, the Supreme Court of Appeal found, is a constitutional matter and in terms of section 62(3)(b), the competition authorities do not have exclusive jurisdiction over such matters. Accordingly, the Supreme Court of Appeal dismissed the Commission’s appeal.</w:t>
      </w:r>
    </w:p>
    <w:p w14:paraId="4B987C47" w14:textId="77777777" w:rsidR="00B4658E" w:rsidRDefault="00B4658E" w:rsidP="00B4658E"/>
    <w:p w14:paraId="57CB010B" w14:textId="4284FB9E" w:rsidR="00AA4526" w:rsidRPr="00C44C9C" w:rsidRDefault="00AF1853" w:rsidP="00C44C9C">
      <w:pPr>
        <w:pStyle w:val="JUDGMENTCONTINUED"/>
        <w:spacing w:line="240" w:lineRule="auto"/>
        <w:rPr>
          <w:sz w:val="24"/>
          <w:szCs w:val="24"/>
        </w:rPr>
      </w:pPr>
      <w:r>
        <w:rPr>
          <w:sz w:val="24"/>
          <w:szCs w:val="24"/>
        </w:rPr>
        <w:t>The</w:t>
      </w:r>
      <w:r w:rsidR="00AA4526" w:rsidRPr="00C44C9C">
        <w:rPr>
          <w:sz w:val="24"/>
          <w:szCs w:val="24"/>
        </w:rPr>
        <w:t xml:space="preserve"> Commission submits that this matter engages this Court’s constitutional and general jurisdiction</w:t>
      </w:r>
      <w:r w:rsidR="00AA4526" w:rsidRPr="00AA4526">
        <w:rPr>
          <w:sz w:val="24"/>
          <w:szCs w:val="24"/>
        </w:rPr>
        <w:t xml:space="preserve">, particularly because the judgments of </w:t>
      </w:r>
      <w:r w:rsidR="00AA4526" w:rsidRPr="0059419E">
        <w:rPr>
          <w:sz w:val="24"/>
          <w:szCs w:val="24"/>
        </w:rPr>
        <w:t>the courts a</w:t>
      </w:r>
      <w:r w:rsidR="00AA4526">
        <w:rPr>
          <w:sz w:val="24"/>
          <w:szCs w:val="24"/>
        </w:rPr>
        <w:t> </w:t>
      </w:r>
      <w:r w:rsidR="00AA4526" w:rsidRPr="00AA4526">
        <w:rPr>
          <w:sz w:val="24"/>
          <w:szCs w:val="24"/>
        </w:rPr>
        <w:t xml:space="preserve">quo, </w:t>
      </w:r>
      <w:r w:rsidR="00AA4526" w:rsidRPr="00C44C9C">
        <w:rPr>
          <w:sz w:val="24"/>
          <w:szCs w:val="24"/>
        </w:rPr>
        <w:t>conflict with comparative labour law jurisprudence of this Court</w:t>
      </w:r>
      <w:r w:rsidR="00AA4526">
        <w:rPr>
          <w:sz w:val="24"/>
          <w:szCs w:val="24"/>
        </w:rPr>
        <w:t xml:space="preserve">. </w:t>
      </w:r>
      <w:r w:rsidR="00AA4526" w:rsidRPr="00C44C9C">
        <w:rPr>
          <w:sz w:val="24"/>
          <w:szCs w:val="24"/>
        </w:rPr>
        <w:t>The Commission further submits that there is public interest in this Court granting leave to appeal as the Supreme Court of Appeal’s interpretation conflicts with the language of the Act and undermines the role and functioning of the Tribunal</w:t>
      </w:r>
      <w:r w:rsidR="00AA4526">
        <w:rPr>
          <w:sz w:val="24"/>
          <w:szCs w:val="24"/>
        </w:rPr>
        <w:t>.</w:t>
      </w:r>
    </w:p>
    <w:p w14:paraId="3C5ED091" w14:textId="77777777" w:rsidR="00AA4526" w:rsidRPr="00C44C9C" w:rsidRDefault="00AA4526" w:rsidP="00C44C9C">
      <w:pPr>
        <w:pStyle w:val="JUDGMENTCONTINUED"/>
        <w:spacing w:line="240" w:lineRule="auto"/>
        <w:rPr>
          <w:sz w:val="24"/>
          <w:szCs w:val="24"/>
        </w:rPr>
      </w:pPr>
    </w:p>
    <w:p w14:paraId="5AB329A4" w14:textId="4A7ED721" w:rsidR="00AA4526" w:rsidRPr="00C44C9C" w:rsidRDefault="00AA4526" w:rsidP="00C44C9C">
      <w:pPr>
        <w:pStyle w:val="JUDGMENTNUMBERED"/>
        <w:numPr>
          <w:ilvl w:val="0"/>
          <w:numId w:val="0"/>
        </w:numPr>
        <w:spacing w:line="240" w:lineRule="auto"/>
        <w:rPr>
          <w:sz w:val="24"/>
          <w:szCs w:val="24"/>
        </w:rPr>
      </w:pPr>
      <w:r>
        <w:rPr>
          <w:sz w:val="24"/>
          <w:szCs w:val="24"/>
        </w:rPr>
        <w:t>The Commission submits that</w:t>
      </w:r>
      <w:r w:rsidRPr="00C44C9C">
        <w:rPr>
          <w:sz w:val="24"/>
          <w:szCs w:val="24"/>
        </w:rPr>
        <w:t xml:space="preserve"> section 27</w:t>
      </w:r>
      <w:r>
        <w:rPr>
          <w:sz w:val="24"/>
          <w:szCs w:val="24"/>
        </w:rPr>
        <w:t>(1)</w:t>
      </w:r>
      <w:r w:rsidRPr="00C44C9C">
        <w:rPr>
          <w:sz w:val="24"/>
          <w:szCs w:val="24"/>
        </w:rPr>
        <w:t xml:space="preserve"> of the Act</w:t>
      </w:r>
      <w:r w:rsidR="0059419E">
        <w:rPr>
          <w:sz w:val="24"/>
          <w:szCs w:val="24"/>
        </w:rPr>
        <w:t>, read with</w:t>
      </w:r>
      <w:r w:rsidRPr="00C44C9C">
        <w:rPr>
          <w:sz w:val="24"/>
          <w:szCs w:val="24"/>
        </w:rPr>
        <w:t xml:space="preserve"> rule 42 of the </w:t>
      </w:r>
      <w:r w:rsidR="0059419E">
        <w:rPr>
          <w:sz w:val="24"/>
          <w:szCs w:val="24"/>
        </w:rPr>
        <w:t xml:space="preserve">Competition </w:t>
      </w:r>
      <w:r w:rsidRPr="00C44C9C">
        <w:rPr>
          <w:sz w:val="24"/>
          <w:szCs w:val="24"/>
        </w:rPr>
        <w:t>Tribunal Rules</w:t>
      </w:r>
      <w:r w:rsidR="0059419E">
        <w:rPr>
          <w:sz w:val="24"/>
          <w:szCs w:val="24"/>
        </w:rPr>
        <w:t xml:space="preserve"> gives</w:t>
      </w:r>
      <w:r w:rsidRPr="00C44C9C">
        <w:rPr>
          <w:sz w:val="24"/>
          <w:szCs w:val="24"/>
        </w:rPr>
        <w:t xml:space="preserve"> the Tribunal</w:t>
      </w:r>
      <w:r w:rsidR="0059419E">
        <w:rPr>
          <w:sz w:val="24"/>
          <w:szCs w:val="24"/>
        </w:rPr>
        <w:t xml:space="preserve"> the</w:t>
      </w:r>
      <w:r w:rsidRPr="00C44C9C">
        <w:rPr>
          <w:sz w:val="24"/>
          <w:szCs w:val="24"/>
        </w:rPr>
        <w:t xml:space="preserve"> power to review a decision taken by the Commission </w:t>
      </w:r>
      <w:r w:rsidR="0059419E">
        <w:rPr>
          <w:sz w:val="24"/>
          <w:szCs w:val="24"/>
        </w:rPr>
        <w:t xml:space="preserve">in terms of PAJA. </w:t>
      </w:r>
      <w:r w:rsidRPr="00C44C9C">
        <w:rPr>
          <w:sz w:val="24"/>
          <w:szCs w:val="24"/>
        </w:rPr>
        <w:t>The Commission further contends that all the issues that arose in Group</w:t>
      </w:r>
      <w:r w:rsidR="00A61566">
        <w:rPr>
          <w:sz w:val="24"/>
          <w:szCs w:val="24"/>
        </w:rPr>
        <w:t> </w:t>
      </w:r>
      <w:r w:rsidRPr="00C44C9C">
        <w:rPr>
          <w:sz w:val="24"/>
          <w:szCs w:val="24"/>
        </w:rPr>
        <w:t>Five’s review application fall within the exclusive jurisdiction of the Tribunal as provided for in terms of section 62 of the Act. Therefore,</w:t>
      </w:r>
      <w:r w:rsidR="0059419E">
        <w:rPr>
          <w:sz w:val="24"/>
          <w:szCs w:val="24"/>
        </w:rPr>
        <w:t xml:space="preserve"> the argument continues,</w:t>
      </w:r>
      <w:r w:rsidRPr="00C44C9C">
        <w:rPr>
          <w:sz w:val="24"/>
          <w:szCs w:val="24"/>
        </w:rPr>
        <w:t xml:space="preserve"> the High Court ought to have found that it did not have jurisdiction, and the Supreme Court of Appeal erred in holding otherwise. </w:t>
      </w:r>
      <w:r w:rsidR="0059419E">
        <w:rPr>
          <w:sz w:val="24"/>
          <w:szCs w:val="24"/>
        </w:rPr>
        <w:t>T</w:t>
      </w:r>
      <w:r w:rsidRPr="00C44C9C">
        <w:rPr>
          <w:sz w:val="24"/>
          <w:szCs w:val="24"/>
        </w:rPr>
        <w:t>he Commission</w:t>
      </w:r>
      <w:r w:rsidR="0059419E">
        <w:rPr>
          <w:sz w:val="24"/>
          <w:szCs w:val="24"/>
        </w:rPr>
        <w:t xml:space="preserve"> further</w:t>
      </w:r>
      <w:r w:rsidRPr="00C44C9C">
        <w:rPr>
          <w:sz w:val="24"/>
          <w:szCs w:val="24"/>
        </w:rPr>
        <w:t xml:space="preserve"> submits that, in this matter, the competition authorities’ exclusive jurisdiction does not fall within the exceptions and exclusions contemplated in section 62(1)(a) and 62(2) of the Act.</w:t>
      </w:r>
    </w:p>
    <w:p w14:paraId="4C9B0672" w14:textId="77777777" w:rsidR="00AA4526" w:rsidRPr="00C44C9C" w:rsidRDefault="00AA4526" w:rsidP="00C44C9C">
      <w:pPr>
        <w:pStyle w:val="JUDGMENTCONTINUED"/>
        <w:spacing w:line="240" w:lineRule="auto"/>
        <w:rPr>
          <w:sz w:val="24"/>
          <w:szCs w:val="24"/>
        </w:rPr>
      </w:pPr>
    </w:p>
    <w:p w14:paraId="6E4AE3C0" w14:textId="241E4C0E" w:rsidR="00AA4526" w:rsidRPr="00C44C9C" w:rsidRDefault="00AA4526" w:rsidP="00C44C9C">
      <w:pPr>
        <w:pStyle w:val="JUDGMENTNUMBERED"/>
        <w:numPr>
          <w:ilvl w:val="0"/>
          <w:numId w:val="0"/>
        </w:numPr>
        <w:spacing w:line="240" w:lineRule="auto"/>
        <w:rPr>
          <w:sz w:val="24"/>
          <w:szCs w:val="24"/>
        </w:rPr>
      </w:pPr>
      <w:r w:rsidRPr="00C44C9C">
        <w:rPr>
          <w:sz w:val="24"/>
          <w:szCs w:val="24"/>
        </w:rPr>
        <w:t>The Commission submits that a sensible approach ought to be adopted when interpreting section 62 of the Act, which includes the consideration of</w:t>
      </w:r>
      <w:r w:rsidR="0059419E">
        <w:rPr>
          <w:sz w:val="24"/>
          <w:szCs w:val="24"/>
        </w:rPr>
        <w:t xml:space="preserve">, amongst others, the fact that </w:t>
      </w:r>
      <w:r w:rsidRPr="00C44C9C">
        <w:rPr>
          <w:sz w:val="24"/>
          <w:szCs w:val="24"/>
        </w:rPr>
        <w:t>the Tribunal is intended to be efficient and cost effective</w:t>
      </w:r>
      <w:r w:rsidR="0059419E">
        <w:rPr>
          <w:sz w:val="24"/>
          <w:szCs w:val="24"/>
        </w:rPr>
        <w:t>,</w:t>
      </w:r>
      <w:r w:rsidRPr="00C44C9C">
        <w:rPr>
          <w:sz w:val="24"/>
          <w:szCs w:val="24"/>
        </w:rPr>
        <w:t xml:space="preserve"> and</w:t>
      </w:r>
      <w:r w:rsidR="0059419E">
        <w:rPr>
          <w:sz w:val="24"/>
          <w:szCs w:val="24"/>
        </w:rPr>
        <w:t xml:space="preserve"> </w:t>
      </w:r>
      <w:r w:rsidRPr="00C44C9C">
        <w:rPr>
          <w:sz w:val="24"/>
          <w:szCs w:val="24"/>
        </w:rPr>
        <w:t>forum shopping and splitting of litigation in a multiplicity of interlocutory applications between the competition authorities and civil courts often results in delays and stultifies litigation at the Tribunal</w:t>
      </w:r>
      <w:r w:rsidR="00E93ACA">
        <w:rPr>
          <w:sz w:val="24"/>
          <w:szCs w:val="24"/>
        </w:rPr>
        <w:t>,</w:t>
      </w:r>
      <w:r w:rsidRPr="00C44C9C">
        <w:rPr>
          <w:sz w:val="24"/>
          <w:szCs w:val="24"/>
        </w:rPr>
        <w:t xml:space="preserve"> and the determination of the merits of a dispute.</w:t>
      </w:r>
      <w:r w:rsidR="0059419E">
        <w:rPr>
          <w:sz w:val="24"/>
          <w:szCs w:val="24"/>
        </w:rPr>
        <w:t xml:space="preserve"> </w:t>
      </w:r>
      <w:r w:rsidRPr="00C44C9C">
        <w:rPr>
          <w:sz w:val="24"/>
          <w:szCs w:val="24"/>
        </w:rPr>
        <w:t>A narrow interpretation of section 62(2) should be adopted, as opposed to the interpretation proffered by the Supreme Court of Appeal, which, in the Commission’s view, overlooked the correct framework of the Act.</w:t>
      </w:r>
    </w:p>
    <w:p w14:paraId="657ED562" w14:textId="77777777" w:rsidR="000B55F1" w:rsidRDefault="000B55F1" w:rsidP="000B55F1">
      <w:pPr>
        <w:pStyle w:val="JUDGMENTNUMBERED"/>
        <w:numPr>
          <w:ilvl w:val="0"/>
          <w:numId w:val="0"/>
        </w:numPr>
        <w:spacing w:line="240" w:lineRule="auto"/>
        <w:rPr>
          <w:sz w:val="24"/>
          <w:szCs w:val="24"/>
        </w:rPr>
      </w:pPr>
    </w:p>
    <w:p w14:paraId="733E66CE" w14:textId="533AB9C2" w:rsidR="000B55F1" w:rsidRPr="004644BF" w:rsidRDefault="00AA4526" w:rsidP="00C44C9C">
      <w:pPr>
        <w:pStyle w:val="JUDGMENTNUMBERED"/>
        <w:numPr>
          <w:ilvl w:val="0"/>
          <w:numId w:val="0"/>
        </w:numPr>
        <w:spacing w:line="240" w:lineRule="auto"/>
        <w:rPr>
          <w:sz w:val="24"/>
          <w:szCs w:val="24"/>
        </w:rPr>
      </w:pPr>
      <w:r w:rsidRPr="00C44C9C">
        <w:rPr>
          <w:sz w:val="24"/>
          <w:szCs w:val="24"/>
        </w:rPr>
        <w:t xml:space="preserve">The Commission </w:t>
      </w:r>
      <w:r w:rsidR="000B55F1">
        <w:rPr>
          <w:sz w:val="24"/>
          <w:szCs w:val="24"/>
        </w:rPr>
        <w:t>also submits</w:t>
      </w:r>
      <w:r w:rsidRPr="00C44C9C">
        <w:rPr>
          <w:sz w:val="24"/>
          <w:szCs w:val="24"/>
        </w:rPr>
        <w:t xml:space="preserve"> that the principle of subsidiarity should prevail and that there is no gap necessary to resort to the Constitution to justify the jurisdiction of the High Court.</w:t>
      </w:r>
      <w:r w:rsidR="000B55F1">
        <w:rPr>
          <w:sz w:val="24"/>
          <w:szCs w:val="24"/>
        </w:rPr>
        <w:t xml:space="preserve"> </w:t>
      </w:r>
      <w:r w:rsidR="000B55F1">
        <w:rPr>
          <w:sz w:val="24"/>
          <w:szCs w:val="24"/>
        </w:rPr>
        <w:lastRenderedPageBreak/>
        <w:t>In the Commission’s view, t</w:t>
      </w:r>
      <w:r w:rsidR="000B55F1" w:rsidRPr="004644BF">
        <w:rPr>
          <w:sz w:val="24"/>
          <w:szCs w:val="24"/>
        </w:rPr>
        <w:t>he Supreme Court of Appeal’s approach permits respondents to frustrate and delay referrals before the Tribunal insofar as it provides for extensive appeal processes of review applications up to this Court when the Competition Appeal Court ought to be the final arbiter of these issues. This</w:t>
      </w:r>
      <w:r w:rsidR="00AF1853">
        <w:rPr>
          <w:sz w:val="24"/>
          <w:szCs w:val="24"/>
        </w:rPr>
        <w:t>, the Commission argues,</w:t>
      </w:r>
      <w:r w:rsidR="000B55F1" w:rsidRPr="004644BF">
        <w:rPr>
          <w:sz w:val="24"/>
          <w:szCs w:val="24"/>
        </w:rPr>
        <w:t xml:space="preserve"> renders the Tribunal’s statutory review powers nugatory and offends the principle of subsidiarity.</w:t>
      </w:r>
    </w:p>
    <w:p w14:paraId="5CDF7D22" w14:textId="77777777" w:rsidR="000B55F1" w:rsidRDefault="000B55F1" w:rsidP="000B55F1">
      <w:pPr>
        <w:pStyle w:val="JUDGMENTNUMBERED"/>
        <w:numPr>
          <w:ilvl w:val="0"/>
          <w:numId w:val="0"/>
        </w:numPr>
        <w:spacing w:line="240" w:lineRule="auto"/>
        <w:rPr>
          <w:sz w:val="24"/>
          <w:szCs w:val="24"/>
        </w:rPr>
      </w:pPr>
    </w:p>
    <w:p w14:paraId="21350F32" w14:textId="39587872" w:rsidR="00023FA7" w:rsidRDefault="00AA4526" w:rsidP="006474CE">
      <w:r w:rsidRPr="00C44C9C">
        <w:t>Accordingly, the Commission submits that the initiation, referral and granting of leniency are all purely competition law issues requiring the interpretation of the Act, which requires evaluation and determination by the Tribunal. The Supreme Court of Appeal’s approach, in the Commission’s view, undermines the policy choice of the legislature which is geared towards specialisation.</w:t>
      </w:r>
      <w:r w:rsidR="000B55F1">
        <w:t xml:space="preserve"> </w:t>
      </w:r>
      <w:r w:rsidR="00A61566">
        <w:t>Due deference must be given to the</w:t>
      </w:r>
      <w:r w:rsidR="000B55F1" w:rsidRPr="004644BF">
        <w:t xml:space="preserve"> Tribunal’s</w:t>
      </w:r>
      <w:r w:rsidR="00A61566">
        <w:t xml:space="preserve"> expertise and</w:t>
      </w:r>
      <w:r w:rsidR="000B55F1" w:rsidRPr="004644BF">
        <w:t xml:space="preserve"> ability to deal with reviews</w:t>
      </w:r>
      <w:r w:rsidR="00A61566">
        <w:t>.</w:t>
      </w:r>
    </w:p>
    <w:p w14:paraId="12119292" w14:textId="77777777" w:rsidR="00E93ACA" w:rsidRDefault="00E93ACA" w:rsidP="006474CE"/>
    <w:p w14:paraId="356FE2A7" w14:textId="47B508EA" w:rsidR="0006204E" w:rsidRDefault="00926395" w:rsidP="006474CE">
      <w:r>
        <w:t>Group Five submits that the threshold to sustain the proposition that there is an ouster of the High Court’s jurisdiction is very high</w:t>
      </w:r>
      <w:r w:rsidR="002235FE">
        <w:t xml:space="preserve"> and must</w:t>
      </w:r>
      <w:r w:rsidR="0036636C">
        <w:t xml:space="preserve"> be</w:t>
      </w:r>
      <w:r w:rsidR="002235FE">
        <w:t xml:space="preserve"> either express or flow by necessary implication. There is nothing, Group Give submits, in the Act which ousts the High Court’s jurisdiction to hear reviews in terms of PAJA or the principle of legality.</w:t>
      </w:r>
      <w:r>
        <w:t xml:space="preserve"> </w:t>
      </w:r>
      <w:r w:rsidR="002235FE">
        <w:t xml:space="preserve">It submits that the High Court has jurisdiction over all reviews arising from the Commission’s exercise of its powers, save to the limited extent that section 62(1) grants the Tribunal and the CAC exclusive jurisdiction. </w:t>
      </w:r>
      <w:r w:rsidR="0006204E">
        <w:t xml:space="preserve">Group Five contends that an express carve out from the exclusive jurisdiction granted to the Tribunal and the </w:t>
      </w:r>
      <w:r w:rsidR="009149E8">
        <w:t>Competition</w:t>
      </w:r>
      <w:r w:rsidR="0006204E">
        <w:t xml:space="preserve"> Appeal Court in </w:t>
      </w:r>
      <w:r w:rsidR="009149E8">
        <w:t>section</w:t>
      </w:r>
      <w:r w:rsidR="00074229">
        <w:t> </w:t>
      </w:r>
      <w:r w:rsidR="009149E8">
        <w:t>62(1) are questions or matters referred to in section 62(2), which expressly include (</w:t>
      </w:r>
      <w:proofErr w:type="spellStart"/>
      <w:r w:rsidR="009149E8">
        <w:t>i</w:t>
      </w:r>
      <w:proofErr w:type="spellEnd"/>
      <w:r w:rsidR="009149E8">
        <w:t>) questions of jurisdiction and (ii) any constitutional matter arising in terms of the Act.</w:t>
      </w:r>
      <w:r w:rsidR="007D788A">
        <w:t xml:space="preserve"> </w:t>
      </w:r>
      <w:r w:rsidR="00074229">
        <w:t xml:space="preserve">In relation to the Commission’s policy-based arguments, </w:t>
      </w:r>
      <w:r w:rsidR="007D788A">
        <w:t xml:space="preserve">Group Five </w:t>
      </w:r>
      <w:r w:rsidR="00074229">
        <w:t xml:space="preserve">contends that </w:t>
      </w:r>
      <w:r w:rsidR="00C14B3E">
        <w:t xml:space="preserve">because these have been raised for the first time in this Court, it is not desirable for this Court to hear them. Group Five </w:t>
      </w:r>
      <w:r w:rsidR="007D788A">
        <w:t>further contends that there is no merit in the Commission’s policy arguments</w:t>
      </w:r>
      <w:r w:rsidR="0036636C">
        <w:t xml:space="preserve"> anyway</w:t>
      </w:r>
      <w:r w:rsidR="007D788A">
        <w:t xml:space="preserve">, as there is nothing surprising </w:t>
      </w:r>
      <w:r w:rsidR="00F515DF">
        <w:t>about the notion that a plaintiff might formulate his or her claim in different ways and thereby bring it before a forum of his or her choice.</w:t>
      </w:r>
      <w:r w:rsidR="002A7397">
        <w:t xml:space="preserve"> </w:t>
      </w:r>
      <w:r w:rsidR="00C14B3E">
        <w:t xml:space="preserve">Finally, </w:t>
      </w:r>
      <w:r w:rsidR="00426CFD">
        <w:t>Group Five submits that leave to appe</w:t>
      </w:r>
      <w:r w:rsidR="00426CFD" w:rsidRPr="008430EC">
        <w:t xml:space="preserve">al should be refused </w:t>
      </w:r>
      <w:r w:rsidR="00C14B3E" w:rsidRPr="008430EC">
        <w:t xml:space="preserve">because this Court, in dismissing the Commission’s appeal in </w:t>
      </w:r>
      <w:r w:rsidR="00AD3CA7" w:rsidRPr="008430EC">
        <w:rPr>
          <w:i/>
          <w:iCs/>
        </w:rPr>
        <w:t xml:space="preserve">Competition Commission v Mondi Limited, </w:t>
      </w:r>
      <w:proofErr w:type="spellStart"/>
      <w:r w:rsidR="00AD3CA7" w:rsidRPr="008430EC">
        <w:rPr>
          <w:i/>
          <w:iCs/>
        </w:rPr>
        <w:t>Hathorn</w:t>
      </w:r>
      <w:proofErr w:type="spellEnd"/>
      <w:r w:rsidR="00AD3CA7" w:rsidRPr="008430EC">
        <w:rPr>
          <w:i/>
          <w:iCs/>
        </w:rPr>
        <w:t xml:space="preserve"> and Sappi Southern Africa Limited</w:t>
      </w:r>
      <w:r w:rsidR="0036636C">
        <w:t>,</w:t>
      </w:r>
      <w:r w:rsidR="00AD3CA7" w:rsidRPr="008430EC">
        <w:rPr>
          <w:i/>
          <w:iCs/>
        </w:rPr>
        <w:t xml:space="preserve"> </w:t>
      </w:r>
      <w:r w:rsidR="00C14B3E" w:rsidRPr="008430EC">
        <w:t xml:space="preserve">decided the core issue of whether the High Court has jurisdiction to review decisions taken </w:t>
      </w:r>
      <w:r w:rsidR="00C14B3E">
        <w:t>by the Commission</w:t>
      </w:r>
      <w:r w:rsidR="008430EC">
        <w:t xml:space="preserve">, </w:t>
      </w:r>
      <w:r w:rsidR="0036636C">
        <w:t xml:space="preserve">thereby </w:t>
      </w:r>
      <w:r w:rsidR="008430EC">
        <w:t>holding that it does.</w:t>
      </w:r>
    </w:p>
    <w:p w14:paraId="0C1CD69E" w14:textId="2B3ED5C5" w:rsidR="009149E8" w:rsidRDefault="009149E8" w:rsidP="006474CE"/>
    <w:sectPr w:rsidR="009149E8"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1FD8A" w14:textId="77777777" w:rsidR="00D40ACA" w:rsidRDefault="00D40ACA" w:rsidP="001E647A">
      <w:r>
        <w:separator/>
      </w:r>
    </w:p>
  </w:endnote>
  <w:endnote w:type="continuationSeparator" w:id="0">
    <w:p w14:paraId="1D4B6131" w14:textId="77777777" w:rsidR="00D40ACA" w:rsidRDefault="00D40ACA" w:rsidP="001E6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458A44" w14:textId="77777777" w:rsidR="00D40ACA" w:rsidRDefault="00D40ACA" w:rsidP="001E647A">
      <w:r>
        <w:separator/>
      </w:r>
    </w:p>
  </w:footnote>
  <w:footnote w:type="continuationSeparator" w:id="0">
    <w:p w14:paraId="7BE30271" w14:textId="77777777" w:rsidR="00D40ACA" w:rsidRDefault="00D40ACA" w:rsidP="001E64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B5DA08CE"/>
    <w:lvl w:ilvl="0" w:tplc="194E4390">
      <w:start w:val="1"/>
      <w:numFmt w:val="decimal"/>
      <w:pStyle w:val="JUDGMENTNUMBERED"/>
      <w:lvlText w:val="[%1]"/>
      <w:lvlJc w:val="left"/>
      <w:pPr>
        <w:ind w:left="360" w:hanging="360"/>
      </w:pPr>
      <w:rPr>
        <w:specVanish w:val="0"/>
      </w:rPr>
    </w:lvl>
    <w:lvl w:ilvl="1" w:tplc="04090019">
      <w:start w:val="1"/>
      <w:numFmt w:val="lowerLetter"/>
      <w:lvlText w:val="%2."/>
      <w:lvlJc w:val="left"/>
      <w:pPr>
        <w:ind w:left="760" w:hanging="360"/>
      </w:pPr>
    </w:lvl>
    <w:lvl w:ilvl="2" w:tplc="0409001B" w:tentative="1">
      <w:start w:val="1"/>
      <w:numFmt w:val="lowerRoman"/>
      <w:lvlText w:val="%3."/>
      <w:lvlJc w:val="right"/>
      <w:pPr>
        <w:ind w:left="1480" w:hanging="180"/>
      </w:p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1"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16cid:durableId="744185560">
    <w:abstractNumId w:val="1"/>
  </w:num>
  <w:num w:numId="2" w16cid:durableId="236520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2"/>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340"/>
    <w:rsid w:val="00017302"/>
    <w:rsid w:val="00023FA7"/>
    <w:rsid w:val="0003383F"/>
    <w:rsid w:val="00044771"/>
    <w:rsid w:val="000548D7"/>
    <w:rsid w:val="00055B29"/>
    <w:rsid w:val="0006204E"/>
    <w:rsid w:val="000654B1"/>
    <w:rsid w:val="0007028D"/>
    <w:rsid w:val="00070E99"/>
    <w:rsid w:val="00074229"/>
    <w:rsid w:val="000806AE"/>
    <w:rsid w:val="00091F8C"/>
    <w:rsid w:val="00093E39"/>
    <w:rsid w:val="00094E7C"/>
    <w:rsid w:val="000A36D1"/>
    <w:rsid w:val="000A36F3"/>
    <w:rsid w:val="000B55F1"/>
    <w:rsid w:val="000D09EA"/>
    <w:rsid w:val="000D35AE"/>
    <w:rsid w:val="00100894"/>
    <w:rsid w:val="00113454"/>
    <w:rsid w:val="00117D6B"/>
    <w:rsid w:val="00122E3D"/>
    <w:rsid w:val="00125BE8"/>
    <w:rsid w:val="0015307D"/>
    <w:rsid w:val="00172A2C"/>
    <w:rsid w:val="001A24C8"/>
    <w:rsid w:val="001E31D8"/>
    <w:rsid w:val="001E57F4"/>
    <w:rsid w:val="001E5F5A"/>
    <w:rsid w:val="001E647A"/>
    <w:rsid w:val="001E7604"/>
    <w:rsid w:val="00200AB8"/>
    <w:rsid w:val="00215823"/>
    <w:rsid w:val="002235FE"/>
    <w:rsid w:val="00231828"/>
    <w:rsid w:val="002348C0"/>
    <w:rsid w:val="002435AB"/>
    <w:rsid w:val="00250C27"/>
    <w:rsid w:val="00253986"/>
    <w:rsid w:val="002705A8"/>
    <w:rsid w:val="0027251B"/>
    <w:rsid w:val="002A7397"/>
    <w:rsid w:val="002D184B"/>
    <w:rsid w:val="002D7582"/>
    <w:rsid w:val="0030356C"/>
    <w:rsid w:val="00305423"/>
    <w:rsid w:val="0031792A"/>
    <w:rsid w:val="00322340"/>
    <w:rsid w:val="00323149"/>
    <w:rsid w:val="003255EA"/>
    <w:rsid w:val="0032682A"/>
    <w:rsid w:val="00334E0F"/>
    <w:rsid w:val="0033708A"/>
    <w:rsid w:val="00357788"/>
    <w:rsid w:val="0036636C"/>
    <w:rsid w:val="0037720A"/>
    <w:rsid w:val="003807A5"/>
    <w:rsid w:val="003845A8"/>
    <w:rsid w:val="003850ED"/>
    <w:rsid w:val="00386254"/>
    <w:rsid w:val="003B4484"/>
    <w:rsid w:val="003C40ED"/>
    <w:rsid w:val="003D1CF1"/>
    <w:rsid w:val="003F0347"/>
    <w:rsid w:val="003F1959"/>
    <w:rsid w:val="003F3E2F"/>
    <w:rsid w:val="004036FB"/>
    <w:rsid w:val="004065B7"/>
    <w:rsid w:val="00410075"/>
    <w:rsid w:val="00426CFD"/>
    <w:rsid w:val="004302FD"/>
    <w:rsid w:val="00430C6F"/>
    <w:rsid w:val="004426F8"/>
    <w:rsid w:val="00475C1D"/>
    <w:rsid w:val="00490F2C"/>
    <w:rsid w:val="004A1AEE"/>
    <w:rsid w:val="004C5AD8"/>
    <w:rsid w:val="004C7EF7"/>
    <w:rsid w:val="004D716D"/>
    <w:rsid w:val="005038A1"/>
    <w:rsid w:val="00524F3A"/>
    <w:rsid w:val="005257B9"/>
    <w:rsid w:val="00526226"/>
    <w:rsid w:val="005307A5"/>
    <w:rsid w:val="00531FF1"/>
    <w:rsid w:val="0053527E"/>
    <w:rsid w:val="00571CD9"/>
    <w:rsid w:val="00573AEA"/>
    <w:rsid w:val="00587A53"/>
    <w:rsid w:val="0059419E"/>
    <w:rsid w:val="00594B56"/>
    <w:rsid w:val="005B2F2F"/>
    <w:rsid w:val="005B51EB"/>
    <w:rsid w:val="005E52AC"/>
    <w:rsid w:val="005E557D"/>
    <w:rsid w:val="005F322E"/>
    <w:rsid w:val="00616848"/>
    <w:rsid w:val="00624FFE"/>
    <w:rsid w:val="00630AA9"/>
    <w:rsid w:val="00642528"/>
    <w:rsid w:val="006474CE"/>
    <w:rsid w:val="006524D4"/>
    <w:rsid w:val="006543E3"/>
    <w:rsid w:val="006735C9"/>
    <w:rsid w:val="00674452"/>
    <w:rsid w:val="006749D6"/>
    <w:rsid w:val="00676CFE"/>
    <w:rsid w:val="00685C91"/>
    <w:rsid w:val="006879F3"/>
    <w:rsid w:val="00694175"/>
    <w:rsid w:val="006966FC"/>
    <w:rsid w:val="006E6A2F"/>
    <w:rsid w:val="007106E2"/>
    <w:rsid w:val="00712458"/>
    <w:rsid w:val="00716FAA"/>
    <w:rsid w:val="00720ACA"/>
    <w:rsid w:val="00732930"/>
    <w:rsid w:val="00750F83"/>
    <w:rsid w:val="00752C8F"/>
    <w:rsid w:val="00762738"/>
    <w:rsid w:val="007659FF"/>
    <w:rsid w:val="007746CE"/>
    <w:rsid w:val="00775169"/>
    <w:rsid w:val="00780874"/>
    <w:rsid w:val="0078535D"/>
    <w:rsid w:val="007C65D9"/>
    <w:rsid w:val="007D6DF5"/>
    <w:rsid w:val="007D788A"/>
    <w:rsid w:val="007F0EF4"/>
    <w:rsid w:val="007F7DCD"/>
    <w:rsid w:val="00801124"/>
    <w:rsid w:val="0081741F"/>
    <w:rsid w:val="00823B02"/>
    <w:rsid w:val="0083215D"/>
    <w:rsid w:val="00834D25"/>
    <w:rsid w:val="008351C8"/>
    <w:rsid w:val="008430EC"/>
    <w:rsid w:val="0086048D"/>
    <w:rsid w:val="00866508"/>
    <w:rsid w:val="00867767"/>
    <w:rsid w:val="0087005B"/>
    <w:rsid w:val="00881D33"/>
    <w:rsid w:val="00882096"/>
    <w:rsid w:val="00883D6C"/>
    <w:rsid w:val="008943E7"/>
    <w:rsid w:val="008A5FDC"/>
    <w:rsid w:val="008B1777"/>
    <w:rsid w:val="008B532D"/>
    <w:rsid w:val="008C3682"/>
    <w:rsid w:val="008C4A94"/>
    <w:rsid w:val="008D24BC"/>
    <w:rsid w:val="008D3D39"/>
    <w:rsid w:val="008E54C8"/>
    <w:rsid w:val="008F4B8F"/>
    <w:rsid w:val="0090690C"/>
    <w:rsid w:val="00910F26"/>
    <w:rsid w:val="00911DB9"/>
    <w:rsid w:val="009149E8"/>
    <w:rsid w:val="00924AFE"/>
    <w:rsid w:val="00926395"/>
    <w:rsid w:val="0096072E"/>
    <w:rsid w:val="009642D7"/>
    <w:rsid w:val="009731FE"/>
    <w:rsid w:val="00992CAE"/>
    <w:rsid w:val="009B7D1B"/>
    <w:rsid w:val="009E7D9D"/>
    <w:rsid w:val="00A0140F"/>
    <w:rsid w:val="00A142B7"/>
    <w:rsid w:val="00A37027"/>
    <w:rsid w:val="00A47D4A"/>
    <w:rsid w:val="00A51C04"/>
    <w:rsid w:val="00A55B9B"/>
    <w:rsid w:val="00A61566"/>
    <w:rsid w:val="00A81378"/>
    <w:rsid w:val="00AA17C0"/>
    <w:rsid w:val="00AA3378"/>
    <w:rsid w:val="00AA4526"/>
    <w:rsid w:val="00AC5170"/>
    <w:rsid w:val="00AC799A"/>
    <w:rsid w:val="00AD14A5"/>
    <w:rsid w:val="00AD3CA7"/>
    <w:rsid w:val="00AE4640"/>
    <w:rsid w:val="00AF0A36"/>
    <w:rsid w:val="00AF1853"/>
    <w:rsid w:val="00AF6649"/>
    <w:rsid w:val="00AF67D4"/>
    <w:rsid w:val="00B3177F"/>
    <w:rsid w:val="00B31B92"/>
    <w:rsid w:val="00B36F54"/>
    <w:rsid w:val="00B428BE"/>
    <w:rsid w:val="00B4658E"/>
    <w:rsid w:val="00B630F2"/>
    <w:rsid w:val="00B75813"/>
    <w:rsid w:val="00B7793F"/>
    <w:rsid w:val="00B80F33"/>
    <w:rsid w:val="00B85049"/>
    <w:rsid w:val="00BC0CD0"/>
    <w:rsid w:val="00BE6FBD"/>
    <w:rsid w:val="00C14B3E"/>
    <w:rsid w:val="00C14E9E"/>
    <w:rsid w:val="00C15790"/>
    <w:rsid w:val="00C43D8A"/>
    <w:rsid w:val="00C44C9C"/>
    <w:rsid w:val="00C44D82"/>
    <w:rsid w:val="00C45F8A"/>
    <w:rsid w:val="00C47F29"/>
    <w:rsid w:val="00C51AFC"/>
    <w:rsid w:val="00C536E8"/>
    <w:rsid w:val="00C55A66"/>
    <w:rsid w:val="00C616DF"/>
    <w:rsid w:val="00C70B69"/>
    <w:rsid w:val="00C85429"/>
    <w:rsid w:val="00C96321"/>
    <w:rsid w:val="00CA21ED"/>
    <w:rsid w:val="00CA458C"/>
    <w:rsid w:val="00CB2E3D"/>
    <w:rsid w:val="00CE51A0"/>
    <w:rsid w:val="00D12501"/>
    <w:rsid w:val="00D200E8"/>
    <w:rsid w:val="00D356A3"/>
    <w:rsid w:val="00D40819"/>
    <w:rsid w:val="00D40ACA"/>
    <w:rsid w:val="00D622DD"/>
    <w:rsid w:val="00D64E65"/>
    <w:rsid w:val="00D659C5"/>
    <w:rsid w:val="00D81F8F"/>
    <w:rsid w:val="00D86239"/>
    <w:rsid w:val="00DB011F"/>
    <w:rsid w:val="00DB12FA"/>
    <w:rsid w:val="00DB1A44"/>
    <w:rsid w:val="00DD5682"/>
    <w:rsid w:val="00DE5133"/>
    <w:rsid w:val="00DE7B41"/>
    <w:rsid w:val="00E07942"/>
    <w:rsid w:val="00E27310"/>
    <w:rsid w:val="00E545EA"/>
    <w:rsid w:val="00E661EE"/>
    <w:rsid w:val="00E736CB"/>
    <w:rsid w:val="00E8342B"/>
    <w:rsid w:val="00E93ACA"/>
    <w:rsid w:val="00E93F86"/>
    <w:rsid w:val="00EA113C"/>
    <w:rsid w:val="00EC30F9"/>
    <w:rsid w:val="00EC3DF4"/>
    <w:rsid w:val="00ED5B69"/>
    <w:rsid w:val="00EE10EC"/>
    <w:rsid w:val="00EE7EF0"/>
    <w:rsid w:val="00F04568"/>
    <w:rsid w:val="00F43565"/>
    <w:rsid w:val="00F43ADD"/>
    <w:rsid w:val="00F50679"/>
    <w:rsid w:val="00F515DF"/>
    <w:rsid w:val="00F5283F"/>
    <w:rsid w:val="00F70E31"/>
    <w:rsid w:val="00F74A3C"/>
    <w:rsid w:val="00F77A10"/>
    <w:rsid w:val="00F91C22"/>
    <w:rsid w:val="00FB2AFF"/>
    <w:rsid w:val="00FB43E0"/>
    <w:rsid w:val="00FC2754"/>
    <w:rsid w:val="00FD2D52"/>
    <w:rsid w:val="00FE00A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F534DE"/>
  <w15:docId w15:val="{A73CE1AD-F348-4B65-A595-67DC030F9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unhideWhenUsed/>
    <w:rsid w:val="001E647A"/>
    <w:pPr>
      <w:spacing w:after="120"/>
    </w:pPr>
    <w:rPr>
      <w:rFonts w:eastAsia="Calibri"/>
      <w:sz w:val="20"/>
      <w:szCs w:val="22"/>
    </w:rPr>
  </w:style>
  <w:style w:type="character" w:customStyle="1" w:styleId="FootnoteTextChar">
    <w:name w:val="Footnote Text Char"/>
    <w:basedOn w:val="DefaultParagraphFont"/>
    <w:link w:val="FootnoteText"/>
    <w:rsid w:val="001E647A"/>
    <w:rPr>
      <w:rFonts w:eastAsia="Calibri"/>
      <w:szCs w:val="22"/>
      <w:lang w:eastAsia="en-US"/>
    </w:rPr>
  </w:style>
  <w:style w:type="character" w:styleId="FootnoteReference">
    <w:name w:val="footnote reference"/>
    <w:basedOn w:val="DefaultParagraphFont"/>
    <w:semiHidden/>
    <w:unhideWhenUsed/>
    <w:rsid w:val="001E647A"/>
    <w:rPr>
      <w:vertAlign w:val="superscript"/>
    </w:rPr>
  </w:style>
  <w:style w:type="paragraph" w:customStyle="1" w:styleId="JUDGMENTNUMBERED">
    <w:name w:val="JUDGMENT NUMBERED"/>
    <w:basedOn w:val="Normal"/>
    <w:next w:val="JUDGMENTCONTINUED"/>
    <w:link w:val="JUDGMENTNUMBEREDChar"/>
    <w:qFormat/>
    <w:rsid w:val="00AA4526"/>
    <w:pPr>
      <w:numPr>
        <w:numId w:val="2"/>
      </w:numPr>
      <w:spacing w:line="360" w:lineRule="auto"/>
      <w:ind w:left="0" w:firstLine="0"/>
    </w:pPr>
    <w:rPr>
      <w:rFonts w:eastAsia="Calibri"/>
      <w:sz w:val="26"/>
      <w:szCs w:val="22"/>
    </w:rPr>
  </w:style>
  <w:style w:type="paragraph" w:customStyle="1" w:styleId="JUDGMENTCONTINUED">
    <w:name w:val="JUDGMENT CONTINUED"/>
    <w:basedOn w:val="JUDGMENTNUMBERED"/>
    <w:next w:val="JUDGMENTNUMBERED"/>
    <w:qFormat/>
    <w:rsid w:val="00AA4526"/>
    <w:pPr>
      <w:numPr>
        <w:numId w:val="0"/>
      </w:numPr>
    </w:pPr>
  </w:style>
  <w:style w:type="paragraph" w:customStyle="1" w:styleId="HEADING">
    <w:name w:val="HEADING"/>
    <w:basedOn w:val="JUDGMENTNUMBERED"/>
    <w:next w:val="JUDGMENTNUMBERED"/>
    <w:link w:val="HEADINGChar"/>
    <w:qFormat/>
    <w:rsid w:val="00AA4526"/>
    <w:pPr>
      <w:keepNext/>
      <w:numPr>
        <w:numId w:val="0"/>
      </w:numPr>
      <w:spacing w:after="120"/>
    </w:pPr>
    <w:rPr>
      <w:i/>
    </w:rPr>
  </w:style>
  <w:style w:type="character" w:customStyle="1" w:styleId="JUDGMENTNUMBEREDChar">
    <w:name w:val="JUDGMENT NUMBERED Char"/>
    <w:basedOn w:val="DefaultParagraphFont"/>
    <w:link w:val="JUDGMENTNUMBERED"/>
    <w:rsid w:val="00AA4526"/>
    <w:rPr>
      <w:rFonts w:eastAsia="Calibri"/>
      <w:sz w:val="26"/>
      <w:szCs w:val="22"/>
      <w:lang w:eastAsia="en-US"/>
    </w:rPr>
  </w:style>
  <w:style w:type="character" w:customStyle="1" w:styleId="HEADINGChar">
    <w:name w:val="HEADING Char"/>
    <w:basedOn w:val="JUDGMENTNUMBEREDChar"/>
    <w:link w:val="HEADING"/>
    <w:rsid w:val="00AA4526"/>
    <w:rPr>
      <w:rFonts w:eastAsia="Calibri"/>
      <w:i/>
      <w:sz w:val="26"/>
      <w:szCs w:val="22"/>
      <w:lang w:eastAsia="en-US"/>
    </w:rPr>
  </w:style>
  <w:style w:type="paragraph" w:styleId="Revision">
    <w:name w:val="Revision"/>
    <w:hidden/>
    <w:uiPriority w:val="99"/>
    <w:semiHidden/>
    <w:rsid w:val="00C44C9C"/>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L:\TEMPLATES\Previous%20templates\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10FF49-2CF6-4FCF-8A70-3087B110B4C0}">
  <ds:schemaRefs>
    <ds:schemaRef ds:uri="http://schemas.openxmlformats.org/officeDocument/2006/bibliography"/>
  </ds:schemaRefs>
</ds:datastoreItem>
</file>

<file path=customXml/itemProps2.xml><?xml version="1.0" encoding="utf-8"?>
<ds:datastoreItem xmlns:ds="http://schemas.openxmlformats.org/officeDocument/2006/customXml" ds:itemID="{4E234018-2918-4DBB-BC02-E11752D9F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L:\TEMPLATES\Previous templates\PRE-HEARING MEDIA SUMMARY TEMPLATE.dotx</Template>
  <TotalTime>9</TotalTime>
  <Pages>3</Pages>
  <Words>1264</Words>
  <Characters>7205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8453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Katy Hindle</dc:creator>
  <cp:lastModifiedBy>Nelsie Siboza</cp:lastModifiedBy>
  <cp:revision>5</cp:revision>
  <cp:lastPrinted>2012-11-28T14:40:00Z</cp:lastPrinted>
  <dcterms:created xsi:type="dcterms:W3CDTF">2022-04-27T16:26:00Z</dcterms:created>
  <dcterms:modified xsi:type="dcterms:W3CDTF">2022-04-29T07:17:00Z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-560865323</vt:i4>
  </property>
  <property fmtid="{D5CDD505-2E9C-101B-9397-08002B2CF9AE}" pid="3" name="_NewReviewCycle">
    <vt:lpwstr/>
  </property>
  <property fmtid="{D5CDD505-2E9C-101B-9397-08002B2CF9AE}" pid="4" name="_EmailSubject">
    <vt:lpwstr>[Pre-Hearing Media Summary ] CCT 141/21 Competition Commission v Group Five Construction Limited</vt:lpwstr>
  </property>
  <property fmtid="{D5CDD505-2E9C-101B-9397-08002B2CF9AE}" pid="5" name="_AuthorEmail">
    <vt:lpwstr>Ngobeni@concourt.org.za</vt:lpwstr>
  </property>
  <property fmtid="{D5CDD505-2E9C-101B-9397-08002B2CF9AE}" pid="6" name="_AuthorEmailDisplayName">
    <vt:lpwstr>Mmabatho Ngobeni</vt:lpwstr>
  </property>
</Properties>
</file>