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endnotes.xml" ContentType="application/vnd.openxmlformats-officedocument.wordprocessingml.endnotes+xml"/>
  <Override PartName="/word/footnotes.xml" ContentType="application/vnd.openxmlformats-officedocument.wordprocessingml.footnotes+xml"/>
  <Override PartName="/word/webextensions/taskpanes.xml" ContentType="application/vnd.ms-office.webextensiontaskpanes+xml"/>
  <Override PartName="/word/theme/theme1.xml" ContentType="application/vnd.openxmlformats-officedocument.theme+xml"/>
  <Override PartName="/word/webextensions/webextension1.xml" ContentType="application/vnd.ms-office.webextension+xml"/>
  <Override PartName="/word/settings.xml" ContentType="application/vnd.openxmlformats-officedocument.wordprocessingml.setting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word/numbering.xml" ContentType="application/vnd.openxmlformats-officedocument.wordprocessingml.numbering+xml"/>
  <Override PartName="/customXml/itemProps2.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72F199" w14:textId="77777777" w:rsidR="00F5283F" w:rsidRDefault="00CA458C" w:rsidP="00720ACA">
      <w:pPr>
        <w:jc w:val="center"/>
      </w:pPr>
      <w:r w:rsidRPr="00CA458C">
        <w:rPr>
          <w:noProof/>
          <w:lang w:eastAsia="en-ZA"/>
        </w:rPr>
        <w:drawing>
          <wp:inline distT="0" distB="0" distL="0" distR="0" wp14:anchorId="6B77023A" wp14:editId="4F9D48F4">
            <wp:extent cx="809625" cy="828675"/>
            <wp:effectExtent l="19050" t="0" r="9525" b="0"/>
            <wp:docPr id="1" name="Picture 1" descr="cid:image001.png@01CB1DF1.85740C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1.png@01CB1DF1.85740C50"/>
                    <pic:cNvPicPr>
                      <a:picLocks noChangeAspect="1" noChangeArrowheads="1"/>
                    </pic:cNvPicPr>
                  </pic:nvPicPr>
                  <pic:blipFill>
                    <a:blip r:embed="rId9" r:link="rId10" cstate="print"/>
                    <a:srcRect l="6632" r="12832"/>
                    <a:stretch>
                      <a:fillRect/>
                    </a:stretch>
                  </pic:blipFill>
                  <pic:spPr bwMode="auto">
                    <a:xfrm>
                      <a:off x="0" y="0"/>
                      <a:ext cx="809625" cy="828675"/>
                    </a:xfrm>
                    <a:prstGeom prst="rect">
                      <a:avLst/>
                    </a:prstGeom>
                    <a:noFill/>
                    <a:ln w="9525">
                      <a:noFill/>
                      <a:miter lim="800000"/>
                      <a:headEnd/>
                      <a:tailEnd/>
                    </a:ln>
                  </pic:spPr>
                </pic:pic>
              </a:graphicData>
            </a:graphic>
          </wp:inline>
        </w:drawing>
      </w:r>
    </w:p>
    <w:p w14:paraId="47AB37B9" w14:textId="77777777" w:rsidR="00F5283F" w:rsidRDefault="00F5283F" w:rsidP="00720ACA">
      <w:pPr>
        <w:jc w:val="center"/>
      </w:pPr>
    </w:p>
    <w:p w14:paraId="0E859671" w14:textId="77777777" w:rsidR="001E5F5A" w:rsidRPr="00100894" w:rsidRDefault="001E5F5A" w:rsidP="00720ACA">
      <w:pPr>
        <w:jc w:val="center"/>
        <w:rPr>
          <w:b/>
        </w:rPr>
      </w:pPr>
      <w:r w:rsidRPr="00100894">
        <w:rPr>
          <w:b/>
        </w:rPr>
        <w:t>CONSTIT</w:t>
      </w:r>
      <w:r w:rsidR="00676CFE" w:rsidRPr="00100894">
        <w:rPr>
          <w:b/>
        </w:rPr>
        <w:t>UT</w:t>
      </w:r>
      <w:r w:rsidRPr="00100894">
        <w:rPr>
          <w:b/>
        </w:rPr>
        <w:t>IONAL COURT OF SOUTH AFRICA</w:t>
      </w:r>
    </w:p>
    <w:p w14:paraId="35E9258C" w14:textId="77777777" w:rsidR="001E5F5A" w:rsidRPr="00100894" w:rsidRDefault="001E5F5A" w:rsidP="00AE4640"/>
    <w:p w14:paraId="3B69241F" w14:textId="2F37C19C" w:rsidR="00B10551" w:rsidRDefault="0025104E" w:rsidP="003075E1">
      <w:pPr>
        <w:tabs>
          <w:tab w:val="right" w:pos="9029"/>
        </w:tabs>
        <w:jc w:val="center"/>
        <w:rPr>
          <w:b/>
        </w:rPr>
      </w:pPr>
      <w:proofErr w:type="spellStart"/>
      <w:r w:rsidRPr="0025104E">
        <w:rPr>
          <w:b/>
        </w:rPr>
        <w:t>Merifon</w:t>
      </w:r>
      <w:proofErr w:type="spellEnd"/>
      <w:r w:rsidRPr="0025104E">
        <w:rPr>
          <w:b/>
        </w:rPr>
        <w:t xml:space="preserve"> (Pty) Limited v Greater Letaba Municipality and Another</w:t>
      </w:r>
    </w:p>
    <w:p w14:paraId="4B9B823E" w14:textId="77777777" w:rsidR="00B10551" w:rsidRDefault="00B10551" w:rsidP="00F52CC8">
      <w:pPr>
        <w:tabs>
          <w:tab w:val="right" w:pos="9029"/>
        </w:tabs>
        <w:rPr>
          <w:b/>
        </w:rPr>
      </w:pPr>
    </w:p>
    <w:p w14:paraId="27E05B38" w14:textId="3DB704C5" w:rsidR="00F52CC8" w:rsidRPr="00F52CC8" w:rsidRDefault="00B10551" w:rsidP="00F52CC8">
      <w:pPr>
        <w:tabs>
          <w:tab w:val="right" w:pos="9029"/>
        </w:tabs>
        <w:rPr>
          <w:b/>
        </w:rPr>
      </w:pPr>
      <w:r>
        <w:rPr>
          <w:b/>
        </w:rPr>
        <w:tab/>
      </w:r>
      <w:r w:rsidR="00F52CC8">
        <w:rPr>
          <w:b/>
        </w:rPr>
        <w:t xml:space="preserve">CCT </w:t>
      </w:r>
      <w:r w:rsidR="0025104E">
        <w:rPr>
          <w:b/>
        </w:rPr>
        <w:t>159</w:t>
      </w:r>
      <w:r w:rsidR="00F52CC8">
        <w:rPr>
          <w:b/>
        </w:rPr>
        <w:t>/21</w:t>
      </w:r>
    </w:p>
    <w:p w14:paraId="65182CE3" w14:textId="77777777" w:rsidR="00D40819" w:rsidRPr="00100894" w:rsidRDefault="00D40819" w:rsidP="00F52CC8">
      <w:pPr>
        <w:rPr>
          <w:b/>
        </w:rPr>
      </w:pPr>
    </w:p>
    <w:p w14:paraId="6B7EED7C" w14:textId="055D9BD4" w:rsidR="00E07942" w:rsidRPr="00100894" w:rsidRDefault="00E07942" w:rsidP="00720ACA">
      <w:pPr>
        <w:jc w:val="right"/>
        <w:rPr>
          <w:b/>
        </w:rPr>
      </w:pPr>
      <w:r w:rsidRPr="00100894">
        <w:rPr>
          <w:b/>
        </w:rPr>
        <w:t xml:space="preserve">Date of hearing: </w:t>
      </w:r>
      <w:r w:rsidR="009C2509">
        <w:rPr>
          <w:b/>
        </w:rPr>
        <w:t>1 March</w:t>
      </w:r>
      <w:r w:rsidR="00E17A92">
        <w:rPr>
          <w:b/>
        </w:rPr>
        <w:t xml:space="preserve"> 202</w:t>
      </w:r>
      <w:r w:rsidR="0025104E">
        <w:rPr>
          <w:b/>
        </w:rPr>
        <w:t>2</w:t>
      </w:r>
    </w:p>
    <w:p w14:paraId="7F6992E6" w14:textId="77777777" w:rsidR="00823B02" w:rsidRPr="00100894" w:rsidRDefault="00823B02" w:rsidP="00AE4640"/>
    <w:p w14:paraId="10356E47" w14:textId="77777777" w:rsidR="001E5F5A" w:rsidRPr="00100894" w:rsidRDefault="00526226" w:rsidP="00AE4640">
      <w:r w:rsidRPr="00100894">
        <w:t>________________________________________________________________________</w:t>
      </w:r>
    </w:p>
    <w:p w14:paraId="6CD462D8" w14:textId="77777777" w:rsidR="00526226" w:rsidRPr="00100894" w:rsidRDefault="00526226" w:rsidP="00526226">
      <w:pPr>
        <w:jc w:val="center"/>
        <w:rPr>
          <w:b/>
        </w:rPr>
      </w:pPr>
    </w:p>
    <w:p w14:paraId="2AE0FC7E" w14:textId="77777777" w:rsidR="00526226" w:rsidRPr="00100894" w:rsidRDefault="001E5F5A" w:rsidP="00526226">
      <w:pPr>
        <w:jc w:val="center"/>
        <w:rPr>
          <w:b/>
        </w:rPr>
      </w:pPr>
      <w:r w:rsidRPr="00100894">
        <w:rPr>
          <w:b/>
        </w:rPr>
        <w:t>MEDIA SUMMARY</w:t>
      </w:r>
    </w:p>
    <w:p w14:paraId="144349B7" w14:textId="77777777" w:rsidR="00526226" w:rsidRPr="00100894" w:rsidRDefault="00526226" w:rsidP="00526226">
      <w:pPr>
        <w:jc w:val="center"/>
      </w:pPr>
      <w:r w:rsidRPr="00100894">
        <w:t>________________________________________________________________________</w:t>
      </w:r>
    </w:p>
    <w:p w14:paraId="746FA015" w14:textId="77777777" w:rsidR="001E5F5A" w:rsidRPr="00100894" w:rsidRDefault="001E5F5A" w:rsidP="008B532D">
      <w:pPr>
        <w:spacing w:line="360" w:lineRule="auto"/>
        <w:jc w:val="left"/>
      </w:pPr>
    </w:p>
    <w:p w14:paraId="795D4514" w14:textId="77777777" w:rsidR="001E5F5A" w:rsidRPr="00100894" w:rsidRDefault="001E5F5A" w:rsidP="006474CE">
      <w:pPr>
        <w:rPr>
          <w:i/>
        </w:rPr>
      </w:pPr>
      <w:r w:rsidRPr="00100894">
        <w:rPr>
          <w:i/>
        </w:rPr>
        <w:t xml:space="preserve">The following </w:t>
      </w:r>
      <w:r w:rsidR="008C3682" w:rsidRPr="00100894">
        <w:rPr>
          <w:i/>
        </w:rPr>
        <w:t xml:space="preserve">explanatory note </w:t>
      </w:r>
      <w:r w:rsidRPr="00100894">
        <w:rPr>
          <w:i/>
        </w:rPr>
        <w:t>is provided to assist the media in reporting this case and is not binding on the Constitutional Court or any member of the Court.</w:t>
      </w:r>
    </w:p>
    <w:p w14:paraId="06F1A3E2" w14:textId="72A58428" w:rsidR="00C0379A" w:rsidRDefault="00C0379A" w:rsidP="003075E1"/>
    <w:p w14:paraId="52CBF8E0" w14:textId="77777777" w:rsidR="0025104E" w:rsidRPr="00462A3D" w:rsidRDefault="0025104E" w:rsidP="003075E1"/>
    <w:p w14:paraId="493ADFAE" w14:textId="4B55E567" w:rsidR="0025104E" w:rsidRDefault="0025104E" w:rsidP="0025104E">
      <w:pPr>
        <w:pStyle w:val="JUDGMENTNUMBERED"/>
        <w:numPr>
          <w:ilvl w:val="0"/>
          <w:numId w:val="0"/>
        </w:numPr>
        <w:spacing w:after="240" w:line="240" w:lineRule="auto"/>
        <w:rPr>
          <w:rFonts w:eastAsia="Times New Roman"/>
          <w:sz w:val="24"/>
          <w:szCs w:val="26"/>
        </w:rPr>
      </w:pPr>
      <w:r w:rsidRPr="0025104E">
        <w:rPr>
          <w:rFonts w:eastAsia="Times New Roman"/>
          <w:sz w:val="24"/>
          <w:szCs w:val="26"/>
        </w:rPr>
        <w:t>On Tuesday, 1 March 2022 at 10h00, the Constitutional Court will hear an application for leave to appeal against the judgment and order of the Supreme Court of Appeal dismissing the applicant’s appeal against the judgment and order of the Limpopo High</w:t>
      </w:r>
      <w:r>
        <w:rPr>
          <w:rFonts w:eastAsia="Times New Roman"/>
          <w:sz w:val="24"/>
          <w:szCs w:val="26"/>
        </w:rPr>
        <w:t xml:space="preserve"> </w:t>
      </w:r>
      <w:r w:rsidRPr="0025104E">
        <w:rPr>
          <w:rFonts w:eastAsia="Times New Roman"/>
          <w:sz w:val="24"/>
          <w:szCs w:val="26"/>
        </w:rPr>
        <w:t>Court (High</w:t>
      </w:r>
      <w:r>
        <w:rPr>
          <w:rFonts w:eastAsia="Times New Roman"/>
          <w:sz w:val="24"/>
          <w:szCs w:val="26"/>
        </w:rPr>
        <w:t> </w:t>
      </w:r>
      <w:r w:rsidRPr="0025104E">
        <w:rPr>
          <w:rFonts w:eastAsia="Times New Roman"/>
          <w:sz w:val="24"/>
          <w:szCs w:val="26"/>
        </w:rPr>
        <w:t xml:space="preserve">Court).  The crux of the appeal is the validity and enforcement of an agreement for </w:t>
      </w:r>
      <w:r>
        <w:rPr>
          <w:rFonts w:eastAsia="Times New Roman"/>
          <w:sz w:val="24"/>
          <w:szCs w:val="26"/>
        </w:rPr>
        <w:t xml:space="preserve">the </w:t>
      </w:r>
      <w:r w:rsidRPr="0025104E">
        <w:rPr>
          <w:rFonts w:eastAsia="Times New Roman"/>
          <w:sz w:val="24"/>
          <w:szCs w:val="26"/>
        </w:rPr>
        <w:t xml:space="preserve">sale of immovable property entered into between the applicant, </w:t>
      </w:r>
      <w:proofErr w:type="spellStart"/>
      <w:r w:rsidRPr="0025104E">
        <w:rPr>
          <w:rFonts w:eastAsia="Times New Roman"/>
          <w:sz w:val="24"/>
          <w:szCs w:val="26"/>
        </w:rPr>
        <w:t>Merifon</w:t>
      </w:r>
      <w:proofErr w:type="spellEnd"/>
      <w:r w:rsidRPr="0025104E">
        <w:rPr>
          <w:rFonts w:eastAsia="Times New Roman"/>
          <w:sz w:val="24"/>
          <w:szCs w:val="26"/>
        </w:rPr>
        <w:t xml:space="preserve"> (Pty) Limited </w:t>
      </w:r>
      <w:r>
        <w:rPr>
          <w:rFonts w:eastAsia="Times New Roman"/>
          <w:sz w:val="24"/>
          <w:szCs w:val="26"/>
        </w:rPr>
        <w:t>(</w:t>
      </w:r>
      <w:proofErr w:type="spellStart"/>
      <w:r>
        <w:rPr>
          <w:rFonts w:eastAsia="Times New Roman"/>
          <w:sz w:val="24"/>
          <w:szCs w:val="26"/>
        </w:rPr>
        <w:t>Merifon</w:t>
      </w:r>
      <w:proofErr w:type="spellEnd"/>
      <w:r>
        <w:rPr>
          <w:rFonts w:eastAsia="Times New Roman"/>
          <w:sz w:val="24"/>
          <w:szCs w:val="26"/>
        </w:rPr>
        <w:t xml:space="preserve">) </w:t>
      </w:r>
      <w:r w:rsidRPr="0025104E">
        <w:rPr>
          <w:rFonts w:eastAsia="Times New Roman"/>
          <w:sz w:val="24"/>
          <w:szCs w:val="26"/>
        </w:rPr>
        <w:t>and the first respondent, Greater Letaba Municipality</w:t>
      </w:r>
      <w:r>
        <w:rPr>
          <w:rFonts w:eastAsia="Times New Roman"/>
          <w:sz w:val="24"/>
          <w:szCs w:val="26"/>
        </w:rPr>
        <w:t xml:space="preserve"> (Municipality)</w:t>
      </w:r>
      <w:r w:rsidRPr="0025104E">
        <w:rPr>
          <w:rFonts w:eastAsia="Times New Roman"/>
          <w:sz w:val="24"/>
          <w:szCs w:val="26"/>
        </w:rPr>
        <w:t xml:space="preserve">, without compliance with </w:t>
      </w:r>
      <w:r w:rsidRPr="0025104E">
        <w:rPr>
          <w:rFonts w:eastAsia="Times New Roman"/>
          <w:i/>
          <w:iCs/>
          <w:sz w:val="24"/>
          <w:szCs w:val="26"/>
        </w:rPr>
        <w:t>inter alia</w:t>
      </w:r>
      <w:r w:rsidRPr="0025104E">
        <w:rPr>
          <w:rFonts w:eastAsia="Times New Roman"/>
          <w:sz w:val="24"/>
          <w:szCs w:val="26"/>
        </w:rPr>
        <w:t xml:space="preserve"> section 19 of the Local Government Municipal Finance Management Act 56 of 2003 (MFMA).  The Housing Development agency (HDA)</w:t>
      </w:r>
      <w:r>
        <w:rPr>
          <w:rFonts w:eastAsia="Times New Roman"/>
          <w:sz w:val="24"/>
          <w:szCs w:val="26"/>
        </w:rPr>
        <w:t xml:space="preserve">, </w:t>
      </w:r>
      <w:r w:rsidRPr="0025104E">
        <w:rPr>
          <w:rFonts w:eastAsia="Times New Roman"/>
          <w:sz w:val="24"/>
          <w:szCs w:val="26"/>
        </w:rPr>
        <w:t>cited as the second respondent</w:t>
      </w:r>
      <w:r>
        <w:rPr>
          <w:rFonts w:eastAsia="Times New Roman"/>
          <w:sz w:val="24"/>
          <w:szCs w:val="26"/>
        </w:rPr>
        <w:t>,</w:t>
      </w:r>
      <w:r w:rsidRPr="0025104E">
        <w:rPr>
          <w:rFonts w:eastAsia="Times New Roman"/>
          <w:sz w:val="24"/>
          <w:szCs w:val="26"/>
        </w:rPr>
        <w:t xml:space="preserve"> is joined in these proceedings as an interested party and because it was </w:t>
      </w:r>
      <w:r>
        <w:rPr>
          <w:rFonts w:eastAsia="Times New Roman"/>
          <w:sz w:val="24"/>
          <w:szCs w:val="26"/>
        </w:rPr>
        <w:t xml:space="preserve">a </w:t>
      </w:r>
      <w:r w:rsidRPr="0025104E">
        <w:rPr>
          <w:rFonts w:eastAsia="Times New Roman"/>
          <w:sz w:val="24"/>
          <w:szCs w:val="26"/>
        </w:rPr>
        <w:t>party to the proceedings in the lower courts.</w:t>
      </w:r>
    </w:p>
    <w:p w14:paraId="5D432299" w14:textId="2A59D5CD" w:rsidR="0025104E" w:rsidRDefault="0025104E" w:rsidP="0025104E">
      <w:pPr>
        <w:pStyle w:val="JUDGMENTNUMBERED"/>
        <w:numPr>
          <w:ilvl w:val="0"/>
          <w:numId w:val="0"/>
        </w:numPr>
        <w:spacing w:after="240" w:line="240" w:lineRule="auto"/>
        <w:rPr>
          <w:rFonts w:eastAsia="Times New Roman"/>
          <w:sz w:val="24"/>
          <w:szCs w:val="26"/>
        </w:rPr>
      </w:pPr>
      <w:r w:rsidRPr="0025104E">
        <w:rPr>
          <w:rFonts w:eastAsia="Times New Roman"/>
          <w:sz w:val="24"/>
          <w:szCs w:val="26"/>
        </w:rPr>
        <w:t xml:space="preserve">On 7 March 2013, </w:t>
      </w:r>
      <w:proofErr w:type="spellStart"/>
      <w:r w:rsidRPr="0025104E">
        <w:rPr>
          <w:rFonts w:eastAsia="Times New Roman"/>
          <w:sz w:val="24"/>
          <w:szCs w:val="26"/>
        </w:rPr>
        <w:t>Merifon</w:t>
      </w:r>
      <w:proofErr w:type="spellEnd"/>
      <w:r>
        <w:rPr>
          <w:rFonts w:eastAsia="Times New Roman"/>
          <w:sz w:val="24"/>
          <w:szCs w:val="26"/>
        </w:rPr>
        <w:t xml:space="preserve">, </w:t>
      </w:r>
      <w:r w:rsidRPr="0025104E">
        <w:rPr>
          <w:rFonts w:eastAsia="Times New Roman"/>
          <w:sz w:val="24"/>
          <w:szCs w:val="26"/>
        </w:rPr>
        <w:t>represented by Mr Mangena</w:t>
      </w:r>
      <w:r>
        <w:rPr>
          <w:rFonts w:eastAsia="Times New Roman"/>
          <w:sz w:val="24"/>
          <w:szCs w:val="26"/>
        </w:rPr>
        <w:t xml:space="preserve">, </w:t>
      </w:r>
      <w:r w:rsidRPr="0025104E">
        <w:rPr>
          <w:rFonts w:eastAsia="Times New Roman"/>
          <w:sz w:val="24"/>
          <w:szCs w:val="26"/>
        </w:rPr>
        <w:t>and the Municipality</w:t>
      </w:r>
      <w:r>
        <w:rPr>
          <w:rFonts w:eastAsia="Times New Roman"/>
          <w:sz w:val="24"/>
          <w:szCs w:val="26"/>
        </w:rPr>
        <w:t xml:space="preserve">, </w:t>
      </w:r>
      <w:r w:rsidRPr="0025104E">
        <w:rPr>
          <w:rFonts w:eastAsia="Times New Roman"/>
          <w:sz w:val="24"/>
          <w:szCs w:val="26"/>
        </w:rPr>
        <w:t>represented by Ms Mashaba</w:t>
      </w:r>
      <w:r>
        <w:rPr>
          <w:rFonts w:eastAsia="Times New Roman"/>
          <w:sz w:val="24"/>
          <w:szCs w:val="26"/>
        </w:rPr>
        <w:t xml:space="preserve">, </w:t>
      </w:r>
      <w:r w:rsidRPr="0025104E">
        <w:rPr>
          <w:rFonts w:eastAsia="Times New Roman"/>
          <w:sz w:val="24"/>
          <w:szCs w:val="26"/>
        </w:rPr>
        <w:t>entered into a</w:t>
      </w:r>
      <w:r>
        <w:rPr>
          <w:rFonts w:eastAsia="Times New Roman"/>
          <w:sz w:val="24"/>
          <w:szCs w:val="26"/>
        </w:rPr>
        <w:t xml:space="preserve">n agreement </w:t>
      </w:r>
      <w:r w:rsidRPr="0025104E">
        <w:rPr>
          <w:rFonts w:eastAsia="Times New Roman"/>
          <w:sz w:val="24"/>
          <w:szCs w:val="26"/>
        </w:rPr>
        <w:t xml:space="preserve">for the sale of land, consisting of three immovable properties situated at Farm </w:t>
      </w:r>
      <w:proofErr w:type="spellStart"/>
      <w:r w:rsidRPr="0025104E">
        <w:rPr>
          <w:rFonts w:eastAsia="Times New Roman"/>
          <w:sz w:val="24"/>
          <w:szCs w:val="26"/>
        </w:rPr>
        <w:t>Mooiplaats</w:t>
      </w:r>
      <w:proofErr w:type="spellEnd"/>
      <w:r w:rsidRPr="0025104E">
        <w:rPr>
          <w:rFonts w:eastAsia="Times New Roman"/>
          <w:sz w:val="24"/>
          <w:szCs w:val="26"/>
        </w:rPr>
        <w:t xml:space="preserve">.  The property was defined as Portions 5 and 6 and the Remaining Extent of the Farm </w:t>
      </w:r>
      <w:proofErr w:type="spellStart"/>
      <w:r w:rsidRPr="0025104E">
        <w:rPr>
          <w:rFonts w:eastAsia="Times New Roman"/>
          <w:sz w:val="24"/>
          <w:szCs w:val="26"/>
        </w:rPr>
        <w:t>Mooiplaats</w:t>
      </w:r>
      <w:proofErr w:type="spellEnd"/>
      <w:r w:rsidRPr="0025104E">
        <w:rPr>
          <w:rFonts w:eastAsia="Times New Roman"/>
          <w:sz w:val="24"/>
          <w:szCs w:val="26"/>
        </w:rPr>
        <w:t>.  The purchase price was R52 million payable on or before 29 March 2013, which amount would be paid in cash directly to the transferring attorneys.  The agreement further stipulated that the transfer of the property into the name of the Municipality would be effected as soon as reasonably possible after payment by the Municipality to the transferring attorneys of the transfer costs and the purchase price.</w:t>
      </w:r>
    </w:p>
    <w:p w14:paraId="5CBD753D" w14:textId="10AED75F" w:rsidR="0025104E" w:rsidRDefault="0025104E" w:rsidP="0025104E">
      <w:pPr>
        <w:pStyle w:val="JUDGMENTNUMBERED"/>
        <w:numPr>
          <w:ilvl w:val="0"/>
          <w:numId w:val="0"/>
        </w:numPr>
        <w:spacing w:after="240" w:line="240" w:lineRule="auto"/>
        <w:rPr>
          <w:rFonts w:eastAsia="Times New Roman"/>
          <w:sz w:val="24"/>
          <w:szCs w:val="26"/>
        </w:rPr>
      </w:pPr>
      <w:r>
        <w:rPr>
          <w:rFonts w:eastAsia="Times New Roman"/>
          <w:sz w:val="24"/>
          <w:szCs w:val="26"/>
        </w:rPr>
        <w:t xml:space="preserve">However, the purchase price </w:t>
      </w:r>
      <w:r w:rsidR="000F359E">
        <w:rPr>
          <w:rFonts w:eastAsia="Times New Roman"/>
          <w:sz w:val="24"/>
          <w:szCs w:val="26"/>
        </w:rPr>
        <w:t xml:space="preserve">was not paid and it later transpired that </w:t>
      </w:r>
      <w:r w:rsidRPr="0025104E">
        <w:rPr>
          <w:rFonts w:eastAsia="Times New Roman"/>
          <w:sz w:val="24"/>
          <w:szCs w:val="26"/>
        </w:rPr>
        <w:t xml:space="preserve">the Provincial Treasury </w:t>
      </w:r>
      <w:r w:rsidR="005E5681">
        <w:rPr>
          <w:rFonts w:eastAsia="Times New Roman"/>
          <w:sz w:val="24"/>
          <w:szCs w:val="26"/>
        </w:rPr>
        <w:t xml:space="preserve">had </w:t>
      </w:r>
      <w:r w:rsidRPr="0025104E">
        <w:rPr>
          <w:rFonts w:eastAsia="Times New Roman"/>
          <w:sz w:val="24"/>
          <w:szCs w:val="26"/>
        </w:rPr>
        <w:t xml:space="preserve">declined the request </w:t>
      </w:r>
      <w:r w:rsidR="000F359E">
        <w:rPr>
          <w:rFonts w:eastAsia="Times New Roman"/>
          <w:sz w:val="24"/>
          <w:szCs w:val="26"/>
        </w:rPr>
        <w:t>for funding</w:t>
      </w:r>
      <w:r w:rsidR="005E5681">
        <w:rPr>
          <w:rFonts w:eastAsia="Times New Roman"/>
          <w:sz w:val="24"/>
          <w:szCs w:val="26"/>
        </w:rPr>
        <w:t xml:space="preserve">, </w:t>
      </w:r>
      <w:r w:rsidRPr="0025104E">
        <w:rPr>
          <w:rFonts w:eastAsia="Times New Roman"/>
          <w:sz w:val="24"/>
          <w:szCs w:val="26"/>
        </w:rPr>
        <w:t xml:space="preserve">on the basis that the purchase price was excessive.  Provincial Treasury </w:t>
      </w:r>
      <w:r w:rsidR="005E5681">
        <w:rPr>
          <w:rFonts w:eastAsia="Times New Roman"/>
          <w:sz w:val="24"/>
          <w:szCs w:val="26"/>
        </w:rPr>
        <w:t>suggested</w:t>
      </w:r>
      <w:r w:rsidRPr="0025104E">
        <w:rPr>
          <w:rFonts w:eastAsia="Times New Roman"/>
          <w:sz w:val="24"/>
          <w:szCs w:val="26"/>
        </w:rPr>
        <w:t xml:space="preserve"> </w:t>
      </w:r>
      <w:r w:rsidR="005E5681">
        <w:rPr>
          <w:rFonts w:eastAsia="Times New Roman"/>
          <w:sz w:val="24"/>
          <w:szCs w:val="26"/>
        </w:rPr>
        <w:t xml:space="preserve">that the purchase price be </w:t>
      </w:r>
      <w:r w:rsidRPr="0025104E">
        <w:rPr>
          <w:rFonts w:eastAsia="Times New Roman"/>
          <w:sz w:val="24"/>
          <w:szCs w:val="26"/>
        </w:rPr>
        <w:t>renegotiat</w:t>
      </w:r>
      <w:r w:rsidR="005E5681">
        <w:rPr>
          <w:rFonts w:eastAsia="Times New Roman"/>
          <w:sz w:val="24"/>
          <w:szCs w:val="26"/>
        </w:rPr>
        <w:t>ed</w:t>
      </w:r>
      <w:r w:rsidRPr="0025104E">
        <w:rPr>
          <w:rFonts w:eastAsia="Times New Roman"/>
          <w:sz w:val="24"/>
          <w:szCs w:val="26"/>
        </w:rPr>
        <w:t>.</w:t>
      </w:r>
    </w:p>
    <w:p w14:paraId="09029199" w14:textId="26E4BB5E" w:rsidR="005E5681" w:rsidRDefault="0025104E" w:rsidP="0025104E">
      <w:pPr>
        <w:pStyle w:val="JUDGMENTNUMBERED"/>
        <w:numPr>
          <w:ilvl w:val="0"/>
          <w:numId w:val="0"/>
        </w:numPr>
        <w:spacing w:after="240" w:line="240" w:lineRule="auto"/>
        <w:rPr>
          <w:rFonts w:eastAsia="Times New Roman"/>
          <w:sz w:val="24"/>
          <w:szCs w:val="26"/>
        </w:rPr>
      </w:pPr>
      <w:r w:rsidRPr="0025104E">
        <w:rPr>
          <w:rFonts w:eastAsia="Times New Roman"/>
          <w:sz w:val="24"/>
          <w:szCs w:val="26"/>
        </w:rPr>
        <w:lastRenderedPageBreak/>
        <w:t xml:space="preserve">Determined to enforce the agreement, </w:t>
      </w:r>
      <w:proofErr w:type="spellStart"/>
      <w:r w:rsidRPr="0025104E">
        <w:rPr>
          <w:rFonts w:eastAsia="Times New Roman"/>
          <w:sz w:val="24"/>
          <w:szCs w:val="26"/>
        </w:rPr>
        <w:t>Merifon</w:t>
      </w:r>
      <w:proofErr w:type="spellEnd"/>
      <w:r w:rsidRPr="0025104E">
        <w:rPr>
          <w:rFonts w:eastAsia="Times New Roman"/>
          <w:sz w:val="24"/>
          <w:szCs w:val="26"/>
        </w:rPr>
        <w:t xml:space="preserve"> addressed a letter of demand to the </w:t>
      </w:r>
      <w:r w:rsidR="005E5681">
        <w:rPr>
          <w:rFonts w:eastAsia="Times New Roman"/>
          <w:sz w:val="24"/>
          <w:szCs w:val="26"/>
        </w:rPr>
        <w:t>M</w:t>
      </w:r>
      <w:r w:rsidRPr="0025104E">
        <w:rPr>
          <w:rFonts w:eastAsia="Times New Roman"/>
          <w:sz w:val="24"/>
          <w:szCs w:val="26"/>
        </w:rPr>
        <w:t>unicipal</w:t>
      </w:r>
      <w:r w:rsidR="005E5681">
        <w:rPr>
          <w:rFonts w:eastAsia="Times New Roman"/>
          <w:sz w:val="24"/>
          <w:szCs w:val="26"/>
        </w:rPr>
        <w:t>ity,</w:t>
      </w:r>
      <w:r w:rsidRPr="0025104E">
        <w:rPr>
          <w:rFonts w:eastAsia="Times New Roman"/>
          <w:sz w:val="24"/>
          <w:szCs w:val="26"/>
        </w:rPr>
        <w:t xml:space="preserve"> giving it 14 days within which to pay the purchase price and transfer costs, failing which, it would face legal proceedings </w:t>
      </w:r>
      <w:r w:rsidR="005E5681">
        <w:rPr>
          <w:rFonts w:eastAsia="Times New Roman"/>
          <w:sz w:val="24"/>
          <w:szCs w:val="26"/>
        </w:rPr>
        <w:t xml:space="preserve">to </w:t>
      </w:r>
      <w:r w:rsidRPr="0025104E">
        <w:rPr>
          <w:rFonts w:eastAsia="Times New Roman"/>
          <w:sz w:val="24"/>
          <w:szCs w:val="26"/>
        </w:rPr>
        <w:t>enforc</w:t>
      </w:r>
      <w:r w:rsidR="005E5681">
        <w:rPr>
          <w:rFonts w:eastAsia="Times New Roman"/>
          <w:sz w:val="24"/>
          <w:szCs w:val="26"/>
        </w:rPr>
        <w:t>e</w:t>
      </w:r>
      <w:r w:rsidRPr="0025104E">
        <w:rPr>
          <w:rFonts w:eastAsia="Times New Roman"/>
          <w:sz w:val="24"/>
          <w:szCs w:val="26"/>
        </w:rPr>
        <w:t xml:space="preserve"> the agreement.  This notice was not heeded by the Municipality.  On 2 May 2013 the municipal manager replied </w:t>
      </w:r>
      <w:r w:rsidR="005E5681">
        <w:rPr>
          <w:rFonts w:eastAsia="Times New Roman"/>
          <w:sz w:val="24"/>
          <w:szCs w:val="26"/>
        </w:rPr>
        <w:t xml:space="preserve">to </w:t>
      </w:r>
      <w:proofErr w:type="spellStart"/>
      <w:r w:rsidR="005E5681">
        <w:rPr>
          <w:rFonts w:eastAsia="Times New Roman"/>
          <w:sz w:val="24"/>
          <w:szCs w:val="26"/>
        </w:rPr>
        <w:t>Merifon</w:t>
      </w:r>
      <w:proofErr w:type="spellEnd"/>
      <w:r w:rsidR="005E5681">
        <w:rPr>
          <w:rFonts w:eastAsia="Times New Roman"/>
          <w:sz w:val="24"/>
          <w:szCs w:val="26"/>
        </w:rPr>
        <w:t xml:space="preserve">, indicating </w:t>
      </w:r>
      <w:r w:rsidRPr="0025104E">
        <w:rPr>
          <w:rFonts w:eastAsia="Times New Roman"/>
          <w:sz w:val="24"/>
          <w:szCs w:val="26"/>
        </w:rPr>
        <w:t>that the agreement was conditional upon the provincial department</w:t>
      </w:r>
      <w:r w:rsidR="005E5681">
        <w:rPr>
          <w:rFonts w:eastAsia="Times New Roman"/>
          <w:sz w:val="24"/>
          <w:szCs w:val="26"/>
        </w:rPr>
        <w:t>, authorised by Provincial Treasury,</w:t>
      </w:r>
      <w:r w:rsidRPr="0025104E">
        <w:rPr>
          <w:rFonts w:eastAsia="Times New Roman"/>
          <w:sz w:val="24"/>
          <w:szCs w:val="26"/>
        </w:rPr>
        <w:t xml:space="preserve"> financing the transaction.</w:t>
      </w:r>
    </w:p>
    <w:p w14:paraId="4BFA20F7" w14:textId="4CBBFD16" w:rsidR="0025104E" w:rsidRDefault="005E5681" w:rsidP="0025104E">
      <w:pPr>
        <w:pStyle w:val="JUDGMENTNUMBERED"/>
        <w:numPr>
          <w:ilvl w:val="0"/>
          <w:numId w:val="0"/>
        </w:numPr>
        <w:spacing w:after="240" w:line="240" w:lineRule="auto"/>
        <w:rPr>
          <w:rFonts w:eastAsia="Times New Roman"/>
          <w:sz w:val="24"/>
          <w:szCs w:val="26"/>
        </w:rPr>
      </w:pPr>
      <w:r>
        <w:rPr>
          <w:rFonts w:eastAsia="Times New Roman"/>
          <w:sz w:val="24"/>
          <w:szCs w:val="26"/>
        </w:rPr>
        <w:t xml:space="preserve">In </w:t>
      </w:r>
      <w:r w:rsidR="0025104E" w:rsidRPr="0025104E">
        <w:rPr>
          <w:rFonts w:eastAsia="Times New Roman"/>
          <w:sz w:val="24"/>
          <w:szCs w:val="26"/>
        </w:rPr>
        <w:t>2014</w:t>
      </w:r>
      <w:r w:rsidR="00392974">
        <w:rPr>
          <w:rFonts w:eastAsia="Times New Roman"/>
          <w:sz w:val="24"/>
          <w:szCs w:val="26"/>
        </w:rPr>
        <w:t>,</w:t>
      </w:r>
      <w:r w:rsidR="0025104E" w:rsidRPr="0025104E">
        <w:rPr>
          <w:rFonts w:eastAsia="Times New Roman"/>
          <w:sz w:val="24"/>
          <w:szCs w:val="26"/>
        </w:rPr>
        <w:t xml:space="preserve"> </w:t>
      </w:r>
      <w:proofErr w:type="spellStart"/>
      <w:r w:rsidR="0025104E" w:rsidRPr="0025104E">
        <w:rPr>
          <w:rFonts w:eastAsia="Times New Roman"/>
          <w:sz w:val="24"/>
          <w:szCs w:val="26"/>
        </w:rPr>
        <w:t>Merifon</w:t>
      </w:r>
      <w:proofErr w:type="spellEnd"/>
      <w:r w:rsidR="0025104E" w:rsidRPr="0025104E">
        <w:rPr>
          <w:rFonts w:eastAsia="Times New Roman"/>
          <w:sz w:val="24"/>
          <w:szCs w:val="26"/>
        </w:rPr>
        <w:t xml:space="preserve"> instituted an action in the Limpopo High Court against the Municipality and the second respondent.  The High Court dismissed the action and granted judgment in favour of the Municipality, declaring the agreement “null and void and unenforceable”.  The Court in essence found that the Municipality’s representative</w:t>
      </w:r>
      <w:r>
        <w:rPr>
          <w:rFonts w:eastAsia="Times New Roman"/>
          <w:sz w:val="24"/>
          <w:szCs w:val="26"/>
        </w:rPr>
        <w:t>, M</w:t>
      </w:r>
      <w:r w:rsidR="002F0D8B">
        <w:rPr>
          <w:rFonts w:eastAsia="Times New Roman"/>
          <w:sz w:val="24"/>
          <w:szCs w:val="26"/>
        </w:rPr>
        <w:t>s Mashaba</w:t>
      </w:r>
      <w:r>
        <w:rPr>
          <w:rFonts w:eastAsia="Times New Roman"/>
          <w:sz w:val="24"/>
          <w:szCs w:val="26"/>
        </w:rPr>
        <w:t>,</w:t>
      </w:r>
      <w:r w:rsidR="0025104E" w:rsidRPr="0025104E">
        <w:rPr>
          <w:rFonts w:eastAsia="Times New Roman"/>
          <w:sz w:val="24"/>
          <w:szCs w:val="26"/>
        </w:rPr>
        <w:t xml:space="preserve"> lacked the authority to sign the agreement because the Municipality had at no stage resolved “to acquire the property”.</w:t>
      </w:r>
    </w:p>
    <w:p w14:paraId="190B9296" w14:textId="1E8904EC" w:rsidR="005B08FA" w:rsidRDefault="0025104E" w:rsidP="0025104E">
      <w:pPr>
        <w:pStyle w:val="JUDGMENTNUMBERED"/>
        <w:numPr>
          <w:ilvl w:val="0"/>
          <w:numId w:val="0"/>
        </w:numPr>
        <w:spacing w:after="240" w:line="240" w:lineRule="auto"/>
        <w:rPr>
          <w:rFonts w:eastAsia="Times New Roman"/>
          <w:sz w:val="24"/>
          <w:szCs w:val="26"/>
        </w:rPr>
      </w:pPr>
      <w:proofErr w:type="spellStart"/>
      <w:r w:rsidRPr="0025104E">
        <w:rPr>
          <w:rFonts w:eastAsia="Times New Roman"/>
          <w:sz w:val="24"/>
          <w:szCs w:val="26"/>
        </w:rPr>
        <w:t>Merifon</w:t>
      </w:r>
      <w:proofErr w:type="spellEnd"/>
      <w:r w:rsidRPr="0025104E">
        <w:rPr>
          <w:rFonts w:eastAsia="Times New Roman"/>
          <w:sz w:val="24"/>
          <w:szCs w:val="26"/>
        </w:rPr>
        <w:t xml:space="preserve"> appealed to the Supreme Court of Appeal.  The Supreme Court of Appeal </w:t>
      </w:r>
      <w:r w:rsidR="00B75F31">
        <w:rPr>
          <w:rFonts w:eastAsia="Times New Roman"/>
          <w:sz w:val="24"/>
          <w:szCs w:val="26"/>
        </w:rPr>
        <w:t>dismissed</w:t>
      </w:r>
      <w:r w:rsidRPr="0025104E">
        <w:rPr>
          <w:rFonts w:eastAsia="Times New Roman"/>
          <w:sz w:val="24"/>
          <w:szCs w:val="26"/>
        </w:rPr>
        <w:t xml:space="preserve"> the appeal, and the central question for determination before it was whether it would be appropriate, in the context of the facts of this case, for the Supreme Court of Appeal to grant an order </w:t>
      </w:r>
      <w:r w:rsidR="005E5681">
        <w:rPr>
          <w:rFonts w:eastAsia="Times New Roman"/>
          <w:sz w:val="24"/>
          <w:szCs w:val="26"/>
        </w:rPr>
        <w:t>for</w:t>
      </w:r>
      <w:r w:rsidRPr="0025104E">
        <w:rPr>
          <w:rFonts w:eastAsia="Times New Roman"/>
          <w:sz w:val="24"/>
          <w:szCs w:val="26"/>
        </w:rPr>
        <w:t xml:space="preserve"> specific performance in favour of </w:t>
      </w:r>
      <w:proofErr w:type="spellStart"/>
      <w:r w:rsidRPr="0025104E">
        <w:rPr>
          <w:rFonts w:eastAsia="Times New Roman"/>
          <w:sz w:val="24"/>
          <w:szCs w:val="26"/>
        </w:rPr>
        <w:t>Merifon</w:t>
      </w:r>
      <w:proofErr w:type="spellEnd"/>
      <w:r w:rsidRPr="0025104E">
        <w:rPr>
          <w:rFonts w:eastAsia="Times New Roman"/>
          <w:sz w:val="24"/>
          <w:szCs w:val="26"/>
        </w:rPr>
        <w:t>.  The Supreme Court of Appeal held that the doctrine of legality and the rule of law lie at the heart of the Constitution</w:t>
      </w:r>
      <w:r w:rsidR="005E5681">
        <w:rPr>
          <w:rFonts w:eastAsia="Times New Roman"/>
          <w:sz w:val="24"/>
          <w:szCs w:val="26"/>
        </w:rPr>
        <w:t>,</w:t>
      </w:r>
      <w:r w:rsidRPr="0025104E">
        <w:rPr>
          <w:rFonts w:eastAsia="Times New Roman"/>
          <w:sz w:val="24"/>
          <w:szCs w:val="26"/>
        </w:rPr>
        <w:t xml:space="preserve"> and that the fundamental truism is that the exercise of public power derives from the law.  Accordingly, no organ of state or public official may act contrary to or beyond the scope of their powers as laid down in the law.  The Supreme Court of Appeal concluded that the High</w:t>
      </w:r>
      <w:r w:rsidR="005E5681">
        <w:rPr>
          <w:rFonts w:eastAsia="Times New Roman"/>
          <w:sz w:val="24"/>
          <w:szCs w:val="26"/>
        </w:rPr>
        <w:t xml:space="preserve"> </w:t>
      </w:r>
      <w:r w:rsidRPr="0025104E">
        <w:rPr>
          <w:rFonts w:eastAsia="Times New Roman"/>
          <w:sz w:val="24"/>
          <w:szCs w:val="26"/>
        </w:rPr>
        <w:t xml:space="preserve">Court was correct </w:t>
      </w:r>
      <w:r w:rsidR="005E5681">
        <w:rPr>
          <w:rFonts w:eastAsia="Times New Roman"/>
          <w:sz w:val="24"/>
          <w:szCs w:val="26"/>
        </w:rPr>
        <w:t>to</w:t>
      </w:r>
      <w:r w:rsidR="005E5681" w:rsidRPr="0025104E">
        <w:rPr>
          <w:rFonts w:eastAsia="Times New Roman"/>
          <w:sz w:val="24"/>
          <w:szCs w:val="26"/>
        </w:rPr>
        <w:t xml:space="preserve"> </w:t>
      </w:r>
      <w:r w:rsidRPr="0025104E">
        <w:rPr>
          <w:rFonts w:eastAsia="Times New Roman"/>
          <w:sz w:val="24"/>
          <w:szCs w:val="26"/>
        </w:rPr>
        <w:t>conclud</w:t>
      </w:r>
      <w:r w:rsidR="005E5681">
        <w:rPr>
          <w:rFonts w:eastAsia="Times New Roman"/>
          <w:sz w:val="24"/>
          <w:szCs w:val="26"/>
        </w:rPr>
        <w:t>e</w:t>
      </w:r>
      <w:r w:rsidRPr="0025104E">
        <w:rPr>
          <w:rFonts w:eastAsia="Times New Roman"/>
          <w:sz w:val="24"/>
          <w:szCs w:val="26"/>
        </w:rPr>
        <w:t xml:space="preserve"> that the agreement was legally unenforceable on account of the Municipality’s non</w:t>
      </w:r>
      <w:r w:rsidRPr="0025104E">
        <w:rPr>
          <w:rFonts w:eastAsia="Times New Roman"/>
          <w:sz w:val="24"/>
          <w:szCs w:val="26"/>
        </w:rPr>
        <w:noBreakHyphen/>
        <w:t>compliance with Section 19 of the MFMA.</w:t>
      </w:r>
    </w:p>
    <w:p w14:paraId="6C808BF6" w14:textId="30FE770B" w:rsidR="0025104E" w:rsidRDefault="00AB24CF" w:rsidP="0025104E">
      <w:pPr>
        <w:pStyle w:val="JUDGMENTNUMBERED"/>
        <w:numPr>
          <w:ilvl w:val="0"/>
          <w:numId w:val="0"/>
        </w:numPr>
        <w:spacing w:after="240" w:line="240" w:lineRule="auto"/>
        <w:rPr>
          <w:rFonts w:eastAsia="Times New Roman"/>
          <w:sz w:val="24"/>
          <w:szCs w:val="26"/>
        </w:rPr>
      </w:pPr>
      <w:r>
        <w:rPr>
          <w:rFonts w:eastAsia="Times New Roman"/>
          <w:sz w:val="24"/>
          <w:szCs w:val="26"/>
          <w:lang w:val="en-GB"/>
        </w:rPr>
        <w:t xml:space="preserve">Finally, the Supreme Court of Appeal held that </w:t>
      </w:r>
      <w:r w:rsidR="009E5E3D">
        <w:rPr>
          <w:rFonts w:eastAsia="Times New Roman"/>
          <w:sz w:val="24"/>
          <w:szCs w:val="26"/>
          <w:lang w:val="en-GB"/>
        </w:rPr>
        <w:t>the agreement could not be “validated” by estoppel.  Based on its finding that the provisions of the MFMA were peremptory, the Supreme Court of Appeal held that to remedy the transaction by estoppel would “</w:t>
      </w:r>
      <w:r w:rsidRPr="00AB24CF">
        <w:rPr>
          <w:rFonts w:eastAsia="Times New Roman"/>
          <w:sz w:val="24"/>
          <w:szCs w:val="26"/>
          <w:lang w:val="en-GB"/>
        </w:rPr>
        <w:t>render the relevant provisions of the MFMA nugatory</w:t>
      </w:r>
      <w:r w:rsidR="009E5E3D">
        <w:rPr>
          <w:rFonts w:eastAsia="Times New Roman"/>
          <w:sz w:val="24"/>
          <w:szCs w:val="26"/>
          <w:lang w:val="en-GB"/>
        </w:rPr>
        <w:t>”</w:t>
      </w:r>
      <w:r w:rsidRPr="00AB24CF">
        <w:rPr>
          <w:rFonts w:eastAsia="Times New Roman"/>
          <w:sz w:val="24"/>
          <w:szCs w:val="26"/>
          <w:lang w:val="en-GB"/>
        </w:rPr>
        <w:t>.</w:t>
      </w:r>
      <w:r w:rsidR="00392974">
        <w:rPr>
          <w:rFonts w:eastAsia="Times New Roman"/>
          <w:sz w:val="24"/>
          <w:szCs w:val="26"/>
          <w:lang w:val="en-GB"/>
        </w:rPr>
        <w:t xml:space="preserve">  </w:t>
      </w:r>
      <w:proofErr w:type="spellStart"/>
      <w:r w:rsidR="0025104E" w:rsidRPr="0025104E">
        <w:rPr>
          <w:rFonts w:eastAsia="Times New Roman"/>
          <w:sz w:val="24"/>
          <w:szCs w:val="26"/>
        </w:rPr>
        <w:t>Merifon</w:t>
      </w:r>
      <w:proofErr w:type="spellEnd"/>
      <w:r w:rsidR="0025104E" w:rsidRPr="0025104E">
        <w:rPr>
          <w:rFonts w:eastAsia="Times New Roman"/>
          <w:sz w:val="24"/>
          <w:szCs w:val="26"/>
        </w:rPr>
        <w:t xml:space="preserve"> now seeks leave to appeal to this Court.  It submits that persons contracting in good faith with a statutory body or its agents are not</w:t>
      </w:r>
      <w:r w:rsidR="00FB3D13">
        <w:rPr>
          <w:rFonts w:eastAsia="Times New Roman"/>
          <w:sz w:val="24"/>
          <w:szCs w:val="26"/>
        </w:rPr>
        <w:t xml:space="preserve"> required</w:t>
      </w:r>
      <w:r w:rsidR="0025104E" w:rsidRPr="0025104E">
        <w:rPr>
          <w:rFonts w:eastAsia="Times New Roman"/>
          <w:sz w:val="24"/>
          <w:szCs w:val="26"/>
        </w:rPr>
        <w:t xml:space="preserve">, in the absence of knowledge to the contrary, to enquire whether the relevant internal arrangements or formalities have been satisfied, </w:t>
      </w:r>
      <w:r w:rsidR="00FB3D13">
        <w:rPr>
          <w:rFonts w:eastAsia="Times New Roman"/>
          <w:sz w:val="24"/>
          <w:szCs w:val="26"/>
        </w:rPr>
        <w:t>and</w:t>
      </w:r>
      <w:r w:rsidR="00FB3D13" w:rsidRPr="0025104E">
        <w:rPr>
          <w:rFonts w:eastAsia="Times New Roman"/>
          <w:sz w:val="24"/>
          <w:szCs w:val="26"/>
        </w:rPr>
        <w:t xml:space="preserve"> </w:t>
      </w:r>
      <w:r w:rsidR="0025104E" w:rsidRPr="0025104E">
        <w:rPr>
          <w:rFonts w:eastAsia="Times New Roman"/>
          <w:sz w:val="24"/>
          <w:szCs w:val="26"/>
        </w:rPr>
        <w:t>are entitled to assume that all the necessary arrangements or formalities have indeed been complied with.  Hence</w:t>
      </w:r>
      <w:r w:rsidR="00FB3D13">
        <w:rPr>
          <w:rFonts w:eastAsia="Times New Roman"/>
          <w:sz w:val="24"/>
          <w:szCs w:val="26"/>
        </w:rPr>
        <w:t xml:space="preserve">, </w:t>
      </w:r>
      <w:proofErr w:type="spellStart"/>
      <w:r w:rsidR="00FB3D13">
        <w:rPr>
          <w:rFonts w:eastAsia="Times New Roman"/>
          <w:sz w:val="24"/>
          <w:szCs w:val="26"/>
        </w:rPr>
        <w:t>Merifon</w:t>
      </w:r>
      <w:proofErr w:type="spellEnd"/>
      <w:r w:rsidR="00FB3D13">
        <w:rPr>
          <w:rFonts w:eastAsia="Times New Roman"/>
          <w:sz w:val="24"/>
          <w:szCs w:val="26"/>
        </w:rPr>
        <w:t xml:space="preserve"> submits that it</w:t>
      </w:r>
      <w:r w:rsidR="0025104E" w:rsidRPr="0025104E">
        <w:rPr>
          <w:rFonts w:eastAsia="Times New Roman"/>
          <w:sz w:val="24"/>
          <w:szCs w:val="26"/>
        </w:rPr>
        <w:t xml:space="preserve"> is entitled to claim specific performance and the Municipality ought to be estopped from relying on its own non-compliance with Section 19 of the MFMA.</w:t>
      </w:r>
    </w:p>
    <w:p w14:paraId="0DCD7547" w14:textId="7F177E14" w:rsidR="0025104E" w:rsidRPr="0025104E" w:rsidRDefault="0025104E" w:rsidP="0025104E">
      <w:pPr>
        <w:pStyle w:val="JUDGMENTNUMBERED"/>
        <w:numPr>
          <w:ilvl w:val="0"/>
          <w:numId w:val="0"/>
        </w:numPr>
        <w:spacing w:after="240" w:line="240" w:lineRule="auto"/>
        <w:rPr>
          <w:rFonts w:eastAsia="Times New Roman"/>
          <w:sz w:val="24"/>
          <w:szCs w:val="26"/>
        </w:rPr>
      </w:pPr>
      <w:r w:rsidRPr="0025104E">
        <w:rPr>
          <w:rFonts w:eastAsia="Times New Roman"/>
          <w:sz w:val="24"/>
          <w:szCs w:val="26"/>
        </w:rPr>
        <w:t xml:space="preserve">The Municipality </w:t>
      </w:r>
      <w:r w:rsidR="00FB3D13">
        <w:rPr>
          <w:rFonts w:eastAsia="Times New Roman"/>
          <w:sz w:val="24"/>
          <w:szCs w:val="26"/>
        </w:rPr>
        <w:t>contends</w:t>
      </w:r>
      <w:r w:rsidR="005B08FA">
        <w:rPr>
          <w:rFonts w:eastAsia="Times New Roman"/>
          <w:sz w:val="24"/>
          <w:szCs w:val="26"/>
        </w:rPr>
        <w:t>, in line with the finding of the Supreme Court of Appeal</w:t>
      </w:r>
      <w:r w:rsidR="00FB3D13" w:rsidRPr="0025104E">
        <w:rPr>
          <w:rFonts w:eastAsia="Times New Roman"/>
          <w:sz w:val="24"/>
          <w:szCs w:val="26"/>
        </w:rPr>
        <w:t xml:space="preserve"> </w:t>
      </w:r>
      <w:r w:rsidRPr="0025104E">
        <w:rPr>
          <w:rFonts w:eastAsia="Times New Roman"/>
          <w:sz w:val="24"/>
          <w:szCs w:val="26"/>
        </w:rPr>
        <w:t xml:space="preserve">that that </w:t>
      </w:r>
      <w:r w:rsidR="00FB3D13">
        <w:rPr>
          <w:rFonts w:eastAsia="Times New Roman"/>
          <w:sz w:val="24"/>
          <w:szCs w:val="26"/>
        </w:rPr>
        <w:t xml:space="preserve">doctrine of </w:t>
      </w:r>
      <w:r w:rsidRPr="0025104E">
        <w:rPr>
          <w:rFonts w:eastAsia="Times New Roman"/>
          <w:sz w:val="24"/>
          <w:szCs w:val="26"/>
        </w:rPr>
        <w:t xml:space="preserve">estoppel cannot displace statutorily imposed requirements.  It also argues that section 19 is an empowering provision and a municipality cannot act outside of that power.  </w:t>
      </w:r>
      <w:r w:rsidR="00FB3D13">
        <w:rPr>
          <w:rFonts w:eastAsia="Times New Roman"/>
          <w:sz w:val="24"/>
          <w:szCs w:val="26"/>
        </w:rPr>
        <w:t>In the</w:t>
      </w:r>
      <w:r w:rsidR="00FB3D13" w:rsidRPr="0025104E">
        <w:rPr>
          <w:rFonts w:eastAsia="Times New Roman"/>
          <w:sz w:val="24"/>
          <w:szCs w:val="26"/>
        </w:rPr>
        <w:t xml:space="preserve"> </w:t>
      </w:r>
      <w:r w:rsidRPr="0025104E">
        <w:rPr>
          <w:rFonts w:eastAsia="Times New Roman"/>
          <w:sz w:val="24"/>
          <w:szCs w:val="26"/>
        </w:rPr>
        <w:t>Municipality</w:t>
      </w:r>
      <w:r w:rsidR="00FB3D13">
        <w:rPr>
          <w:rFonts w:eastAsia="Times New Roman"/>
          <w:sz w:val="24"/>
          <w:szCs w:val="26"/>
        </w:rPr>
        <w:t>’s view,</w:t>
      </w:r>
      <w:r w:rsidRPr="0025104E">
        <w:rPr>
          <w:rFonts w:eastAsia="Times New Roman"/>
          <w:sz w:val="24"/>
          <w:szCs w:val="26"/>
        </w:rPr>
        <w:t xml:space="preserve"> this case is about whether</w:t>
      </w:r>
      <w:r w:rsidR="002F7591">
        <w:rPr>
          <w:rFonts w:eastAsia="Times New Roman"/>
          <w:sz w:val="24"/>
          <w:szCs w:val="26"/>
        </w:rPr>
        <w:t>, as matter of law,</w:t>
      </w:r>
      <w:r w:rsidRPr="0025104E">
        <w:rPr>
          <w:rFonts w:eastAsia="Times New Roman"/>
          <w:sz w:val="24"/>
          <w:szCs w:val="26"/>
        </w:rPr>
        <w:t xml:space="preserve"> there was compliance with the relevant legislation which is the source of the power exercised.  And because there was non</w:t>
      </w:r>
      <w:r w:rsidR="00FB3D13">
        <w:rPr>
          <w:rFonts w:eastAsia="Times New Roman"/>
          <w:sz w:val="24"/>
          <w:szCs w:val="26"/>
        </w:rPr>
        <w:noBreakHyphen/>
      </w:r>
      <w:r w:rsidRPr="0025104E">
        <w:rPr>
          <w:rFonts w:eastAsia="Times New Roman"/>
          <w:sz w:val="24"/>
          <w:szCs w:val="26"/>
        </w:rPr>
        <w:t>compliance with an empowering provision, the agreement is null and void</w:t>
      </w:r>
      <w:r w:rsidR="00FB3D13">
        <w:rPr>
          <w:rFonts w:eastAsia="Times New Roman"/>
          <w:sz w:val="24"/>
          <w:szCs w:val="26"/>
        </w:rPr>
        <w:t xml:space="preserve"> and</w:t>
      </w:r>
      <w:r w:rsidRPr="0025104E">
        <w:rPr>
          <w:rFonts w:eastAsia="Times New Roman"/>
          <w:sz w:val="24"/>
          <w:szCs w:val="26"/>
        </w:rPr>
        <w:t xml:space="preserve"> the </w:t>
      </w:r>
      <w:r w:rsidR="00FB3D13">
        <w:rPr>
          <w:rFonts w:eastAsia="Times New Roman"/>
          <w:sz w:val="24"/>
          <w:szCs w:val="26"/>
        </w:rPr>
        <w:t>question</w:t>
      </w:r>
      <w:r w:rsidR="00FB3D13" w:rsidRPr="0025104E">
        <w:rPr>
          <w:rFonts w:eastAsia="Times New Roman"/>
          <w:sz w:val="24"/>
          <w:szCs w:val="26"/>
        </w:rPr>
        <w:t xml:space="preserve"> </w:t>
      </w:r>
      <w:r w:rsidRPr="0025104E">
        <w:rPr>
          <w:rFonts w:eastAsia="Times New Roman"/>
          <w:sz w:val="24"/>
          <w:szCs w:val="26"/>
        </w:rPr>
        <w:t>of specific performance does not arise</w:t>
      </w:r>
      <w:r>
        <w:rPr>
          <w:rFonts w:eastAsia="Times New Roman"/>
          <w:sz w:val="24"/>
          <w:szCs w:val="26"/>
        </w:rPr>
        <w:t>.</w:t>
      </w:r>
    </w:p>
    <w:sectPr w:rsidR="0025104E" w:rsidRPr="0025104E" w:rsidSect="009F0F46">
      <w:pgSz w:w="12240" w:h="15840"/>
      <w:pgMar w:top="1440" w:right="1800" w:bottom="1276" w:left="180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5A282AB" w14:textId="77777777" w:rsidR="00003D44" w:rsidRDefault="00003D44" w:rsidP="00B32119">
      <w:r>
        <w:separator/>
      </w:r>
    </w:p>
  </w:endnote>
  <w:endnote w:type="continuationSeparator" w:id="0">
    <w:p w14:paraId="1D08175A" w14:textId="77777777" w:rsidR="00003D44" w:rsidRDefault="00003D44" w:rsidP="00B3211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5AF57BA" w14:textId="77777777" w:rsidR="00003D44" w:rsidRDefault="00003D44" w:rsidP="00B32119">
      <w:r>
        <w:separator/>
      </w:r>
    </w:p>
  </w:footnote>
  <w:footnote w:type="continuationSeparator" w:id="0">
    <w:p w14:paraId="7272E94B" w14:textId="77777777" w:rsidR="00003D44" w:rsidRDefault="00003D44" w:rsidP="00B3211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5A7A26"/>
    <w:multiLevelType w:val="hybridMultilevel"/>
    <w:tmpl w:val="D46CB7F8"/>
    <w:lvl w:ilvl="0" w:tplc="0CD23EA0">
      <w:start w:val="1"/>
      <w:numFmt w:val="decimal"/>
      <w:pStyle w:val="JUDGMENTNUMBERED"/>
      <w:lvlText w:val="[%1]"/>
      <w:lvlJc w:val="left"/>
      <w:pPr>
        <w:ind w:left="360" w:hanging="360"/>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5CAEF33A">
      <w:start w:val="1"/>
      <w:numFmt w:val="decimal"/>
      <w:lvlText w:val="%4."/>
      <w:lvlJc w:val="left"/>
      <w:pPr>
        <w:ind w:left="2880" w:hanging="360"/>
      </w:pPr>
      <w:rPr>
        <w:rFont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22672A4"/>
    <w:multiLevelType w:val="hybridMultilevel"/>
    <w:tmpl w:val="6EFAC552"/>
    <w:lvl w:ilvl="0" w:tplc="94AC2CFE">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2" w15:restartNumberingAfterBreak="0">
    <w:nsid w:val="47140F5B"/>
    <w:multiLevelType w:val="hybridMultilevel"/>
    <w:tmpl w:val="320419F8"/>
    <w:lvl w:ilvl="0" w:tplc="99C0FAF6">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3" w15:restartNumberingAfterBreak="0">
    <w:nsid w:val="5E6D569F"/>
    <w:multiLevelType w:val="multilevel"/>
    <w:tmpl w:val="8C146660"/>
    <w:lvl w:ilvl="0">
      <w:start w:val="1"/>
      <w:numFmt w:val="decimal"/>
      <w:lvlText w:val="%1"/>
      <w:lvlJc w:val="left"/>
      <w:pPr>
        <w:tabs>
          <w:tab w:val="num" w:pos="720"/>
        </w:tabs>
        <w:ind w:left="720" w:hanging="720"/>
      </w:pPr>
      <w:rPr>
        <w:rFonts w:hint="default"/>
        <w:b w:val="0"/>
        <w:i w:val="0"/>
      </w:rPr>
    </w:lvl>
    <w:lvl w:ilvl="1">
      <w:start w:val="1"/>
      <w:numFmt w:val="decimal"/>
      <w:isLgl/>
      <w:lvlText w:val="%1.%2"/>
      <w:lvlJc w:val="left"/>
      <w:pPr>
        <w:tabs>
          <w:tab w:val="num" w:pos="1440"/>
        </w:tabs>
        <w:ind w:left="1440" w:hanging="720"/>
      </w:pPr>
      <w:rPr>
        <w:rFonts w:hint="default"/>
      </w:rPr>
    </w:lvl>
    <w:lvl w:ilvl="2">
      <w:start w:val="1"/>
      <w:numFmt w:val="decimal"/>
      <w:isLgl/>
      <w:lvlText w:val="%1.%2.%3"/>
      <w:lvlJc w:val="left"/>
      <w:pPr>
        <w:tabs>
          <w:tab w:val="num" w:pos="1800"/>
        </w:tabs>
        <w:ind w:left="1800" w:hanging="720"/>
      </w:pPr>
      <w:rPr>
        <w:rFonts w:hint="default"/>
      </w:rPr>
    </w:lvl>
    <w:lvl w:ilvl="3">
      <w:start w:val="1"/>
      <w:numFmt w:val="decimal"/>
      <w:isLgl/>
      <w:lvlText w:val="%1.%2.%3.%4"/>
      <w:lvlJc w:val="left"/>
      <w:pPr>
        <w:tabs>
          <w:tab w:val="num" w:pos="2520"/>
        </w:tabs>
        <w:ind w:left="2520" w:hanging="1080"/>
      </w:pPr>
      <w:rPr>
        <w:rFonts w:hint="default"/>
      </w:rPr>
    </w:lvl>
    <w:lvl w:ilvl="4">
      <w:start w:val="1"/>
      <w:numFmt w:val="decimal"/>
      <w:isLgl/>
      <w:lvlText w:val="%1.%2.%3.%4.%5"/>
      <w:lvlJc w:val="left"/>
      <w:pPr>
        <w:tabs>
          <w:tab w:val="num" w:pos="2880"/>
        </w:tabs>
        <w:ind w:left="2880" w:hanging="1080"/>
      </w:pPr>
      <w:rPr>
        <w:rFonts w:hint="default"/>
      </w:rPr>
    </w:lvl>
    <w:lvl w:ilvl="5">
      <w:start w:val="1"/>
      <w:numFmt w:val="decimal"/>
      <w:isLgl/>
      <w:lvlText w:val="%1.%2.%3.%4.%5.%6"/>
      <w:lvlJc w:val="left"/>
      <w:pPr>
        <w:tabs>
          <w:tab w:val="num" w:pos="3600"/>
        </w:tabs>
        <w:ind w:left="3600" w:hanging="1440"/>
      </w:pPr>
      <w:rPr>
        <w:rFonts w:hint="default"/>
      </w:rPr>
    </w:lvl>
    <w:lvl w:ilvl="6">
      <w:start w:val="1"/>
      <w:numFmt w:val="decimal"/>
      <w:isLgl/>
      <w:lvlText w:val="%1.%2.%3.%4.%5.%6.%7"/>
      <w:lvlJc w:val="left"/>
      <w:pPr>
        <w:tabs>
          <w:tab w:val="num" w:pos="3960"/>
        </w:tabs>
        <w:ind w:left="3960" w:hanging="1440"/>
      </w:pPr>
      <w:rPr>
        <w:rFonts w:hint="default"/>
      </w:rPr>
    </w:lvl>
    <w:lvl w:ilvl="7">
      <w:start w:val="1"/>
      <w:numFmt w:val="decimal"/>
      <w:isLgl/>
      <w:lvlText w:val="%1.%2.%3.%4.%5.%6.%7.%8"/>
      <w:lvlJc w:val="left"/>
      <w:pPr>
        <w:tabs>
          <w:tab w:val="num" w:pos="4680"/>
        </w:tabs>
        <w:ind w:left="4680" w:hanging="1800"/>
      </w:pPr>
      <w:rPr>
        <w:rFonts w:hint="default"/>
      </w:rPr>
    </w:lvl>
    <w:lvl w:ilvl="8">
      <w:start w:val="1"/>
      <w:numFmt w:val="decimal"/>
      <w:isLgl/>
      <w:lvlText w:val="%1.%2.%3.%4.%5.%6.%7.%8.%9"/>
      <w:lvlJc w:val="left"/>
      <w:pPr>
        <w:tabs>
          <w:tab w:val="num" w:pos="5040"/>
        </w:tabs>
        <w:ind w:left="5040" w:hanging="1800"/>
      </w:pPr>
      <w:rPr>
        <w:rFonts w:hint="default"/>
      </w:rPr>
    </w:lvl>
  </w:abstractNum>
  <w:abstractNum w:abstractNumId="4" w15:restartNumberingAfterBreak="0">
    <w:nsid w:val="5F312FB1"/>
    <w:multiLevelType w:val="hybridMultilevel"/>
    <w:tmpl w:val="EE10687A"/>
    <w:lvl w:ilvl="0" w:tplc="319225E4">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num w:numId="1">
    <w:abstractNumId w:val="3"/>
  </w:num>
  <w:num w:numId="2">
    <w:abstractNumId w:val="0"/>
  </w:num>
  <w:num w:numId="3">
    <w:abstractNumId w:val="0"/>
  </w:num>
  <w:num w:numId="4">
    <w:abstractNumId w:val="4"/>
  </w:num>
  <w:num w:numId="5">
    <w:abstractNumId w:val="2"/>
  </w:num>
  <w:num w:numId="6">
    <w:abstractNumId w:val="1"/>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4"/>
  <w:removePersonalInformation/>
  <w:removeDateAndTime/>
  <w:activeWritingStyle w:appName="MSWord" w:lang="fr-FR" w:vendorID="64" w:dllVersion="6" w:nlCheck="1" w:checkStyle="0"/>
  <w:activeWritingStyle w:appName="MSWord" w:lang="en-ZA" w:vendorID="64" w:dllVersion="6" w:nlCheck="1" w:checkStyle="1"/>
  <w:activeWritingStyle w:appName="MSWord" w:lang="en-ZA" w:vendorID="64" w:dllVersion="0" w:nlCheck="1" w:checkStyle="0"/>
  <w:activeWritingStyle w:appName="MSWord" w:lang="en-GB" w:vendorID="64" w:dllVersion="0" w:nlCheck="1" w:checkStyle="0"/>
  <w:activeWritingStyle w:appName="MSWord" w:lang="en-US" w:vendorID="64" w:dllVersion="0" w:nlCheck="1" w:checkStyle="0"/>
  <w:activeWritingStyle w:appName="MSWord" w:lang="en-US" w:vendorID="64" w:dllVersion="6" w:nlCheck="1" w:checkStyle="0"/>
  <w:activeWritingStyle w:appName="MSWord" w:lang="en-GB" w:vendorID="64" w:dllVersion="6" w:nlCheck="1" w:checkStyle="1"/>
  <w:activeWritingStyle w:appName="MSWord" w:lang="en-GB" w:vendorID="64" w:dllVersion="4096"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MTU3MzIzNjM2NjS0sDRU0lEKTi0uzszPAykwrAUAXx/XbiwAAAA="/>
  </w:docVars>
  <w:rsids>
    <w:rsidRoot w:val="009342A7"/>
    <w:rsid w:val="00003D44"/>
    <w:rsid w:val="00006DE8"/>
    <w:rsid w:val="0001092A"/>
    <w:rsid w:val="00012C72"/>
    <w:rsid w:val="000152DC"/>
    <w:rsid w:val="00015637"/>
    <w:rsid w:val="00017302"/>
    <w:rsid w:val="000220FD"/>
    <w:rsid w:val="00023FA7"/>
    <w:rsid w:val="0003383F"/>
    <w:rsid w:val="00042529"/>
    <w:rsid w:val="00044771"/>
    <w:rsid w:val="0005326B"/>
    <w:rsid w:val="000548D7"/>
    <w:rsid w:val="00055B29"/>
    <w:rsid w:val="00062A56"/>
    <w:rsid w:val="00063D7D"/>
    <w:rsid w:val="000654B1"/>
    <w:rsid w:val="0007028D"/>
    <w:rsid w:val="00070E99"/>
    <w:rsid w:val="00071F12"/>
    <w:rsid w:val="000736F1"/>
    <w:rsid w:val="00074D23"/>
    <w:rsid w:val="000806AE"/>
    <w:rsid w:val="0009089C"/>
    <w:rsid w:val="00091F8C"/>
    <w:rsid w:val="00093CD0"/>
    <w:rsid w:val="00093E39"/>
    <w:rsid w:val="000944E5"/>
    <w:rsid w:val="00094E7C"/>
    <w:rsid w:val="00096171"/>
    <w:rsid w:val="000964F2"/>
    <w:rsid w:val="000965AF"/>
    <w:rsid w:val="00097E2E"/>
    <w:rsid w:val="000A36D1"/>
    <w:rsid w:val="000A36F3"/>
    <w:rsid w:val="000A3E78"/>
    <w:rsid w:val="000B1629"/>
    <w:rsid w:val="000B313E"/>
    <w:rsid w:val="000B719B"/>
    <w:rsid w:val="000C0ABB"/>
    <w:rsid w:val="000D0467"/>
    <w:rsid w:val="000D09EA"/>
    <w:rsid w:val="000D35AE"/>
    <w:rsid w:val="000E2D16"/>
    <w:rsid w:val="000E5D1B"/>
    <w:rsid w:val="000F359E"/>
    <w:rsid w:val="000F505F"/>
    <w:rsid w:val="00100894"/>
    <w:rsid w:val="00100B8E"/>
    <w:rsid w:val="00110C58"/>
    <w:rsid w:val="00113454"/>
    <w:rsid w:val="00116D70"/>
    <w:rsid w:val="00117D6B"/>
    <w:rsid w:val="00122E3D"/>
    <w:rsid w:val="00123D60"/>
    <w:rsid w:val="00125BE8"/>
    <w:rsid w:val="00127742"/>
    <w:rsid w:val="00130868"/>
    <w:rsid w:val="00132823"/>
    <w:rsid w:val="00143037"/>
    <w:rsid w:val="0015307D"/>
    <w:rsid w:val="0015660A"/>
    <w:rsid w:val="00160456"/>
    <w:rsid w:val="00164EA2"/>
    <w:rsid w:val="00172A2C"/>
    <w:rsid w:val="0017327D"/>
    <w:rsid w:val="00177687"/>
    <w:rsid w:val="00181DF6"/>
    <w:rsid w:val="0018233B"/>
    <w:rsid w:val="00182534"/>
    <w:rsid w:val="00184B55"/>
    <w:rsid w:val="001921A9"/>
    <w:rsid w:val="00192EBD"/>
    <w:rsid w:val="00193C3C"/>
    <w:rsid w:val="00194E27"/>
    <w:rsid w:val="0019731B"/>
    <w:rsid w:val="001A204B"/>
    <w:rsid w:val="001A24C8"/>
    <w:rsid w:val="001B4BB0"/>
    <w:rsid w:val="001C62AC"/>
    <w:rsid w:val="001C6BC4"/>
    <w:rsid w:val="001C7228"/>
    <w:rsid w:val="001D33A9"/>
    <w:rsid w:val="001D43F0"/>
    <w:rsid w:val="001E31D8"/>
    <w:rsid w:val="001E57F4"/>
    <w:rsid w:val="001E5F5A"/>
    <w:rsid w:val="001E64FF"/>
    <w:rsid w:val="001E7604"/>
    <w:rsid w:val="001F38F4"/>
    <w:rsid w:val="001F4D67"/>
    <w:rsid w:val="00200AB8"/>
    <w:rsid w:val="00202615"/>
    <w:rsid w:val="002124FC"/>
    <w:rsid w:val="00215823"/>
    <w:rsid w:val="0022390F"/>
    <w:rsid w:val="0022481B"/>
    <w:rsid w:val="00225092"/>
    <w:rsid w:val="0022509E"/>
    <w:rsid w:val="002348C0"/>
    <w:rsid w:val="00234A3B"/>
    <w:rsid w:val="002350DD"/>
    <w:rsid w:val="002355FF"/>
    <w:rsid w:val="0023777A"/>
    <w:rsid w:val="002416D7"/>
    <w:rsid w:val="002435AB"/>
    <w:rsid w:val="00243857"/>
    <w:rsid w:val="0024405F"/>
    <w:rsid w:val="00250C27"/>
    <w:rsid w:val="0025104E"/>
    <w:rsid w:val="00253986"/>
    <w:rsid w:val="00253F18"/>
    <w:rsid w:val="00261B0E"/>
    <w:rsid w:val="00267077"/>
    <w:rsid w:val="002705A8"/>
    <w:rsid w:val="002715F6"/>
    <w:rsid w:val="0027251B"/>
    <w:rsid w:val="00273386"/>
    <w:rsid w:val="002854BE"/>
    <w:rsid w:val="00292396"/>
    <w:rsid w:val="00296DEC"/>
    <w:rsid w:val="002A1C08"/>
    <w:rsid w:val="002A2166"/>
    <w:rsid w:val="002A3B6B"/>
    <w:rsid w:val="002A787F"/>
    <w:rsid w:val="002B2337"/>
    <w:rsid w:val="002B3E1A"/>
    <w:rsid w:val="002B4EF9"/>
    <w:rsid w:val="002C47F7"/>
    <w:rsid w:val="002C6E60"/>
    <w:rsid w:val="002D0791"/>
    <w:rsid w:val="002D184B"/>
    <w:rsid w:val="002D7582"/>
    <w:rsid w:val="002E3C4F"/>
    <w:rsid w:val="002E6AA5"/>
    <w:rsid w:val="002F0409"/>
    <w:rsid w:val="002F0470"/>
    <w:rsid w:val="002F0D8B"/>
    <w:rsid w:val="002F1F3C"/>
    <w:rsid w:val="002F38C9"/>
    <w:rsid w:val="002F7591"/>
    <w:rsid w:val="00305423"/>
    <w:rsid w:val="003075E1"/>
    <w:rsid w:val="003123B8"/>
    <w:rsid w:val="0031792A"/>
    <w:rsid w:val="00323149"/>
    <w:rsid w:val="00323F9B"/>
    <w:rsid w:val="003255EA"/>
    <w:rsid w:val="0032682A"/>
    <w:rsid w:val="0032715F"/>
    <w:rsid w:val="00331205"/>
    <w:rsid w:val="003313F6"/>
    <w:rsid w:val="00331BD4"/>
    <w:rsid w:val="003320E7"/>
    <w:rsid w:val="00334E0F"/>
    <w:rsid w:val="00334FEE"/>
    <w:rsid w:val="00341CFB"/>
    <w:rsid w:val="0034274C"/>
    <w:rsid w:val="0034296A"/>
    <w:rsid w:val="00343904"/>
    <w:rsid w:val="00357788"/>
    <w:rsid w:val="00360424"/>
    <w:rsid w:val="00365A5E"/>
    <w:rsid w:val="00367589"/>
    <w:rsid w:val="0037027B"/>
    <w:rsid w:val="003706CA"/>
    <w:rsid w:val="00371014"/>
    <w:rsid w:val="0037401C"/>
    <w:rsid w:val="0037720A"/>
    <w:rsid w:val="003807A5"/>
    <w:rsid w:val="003845A8"/>
    <w:rsid w:val="003850ED"/>
    <w:rsid w:val="00386254"/>
    <w:rsid w:val="00392974"/>
    <w:rsid w:val="003954AD"/>
    <w:rsid w:val="00396F73"/>
    <w:rsid w:val="003A116F"/>
    <w:rsid w:val="003A57F1"/>
    <w:rsid w:val="003A6B58"/>
    <w:rsid w:val="003B1B44"/>
    <w:rsid w:val="003B2DF5"/>
    <w:rsid w:val="003B4484"/>
    <w:rsid w:val="003B73B4"/>
    <w:rsid w:val="003C3C6A"/>
    <w:rsid w:val="003C40ED"/>
    <w:rsid w:val="003C40F3"/>
    <w:rsid w:val="003C5C34"/>
    <w:rsid w:val="003D1CF1"/>
    <w:rsid w:val="003D2D70"/>
    <w:rsid w:val="003F0347"/>
    <w:rsid w:val="003F1959"/>
    <w:rsid w:val="003F3E2F"/>
    <w:rsid w:val="00401ACB"/>
    <w:rsid w:val="004036FB"/>
    <w:rsid w:val="0040620C"/>
    <w:rsid w:val="004065B7"/>
    <w:rsid w:val="00410075"/>
    <w:rsid w:val="0041408F"/>
    <w:rsid w:val="00420491"/>
    <w:rsid w:val="004209BD"/>
    <w:rsid w:val="00426812"/>
    <w:rsid w:val="004302FD"/>
    <w:rsid w:val="00430A5A"/>
    <w:rsid w:val="00430C6F"/>
    <w:rsid w:val="00435202"/>
    <w:rsid w:val="004426F8"/>
    <w:rsid w:val="00443E51"/>
    <w:rsid w:val="00447EC9"/>
    <w:rsid w:val="00450008"/>
    <w:rsid w:val="00450ABB"/>
    <w:rsid w:val="00451D3D"/>
    <w:rsid w:val="004529EC"/>
    <w:rsid w:val="00455279"/>
    <w:rsid w:val="00456688"/>
    <w:rsid w:val="00462A3D"/>
    <w:rsid w:val="00465BDB"/>
    <w:rsid w:val="004821E3"/>
    <w:rsid w:val="004830F1"/>
    <w:rsid w:val="00487032"/>
    <w:rsid w:val="00490008"/>
    <w:rsid w:val="00490F2C"/>
    <w:rsid w:val="004937E5"/>
    <w:rsid w:val="00496B7D"/>
    <w:rsid w:val="004A1AEE"/>
    <w:rsid w:val="004A3AF5"/>
    <w:rsid w:val="004A5DD5"/>
    <w:rsid w:val="004A7EFF"/>
    <w:rsid w:val="004C293F"/>
    <w:rsid w:val="004C5AD8"/>
    <w:rsid w:val="004C5BF3"/>
    <w:rsid w:val="004C7EF7"/>
    <w:rsid w:val="004D716D"/>
    <w:rsid w:val="004E6E29"/>
    <w:rsid w:val="004F1B93"/>
    <w:rsid w:val="004F5485"/>
    <w:rsid w:val="00501D9B"/>
    <w:rsid w:val="005038A1"/>
    <w:rsid w:val="00511769"/>
    <w:rsid w:val="00512D54"/>
    <w:rsid w:val="00524F3A"/>
    <w:rsid w:val="005257B9"/>
    <w:rsid w:val="00526226"/>
    <w:rsid w:val="005275CE"/>
    <w:rsid w:val="005307A5"/>
    <w:rsid w:val="00532739"/>
    <w:rsid w:val="00534895"/>
    <w:rsid w:val="0053527E"/>
    <w:rsid w:val="00542C96"/>
    <w:rsid w:val="00546590"/>
    <w:rsid w:val="0055108A"/>
    <w:rsid w:val="00556C67"/>
    <w:rsid w:val="005705CE"/>
    <w:rsid w:val="00571CD9"/>
    <w:rsid w:val="00573AEA"/>
    <w:rsid w:val="0057430B"/>
    <w:rsid w:val="00575456"/>
    <w:rsid w:val="00584498"/>
    <w:rsid w:val="005851AB"/>
    <w:rsid w:val="0058759D"/>
    <w:rsid w:val="00587A53"/>
    <w:rsid w:val="00591A41"/>
    <w:rsid w:val="00592F33"/>
    <w:rsid w:val="00594B56"/>
    <w:rsid w:val="005A5887"/>
    <w:rsid w:val="005A6719"/>
    <w:rsid w:val="005B08FA"/>
    <w:rsid w:val="005B11FD"/>
    <w:rsid w:val="005B2F2F"/>
    <w:rsid w:val="005B51EB"/>
    <w:rsid w:val="005C0624"/>
    <w:rsid w:val="005C4D5E"/>
    <w:rsid w:val="005C7764"/>
    <w:rsid w:val="005D1333"/>
    <w:rsid w:val="005D26E3"/>
    <w:rsid w:val="005D724E"/>
    <w:rsid w:val="005E52AC"/>
    <w:rsid w:val="005E557D"/>
    <w:rsid w:val="005E5681"/>
    <w:rsid w:val="005F322E"/>
    <w:rsid w:val="005F66C7"/>
    <w:rsid w:val="00603036"/>
    <w:rsid w:val="00605545"/>
    <w:rsid w:val="00611DC5"/>
    <w:rsid w:val="00616848"/>
    <w:rsid w:val="0062020B"/>
    <w:rsid w:val="006242C5"/>
    <w:rsid w:val="00624FFE"/>
    <w:rsid w:val="006262B2"/>
    <w:rsid w:val="00626793"/>
    <w:rsid w:val="00626FA6"/>
    <w:rsid w:val="00627DAB"/>
    <w:rsid w:val="00630AA9"/>
    <w:rsid w:val="00631927"/>
    <w:rsid w:val="00642528"/>
    <w:rsid w:val="00644E02"/>
    <w:rsid w:val="00645434"/>
    <w:rsid w:val="00645814"/>
    <w:rsid w:val="00645C59"/>
    <w:rsid w:val="006474CE"/>
    <w:rsid w:val="00651370"/>
    <w:rsid w:val="006524D4"/>
    <w:rsid w:val="006543E3"/>
    <w:rsid w:val="006735C9"/>
    <w:rsid w:val="00674452"/>
    <w:rsid w:val="006749D6"/>
    <w:rsid w:val="006754F6"/>
    <w:rsid w:val="00676CFE"/>
    <w:rsid w:val="0068294D"/>
    <w:rsid w:val="00685C91"/>
    <w:rsid w:val="006879F3"/>
    <w:rsid w:val="006924A6"/>
    <w:rsid w:val="00694175"/>
    <w:rsid w:val="006966FC"/>
    <w:rsid w:val="006A0AF7"/>
    <w:rsid w:val="006A7FB5"/>
    <w:rsid w:val="006B623D"/>
    <w:rsid w:val="006C1773"/>
    <w:rsid w:val="006C2FE7"/>
    <w:rsid w:val="006D0E95"/>
    <w:rsid w:val="006D21D4"/>
    <w:rsid w:val="006E0E04"/>
    <w:rsid w:val="006E31E6"/>
    <w:rsid w:val="006E5FCC"/>
    <w:rsid w:val="006E6A2F"/>
    <w:rsid w:val="006F29BF"/>
    <w:rsid w:val="006F2B23"/>
    <w:rsid w:val="006F33C5"/>
    <w:rsid w:val="006F3496"/>
    <w:rsid w:val="006F5920"/>
    <w:rsid w:val="00702C32"/>
    <w:rsid w:val="007106E2"/>
    <w:rsid w:val="00710B5C"/>
    <w:rsid w:val="0071108D"/>
    <w:rsid w:val="00712458"/>
    <w:rsid w:val="00716FAA"/>
    <w:rsid w:val="00720ACA"/>
    <w:rsid w:val="00722A4D"/>
    <w:rsid w:val="00725D1A"/>
    <w:rsid w:val="00740595"/>
    <w:rsid w:val="00740EBA"/>
    <w:rsid w:val="00746B37"/>
    <w:rsid w:val="00747234"/>
    <w:rsid w:val="00750F83"/>
    <w:rsid w:val="00752C8F"/>
    <w:rsid w:val="00754D6F"/>
    <w:rsid w:val="00755FFD"/>
    <w:rsid w:val="00762738"/>
    <w:rsid w:val="007659FF"/>
    <w:rsid w:val="00773269"/>
    <w:rsid w:val="00773CAD"/>
    <w:rsid w:val="007746CE"/>
    <w:rsid w:val="00775169"/>
    <w:rsid w:val="00776DFE"/>
    <w:rsid w:val="00777164"/>
    <w:rsid w:val="00780477"/>
    <w:rsid w:val="00780874"/>
    <w:rsid w:val="00781891"/>
    <w:rsid w:val="0078535D"/>
    <w:rsid w:val="0079049F"/>
    <w:rsid w:val="00797F90"/>
    <w:rsid w:val="007A3E4F"/>
    <w:rsid w:val="007A6261"/>
    <w:rsid w:val="007B7B41"/>
    <w:rsid w:val="007C18A4"/>
    <w:rsid w:val="007C65D9"/>
    <w:rsid w:val="007C7DD7"/>
    <w:rsid w:val="007D003C"/>
    <w:rsid w:val="007D37A2"/>
    <w:rsid w:val="007D6DF5"/>
    <w:rsid w:val="007E0DEA"/>
    <w:rsid w:val="007E3984"/>
    <w:rsid w:val="007E5AAE"/>
    <w:rsid w:val="007E61FC"/>
    <w:rsid w:val="007F0EF4"/>
    <w:rsid w:val="007F7AEB"/>
    <w:rsid w:val="007F7D41"/>
    <w:rsid w:val="007F7DCD"/>
    <w:rsid w:val="00801124"/>
    <w:rsid w:val="00801B42"/>
    <w:rsid w:val="0081741F"/>
    <w:rsid w:val="00823B02"/>
    <w:rsid w:val="00823BEA"/>
    <w:rsid w:val="0082640D"/>
    <w:rsid w:val="0083215D"/>
    <w:rsid w:val="00834D25"/>
    <w:rsid w:val="008351C8"/>
    <w:rsid w:val="0084198C"/>
    <w:rsid w:val="008546B4"/>
    <w:rsid w:val="00854C27"/>
    <w:rsid w:val="0086048D"/>
    <w:rsid w:val="00863160"/>
    <w:rsid w:val="008639AE"/>
    <w:rsid w:val="00865CB7"/>
    <w:rsid w:val="00866508"/>
    <w:rsid w:val="00866B6B"/>
    <w:rsid w:val="00867767"/>
    <w:rsid w:val="0087005B"/>
    <w:rsid w:val="00881D33"/>
    <w:rsid w:val="00882096"/>
    <w:rsid w:val="008839E8"/>
    <w:rsid w:val="00883D6C"/>
    <w:rsid w:val="008943E7"/>
    <w:rsid w:val="00894FCD"/>
    <w:rsid w:val="00897152"/>
    <w:rsid w:val="008A2325"/>
    <w:rsid w:val="008A5FDC"/>
    <w:rsid w:val="008B1777"/>
    <w:rsid w:val="008B1B0B"/>
    <w:rsid w:val="008B532D"/>
    <w:rsid w:val="008B661D"/>
    <w:rsid w:val="008B7AF4"/>
    <w:rsid w:val="008C1087"/>
    <w:rsid w:val="008C3682"/>
    <w:rsid w:val="008C4AC6"/>
    <w:rsid w:val="008D029F"/>
    <w:rsid w:val="008D24BC"/>
    <w:rsid w:val="008D3D39"/>
    <w:rsid w:val="008D425E"/>
    <w:rsid w:val="008D51C8"/>
    <w:rsid w:val="008E54C8"/>
    <w:rsid w:val="008F4B8F"/>
    <w:rsid w:val="00903900"/>
    <w:rsid w:val="00905022"/>
    <w:rsid w:val="0090690C"/>
    <w:rsid w:val="00910F26"/>
    <w:rsid w:val="00911DB9"/>
    <w:rsid w:val="00914A5D"/>
    <w:rsid w:val="00915C0D"/>
    <w:rsid w:val="0091671D"/>
    <w:rsid w:val="00922660"/>
    <w:rsid w:val="00933D59"/>
    <w:rsid w:val="0093415D"/>
    <w:rsid w:val="009342A7"/>
    <w:rsid w:val="009506D1"/>
    <w:rsid w:val="00951D98"/>
    <w:rsid w:val="009544B2"/>
    <w:rsid w:val="0096072E"/>
    <w:rsid w:val="009642D7"/>
    <w:rsid w:val="00965AD3"/>
    <w:rsid w:val="00970CB9"/>
    <w:rsid w:val="009732EF"/>
    <w:rsid w:val="00973D13"/>
    <w:rsid w:val="009754CF"/>
    <w:rsid w:val="00977017"/>
    <w:rsid w:val="0098052A"/>
    <w:rsid w:val="00980599"/>
    <w:rsid w:val="00982E4B"/>
    <w:rsid w:val="009913DA"/>
    <w:rsid w:val="00992CAE"/>
    <w:rsid w:val="00997935"/>
    <w:rsid w:val="009A21E9"/>
    <w:rsid w:val="009A638E"/>
    <w:rsid w:val="009A6E69"/>
    <w:rsid w:val="009B4F3C"/>
    <w:rsid w:val="009B57AD"/>
    <w:rsid w:val="009B7D1B"/>
    <w:rsid w:val="009B7F12"/>
    <w:rsid w:val="009C13C2"/>
    <w:rsid w:val="009C2509"/>
    <w:rsid w:val="009C3B50"/>
    <w:rsid w:val="009C78DA"/>
    <w:rsid w:val="009D4B6B"/>
    <w:rsid w:val="009D67E9"/>
    <w:rsid w:val="009E3B95"/>
    <w:rsid w:val="009E4433"/>
    <w:rsid w:val="009E54BC"/>
    <w:rsid w:val="009E5C52"/>
    <w:rsid w:val="009E5E3D"/>
    <w:rsid w:val="009E7D9D"/>
    <w:rsid w:val="009F0F46"/>
    <w:rsid w:val="00A0140F"/>
    <w:rsid w:val="00A01A5A"/>
    <w:rsid w:val="00A07658"/>
    <w:rsid w:val="00A10346"/>
    <w:rsid w:val="00A142B7"/>
    <w:rsid w:val="00A219F9"/>
    <w:rsid w:val="00A21D6D"/>
    <w:rsid w:val="00A24ECF"/>
    <w:rsid w:val="00A32744"/>
    <w:rsid w:val="00A346F5"/>
    <w:rsid w:val="00A361A5"/>
    <w:rsid w:val="00A37027"/>
    <w:rsid w:val="00A37C24"/>
    <w:rsid w:val="00A47D4A"/>
    <w:rsid w:val="00A51C04"/>
    <w:rsid w:val="00A51E59"/>
    <w:rsid w:val="00A5535D"/>
    <w:rsid w:val="00A55B9B"/>
    <w:rsid w:val="00A6031C"/>
    <w:rsid w:val="00A603A9"/>
    <w:rsid w:val="00A718F6"/>
    <w:rsid w:val="00A81378"/>
    <w:rsid w:val="00A84F6D"/>
    <w:rsid w:val="00A8571D"/>
    <w:rsid w:val="00A873BB"/>
    <w:rsid w:val="00A875A1"/>
    <w:rsid w:val="00A87E0A"/>
    <w:rsid w:val="00A91BC1"/>
    <w:rsid w:val="00A929CF"/>
    <w:rsid w:val="00A93911"/>
    <w:rsid w:val="00A946F5"/>
    <w:rsid w:val="00AA0D1D"/>
    <w:rsid w:val="00AA17C0"/>
    <w:rsid w:val="00AA17C7"/>
    <w:rsid w:val="00AA2A38"/>
    <w:rsid w:val="00AA3378"/>
    <w:rsid w:val="00AA517A"/>
    <w:rsid w:val="00AB24CF"/>
    <w:rsid w:val="00AC02C2"/>
    <w:rsid w:val="00AC133D"/>
    <w:rsid w:val="00AC5170"/>
    <w:rsid w:val="00AC799A"/>
    <w:rsid w:val="00AD14A5"/>
    <w:rsid w:val="00AE4640"/>
    <w:rsid w:val="00AE79D9"/>
    <w:rsid w:val="00AF0A36"/>
    <w:rsid w:val="00AF4708"/>
    <w:rsid w:val="00AF5EC4"/>
    <w:rsid w:val="00AF67D4"/>
    <w:rsid w:val="00B0169E"/>
    <w:rsid w:val="00B01EB4"/>
    <w:rsid w:val="00B036C7"/>
    <w:rsid w:val="00B0385A"/>
    <w:rsid w:val="00B067D8"/>
    <w:rsid w:val="00B10551"/>
    <w:rsid w:val="00B113DA"/>
    <w:rsid w:val="00B16B75"/>
    <w:rsid w:val="00B175DD"/>
    <w:rsid w:val="00B2229F"/>
    <w:rsid w:val="00B253F8"/>
    <w:rsid w:val="00B267D3"/>
    <w:rsid w:val="00B3177F"/>
    <w:rsid w:val="00B31B92"/>
    <w:rsid w:val="00B31E30"/>
    <w:rsid w:val="00B32119"/>
    <w:rsid w:val="00B34D0B"/>
    <w:rsid w:val="00B36F54"/>
    <w:rsid w:val="00B428BE"/>
    <w:rsid w:val="00B435BF"/>
    <w:rsid w:val="00B4658E"/>
    <w:rsid w:val="00B62B8B"/>
    <w:rsid w:val="00B630F2"/>
    <w:rsid w:val="00B6474E"/>
    <w:rsid w:val="00B667D0"/>
    <w:rsid w:val="00B71B72"/>
    <w:rsid w:val="00B75813"/>
    <w:rsid w:val="00B75F31"/>
    <w:rsid w:val="00B80F33"/>
    <w:rsid w:val="00B815B2"/>
    <w:rsid w:val="00B91218"/>
    <w:rsid w:val="00B970C6"/>
    <w:rsid w:val="00B97560"/>
    <w:rsid w:val="00B97F5B"/>
    <w:rsid w:val="00BA4C52"/>
    <w:rsid w:val="00BB1F1E"/>
    <w:rsid w:val="00BB378B"/>
    <w:rsid w:val="00BB7220"/>
    <w:rsid w:val="00BB7490"/>
    <w:rsid w:val="00BC2FB3"/>
    <w:rsid w:val="00BD2999"/>
    <w:rsid w:val="00BD7138"/>
    <w:rsid w:val="00BE6FBD"/>
    <w:rsid w:val="00BF0B33"/>
    <w:rsid w:val="00BF0F6B"/>
    <w:rsid w:val="00BF7FF2"/>
    <w:rsid w:val="00C0379A"/>
    <w:rsid w:val="00C12733"/>
    <w:rsid w:val="00C140D4"/>
    <w:rsid w:val="00C14E9E"/>
    <w:rsid w:val="00C15790"/>
    <w:rsid w:val="00C27574"/>
    <w:rsid w:val="00C30D22"/>
    <w:rsid w:val="00C367B1"/>
    <w:rsid w:val="00C43D8A"/>
    <w:rsid w:val="00C44D82"/>
    <w:rsid w:val="00C45F8A"/>
    <w:rsid w:val="00C47F29"/>
    <w:rsid w:val="00C47F37"/>
    <w:rsid w:val="00C51AFC"/>
    <w:rsid w:val="00C5214F"/>
    <w:rsid w:val="00C536E8"/>
    <w:rsid w:val="00C55305"/>
    <w:rsid w:val="00C55A66"/>
    <w:rsid w:val="00C55D86"/>
    <w:rsid w:val="00C616DF"/>
    <w:rsid w:val="00C70B69"/>
    <w:rsid w:val="00C74844"/>
    <w:rsid w:val="00C76CAA"/>
    <w:rsid w:val="00C82979"/>
    <w:rsid w:val="00C83020"/>
    <w:rsid w:val="00C85429"/>
    <w:rsid w:val="00C94CD1"/>
    <w:rsid w:val="00C96321"/>
    <w:rsid w:val="00CA21ED"/>
    <w:rsid w:val="00CA458C"/>
    <w:rsid w:val="00CB2E3D"/>
    <w:rsid w:val="00CB5343"/>
    <w:rsid w:val="00CB7A49"/>
    <w:rsid w:val="00CC7D4D"/>
    <w:rsid w:val="00CD4DBE"/>
    <w:rsid w:val="00CE1309"/>
    <w:rsid w:val="00CE23D4"/>
    <w:rsid w:val="00CE51A0"/>
    <w:rsid w:val="00CF25DE"/>
    <w:rsid w:val="00CF76C9"/>
    <w:rsid w:val="00CF79E0"/>
    <w:rsid w:val="00D013DC"/>
    <w:rsid w:val="00D037AB"/>
    <w:rsid w:val="00D07F3E"/>
    <w:rsid w:val="00D11FB9"/>
    <w:rsid w:val="00D12501"/>
    <w:rsid w:val="00D15A4D"/>
    <w:rsid w:val="00D164D5"/>
    <w:rsid w:val="00D16C31"/>
    <w:rsid w:val="00D200E8"/>
    <w:rsid w:val="00D21EF1"/>
    <w:rsid w:val="00D2249B"/>
    <w:rsid w:val="00D276AF"/>
    <w:rsid w:val="00D356A3"/>
    <w:rsid w:val="00D40819"/>
    <w:rsid w:val="00D40D8E"/>
    <w:rsid w:val="00D46A11"/>
    <w:rsid w:val="00D47EF8"/>
    <w:rsid w:val="00D51D32"/>
    <w:rsid w:val="00D528F2"/>
    <w:rsid w:val="00D5335F"/>
    <w:rsid w:val="00D553C8"/>
    <w:rsid w:val="00D634EE"/>
    <w:rsid w:val="00D64480"/>
    <w:rsid w:val="00D64E65"/>
    <w:rsid w:val="00D659C5"/>
    <w:rsid w:val="00D670FC"/>
    <w:rsid w:val="00D714B6"/>
    <w:rsid w:val="00D745C8"/>
    <w:rsid w:val="00D75BA8"/>
    <w:rsid w:val="00D81B4F"/>
    <w:rsid w:val="00D81C94"/>
    <w:rsid w:val="00D81F8F"/>
    <w:rsid w:val="00D824A4"/>
    <w:rsid w:val="00D86239"/>
    <w:rsid w:val="00D91702"/>
    <w:rsid w:val="00D9235E"/>
    <w:rsid w:val="00DA0DE1"/>
    <w:rsid w:val="00DA1235"/>
    <w:rsid w:val="00DA4C52"/>
    <w:rsid w:val="00DB011F"/>
    <w:rsid w:val="00DB12FA"/>
    <w:rsid w:val="00DB1A44"/>
    <w:rsid w:val="00DB677B"/>
    <w:rsid w:val="00DC5CC1"/>
    <w:rsid w:val="00DD3019"/>
    <w:rsid w:val="00DD4C57"/>
    <w:rsid w:val="00DD5682"/>
    <w:rsid w:val="00DE5133"/>
    <w:rsid w:val="00DE7B41"/>
    <w:rsid w:val="00DF0C88"/>
    <w:rsid w:val="00E046C8"/>
    <w:rsid w:val="00E04FE7"/>
    <w:rsid w:val="00E07942"/>
    <w:rsid w:val="00E10048"/>
    <w:rsid w:val="00E16435"/>
    <w:rsid w:val="00E17A92"/>
    <w:rsid w:val="00E27310"/>
    <w:rsid w:val="00E3316F"/>
    <w:rsid w:val="00E379A9"/>
    <w:rsid w:val="00E52FDA"/>
    <w:rsid w:val="00E53AE0"/>
    <w:rsid w:val="00E545EA"/>
    <w:rsid w:val="00E64608"/>
    <w:rsid w:val="00E661EE"/>
    <w:rsid w:val="00E70B5B"/>
    <w:rsid w:val="00E70CF6"/>
    <w:rsid w:val="00E70F05"/>
    <w:rsid w:val="00E71A9E"/>
    <w:rsid w:val="00E736CB"/>
    <w:rsid w:val="00E75952"/>
    <w:rsid w:val="00E8342B"/>
    <w:rsid w:val="00E905F5"/>
    <w:rsid w:val="00E93F86"/>
    <w:rsid w:val="00E97F73"/>
    <w:rsid w:val="00EA113C"/>
    <w:rsid w:val="00EA19D0"/>
    <w:rsid w:val="00EB0F3B"/>
    <w:rsid w:val="00EB5124"/>
    <w:rsid w:val="00EC30F9"/>
    <w:rsid w:val="00EC3DF4"/>
    <w:rsid w:val="00EC5838"/>
    <w:rsid w:val="00ED4A5F"/>
    <w:rsid w:val="00ED5B69"/>
    <w:rsid w:val="00EE074C"/>
    <w:rsid w:val="00EE10EC"/>
    <w:rsid w:val="00EE5AC0"/>
    <w:rsid w:val="00EE7200"/>
    <w:rsid w:val="00EE7EF0"/>
    <w:rsid w:val="00EF2373"/>
    <w:rsid w:val="00F02A0E"/>
    <w:rsid w:val="00F04568"/>
    <w:rsid w:val="00F04EC0"/>
    <w:rsid w:val="00F23E98"/>
    <w:rsid w:val="00F24C53"/>
    <w:rsid w:val="00F27B85"/>
    <w:rsid w:val="00F43565"/>
    <w:rsid w:val="00F43ADD"/>
    <w:rsid w:val="00F50679"/>
    <w:rsid w:val="00F5283F"/>
    <w:rsid w:val="00F52CC8"/>
    <w:rsid w:val="00F52D12"/>
    <w:rsid w:val="00F55913"/>
    <w:rsid w:val="00F56833"/>
    <w:rsid w:val="00F602C3"/>
    <w:rsid w:val="00F70E31"/>
    <w:rsid w:val="00F7127D"/>
    <w:rsid w:val="00F737F7"/>
    <w:rsid w:val="00F74A3C"/>
    <w:rsid w:val="00F77A10"/>
    <w:rsid w:val="00F8106E"/>
    <w:rsid w:val="00F81703"/>
    <w:rsid w:val="00F83912"/>
    <w:rsid w:val="00F91C22"/>
    <w:rsid w:val="00F91D25"/>
    <w:rsid w:val="00F9378F"/>
    <w:rsid w:val="00F94243"/>
    <w:rsid w:val="00FA49D0"/>
    <w:rsid w:val="00FB2AFF"/>
    <w:rsid w:val="00FB3D13"/>
    <w:rsid w:val="00FB3D42"/>
    <w:rsid w:val="00FB43E0"/>
    <w:rsid w:val="00FC154A"/>
    <w:rsid w:val="00FC212B"/>
    <w:rsid w:val="00FC2754"/>
    <w:rsid w:val="00FC2EF3"/>
    <w:rsid w:val="00FC3C42"/>
    <w:rsid w:val="00FD268B"/>
    <w:rsid w:val="00FD2D52"/>
    <w:rsid w:val="00FE00A5"/>
    <w:rsid w:val="00FE677F"/>
    <w:rsid w:val="00FF1E6E"/>
    <w:rsid w:val="00FF2647"/>
    <w:rsid w:val="00FF4500"/>
  </w:rsids>
  <m:mathPr>
    <m:mathFont m:val="Cambria Math"/>
    <m:brkBin m:val="before"/>
    <m:brkBinSub m:val="--"/>
    <m:smallFrac m:val="0"/>
    <m:dispDef/>
    <m:lMargin m:val="0"/>
    <m:rMargin m:val="0"/>
    <m:defJc m:val="centerGroup"/>
    <m:wrapIndent m:val="1440"/>
    <m:intLim m:val="subSup"/>
    <m:naryLim m:val="undOvr"/>
  </m:mathPr>
  <w:themeFontLang w:val="en-ZA"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6EF24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ZA" w:eastAsia="en-ZA"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AE4640"/>
    <w:pPr>
      <w:jc w:val="both"/>
    </w:pPr>
    <w:rPr>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semiHidden/>
    <w:rsid w:val="0003383F"/>
    <w:rPr>
      <w:rFonts w:ascii="Tahoma" w:hAnsi="Tahoma" w:cs="Tahoma"/>
      <w:sz w:val="16"/>
      <w:szCs w:val="16"/>
    </w:rPr>
  </w:style>
  <w:style w:type="character" w:styleId="CommentReference">
    <w:name w:val="annotation reference"/>
    <w:basedOn w:val="DefaultParagraphFont"/>
    <w:rsid w:val="006543E3"/>
    <w:rPr>
      <w:sz w:val="16"/>
      <w:szCs w:val="16"/>
    </w:rPr>
  </w:style>
  <w:style w:type="paragraph" w:styleId="CommentText">
    <w:name w:val="annotation text"/>
    <w:basedOn w:val="Normal"/>
    <w:link w:val="CommentTextChar"/>
    <w:uiPriority w:val="99"/>
    <w:rsid w:val="006543E3"/>
    <w:rPr>
      <w:sz w:val="20"/>
      <w:szCs w:val="20"/>
    </w:rPr>
  </w:style>
  <w:style w:type="character" w:customStyle="1" w:styleId="CommentTextChar">
    <w:name w:val="Comment Text Char"/>
    <w:basedOn w:val="DefaultParagraphFont"/>
    <w:link w:val="CommentText"/>
    <w:uiPriority w:val="99"/>
    <w:rsid w:val="006543E3"/>
    <w:rPr>
      <w:lang w:val="en-ZA"/>
    </w:rPr>
  </w:style>
  <w:style w:type="paragraph" w:styleId="CommentSubject">
    <w:name w:val="annotation subject"/>
    <w:basedOn w:val="CommentText"/>
    <w:next w:val="CommentText"/>
    <w:link w:val="CommentSubjectChar"/>
    <w:rsid w:val="006543E3"/>
    <w:rPr>
      <w:b/>
      <w:bCs/>
    </w:rPr>
  </w:style>
  <w:style w:type="character" w:customStyle="1" w:styleId="CommentSubjectChar">
    <w:name w:val="Comment Subject Char"/>
    <w:basedOn w:val="CommentTextChar"/>
    <w:link w:val="CommentSubject"/>
    <w:rsid w:val="006543E3"/>
    <w:rPr>
      <w:b/>
      <w:bCs/>
      <w:lang w:val="en-ZA"/>
    </w:rPr>
  </w:style>
  <w:style w:type="paragraph" w:customStyle="1" w:styleId="Default">
    <w:name w:val="Default"/>
    <w:rsid w:val="006543E3"/>
    <w:pPr>
      <w:autoSpaceDE w:val="0"/>
      <w:autoSpaceDN w:val="0"/>
      <w:adjustRightInd w:val="0"/>
    </w:pPr>
    <w:rPr>
      <w:rFonts w:ascii="Verdana" w:hAnsi="Verdana" w:cs="Verdana"/>
      <w:color w:val="000000"/>
      <w:sz w:val="24"/>
      <w:szCs w:val="24"/>
      <w:lang w:eastAsia="en-US"/>
    </w:rPr>
  </w:style>
  <w:style w:type="character" w:customStyle="1" w:styleId="apple-converted-space">
    <w:name w:val="apple-converted-space"/>
    <w:basedOn w:val="DefaultParagraphFont"/>
    <w:rsid w:val="007C65D9"/>
  </w:style>
  <w:style w:type="paragraph" w:styleId="Header">
    <w:name w:val="header"/>
    <w:basedOn w:val="Normal"/>
    <w:link w:val="HeaderChar"/>
    <w:unhideWhenUsed/>
    <w:rsid w:val="00B32119"/>
    <w:pPr>
      <w:tabs>
        <w:tab w:val="center" w:pos="4680"/>
        <w:tab w:val="right" w:pos="9360"/>
      </w:tabs>
    </w:pPr>
  </w:style>
  <w:style w:type="character" w:customStyle="1" w:styleId="HeaderChar">
    <w:name w:val="Header Char"/>
    <w:basedOn w:val="DefaultParagraphFont"/>
    <w:link w:val="Header"/>
    <w:rsid w:val="00B32119"/>
    <w:rPr>
      <w:sz w:val="24"/>
      <w:szCs w:val="24"/>
      <w:lang w:eastAsia="en-US"/>
    </w:rPr>
  </w:style>
  <w:style w:type="paragraph" w:styleId="Footer">
    <w:name w:val="footer"/>
    <w:basedOn w:val="Normal"/>
    <w:link w:val="FooterChar"/>
    <w:unhideWhenUsed/>
    <w:rsid w:val="00B32119"/>
    <w:pPr>
      <w:tabs>
        <w:tab w:val="center" w:pos="4680"/>
        <w:tab w:val="right" w:pos="9360"/>
      </w:tabs>
    </w:pPr>
  </w:style>
  <w:style w:type="character" w:customStyle="1" w:styleId="FooterChar">
    <w:name w:val="Footer Char"/>
    <w:basedOn w:val="DefaultParagraphFont"/>
    <w:link w:val="Footer"/>
    <w:rsid w:val="00B32119"/>
    <w:rPr>
      <w:sz w:val="24"/>
      <w:szCs w:val="24"/>
      <w:lang w:eastAsia="en-US"/>
    </w:rPr>
  </w:style>
  <w:style w:type="paragraph" w:styleId="FootnoteText">
    <w:name w:val="footnote text"/>
    <w:aliases w:val="Footnote,Footnote Text Char1,Footnote Text Char Char,Footnote Text Char1 Char Char,Footnote Text Char Char Char Char Char,Footnote Text Char Char1 Char Char,(NECG) Footnote Text,ALTS FOOTNOTE,AR Footnote Text,Footnote text Char,Car,Char Ch"/>
    <w:basedOn w:val="Normal"/>
    <w:link w:val="FootnoteTextChar"/>
    <w:unhideWhenUsed/>
    <w:qFormat/>
    <w:rsid w:val="007D003C"/>
    <w:rPr>
      <w:rFonts w:eastAsia="Calibri"/>
      <w:sz w:val="20"/>
      <w:szCs w:val="20"/>
    </w:rPr>
  </w:style>
  <w:style w:type="character" w:customStyle="1" w:styleId="FootnoteTextChar">
    <w:name w:val="Footnote Text Char"/>
    <w:aliases w:val="Footnote Char,Footnote Text Char1 Char,Footnote Text Char Char Char,Footnote Text Char1 Char Char Char,Footnote Text Char Char Char Char Char Char,Footnote Text Char Char1 Char Char Char,(NECG) Footnote Text Char,ALTS FOOTNOTE Char"/>
    <w:basedOn w:val="DefaultParagraphFont"/>
    <w:link w:val="FootnoteText"/>
    <w:rsid w:val="007D003C"/>
    <w:rPr>
      <w:rFonts w:eastAsia="Calibri"/>
      <w:lang w:eastAsia="en-US"/>
    </w:rPr>
  </w:style>
  <w:style w:type="character" w:styleId="FootnoteReference">
    <w:name w:val="footnote reference"/>
    <w:aliases w:val="Ref,de nota al pie,註腳內容,Footnotes refss,Appel note de bas de page,(NECG) Footnote Reference,fr,Footnote symbol,Style 12,Footnote Reference + Superscript,Footnote Reference in text,Footnote Reference Superscript,o,Style 4,16 Point"/>
    <w:basedOn w:val="DefaultParagraphFont"/>
    <w:unhideWhenUsed/>
    <w:qFormat/>
    <w:rsid w:val="007D003C"/>
    <w:rPr>
      <w:vertAlign w:val="superscript"/>
    </w:rPr>
  </w:style>
  <w:style w:type="paragraph" w:customStyle="1" w:styleId="JUDGMENTCONTINUED">
    <w:name w:val="JUDGMENT CONTINUED"/>
    <w:basedOn w:val="Normal"/>
    <w:next w:val="Normal"/>
    <w:qFormat/>
    <w:rsid w:val="003D2D70"/>
    <w:pPr>
      <w:spacing w:line="360" w:lineRule="auto"/>
    </w:pPr>
    <w:rPr>
      <w:rFonts w:eastAsia="Calibri"/>
      <w:sz w:val="26"/>
      <w:szCs w:val="22"/>
    </w:rPr>
  </w:style>
  <w:style w:type="paragraph" w:customStyle="1" w:styleId="JUDGMENTNUMBERED">
    <w:name w:val="JUDGMENT NUMBERED"/>
    <w:basedOn w:val="Normal"/>
    <w:next w:val="JUDGMENTCONTINUED"/>
    <w:link w:val="JUDGMENTNUMBEREDChar"/>
    <w:qFormat/>
    <w:rsid w:val="003D2D70"/>
    <w:pPr>
      <w:numPr>
        <w:numId w:val="2"/>
      </w:numPr>
      <w:spacing w:line="360" w:lineRule="auto"/>
    </w:pPr>
    <w:rPr>
      <w:rFonts w:eastAsia="Calibri"/>
      <w:sz w:val="26"/>
      <w:szCs w:val="22"/>
    </w:rPr>
  </w:style>
  <w:style w:type="character" w:customStyle="1" w:styleId="JUDGMENTNUMBEREDChar">
    <w:name w:val="JUDGMENT NUMBERED Char"/>
    <w:basedOn w:val="DefaultParagraphFont"/>
    <w:link w:val="JUDGMENTNUMBERED"/>
    <w:rsid w:val="003D2D70"/>
    <w:rPr>
      <w:rFonts w:eastAsia="Calibri"/>
      <w:sz w:val="26"/>
      <w:szCs w:val="22"/>
      <w:lang w:eastAsia="en-US"/>
    </w:rPr>
  </w:style>
  <w:style w:type="paragraph" w:customStyle="1" w:styleId="QUOTATION">
    <w:name w:val="QUOTATION"/>
    <w:basedOn w:val="Normal"/>
    <w:next w:val="JUDGMENTCONTINUED"/>
    <w:qFormat/>
    <w:rsid w:val="009E54BC"/>
    <w:pPr>
      <w:spacing w:line="360" w:lineRule="auto"/>
      <w:ind w:left="720" w:right="720"/>
    </w:pPr>
    <w:rPr>
      <w:rFonts w:eastAsia="Calibri"/>
      <w:sz w:val="22"/>
      <w:szCs w:val="22"/>
    </w:rPr>
  </w:style>
  <w:style w:type="paragraph" w:styleId="ListParagraph">
    <w:name w:val="List Paragraph"/>
    <w:basedOn w:val="Normal"/>
    <w:uiPriority w:val="34"/>
    <w:qFormat/>
    <w:rsid w:val="00AA17C7"/>
    <w:pPr>
      <w:spacing w:line="480" w:lineRule="auto"/>
      <w:ind w:left="720"/>
      <w:contextualSpacing/>
    </w:pPr>
    <w:rPr>
      <w:rFonts w:eastAsia="Calibri"/>
      <w:sz w:val="26"/>
      <w:szCs w:val="22"/>
    </w:rPr>
  </w:style>
  <w:style w:type="paragraph" w:styleId="Revision">
    <w:name w:val="Revision"/>
    <w:hidden/>
    <w:uiPriority w:val="99"/>
    <w:semiHidden/>
    <w:rsid w:val="0022390F"/>
    <w:rPr>
      <w:sz w:val="24"/>
      <w:szCs w:val="24"/>
      <w:lang w:eastAsia="en-US"/>
    </w:rPr>
  </w:style>
  <w:style w:type="paragraph" w:styleId="NormalWeb">
    <w:name w:val="Normal (Web)"/>
    <w:basedOn w:val="Normal"/>
    <w:semiHidden/>
    <w:unhideWhenUsed/>
    <w:rsid w:val="00AB24C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77553488">
      <w:bodyDiv w:val="1"/>
      <w:marLeft w:val="0"/>
      <w:marRight w:val="0"/>
      <w:marTop w:val="0"/>
      <w:marBottom w:val="0"/>
      <w:divBdr>
        <w:top w:val="none" w:sz="0" w:space="0" w:color="auto"/>
        <w:left w:val="none" w:sz="0" w:space="0" w:color="auto"/>
        <w:bottom w:val="none" w:sz="0" w:space="0" w:color="auto"/>
        <w:right w:val="none" w:sz="0" w:space="0" w:color="auto"/>
      </w:divBdr>
    </w:div>
    <w:div w:id="1212116156">
      <w:bodyDiv w:val="1"/>
      <w:marLeft w:val="0"/>
      <w:marRight w:val="0"/>
      <w:marTop w:val="0"/>
      <w:marBottom w:val="0"/>
      <w:divBdr>
        <w:top w:val="none" w:sz="0" w:space="0" w:color="auto"/>
        <w:left w:val="none" w:sz="0" w:space="0" w:color="auto"/>
        <w:bottom w:val="none" w:sz="0" w:space="0" w:color="auto"/>
        <w:right w:val="none" w:sz="0" w:space="0" w:color="auto"/>
      </w:divBdr>
    </w:div>
    <w:div w:id="12856497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image" Target="cid:image001.png@01CF121A.2263A8C0" TargetMode="External"/><Relationship Id="rId4" Type="http://schemas.openxmlformats.org/officeDocument/2006/relationships/styles" Target="styles.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4A60A608-54F0-5F4E-991B-6DD2646BAB3F}">
  <we:reference id="wa200001011" version="1.1.0.0" store="en-US" storeType="OMEX"/>
  <we:alternateReferences>
    <we:reference id="wa200001011" version="1.1.0.0" store="WA200001011"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2CFC050-DDD4-4C45-B5D4-86FC7B0248EB}">
  <ds:schemaRefs>
    <ds:schemaRef ds:uri="http://schemas.openxmlformats.org/officeDocument/2006/bibliography"/>
  </ds:schemaRefs>
</ds:datastoreItem>
</file>

<file path=customXml/itemProps2.xml><?xml version="1.0" encoding="utf-8"?>
<ds:datastoreItem xmlns:ds="http://schemas.openxmlformats.org/officeDocument/2006/customXml" ds:itemID="{B5E2C922-1F35-4235-AC96-9BD942FE21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837</Words>
  <Characters>4775</Characters>
  <Application>Microsoft Office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5601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2022-02-28T09:50:00Z</dcterms:created>
  <dcterms:modified xsi:type="dcterms:W3CDTF">2022-02-28T10:08:00Z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1873212380</vt:i4>
  </property>
  <property fmtid="{D5CDD505-2E9C-101B-9397-08002B2CF9AE}" pid="3" name="_NewReviewCycle">
    <vt:lpwstr/>
  </property>
</Properties>
</file>