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23C697" w14:textId="77777777" w:rsidR="00F5283F" w:rsidRDefault="00CA458C" w:rsidP="00720ACA">
      <w:pPr>
        <w:jc w:val="center"/>
      </w:pPr>
      <w:r w:rsidRPr="00CA458C">
        <w:rPr>
          <w:noProof/>
          <w:lang w:eastAsia="en-ZA"/>
        </w:rPr>
        <w:drawing>
          <wp:inline distT="0" distB="0" distL="0" distR="0" wp14:anchorId="10E8FB71" wp14:editId="5502EA07">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6864C73" w14:textId="77777777" w:rsidR="00F5283F" w:rsidRDefault="00F5283F" w:rsidP="00720ACA">
      <w:pPr>
        <w:jc w:val="center"/>
      </w:pPr>
    </w:p>
    <w:p w14:paraId="392F9718"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71C439D9" w14:textId="77777777" w:rsidR="001E5F5A" w:rsidRPr="00100894" w:rsidRDefault="001E5F5A" w:rsidP="00AE4640"/>
    <w:p w14:paraId="0FEC3AA3" w14:textId="1043F94F" w:rsidR="006966FC" w:rsidRPr="0007028D" w:rsidRDefault="00F46736" w:rsidP="00DA1235">
      <w:pPr>
        <w:jc w:val="center"/>
      </w:pPr>
      <w:r>
        <w:rPr>
          <w:b/>
        </w:rPr>
        <w:t>Municipal Employees’ Pension Fund and Another v Dineo Innolentia Mongwaketse</w:t>
      </w:r>
    </w:p>
    <w:p w14:paraId="74923BFB" w14:textId="77777777" w:rsidR="006966FC" w:rsidRDefault="006966FC" w:rsidP="006966FC">
      <w:pPr>
        <w:tabs>
          <w:tab w:val="right" w:pos="9360"/>
        </w:tabs>
        <w:ind w:right="284"/>
        <w:rPr>
          <w:bCs/>
          <w:sz w:val="26"/>
          <w:szCs w:val="26"/>
          <w:lang w:val="en-GB"/>
        </w:rPr>
      </w:pPr>
    </w:p>
    <w:p w14:paraId="2913F1F0" w14:textId="7F9F151B" w:rsidR="00E07942" w:rsidRPr="00100894" w:rsidRDefault="00D40819" w:rsidP="00720ACA">
      <w:pPr>
        <w:jc w:val="right"/>
        <w:rPr>
          <w:b/>
        </w:rPr>
      </w:pPr>
      <w:r w:rsidRPr="00100894">
        <w:rPr>
          <w:b/>
        </w:rPr>
        <w:t>CCT</w:t>
      </w:r>
      <w:r w:rsidR="00720ACA" w:rsidRPr="00100894">
        <w:rPr>
          <w:b/>
        </w:rPr>
        <w:t xml:space="preserve"> </w:t>
      </w:r>
      <w:r w:rsidR="00F46736">
        <w:rPr>
          <w:b/>
        </w:rPr>
        <w:t>34/21</w:t>
      </w:r>
    </w:p>
    <w:p w14:paraId="7D35516F" w14:textId="77777777" w:rsidR="00D40819" w:rsidRPr="00100894" w:rsidRDefault="00D40819" w:rsidP="00720ACA">
      <w:pPr>
        <w:jc w:val="right"/>
        <w:rPr>
          <w:b/>
        </w:rPr>
      </w:pPr>
    </w:p>
    <w:p w14:paraId="018219F2" w14:textId="7E3E738D" w:rsidR="00E07942" w:rsidRPr="00100894" w:rsidRDefault="00E07942" w:rsidP="00720ACA">
      <w:pPr>
        <w:jc w:val="right"/>
        <w:rPr>
          <w:b/>
        </w:rPr>
      </w:pPr>
      <w:r w:rsidRPr="00100894">
        <w:rPr>
          <w:b/>
        </w:rPr>
        <w:t xml:space="preserve">Date of hearing: </w:t>
      </w:r>
      <w:r w:rsidR="00F46736">
        <w:rPr>
          <w:b/>
        </w:rPr>
        <w:t>30 November</w:t>
      </w:r>
      <w:r w:rsidR="00D10D70">
        <w:rPr>
          <w:b/>
        </w:rPr>
        <w:t xml:space="preserve"> 2021</w:t>
      </w:r>
    </w:p>
    <w:p w14:paraId="772A0DE3" w14:textId="77777777" w:rsidR="00823B02" w:rsidRPr="00100894" w:rsidRDefault="00823B02" w:rsidP="00AE4640"/>
    <w:p w14:paraId="2363A76B" w14:textId="77777777" w:rsidR="001E5F5A" w:rsidRPr="00100894" w:rsidRDefault="00526226" w:rsidP="00AE4640">
      <w:r w:rsidRPr="00100894">
        <w:t>________________________________________________________________________</w:t>
      </w:r>
    </w:p>
    <w:p w14:paraId="411A6CBE" w14:textId="77777777" w:rsidR="00526226" w:rsidRPr="00100894" w:rsidRDefault="00526226" w:rsidP="00526226">
      <w:pPr>
        <w:jc w:val="center"/>
        <w:rPr>
          <w:b/>
        </w:rPr>
      </w:pPr>
    </w:p>
    <w:p w14:paraId="2DCA89B2" w14:textId="77777777" w:rsidR="00526226" w:rsidRPr="00100894" w:rsidRDefault="001E5F5A" w:rsidP="00526226">
      <w:pPr>
        <w:jc w:val="center"/>
        <w:rPr>
          <w:b/>
        </w:rPr>
      </w:pPr>
      <w:r w:rsidRPr="00100894">
        <w:rPr>
          <w:b/>
        </w:rPr>
        <w:t>MEDIA SUMMARY</w:t>
      </w:r>
    </w:p>
    <w:p w14:paraId="4E112EE1" w14:textId="77777777" w:rsidR="00526226" w:rsidRPr="00100894" w:rsidRDefault="00526226" w:rsidP="00526226">
      <w:pPr>
        <w:jc w:val="center"/>
      </w:pPr>
      <w:r w:rsidRPr="00100894">
        <w:t>________________________________________________________________________</w:t>
      </w:r>
    </w:p>
    <w:p w14:paraId="044056F1" w14:textId="77777777" w:rsidR="001E5F5A" w:rsidRPr="00100894" w:rsidRDefault="001E5F5A" w:rsidP="008B532D">
      <w:pPr>
        <w:spacing w:line="360" w:lineRule="auto"/>
        <w:jc w:val="left"/>
      </w:pPr>
    </w:p>
    <w:p w14:paraId="33540FED"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3AF3CFAA" w14:textId="77777777" w:rsidR="001E5F5A" w:rsidRPr="00100894" w:rsidRDefault="001E5F5A" w:rsidP="006474CE">
      <w:pPr>
        <w:rPr>
          <w:sz w:val="28"/>
          <w:szCs w:val="28"/>
        </w:rPr>
      </w:pPr>
    </w:p>
    <w:p w14:paraId="5DA2A7B4" w14:textId="7197E57F" w:rsidR="00BE5F93" w:rsidRDefault="006474CE" w:rsidP="00DE5133">
      <w:pPr>
        <w:rPr>
          <w:sz w:val="22"/>
          <w:szCs w:val="22"/>
        </w:rPr>
      </w:pPr>
      <w:r w:rsidRPr="006E2952">
        <w:rPr>
          <w:sz w:val="22"/>
          <w:szCs w:val="22"/>
        </w:rPr>
        <w:t xml:space="preserve">On </w:t>
      </w:r>
      <w:r w:rsidR="00455279" w:rsidRPr="006E2952">
        <w:rPr>
          <w:sz w:val="22"/>
          <w:szCs w:val="22"/>
        </w:rPr>
        <w:t>T</w:t>
      </w:r>
      <w:r w:rsidR="00F46736">
        <w:rPr>
          <w:sz w:val="22"/>
          <w:szCs w:val="22"/>
        </w:rPr>
        <w:t>uesday 30 November</w:t>
      </w:r>
      <w:r w:rsidR="00BB1F1E" w:rsidRPr="006E2952">
        <w:rPr>
          <w:sz w:val="22"/>
          <w:szCs w:val="22"/>
        </w:rPr>
        <w:t xml:space="preserve"> </w:t>
      </w:r>
      <w:r w:rsidR="00E17A92" w:rsidRPr="006E2952">
        <w:rPr>
          <w:sz w:val="22"/>
          <w:szCs w:val="22"/>
        </w:rPr>
        <w:t>202</w:t>
      </w:r>
      <w:r w:rsidR="00BB1F1E" w:rsidRPr="006E2952">
        <w:rPr>
          <w:sz w:val="22"/>
          <w:szCs w:val="22"/>
        </w:rPr>
        <w:t>1</w:t>
      </w:r>
      <w:r w:rsidR="00E17A92" w:rsidRPr="006E2952">
        <w:rPr>
          <w:sz w:val="22"/>
          <w:szCs w:val="22"/>
        </w:rPr>
        <w:t xml:space="preserve"> </w:t>
      </w:r>
      <w:r w:rsidR="00AC799A" w:rsidRPr="006E2952">
        <w:rPr>
          <w:sz w:val="22"/>
          <w:szCs w:val="22"/>
        </w:rPr>
        <w:t xml:space="preserve">at </w:t>
      </w:r>
      <w:r w:rsidR="0007028D" w:rsidRPr="006E2952">
        <w:rPr>
          <w:sz w:val="22"/>
          <w:szCs w:val="22"/>
        </w:rPr>
        <w:t>10</w:t>
      </w:r>
      <w:r w:rsidR="00AC799A" w:rsidRPr="006E2952">
        <w:rPr>
          <w:sz w:val="22"/>
          <w:szCs w:val="22"/>
        </w:rPr>
        <w:t>h00</w:t>
      </w:r>
      <w:r w:rsidR="00E17A92" w:rsidRPr="006E2952">
        <w:rPr>
          <w:sz w:val="22"/>
          <w:szCs w:val="22"/>
        </w:rPr>
        <w:t>,</w:t>
      </w:r>
      <w:r w:rsidR="00AC799A" w:rsidRPr="006E2952">
        <w:rPr>
          <w:sz w:val="22"/>
          <w:szCs w:val="22"/>
        </w:rPr>
        <w:t xml:space="preserve"> </w:t>
      </w:r>
      <w:r w:rsidR="000D35AE" w:rsidRPr="006E2952">
        <w:rPr>
          <w:sz w:val="22"/>
          <w:szCs w:val="22"/>
        </w:rPr>
        <w:t xml:space="preserve">the </w:t>
      </w:r>
      <w:r w:rsidR="008C3682" w:rsidRPr="006E2952">
        <w:rPr>
          <w:sz w:val="22"/>
          <w:szCs w:val="22"/>
        </w:rPr>
        <w:t xml:space="preserve">Constitutional Court </w:t>
      </w:r>
      <w:r w:rsidR="000D35AE" w:rsidRPr="006E2952">
        <w:rPr>
          <w:sz w:val="22"/>
          <w:szCs w:val="22"/>
        </w:rPr>
        <w:t xml:space="preserve">will hear </w:t>
      </w:r>
      <w:r w:rsidR="00E17A92" w:rsidRPr="006E2952">
        <w:rPr>
          <w:sz w:val="22"/>
          <w:szCs w:val="22"/>
        </w:rPr>
        <w:t>an</w:t>
      </w:r>
      <w:r w:rsidR="00145795" w:rsidRPr="006E2952">
        <w:rPr>
          <w:sz w:val="22"/>
          <w:szCs w:val="22"/>
        </w:rPr>
        <w:t xml:space="preserve"> application</w:t>
      </w:r>
      <w:r w:rsidR="00E17A92" w:rsidRPr="006E2952">
        <w:rPr>
          <w:sz w:val="22"/>
          <w:szCs w:val="22"/>
        </w:rPr>
        <w:t xml:space="preserve"> </w:t>
      </w:r>
      <w:r w:rsidR="00145795" w:rsidRPr="006E2952">
        <w:rPr>
          <w:sz w:val="22"/>
          <w:szCs w:val="22"/>
        </w:rPr>
        <w:t xml:space="preserve">for leave to appeal against the </w:t>
      </w:r>
      <w:r w:rsidR="00D10D70" w:rsidRPr="006E2952">
        <w:rPr>
          <w:sz w:val="22"/>
          <w:szCs w:val="22"/>
        </w:rPr>
        <w:t xml:space="preserve">judgment and order of the Supreme </w:t>
      </w:r>
      <w:r w:rsidR="00145795" w:rsidRPr="006E2952">
        <w:rPr>
          <w:sz w:val="22"/>
          <w:szCs w:val="22"/>
        </w:rPr>
        <w:t>Co</w:t>
      </w:r>
      <w:r w:rsidR="00D10D70" w:rsidRPr="006E2952">
        <w:rPr>
          <w:sz w:val="22"/>
          <w:szCs w:val="22"/>
        </w:rPr>
        <w:t xml:space="preserve">urt of </w:t>
      </w:r>
      <w:r w:rsidR="00145795" w:rsidRPr="006E2952">
        <w:rPr>
          <w:sz w:val="22"/>
          <w:szCs w:val="22"/>
        </w:rPr>
        <w:t xml:space="preserve">Appeal </w:t>
      </w:r>
      <w:r w:rsidR="00F46736">
        <w:rPr>
          <w:sz w:val="22"/>
          <w:szCs w:val="22"/>
        </w:rPr>
        <w:t>dated 23</w:t>
      </w:r>
      <w:r w:rsidR="00080C42" w:rsidRPr="006E2952">
        <w:rPr>
          <w:sz w:val="22"/>
          <w:szCs w:val="22"/>
        </w:rPr>
        <w:t xml:space="preserve"> December 2020</w:t>
      </w:r>
      <w:r w:rsidR="00647427" w:rsidRPr="006E2952">
        <w:rPr>
          <w:sz w:val="22"/>
          <w:szCs w:val="22"/>
        </w:rPr>
        <w:t>,</w:t>
      </w:r>
      <w:r w:rsidR="00023E79" w:rsidRPr="006E2952">
        <w:rPr>
          <w:sz w:val="22"/>
          <w:szCs w:val="22"/>
        </w:rPr>
        <w:t xml:space="preserve"> in which it </w:t>
      </w:r>
      <w:r w:rsidR="00F46736">
        <w:rPr>
          <w:sz w:val="22"/>
          <w:szCs w:val="22"/>
        </w:rPr>
        <w:t xml:space="preserve">dismissed an appeal </w:t>
      </w:r>
      <w:r w:rsidR="002F6F3A">
        <w:rPr>
          <w:sz w:val="22"/>
          <w:szCs w:val="22"/>
        </w:rPr>
        <w:t>against an order of</w:t>
      </w:r>
      <w:r w:rsidR="00837DCD">
        <w:rPr>
          <w:sz w:val="22"/>
          <w:szCs w:val="22"/>
        </w:rPr>
        <w:t xml:space="preserve"> the High Court </w:t>
      </w:r>
      <w:r w:rsidR="002F6F3A">
        <w:rPr>
          <w:sz w:val="22"/>
          <w:szCs w:val="22"/>
        </w:rPr>
        <w:t xml:space="preserve">granted </w:t>
      </w:r>
      <w:r w:rsidR="00837DCD">
        <w:rPr>
          <w:sz w:val="22"/>
          <w:szCs w:val="22"/>
        </w:rPr>
        <w:t xml:space="preserve">against the first applicant, the </w:t>
      </w:r>
      <w:r w:rsidR="00F46736">
        <w:rPr>
          <w:sz w:val="22"/>
          <w:szCs w:val="22"/>
        </w:rPr>
        <w:t xml:space="preserve">Municipal Employees’ Pension Fund (MEPF).  </w:t>
      </w:r>
      <w:r w:rsidR="00BE5F93">
        <w:rPr>
          <w:sz w:val="22"/>
          <w:szCs w:val="22"/>
        </w:rPr>
        <w:t xml:space="preserve">The appeal concerned </w:t>
      </w:r>
      <w:r w:rsidR="00BE5F93" w:rsidRPr="00BE5F93">
        <w:rPr>
          <w:i/>
          <w:sz w:val="22"/>
          <w:szCs w:val="22"/>
        </w:rPr>
        <w:t>inter alia</w:t>
      </w:r>
      <w:r w:rsidR="00BE5F93">
        <w:rPr>
          <w:sz w:val="22"/>
          <w:szCs w:val="22"/>
        </w:rPr>
        <w:t xml:space="preserve"> the jurisdiction of the Pension Funds Adjudicator (PFA).  </w:t>
      </w:r>
      <w:r w:rsidR="00F46736">
        <w:rPr>
          <w:sz w:val="22"/>
          <w:szCs w:val="22"/>
        </w:rPr>
        <w:t>The Supreme Court of Appeal</w:t>
      </w:r>
      <w:r w:rsidR="00655EAB">
        <w:rPr>
          <w:sz w:val="22"/>
          <w:szCs w:val="22"/>
        </w:rPr>
        <w:t xml:space="preserve"> (SCA)</w:t>
      </w:r>
      <w:r w:rsidR="00BE5F93">
        <w:rPr>
          <w:sz w:val="22"/>
          <w:szCs w:val="22"/>
        </w:rPr>
        <w:t>,</w:t>
      </w:r>
      <w:r w:rsidR="00F46736">
        <w:rPr>
          <w:sz w:val="22"/>
          <w:szCs w:val="22"/>
        </w:rPr>
        <w:t xml:space="preserve"> </w:t>
      </w:r>
      <w:r w:rsidR="00BE5F93">
        <w:rPr>
          <w:sz w:val="22"/>
          <w:szCs w:val="22"/>
        </w:rPr>
        <w:t>endorsing the High Court’s judg</w:t>
      </w:r>
      <w:r w:rsidR="000D4E21">
        <w:rPr>
          <w:sz w:val="22"/>
          <w:szCs w:val="22"/>
        </w:rPr>
        <w:t>ment, held that the PFA</w:t>
      </w:r>
      <w:r w:rsidR="00BE5F93">
        <w:rPr>
          <w:sz w:val="22"/>
          <w:szCs w:val="22"/>
        </w:rPr>
        <w:t xml:space="preserve"> had jurisdiction to adjudicate the claim of the first respondent (Ms Mongwaketse).</w:t>
      </w:r>
    </w:p>
    <w:p w14:paraId="60E7C12B" w14:textId="47A4731D" w:rsidR="00672DA7" w:rsidRPr="006E2952" w:rsidRDefault="00672DA7" w:rsidP="00DE5133">
      <w:pPr>
        <w:rPr>
          <w:sz w:val="22"/>
          <w:szCs w:val="22"/>
        </w:rPr>
      </w:pPr>
    </w:p>
    <w:p w14:paraId="0F6CE169" w14:textId="2A7DAE59" w:rsidR="00104A9F" w:rsidRDefault="00023E79" w:rsidP="00BE5F93">
      <w:pPr>
        <w:rPr>
          <w:sz w:val="22"/>
          <w:szCs w:val="22"/>
        </w:rPr>
      </w:pPr>
      <w:r w:rsidRPr="00BE5F93">
        <w:rPr>
          <w:sz w:val="22"/>
          <w:szCs w:val="22"/>
        </w:rPr>
        <w:t>A brief history of the matter is that o</w:t>
      </w:r>
      <w:r w:rsidR="00BE5F93" w:rsidRPr="00BE5F93">
        <w:rPr>
          <w:sz w:val="22"/>
          <w:szCs w:val="22"/>
        </w:rPr>
        <w:t>n 1</w:t>
      </w:r>
      <w:r w:rsidR="00BC0E1C">
        <w:rPr>
          <w:sz w:val="22"/>
          <w:szCs w:val="22"/>
        </w:rPr>
        <w:t xml:space="preserve"> February 2012</w:t>
      </w:r>
      <w:r w:rsidR="00BE5F93" w:rsidRPr="00BE5F93">
        <w:rPr>
          <w:sz w:val="22"/>
          <w:szCs w:val="22"/>
        </w:rPr>
        <w:t xml:space="preserve">, Ms Mongwaketse was appointed as the Chief Audit Executive at the Ngaka Modiri Molema District Municipality (Municipality) </w:t>
      </w:r>
      <w:r w:rsidR="002F6F3A">
        <w:rPr>
          <w:sz w:val="22"/>
          <w:szCs w:val="22"/>
        </w:rPr>
        <w:t>for a five-year period.</w:t>
      </w:r>
      <w:r w:rsidR="00BE5F93" w:rsidRPr="00BE5F93">
        <w:rPr>
          <w:sz w:val="22"/>
          <w:szCs w:val="22"/>
        </w:rPr>
        <w:t xml:space="preserve"> </w:t>
      </w:r>
      <w:r w:rsidR="002F6F3A">
        <w:rPr>
          <w:sz w:val="22"/>
          <w:szCs w:val="22"/>
        </w:rPr>
        <w:t xml:space="preserve"> O</w:t>
      </w:r>
      <w:r w:rsidR="00BE5F93" w:rsidRPr="00BE5F93">
        <w:rPr>
          <w:sz w:val="22"/>
          <w:szCs w:val="22"/>
        </w:rPr>
        <w:t>n 17 February 20</w:t>
      </w:r>
      <w:r w:rsidR="002F6F3A">
        <w:rPr>
          <w:sz w:val="22"/>
          <w:szCs w:val="22"/>
        </w:rPr>
        <w:t>12</w:t>
      </w:r>
      <w:r w:rsidR="00BE5F93" w:rsidRPr="00BE5F93">
        <w:rPr>
          <w:sz w:val="22"/>
          <w:szCs w:val="22"/>
        </w:rPr>
        <w:t>, she applied to become a member of the MEPF</w:t>
      </w:r>
      <w:r w:rsidR="00837DCD">
        <w:rPr>
          <w:sz w:val="22"/>
          <w:szCs w:val="22"/>
        </w:rPr>
        <w:t>.</w:t>
      </w:r>
      <w:r w:rsidR="00BE5F93" w:rsidRPr="00BE5F93">
        <w:rPr>
          <w:sz w:val="22"/>
          <w:szCs w:val="22"/>
        </w:rPr>
        <w:t xml:space="preserve"> She completed an application form and acknowledged that the Municipality would make a contribution amounting to 22% of her pensionable emoluments and that her contribution would be 7.5%.</w:t>
      </w:r>
      <w:r w:rsidR="00837DCD">
        <w:rPr>
          <w:sz w:val="22"/>
          <w:szCs w:val="22"/>
        </w:rPr>
        <w:t xml:space="preserve"> </w:t>
      </w:r>
      <w:r w:rsidR="00BE5F93" w:rsidRPr="00BE5F93">
        <w:rPr>
          <w:sz w:val="22"/>
          <w:szCs w:val="22"/>
        </w:rPr>
        <w:t xml:space="preserve"> The member’s contribution is, over the life of a member's membership, invested by the MEPF in accordance with its investment strategy.  The Municipality's contribution is used by the MEPF to fund the services, products and benefits which are made available to its members, the administration costs of the fund, and withdrawal and retirement benefits payable to members upon termination of their employment.  Pursuant to Ms Mongwaketse’s aforementioned application, the MEPF admitted Ms Mongwaketse as a member on the aforementioned basis</w:t>
      </w:r>
      <w:r w:rsidR="002F6F3A">
        <w:rPr>
          <w:sz w:val="22"/>
          <w:szCs w:val="22"/>
        </w:rPr>
        <w:t>.</w:t>
      </w:r>
    </w:p>
    <w:p w14:paraId="0CBA4859" w14:textId="77777777" w:rsidR="00104A9F" w:rsidRDefault="00104A9F" w:rsidP="00BE5F93">
      <w:pPr>
        <w:rPr>
          <w:sz w:val="22"/>
          <w:szCs w:val="22"/>
        </w:rPr>
      </w:pPr>
    </w:p>
    <w:p w14:paraId="3C96617E" w14:textId="7DAE2E4D" w:rsidR="00BE5F93" w:rsidRPr="00BE5F93" w:rsidRDefault="00104A9F" w:rsidP="00BE5F93">
      <w:pPr>
        <w:rPr>
          <w:sz w:val="22"/>
          <w:szCs w:val="22"/>
        </w:rPr>
      </w:pPr>
      <w:r>
        <w:rPr>
          <w:sz w:val="22"/>
          <w:szCs w:val="22"/>
        </w:rPr>
        <w:t xml:space="preserve">However, in terms of the MEPF’s rules, persons employed by the Municipality for a limited duration were not eligible for membership.  </w:t>
      </w:r>
      <w:r w:rsidR="00A73247">
        <w:rPr>
          <w:sz w:val="22"/>
          <w:szCs w:val="22"/>
        </w:rPr>
        <w:t xml:space="preserve">In November 2014 Ms Mongwaketse discovered, from a benefit statement, that upon the termination of her supposed membership on the expiry of her contract, she would only receive back a sum of money based on her own contributions, whereas all the contributions paid in respect of her supposed membership, including the Municipality’s 22% share, came out of her own remuneration.  On this basis, </w:t>
      </w:r>
      <w:r w:rsidR="00BE5F93" w:rsidRPr="00BE5F93">
        <w:rPr>
          <w:sz w:val="22"/>
          <w:szCs w:val="22"/>
        </w:rPr>
        <w:t>in September/October 2015</w:t>
      </w:r>
      <w:r w:rsidR="00A73247">
        <w:rPr>
          <w:sz w:val="22"/>
          <w:szCs w:val="22"/>
        </w:rPr>
        <w:t xml:space="preserve"> she</w:t>
      </w:r>
      <w:r w:rsidR="00BE5F93" w:rsidRPr="00BE5F93">
        <w:rPr>
          <w:sz w:val="22"/>
          <w:szCs w:val="22"/>
        </w:rPr>
        <w:t xml:space="preserve"> instructed the Municipality to cease further payments to the MEPF</w:t>
      </w:r>
      <w:r w:rsidR="00A73247">
        <w:rPr>
          <w:sz w:val="22"/>
          <w:szCs w:val="22"/>
        </w:rPr>
        <w:t>.</w:t>
      </w:r>
    </w:p>
    <w:p w14:paraId="5D181440" w14:textId="77777777" w:rsidR="00837DCD" w:rsidRDefault="00837DCD" w:rsidP="00837DCD">
      <w:pPr>
        <w:spacing w:line="360" w:lineRule="auto"/>
        <w:rPr>
          <w:rFonts w:eastAsia="Calibri"/>
          <w:sz w:val="22"/>
          <w:szCs w:val="22"/>
        </w:rPr>
      </w:pPr>
    </w:p>
    <w:p w14:paraId="236FA173" w14:textId="691AAC8F" w:rsidR="00BE5F93" w:rsidRPr="00BE5F93" w:rsidRDefault="00BE5F93" w:rsidP="00837DCD">
      <w:pPr>
        <w:rPr>
          <w:sz w:val="22"/>
          <w:szCs w:val="22"/>
        </w:rPr>
      </w:pPr>
      <w:r w:rsidRPr="00BE5F93">
        <w:rPr>
          <w:sz w:val="22"/>
          <w:szCs w:val="22"/>
        </w:rPr>
        <w:t>Ms Mongwaketse</w:t>
      </w:r>
      <w:r w:rsidR="00A73247">
        <w:rPr>
          <w:sz w:val="22"/>
          <w:szCs w:val="22"/>
        </w:rPr>
        <w:t xml:space="preserve">’s fixed-term contract of employment came to an end at the end of January 2017. </w:t>
      </w:r>
      <w:r w:rsidRPr="00BE5F93">
        <w:rPr>
          <w:sz w:val="22"/>
          <w:szCs w:val="22"/>
        </w:rPr>
        <w:t xml:space="preserve">  On 7 February 2017, Ms Mongwaketse completed a withdrawal of benefits form</w:t>
      </w:r>
      <w:r w:rsidR="00837DCD">
        <w:rPr>
          <w:sz w:val="22"/>
          <w:szCs w:val="22"/>
        </w:rPr>
        <w:t xml:space="preserve"> </w:t>
      </w:r>
      <w:r w:rsidR="00A73247">
        <w:rPr>
          <w:sz w:val="22"/>
          <w:szCs w:val="22"/>
        </w:rPr>
        <w:t>but was only paid out a</w:t>
      </w:r>
      <w:r w:rsidRPr="00BE5F93">
        <w:rPr>
          <w:sz w:val="22"/>
          <w:szCs w:val="22"/>
        </w:rPr>
        <w:t xml:space="preserve"> withdrawal benefit </w:t>
      </w:r>
      <w:r w:rsidR="007C55CD">
        <w:rPr>
          <w:sz w:val="22"/>
          <w:szCs w:val="22"/>
        </w:rPr>
        <w:t>based on the 7.5% contribution, i.e. excluding the 22% contribution supposedly made by her employer, the Municipality.</w:t>
      </w:r>
      <w:r w:rsidRPr="00BE5F93">
        <w:rPr>
          <w:sz w:val="22"/>
          <w:szCs w:val="22"/>
        </w:rPr>
        <w:t xml:space="preserve">  Under rule 37(1)(b) of the MEPF Rules, the member’s withdrawal benefit is calculated as the member’s contribution (being 7.5%) plus interest multiplied by 1.5, subject to member minimum benefits, less certain deductions.</w:t>
      </w:r>
      <w:r w:rsidR="00837DCD">
        <w:rPr>
          <w:sz w:val="22"/>
          <w:szCs w:val="22"/>
        </w:rPr>
        <w:t xml:space="preserve"> </w:t>
      </w:r>
      <w:r w:rsidRPr="00BE5F93">
        <w:rPr>
          <w:sz w:val="22"/>
          <w:szCs w:val="22"/>
        </w:rPr>
        <w:t xml:space="preserve"> </w:t>
      </w:r>
      <w:r w:rsidR="007C55CD">
        <w:rPr>
          <w:sz w:val="22"/>
          <w:szCs w:val="22"/>
        </w:rPr>
        <w:t>B</w:t>
      </w:r>
      <w:r w:rsidRPr="00BE5F93">
        <w:rPr>
          <w:sz w:val="22"/>
          <w:szCs w:val="22"/>
        </w:rPr>
        <w:t>eing dissatisfied with the withdrawal benefit</w:t>
      </w:r>
      <w:r w:rsidR="00837DCD">
        <w:rPr>
          <w:sz w:val="22"/>
          <w:szCs w:val="22"/>
        </w:rPr>
        <w:t>,</w:t>
      </w:r>
      <w:r w:rsidRPr="00BE5F93">
        <w:rPr>
          <w:sz w:val="22"/>
          <w:szCs w:val="22"/>
        </w:rPr>
        <w:t xml:space="preserve"> she lodged a complaint with the PFA on or about 10 March 2017, requesting that the PFA order the payment of the </w:t>
      </w:r>
      <w:r w:rsidRPr="00BE5F93">
        <w:rPr>
          <w:sz w:val="22"/>
          <w:szCs w:val="22"/>
        </w:rPr>
        <w:lastRenderedPageBreak/>
        <w:t>Municipality’s 22% contribution multiplied by the 1.5 withdrawal benefit factor referred in the MEPF Rules (the Complaint).  The MEPF responded by stating that she had been paid out all the amounts due under the MEPF Rules and nothing further was owe</w:t>
      </w:r>
      <w:r w:rsidR="00837DCD">
        <w:rPr>
          <w:sz w:val="22"/>
          <w:szCs w:val="22"/>
        </w:rPr>
        <w:t>d to her.</w:t>
      </w:r>
    </w:p>
    <w:p w14:paraId="0C91783F" w14:textId="77777777" w:rsidR="00BE5F93" w:rsidRPr="00BE5F93" w:rsidRDefault="00BE5F93" w:rsidP="00837DCD">
      <w:pPr>
        <w:pStyle w:val="JUDGMENTCONTINUED"/>
        <w:spacing w:line="240" w:lineRule="auto"/>
        <w:rPr>
          <w:sz w:val="22"/>
        </w:rPr>
      </w:pPr>
    </w:p>
    <w:p w14:paraId="43BEB698" w14:textId="58E0A47D" w:rsidR="00BE5F93" w:rsidRDefault="00BE5F93" w:rsidP="00837DCD">
      <w:r w:rsidRPr="00BE5F93">
        <w:rPr>
          <w:sz w:val="22"/>
          <w:szCs w:val="22"/>
        </w:rPr>
        <w:t xml:space="preserve">The PFA received further correspondence from Ms Mongwaketse on 21 June 2017, 3 August 2017 and 10 October 2017, in which, </w:t>
      </w:r>
      <w:r w:rsidR="007C55CD">
        <w:rPr>
          <w:sz w:val="22"/>
          <w:szCs w:val="22"/>
        </w:rPr>
        <w:t xml:space="preserve">according to the MEPF, </w:t>
      </w:r>
      <w:r w:rsidRPr="00BE5F93">
        <w:rPr>
          <w:sz w:val="22"/>
          <w:szCs w:val="22"/>
        </w:rPr>
        <w:t xml:space="preserve">Ms Mongwaketse </w:t>
      </w:r>
      <w:r w:rsidR="007C55CD">
        <w:rPr>
          <w:sz w:val="22"/>
          <w:szCs w:val="22"/>
        </w:rPr>
        <w:t xml:space="preserve">first </w:t>
      </w:r>
      <w:r w:rsidRPr="00BE5F93">
        <w:rPr>
          <w:sz w:val="22"/>
          <w:szCs w:val="22"/>
        </w:rPr>
        <w:t>raised a potential claim for repayment to her of the full amount of all contributions paid on her behalf</w:t>
      </w:r>
      <w:r w:rsidR="007C55CD">
        <w:rPr>
          <w:sz w:val="22"/>
          <w:szCs w:val="22"/>
        </w:rPr>
        <w:t xml:space="preserve"> on the basis of unjustified enrichment</w:t>
      </w:r>
      <w:r w:rsidRPr="00BE5F93">
        <w:rPr>
          <w:sz w:val="22"/>
          <w:szCs w:val="22"/>
        </w:rPr>
        <w:t>.  The MEPF claims that this correspo</w:t>
      </w:r>
      <w:r w:rsidR="00BC0E1C">
        <w:rPr>
          <w:sz w:val="22"/>
          <w:szCs w:val="22"/>
        </w:rPr>
        <w:t>ndence was never put to it</w:t>
      </w:r>
      <w:r w:rsidRPr="00BE5F93">
        <w:rPr>
          <w:sz w:val="22"/>
          <w:szCs w:val="22"/>
        </w:rPr>
        <w:t xml:space="preserve"> and was only disclosed by the PFA in subsequent legal proceedings.  In her determination made on 10 November 2017 (Determination), Ms Lukhaimane, the PFA, found that Ms Mongwaketse was precluded from being a member of the MEPF as she was a fixed-term employee, and was thus not covered by the MEPF Rules.  In the result, the PFA ordered the MEPF to refund Ms Mongwaketse the total of all the contributions made by her in the</w:t>
      </w:r>
      <w:r>
        <w:t xml:space="preserve"> amount of R856 489.94 (less any deductions and plus interest), within two weeks fro</w:t>
      </w:r>
      <w:r w:rsidR="000D4E21">
        <w:t>m the date of the D</w:t>
      </w:r>
      <w:r>
        <w:t>etermination.</w:t>
      </w:r>
    </w:p>
    <w:p w14:paraId="2DD501C5" w14:textId="77777777" w:rsidR="00BE5F93" w:rsidRDefault="00BE5F93" w:rsidP="00023E79">
      <w:pPr>
        <w:rPr>
          <w:sz w:val="22"/>
          <w:szCs w:val="22"/>
        </w:rPr>
      </w:pPr>
    </w:p>
    <w:p w14:paraId="4D9EFEAA" w14:textId="0FEF51F1" w:rsidR="00837DCD" w:rsidRPr="00655EAB" w:rsidRDefault="000D4E21" w:rsidP="00655EAB">
      <w:pPr>
        <w:rPr>
          <w:sz w:val="22"/>
          <w:szCs w:val="22"/>
        </w:rPr>
      </w:pPr>
      <w:r>
        <w:rPr>
          <w:sz w:val="22"/>
          <w:szCs w:val="22"/>
        </w:rPr>
        <w:t>Aggrieved by the D</w:t>
      </w:r>
      <w:r w:rsidR="00837DCD" w:rsidRPr="00655EAB">
        <w:rPr>
          <w:sz w:val="22"/>
          <w:szCs w:val="22"/>
        </w:rPr>
        <w:t>etermination, the MEPF instituted an application in the Gauteng Local Division o</w:t>
      </w:r>
      <w:r w:rsidR="00655EAB">
        <w:rPr>
          <w:sz w:val="22"/>
          <w:szCs w:val="22"/>
        </w:rPr>
        <w:t xml:space="preserve">f the High Court </w:t>
      </w:r>
      <w:r w:rsidR="00837DCD" w:rsidRPr="00655EAB">
        <w:rPr>
          <w:sz w:val="22"/>
          <w:szCs w:val="22"/>
        </w:rPr>
        <w:t>in terms of section 30</w:t>
      </w:r>
      <w:bookmarkStart w:id="0" w:name="_GoBack"/>
      <w:bookmarkEnd w:id="0"/>
      <w:r w:rsidR="00837DCD" w:rsidRPr="00655EAB">
        <w:rPr>
          <w:sz w:val="22"/>
          <w:szCs w:val="22"/>
        </w:rPr>
        <w:t>P of the Pension Funds Act</w:t>
      </w:r>
      <w:r w:rsidR="00655EAB" w:rsidRPr="00655EAB">
        <w:rPr>
          <w:sz w:val="22"/>
          <w:szCs w:val="22"/>
        </w:rPr>
        <w:t xml:space="preserve"> </w:t>
      </w:r>
      <w:r w:rsidR="00837DCD" w:rsidRPr="00655EAB">
        <w:rPr>
          <w:sz w:val="22"/>
          <w:szCs w:val="22"/>
        </w:rPr>
        <w:t xml:space="preserve">(Pension Funds Act) and the Promotion of Administrative Justice Act (PAJA), on the basis that the Determination was unlawful, unreasonable, procedurally unfair and incorrect on the law and facts and flawed on various bases.  One of the bases included that the PFA lacked jurisdiction as the Complaint did not meet the definitional requirements of a “complaint” as contemplated in the Pension Funds Act.  In addition, </w:t>
      </w:r>
      <w:r w:rsidR="007C55CD">
        <w:rPr>
          <w:sz w:val="22"/>
          <w:szCs w:val="22"/>
        </w:rPr>
        <w:t xml:space="preserve">so the MEPF contended, </w:t>
      </w:r>
      <w:r w:rsidR="00837DCD" w:rsidRPr="00655EAB">
        <w:rPr>
          <w:sz w:val="22"/>
          <w:szCs w:val="22"/>
        </w:rPr>
        <w:t xml:space="preserve">the PFA is not statutorily empowered to decide civil law claims between a pension fund and strangers to a pension fund.  </w:t>
      </w:r>
      <w:r w:rsidR="007C55CD">
        <w:rPr>
          <w:sz w:val="22"/>
          <w:szCs w:val="22"/>
        </w:rPr>
        <w:t xml:space="preserve">If Ms Mongwaketse never in law became a member of the MEPF, she was, the MEPF contended, a stranger to the pension fund.  </w:t>
      </w:r>
      <w:r w:rsidR="00837DCD" w:rsidRPr="00655EAB">
        <w:rPr>
          <w:sz w:val="22"/>
          <w:szCs w:val="22"/>
        </w:rPr>
        <w:t>Ms Mongwaketse then lodged a counter</w:t>
      </w:r>
      <w:r w:rsidR="00837DCD" w:rsidRPr="00655EAB">
        <w:rPr>
          <w:sz w:val="22"/>
          <w:szCs w:val="22"/>
        </w:rPr>
        <w:noBreakHyphen/>
        <w:t xml:space="preserve">application, seeking an order that the MEPF’s decision to accept her as a member should be reviewed and set aside, and advancing a claim under the </w:t>
      </w:r>
      <w:r w:rsidR="00837DCD" w:rsidRPr="00655EAB">
        <w:rPr>
          <w:i/>
          <w:sz w:val="22"/>
          <w:szCs w:val="22"/>
        </w:rPr>
        <w:t>condictio indebiti</w:t>
      </w:r>
      <w:r w:rsidR="00655EAB">
        <w:rPr>
          <w:sz w:val="22"/>
          <w:szCs w:val="22"/>
        </w:rPr>
        <w:t>.  T</w:t>
      </w:r>
      <w:r w:rsidR="00837DCD" w:rsidRPr="00655EAB">
        <w:rPr>
          <w:sz w:val="22"/>
          <w:szCs w:val="22"/>
        </w:rPr>
        <w:t xml:space="preserve">he High Court </w:t>
      </w:r>
      <w:r w:rsidR="00655EAB">
        <w:rPr>
          <w:sz w:val="22"/>
          <w:szCs w:val="22"/>
        </w:rPr>
        <w:t xml:space="preserve">held that the PFA had the jurisdiction to determine Ms Mongwaketse’s claim and </w:t>
      </w:r>
      <w:r w:rsidR="00837DCD" w:rsidRPr="00655EAB">
        <w:rPr>
          <w:sz w:val="22"/>
          <w:szCs w:val="22"/>
        </w:rPr>
        <w:t xml:space="preserve">dismissed both the MEPF’s application and Ms Mongwaketse’s counter application, but granted the MEPF leave to appeal to the </w:t>
      </w:r>
      <w:r w:rsidR="00655EAB">
        <w:rPr>
          <w:sz w:val="22"/>
          <w:szCs w:val="22"/>
        </w:rPr>
        <w:t>SCA</w:t>
      </w:r>
      <w:r w:rsidR="007C55CD">
        <w:rPr>
          <w:sz w:val="22"/>
          <w:szCs w:val="22"/>
        </w:rPr>
        <w:t>.</w:t>
      </w:r>
    </w:p>
    <w:p w14:paraId="5C9E5CA4" w14:textId="7E34B2D2" w:rsidR="00837DCD" w:rsidRDefault="00837DCD" w:rsidP="00023E79">
      <w:pPr>
        <w:rPr>
          <w:sz w:val="22"/>
          <w:szCs w:val="22"/>
        </w:rPr>
      </w:pPr>
    </w:p>
    <w:p w14:paraId="0BF03D8E" w14:textId="203849B3" w:rsidR="00984782" w:rsidRDefault="00655EAB" w:rsidP="00984782">
      <w:pPr>
        <w:rPr>
          <w:sz w:val="22"/>
          <w:szCs w:val="22"/>
        </w:rPr>
      </w:pPr>
      <w:r w:rsidRPr="00655EAB">
        <w:rPr>
          <w:sz w:val="22"/>
          <w:szCs w:val="22"/>
        </w:rPr>
        <w:t>The majority of the SCA found that the MEPF’s approach was “undesirably technical” and that the PFA had the jurisdiction to adjudicate such a claim</w:t>
      </w:r>
      <w:r w:rsidR="00BC0E1C">
        <w:rPr>
          <w:sz w:val="22"/>
          <w:szCs w:val="22"/>
        </w:rPr>
        <w:t>.  The SCA</w:t>
      </w:r>
      <w:r w:rsidRPr="00655EAB">
        <w:rPr>
          <w:sz w:val="22"/>
          <w:szCs w:val="22"/>
        </w:rPr>
        <w:t xml:space="preserve"> agreed with the High Court, finding that the PFA had jurisdiction to determine the Complaint in the way she did, and that the elements of unjustified enrichment were present.  The SCA </w:t>
      </w:r>
      <w:r w:rsidR="00984782">
        <w:rPr>
          <w:sz w:val="22"/>
          <w:szCs w:val="22"/>
        </w:rPr>
        <w:t xml:space="preserve">held that the </w:t>
      </w:r>
      <w:r w:rsidRPr="00655EAB">
        <w:rPr>
          <w:sz w:val="22"/>
          <w:szCs w:val="22"/>
        </w:rPr>
        <w:t xml:space="preserve">MEPF </w:t>
      </w:r>
      <w:r w:rsidR="00984782">
        <w:rPr>
          <w:sz w:val="22"/>
          <w:szCs w:val="22"/>
        </w:rPr>
        <w:t>was not entitled to invoke PAJA and o</w:t>
      </w:r>
      <w:r w:rsidRPr="00655EAB">
        <w:rPr>
          <w:sz w:val="22"/>
          <w:szCs w:val="22"/>
        </w:rPr>
        <w:t>n the merits, th</w:t>
      </w:r>
      <w:r w:rsidR="00984782">
        <w:rPr>
          <w:sz w:val="22"/>
          <w:szCs w:val="22"/>
        </w:rPr>
        <w:t>e majority held on the strenghth of</w:t>
      </w:r>
      <w:r w:rsidRPr="00655EAB">
        <w:rPr>
          <w:sz w:val="22"/>
          <w:szCs w:val="22"/>
        </w:rPr>
        <w:t xml:space="preserve"> </w:t>
      </w:r>
      <w:r w:rsidRPr="00655EAB">
        <w:rPr>
          <w:i/>
          <w:sz w:val="22"/>
          <w:szCs w:val="22"/>
        </w:rPr>
        <w:t>Abrahamse v Connock's Pension Fund</w:t>
      </w:r>
      <w:r w:rsidRPr="00655EAB">
        <w:rPr>
          <w:sz w:val="22"/>
          <w:szCs w:val="22"/>
        </w:rPr>
        <w:t xml:space="preserve"> that if a contract is entered into beyond the express or implied terms of a constitution of a pension fund, such a contract is null and void.  From this legal principle, the majority determined not only that Ms Mongwaketse did not become a member of the MEPF, but that she enjoyed no benefits of membership at any time.  It held on that basis that the MEPF could renege on any insurance products which it procured for Ms Mongwaketse, that the MEPF was enriched at her expense and that the enrichment was at the cost of </w:t>
      </w:r>
      <w:r w:rsidR="007C55CD">
        <w:rPr>
          <w:sz w:val="22"/>
          <w:szCs w:val="22"/>
        </w:rPr>
        <w:t>her</w:t>
      </w:r>
      <w:r w:rsidRPr="00655EAB">
        <w:rPr>
          <w:sz w:val="22"/>
          <w:szCs w:val="22"/>
        </w:rPr>
        <w:t xml:space="preserve"> impoverishment.</w:t>
      </w:r>
    </w:p>
    <w:p w14:paraId="3F80A06F" w14:textId="77777777" w:rsidR="00984782" w:rsidRDefault="00984782" w:rsidP="00984782">
      <w:pPr>
        <w:rPr>
          <w:sz w:val="22"/>
          <w:szCs w:val="22"/>
        </w:rPr>
      </w:pPr>
    </w:p>
    <w:p w14:paraId="61947ADA" w14:textId="1AC8AE74" w:rsidR="00655EAB" w:rsidRPr="00655EAB" w:rsidRDefault="00984782" w:rsidP="00984782">
      <w:pPr>
        <w:rPr>
          <w:sz w:val="22"/>
          <w:szCs w:val="22"/>
        </w:rPr>
      </w:pPr>
      <w:r>
        <w:rPr>
          <w:sz w:val="22"/>
          <w:szCs w:val="22"/>
        </w:rPr>
        <w:t xml:space="preserve">In </w:t>
      </w:r>
      <w:r w:rsidR="00BC0E1C">
        <w:rPr>
          <w:sz w:val="22"/>
          <w:szCs w:val="22"/>
        </w:rPr>
        <w:t xml:space="preserve">relation to </w:t>
      </w:r>
      <w:r>
        <w:rPr>
          <w:sz w:val="22"/>
          <w:szCs w:val="22"/>
        </w:rPr>
        <w:t>the</w:t>
      </w:r>
      <w:r w:rsidR="00BC0E1C">
        <w:rPr>
          <w:sz w:val="22"/>
          <w:szCs w:val="22"/>
        </w:rPr>
        <w:t xml:space="preserve"> other</w:t>
      </w:r>
      <w:r>
        <w:rPr>
          <w:sz w:val="22"/>
          <w:szCs w:val="22"/>
        </w:rPr>
        <w:t xml:space="preserve"> grounds raised by the MEPF, the majority </w:t>
      </w:r>
      <w:r w:rsidR="00655EAB" w:rsidRPr="00655EAB">
        <w:rPr>
          <w:sz w:val="22"/>
          <w:szCs w:val="22"/>
        </w:rPr>
        <w:t>fo</w:t>
      </w:r>
      <w:r>
        <w:rPr>
          <w:sz w:val="22"/>
          <w:szCs w:val="22"/>
        </w:rPr>
        <w:t xml:space="preserve">und that Ms Mongwaketse’s </w:t>
      </w:r>
      <w:r w:rsidR="00655EAB" w:rsidRPr="00655EAB">
        <w:rPr>
          <w:sz w:val="22"/>
          <w:szCs w:val="22"/>
        </w:rPr>
        <w:t>membership was unlawful</w:t>
      </w:r>
      <w:r>
        <w:rPr>
          <w:sz w:val="22"/>
          <w:szCs w:val="22"/>
        </w:rPr>
        <w:t xml:space="preserve"> and that</w:t>
      </w:r>
      <w:r w:rsidR="00655EAB" w:rsidRPr="00655EAB">
        <w:rPr>
          <w:sz w:val="22"/>
          <w:szCs w:val="22"/>
        </w:rPr>
        <w:t xml:space="preserve"> estoppel could not o</w:t>
      </w:r>
      <w:r>
        <w:rPr>
          <w:sz w:val="22"/>
          <w:szCs w:val="22"/>
        </w:rPr>
        <w:t xml:space="preserve">perate to defeat her </w:t>
      </w:r>
      <w:r w:rsidR="00655EAB" w:rsidRPr="00655EAB">
        <w:rPr>
          <w:sz w:val="22"/>
          <w:szCs w:val="22"/>
        </w:rPr>
        <w:t xml:space="preserve">claim.  The majority </w:t>
      </w:r>
      <w:r>
        <w:rPr>
          <w:sz w:val="22"/>
          <w:szCs w:val="22"/>
        </w:rPr>
        <w:t xml:space="preserve">also </w:t>
      </w:r>
      <w:r w:rsidR="00655EAB" w:rsidRPr="00655EAB">
        <w:rPr>
          <w:sz w:val="22"/>
          <w:szCs w:val="22"/>
        </w:rPr>
        <w:t xml:space="preserve">dismissed the </w:t>
      </w:r>
      <w:r>
        <w:rPr>
          <w:sz w:val="22"/>
          <w:szCs w:val="22"/>
        </w:rPr>
        <w:t>waiver and prescription argument</w:t>
      </w:r>
      <w:r w:rsidR="007C55CD">
        <w:rPr>
          <w:sz w:val="22"/>
          <w:szCs w:val="22"/>
        </w:rPr>
        <w:t>s</w:t>
      </w:r>
      <w:r>
        <w:rPr>
          <w:sz w:val="22"/>
          <w:szCs w:val="22"/>
        </w:rPr>
        <w:t xml:space="preserve"> which w</w:t>
      </w:r>
      <w:r w:rsidR="007C55CD">
        <w:rPr>
          <w:sz w:val="22"/>
          <w:szCs w:val="22"/>
        </w:rPr>
        <w:t>ere</w:t>
      </w:r>
      <w:r>
        <w:rPr>
          <w:sz w:val="22"/>
          <w:szCs w:val="22"/>
        </w:rPr>
        <w:t xml:space="preserve"> raised by the MEPF</w:t>
      </w:r>
      <w:r w:rsidR="00655EAB" w:rsidRPr="00655EAB">
        <w:rPr>
          <w:sz w:val="22"/>
          <w:szCs w:val="22"/>
        </w:rPr>
        <w:t xml:space="preserve">. </w:t>
      </w:r>
      <w:r>
        <w:rPr>
          <w:sz w:val="22"/>
          <w:szCs w:val="22"/>
        </w:rPr>
        <w:t xml:space="preserve"> It found that there was no r</w:t>
      </w:r>
      <w:r w:rsidR="00655EAB" w:rsidRPr="00655EAB">
        <w:rPr>
          <w:sz w:val="22"/>
          <w:szCs w:val="22"/>
        </w:rPr>
        <w:t xml:space="preserve">ight which could be waived; there was only a fact that Ms Mongwaketse was not a member.  It decided that prescription was inapplicable because Ms Mongwaketse only became aware of her rights </w:t>
      </w:r>
      <w:r w:rsidR="007C55CD">
        <w:rPr>
          <w:sz w:val="22"/>
          <w:szCs w:val="22"/>
        </w:rPr>
        <w:t xml:space="preserve">in November </w:t>
      </w:r>
      <w:r w:rsidR="00A20A6F">
        <w:rPr>
          <w:sz w:val="22"/>
          <w:szCs w:val="22"/>
        </w:rPr>
        <w:t>2014.</w:t>
      </w:r>
      <w:r w:rsidR="00655EAB" w:rsidRPr="00655EAB">
        <w:rPr>
          <w:sz w:val="22"/>
          <w:szCs w:val="22"/>
        </w:rPr>
        <w:t xml:space="preserve">  Accordingly, the appeal was dismissed.</w:t>
      </w:r>
    </w:p>
    <w:p w14:paraId="4BFA917B" w14:textId="2CB02B05" w:rsidR="00837DCD" w:rsidRDefault="00837DCD" w:rsidP="00023E79">
      <w:pPr>
        <w:rPr>
          <w:sz w:val="22"/>
          <w:szCs w:val="22"/>
        </w:rPr>
      </w:pPr>
    </w:p>
    <w:p w14:paraId="13CBF356" w14:textId="240C0AF2" w:rsidR="00984782" w:rsidRDefault="00984782" w:rsidP="00984782">
      <w:pPr>
        <w:rPr>
          <w:sz w:val="22"/>
          <w:szCs w:val="22"/>
        </w:rPr>
      </w:pPr>
      <w:r w:rsidRPr="00984782">
        <w:rPr>
          <w:sz w:val="22"/>
          <w:szCs w:val="22"/>
        </w:rPr>
        <w:t xml:space="preserve">Before this Court, the MEPF submits that the effect of the </w:t>
      </w:r>
      <w:r>
        <w:rPr>
          <w:sz w:val="22"/>
          <w:szCs w:val="22"/>
        </w:rPr>
        <w:t xml:space="preserve">SCA’s </w:t>
      </w:r>
      <w:r w:rsidRPr="00984782">
        <w:rPr>
          <w:sz w:val="22"/>
          <w:szCs w:val="22"/>
        </w:rPr>
        <w:t>interpretation of the PFA’s jurisdiction is to allow the PFA to adjudicate claims of any nature by any natural or juristic person against a pension fund.  This does not accord with the jurisdiction of the PFA under the Pension Funds Act, and is also highly prejudicial to the rights of parties appearing before the PFA</w:t>
      </w:r>
      <w:r w:rsidR="00BC0E1C">
        <w:rPr>
          <w:sz w:val="22"/>
          <w:szCs w:val="22"/>
        </w:rPr>
        <w:t>.</w:t>
      </w:r>
      <w:r w:rsidRPr="00984782">
        <w:rPr>
          <w:sz w:val="22"/>
          <w:szCs w:val="22"/>
        </w:rPr>
        <w:t xml:space="preserve">  The applicants are of the view that because the PFA does not conduct oral hearings or receive oral evidence, precludes legal representation, that there are no pleadings, and the documents exchanged between the parties to a complaint are of the most informal character, there are therefore no mechanisms to resolve complex legal or factual issues.  The PFA is intended to resolve, and is confined to resolving, discrete disputes arising from and based on pension fund legislation and pension fund rules, and between specific actors in the pension fund industry.  The applicants submit that the Pension Funds Act says as much in its definition of the terms “complaint” and “complainant”.</w:t>
      </w:r>
    </w:p>
    <w:p w14:paraId="38A5429C" w14:textId="36F93ABB" w:rsidR="00984782" w:rsidRDefault="00984782" w:rsidP="00984782">
      <w:pPr>
        <w:rPr>
          <w:sz w:val="22"/>
          <w:szCs w:val="22"/>
        </w:rPr>
      </w:pPr>
    </w:p>
    <w:p w14:paraId="1819E30B" w14:textId="48739AC0" w:rsidR="00965DF6" w:rsidRPr="00965DF6" w:rsidRDefault="00BC0E1C" w:rsidP="00965DF6">
      <w:pPr>
        <w:rPr>
          <w:sz w:val="22"/>
          <w:szCs w:val="22"/>
        </w:rPr>
      </w:pPr>
      <w:r>
        <w:rPr>
          <w:sz w:val="22"/>
          <w:szCs w:val="22"/>
        </w:rPr>
        <w:t>With regards</w:t>
      </w:r>
      <w:r w:rsidR="00965DF6" w:rsidRPr="00965DF6">
        <w:rPr>
          <w:sz w:val="22"/>
          <w:szCs w:val="22"/>
        </w:rPr>
        <w:t xml:space="preserve"> to</w:t>
      </w:r>
      <w:r w:rsidR="00984782" w:rsidRPr="00965DF6">
        <w:rPr>
          <w:sz w:val="22"/>
          <w:szCs w:val="22"/>
        </w:rPr>
        <w:t xml:space="preserve"> jurisdiction, the MEPF submits that </w:t>
      </w:r>
      <w:r w:rsidR="00965DF6" w:rsidRPr="00965DF6">
        <w:rPr>
          <w:sz w:val="22"/>
          <w:szCs w:val="22"/>
        </w:rPr>
        <w:t xml:space="preserve">this application implicates PAJA and the right to administrative justice, the right of access to court and the rule of law.  It involves several issues of cardinal importance not only to the parties, but to the pension fund industry as a whole.  These include the issue of the proper jurisdiction of the PFA, on which there are conflicting judgments both in the SCA (including in this very matter) and in the High Courts.  </w:t>
      </w:r>
      <w:r w:rsidR="00965DF6">
        <w:rPr>
          <w:sz w:val="22"/>
          <w:szCs w:val="22"/>
        </w:rPr>
        <w:t>Moreover, t</w:t>
      </w:r>
      <w:r w:rsidR="00965DF6" w:rsidRPr="00965DF6">
        <w:rPr>
          <w:sz w:val="22"/>
          <w:szCs w:val="22"/>
        </w:rPr>
        <w:t xml:space="preserve">he PFA </w:t>
      </w:r>
      <w:r w:rsidR="00552C24">
        <w:rPr>
          <w:sz w:val="22"/>
          <w:szCs w:val="22"/>
        </w:rPr>
        <w:t>allegedly acted in this matter</w:t>
      </w:r>
      <w:r w:rsidR="00965DF6" w:rsidRPr="00965DF6">
        <w:rPr>
          <w:sz w:val="22"/>
          <w:szCs w:val="22"/>
        </w:rPr>
        <w:t xml:space="preserve"> without affording </w:t>
      </w:r>
      <w:r w:rsidR="00965DF6" w:rsidRPr="00965DF6">
        <w:rPr>
          <w:i/>
          <w:sz w:val="22"/>
          <w:szCs w:val="22"/>
        </w:rPr>
        <w:t>audi</w:t>
      </w:r>
      <w:r w:rsidR="00965DF6" w:rsidRPr="00965DF6">
        <w:rPr>
          <w:sz w:val="22"/>
          <w:szCs w:val="22"/>
        </w:rPr>
        <w:t xml:space="preserve"> and without having evidence before her which </w:t>
      </w:r>
      <w:r w:rsidR="00552C24">
        <w:rPr>
          <w:sz w:val="22"/>
          <w:szCs w:val="22"/>
        </w:rPr>
        <w:t>wa</w:t>
      </w:r>
      <w:r w:rsidR="00965DF6" w:rsidRPr="00965DF6">
        <w:rPr>
          <w:sz w:val="22"/>
          <w:szCs w:val="22"/>
        </w:rPr>
        <w:t>s rationally, lawfully and reasonably lin</w:t>
      </w:r>
      <w:r w:rsidR="00965DF6">
        <w:rPr>
          <w:sz w:val="22"/>
          <w:szCs w:val="22"/>
        </w:rPr>
        <w:t xml:space="preserve">ked to her findings and award. </w:t>
      </w:r>
      <w:r w:rsidR="00965DF6" w:rsidRPr="00965DF6">
        <w:rPr>
          <w:sz w:val="22"/>
          <w:szCs w:val="22"/>
        </w:rPr>
        <w:t xml:space="preserve"> </w:t>
      </w:r>
      <w:r w:rsidR="00965DF6">
        <w:rPr>
          <w:sz w:val="22"/>
          <w:szCs w:val="22"/>
        </w:rPr>
        <w:t>Therefore, this matter</w:t>
      </w:r>
      <w:r w:rsidR="00965DF6" w:rsidRPr="00965DF6">
        <w:rPr>
          <w:sz w:val="22"/>
          <w:szCs w:val="22"/>
        </w:rPr>
        <w:t xml:space="preserve"> implicates constitutional rights a</w:t>
      </w:r>
      <w:r w:rsidR="00965DF6">
        <w:rPr>
          <w:sz w:val="22"/>
          <w:szCs w:val="22"/>
        </w:rPr>
        <w:t xml:space="preserve">nd values and raises </w:t>
      </w:r>
      <w:r w:rsidR="00965DF6" w:rsidRPr="00965DF6">
        <w:rPr>
          <w:sz w:val="22"/>
          <w:szCs w:val="22"/>
        </w:rPr>
        <w:t>arguable points of law of substantial public importance.</w:t>
      </w:r>
    </w:p>
    <w:p w14:paraId="124EEC88" w14:textId="7A427664" w:rsidR="00984782" w:rsidRPr="00984782" w:rsidRDefault="00984782" w:rsidP="00984782">
      <w:pPr>
        <w:rPr>
          <w:sz w:val="22"/>
          <w:szCs w:val="22"/>
        </w:rPr>
      </w:pPr>
    </w:p>
    <w:p w14:paraId="36A46D31" w14:textId="78565D28" w:rsidR="00023E79" w:rsidRDefault="00965DF6" w:rsidP="00DE5133">
      <w:pPr>
        <w:rPr>
          <w:sz w:val="22"/>
          <w:szCs w:val="22"/>
        </w:rPr>
      </w:pPr>
      <w:r>
        <w:rPr>
          <w:sz w:val="22"/>
          <w:szCs w:val="22"/>
        </w:rPr>
        <w:t>Ms Mongwaket</w:t>
      </w:r>
      <w:r w:rsidR="00BC0E1C">
        <w:rPr>
          <w:sz w:val="22"/>
          <w:szCs w:val="22"/>
        </w:rPr>
        <w:t>se has not participated in the</w:t>
      </w:r>
      <w:r>
        <w:rPr>
          <w:sz w:val="22"/>
          <w:szCs w:val="22"/>
        </w:rPr>
        <w:t xml:space="preserve"> proceedings </w:t>
      </w:r>
      <w:r w:rsidR="00BC0E1C">
        <w:rPr>
          <w:sz w:val="22"/>
          <w:szCs w:val="22"/>
        </w:rPr>
        <w:t xml:space="preserve">before this Court </w:t>
      </w:r>
      <w:r>
        <w:rPr>
          <w:sz w:val="22"/>
          <w:szCs w:val="22"/>
        </w:rPr>
        <w:t>and has instead filed a notice to abide by this Court’s decision.</w:t>
      </w:r>
    </w:p>
    <w:p w14:paraId="662D2FB8" w14:textId="6E8CA3F2" w:rsidR="00965DF6" w:rsidRDefault="00965DF6" w:rsidP="00DE5133">
      <w:pPr>
        <w:rPr>
          <w:sz w:val="22"/>
          <w:szCs w:val="22"/>
        </w:rPr>
      </w:pPr>
    </w:p>
    <w:p w14:paraId="5A94936F" w14:textId="7BE7A68F" w:rsidR="00965AF2" w:rsidRPr="000E5EF0" w:rsidRDefault="00965DF6" w:rsidP="000E5EF0">
      <w:pPr>
        <w:pStyle w:val="JUDGMENTNUMBERED"/>
        <w:numPr>
          <w:ilvl w:val="0"/>
          <w:numId w:val="0"/>
        </w:numPr>
        <w:spacing w:line="240" w:lineRule="auto"/>
        <w:rPr>
          <w:sz w:val="22"/>
          <w:lang w:val="en-US"/>
        </w:rPr>
      </w:pPr>
      <w:r>
        <w:rPr>
          <w:sz w:val="22"/>
        </w:rPr>
        <w:t xml:space="preserve">On 10 November 2021, the Constitutional Court granted an application by the Centre for Applied Legal Studies (CALS) to be admitted as amicus curiae and to make brief oral submissions.  </w:t>
      </w:r>
      <w:r w:rsidRPr="00965DF6">
        <w:rPr>
          <w:sz w:val="22"/>
        </w:rPr>
        <w:t xml:space="preserve">The submissions advanced by CALS </w:t>
      </w:r>
      <w:r w:rsidR="00552C24">
        <w:rPr>
          <w:sz w:val="22"/>
        </w:rPr>
        <w:t>are</w:t>
      </w:r>
      <w:r w:rsidRPr="00965DF6">
        <w:rPr>
          <w:sz w:val="22"/>
        </w:rPr>
        <w:t xml:space="preserve"> </w:t>
      </w:r>
      <w:r>
        <w:rPr>
          <w:sz w:val="22"/>
        </w:rPr>
        <w:t xml:space="preserve">that </w:t>
      </w:r>
      <w:r w:rsidRPr="00965DF6">
        <w:rPr>
          <w:sz w:val="22"/>
          <w:lang w:val="en-US"/>
        </w:rPr>
        <w:t>the application turns largely on the proper interpretation of the terms “complainant” and “complaint” as those terms are defined in section 1 of the Pensions Funds Act</w:t>
      </w:r>
      <w:r w:rsidR="000E5EF0" w:rsidRPr="00965DF6">
        <w:rPr>
          <w:sz w:val="22"/>
          <w:lang w:val="en-US"/>
        </w:rPr>
        <w:t xml:space="preserve"> </w:t>
      </w:r>
      <w:r w:rsidRPr="00965DF6">
        <w:rPr>
          <w:sz w:val="22"/>
          <w:lang w:val="en-US"/>
        </w:rPr>
        <w:t xml:space="preserve">as well as the powers </w:t>
      </w:r>
      <w:r>
        <w:rPr>
          <w:sz w:val="22"/>
          <w:lang w:val="en-US"/>
        </w:rPr>
        <w:t>of the PFA</w:t>
      </w:r>
      <w:r w:rsidRPr="00965DF6">
        <w:rPr>
          <w:sz w:val="22"/>
          <w:lang w:val="en-US"/>
        </w:rPr>
        <w:t xml:space="preserve"> to grant relief to complainants.  Accordingly</w:t>
      </w:r>
      <w:r w:rsidR="000E5EF0">
        <w:rPr>
          <w:sz w:val="22"/>
          <w:lang w:val="en-US"/>
        </w:rPr>
        <w:t>,</w:t>
      </w:r>
      <w:r w:rsidRPr="00965DF6">
        <w:rPr>
          <w:sz w:val="22"/>
          <w:lang w:val="en-US"/>
        </w:rPr>
        <w:t xml:space="preserve"> to CALS, if the applicants’ interpretation of paragraph (d) of the definition of the term “complainant” </w:t>
      </w:r>
      <w:r w:rsidRPr="000E5EF0">
        <w:rPr>
          <w:sz w:val="22"/>
          <w:lang w:val="en-US"/>
        </w:rPr>
        <w:t>is upheld</w:t>
      </w:r>
      <w:r w:rsidRPr="00965DF6">
        <w:rPr>
          <w:sz w:val="22"/>
          <w:lang w:val="en-US"/>
        </w:rPr>
        <w:t xml:space="preserve">, certain categories of people will no longer be able to lodge complaints with the Office </w:t>
      </w:r>
      <w:r w:rsidR="000E5EF0">
        <w:rPr>
          <w:sz w:val="22"/>
          <w:lang w:val="en-US"/>
        </w:rPr>
        <w:t>of the PFA</w:t>
      </w:r>
      <w:r w:rsidR="00552C24">
        <w:rPr>
          <w:sz w:val="22"/>
          <w:lang w:val="en-US"/>
        </w:rPr>
        <w:t>, and that this interpretation would be inconsistent with constitutional values and the objects of the Pension Funds Act</w:t>
      </w:r>
      <w:r w:rsidRPr="00965DF6">
        <w:rPr>
          <w:sz w:val="22"/>
          <w:lang w:val="en-US"/>
        </w:rPr>
        <w:t>.</w:t>
      </w:r>
    </w:p>
    <w:sectPr w:rsidR="00965AF2" w:rsidRPr="000E5EF0"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B5EE1A" w14:textId="77777777" w:rsidR="000D4BC9" w:rsidRDefault="000D4BC9" w:rsidP="00B32119">
      <w:r>
        <w:separator/>
      </w:r>
    </w:p>
  </w:endnote>
  <w:endnote w:type="continuationSeparator" w:id="0">
    <w:p w14:paraId="7B8D66BD" w14:textId="77777777" w:rsidR="000D4BC9" w:rsidRDefault="000D4BC9"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13971" w14:textId="77777777" w:rsidR="000D4BC9" w:rsidRDefault="000D4BC9" w:rsidP="00B32119">
      <w:r>
        <w:separator/>
      </w:r>
    </w:p>
  </w:footnote>
  <w:footnote w:type="continuationSeparator" w:id="0">
    <w:p w14:paraId="64E0A49C" w14:textId="77777777" w:rsidR="000D4BC9" w:rsidRDefault="000D4BC9"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0BCC05EA"/>
    <w:lvl w:ilvl="0" w:tplc="24FC4BD8">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850" w:hanging="360"/>
      </w:pPr>
    </w:lvl>
    <w:lvl w:ilvl="2" w:tplc="0409001B">
      <w:start w:val="1"/>
      <w:numFmt w:val="lowerRoman"/>
      <w:lvlText w:val="%3."/>
      <w:lvlJc w:val="right"/>
      <w:pPr>
        <w:ind w:left="1570" w:hanging="180"/>
      </w:pPr>
    </w:lvl>
    <w:lvl w:ilvl="3" w:tplc="5CAEF33A">
      <w:start w:val="1"/>
      <w:numFmt w:val="decimal"/>
      <w:lvlText w:val="%4."/>
      <w:lvlJc w:val="left"/>
      <w:pPr>
        <w:ind w:left="2290" w:hanging="360"/>
      </w:pPr>
      <w:rPr>
        <w:rFonts w:hint="default"/>
      </w:rPr>
    </w:lvl>
    <w:lvl w:ilvl="4" w:tplc="04090019">
      <w:start w:val="1"/>
      <w:numFmt w:val="lowerLetter"/>
      <w:lvlText w:val="%5."/>
      <w:lvlJc w:val="left"/>
      <w:pPr>
        <w:ind w:left="3010" w:hanging="360"/>
      </w:pPr>
    </w:lvl>
    <w:lvl w:ilvl="5" w:tplc="0409001B" w:tentative="1">
      <w:start w:val="1"/>
      <w:numFmt w:val="lowerRoman"/>
      <w:lvlText w:val="%6."/>
      <w:lvlJc w:val="right"/>
      <w:pPr>
        <w:ind w:left="3730" w:hanging="180"/>
      </w:pPr>
    </w:lvl>
    <w:lvl w:ilvl="6" w:tplc="0409000F" w:tentative="1">
      <w:start w:val="1"/>
      <w:numFmt w:val="decimal"/>
      <w:lvlText w:val="%7."/>
      <w:lvlJc w:val="left"/>
      <w:pPr>
        <w:ind w:left="4450" w:hanging="360"/>
      </w:pPr>
    </w:lvl>
    <w:lvl w:ilvl="7" w:tplc="04090019" w:tentative="1">
      <w:start w:val="1"/>
      <w:numFmt w:val="lowerLetter"/>
      <w:lvlText w:val="%8."/>
      <w:lvlJc w:val="left"/>
      <w:pPr>
        <w:ind w:left="5170" w:hanging="360"/>
      </w:pPr>
    </w:lvl>
    <w:lvl w:ilvl="8" w:tplc="0409001B" w:tentative="1">
      <w:start w:val="1"/>
      <w:numFmt w:val="lowerRoman"/>
      <w:lvlText w:val="%9."/>
      <w:lvlJc w:val="right"/>
      <w:pPr>
        <w:ind w:left="5890" w:hanging="180"/>
      </w:pPr>
    </w:lvl>
  </w:abstractNum>
  <w:abstractNum w:abstractNumId="1"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 w:name="dgnword-docGUID" w:val="{AA58966A-E173-474F-88F3-59A3212E6C9E}"/>
    <w:docVar w:name="dgnword-eventsink" w:val="463158328"/>
  </w:docVars>
  <w:rsids>
    <w:rsidRoot w:val="009342A7"/>
    <w:rsid w:val="00006DE8"/>
    <w:rsid w:val="0001092A"/>
    <w:rsid w:val="00012C72"/>
    <w:rsid w:val="000152DC"/>
    <w:rsid w:val="00015637"/>
    <w:rsid w:val="00017302"/>
    <w:rsid w:val="000220FD"/>
    <w:rsid w:val="00023E79"/>
    <w:rsid w:val="00023FA7"/>
    <w:rsid w:val="0003383F"/>
    <w:rsid w:val="00042529"/>
    <w:rsid w:val="00044771"/>
    <w:rsid w:val="000548D7"/>
    <w:rsid w:val="00055B29"/>
    <w:rsid w:val="00062A56"/>
    <w:rsid w:val="00063D7D"/>
    <w:rsid w:val="000654B1"/>
    <w:rsid w:val="0007028D"/>
    <w:rsid w:val="00070E99"/>
    <w:rsid w:val="000806AE"/>
    <w:rsid w:val="00080C42"/>
    <w:rsid w:val="0009089C"/>
    <w:rsid w:val="00091F8C"/>
    <w:rsid w:val="00093CD0"/>
    <w:rsid w:val="00093E39"/>
    <w:rsid w:val="00094E7C"/>
    <w:rsid w:val="000965AF"/>
    <w:rsid w:val="000A2FE3"/>
    <w:rsid w:val="000A36D1"/>
    <w:rsid w:val="000A36F3"/>
    <w:rsid w:val="000A3E78"/>
    <w:rsid w:val="000B1629"/>
    <w:rsid w:val="000D0467"/>
    <w:rsid w:val="000D09EA"/>
    <w:rsid w:val="000D35AE"/>
    <w:rsid w:val="000D4BC9"/>
    <w:rsid w:val="000D4E21"/>
    <w:rsid w:val="000E2D16"/>
    <w:rsid w:val="000E5D1B"/>
    <w:rsid w:val="000E5EF0"/>
    <w:rsid w:val="000F505F"/>
    <w:rsid w:val="00100894"/>
    <w:rsid w:val="00100B8E"/>
    <w:rsid w:val="00104A9F"/>
    <w:rsid w:val="00110C58"/>
    <w:rsid w:val="00113454"/>
    <w:rsid w:val="00117D6B"/>
    <w:rsid w:val="00122E3D"/>
    <w:rsid w:val="00125BE8"/>
    <w:rsid w:val="00143037"/>
    <w:rsid w:val="00145795"/>
    <w:rsid w:val="0015307D"/>
    <w:rsid w:val="00172A2C"/>
    <w:rsid w:val="00177687"/>
    <w:rsid w:val="00181DF6"/>
    <w:rsid w:val="0018233B"/>
    <w:rsid w:val="00182534"/>
    <w:rsid w:val="00194E27"/>
    <w:rsid w:val="001A204B"/>
    <w:rsid w:val="001A24C8"/>
    <w:rsid w:val="001C1FF7"/>
    <w:rsid w:val="001E31D8"/>
    <w:rsid w:val="001E57F4"/>
    <w:rsid w:val="001E5F5A"/>
    <w:rsid w:val="001E7604"/>
    <w:rsid w:val="00200AB8"/>
    <w:rsid w:val="00204002"/>
    <w:rsid w:val="00214228"/>
    <w:rsid w:val="00215823"/>
    <w:rsid w:val="0022481B"/>
    <w:rsid w:val="00225092"/>
    <w:rsid w:val="002348C0"/>
    <w:rsid w:val="00234A3B"/>
    <w:rsid w:val="0023777A"/>
    <w:rsid w:val="002435AB"/>
    <w:rsid w:val="00250C27"/>
    <w:rsid w:val="00253986"/>
    <w:rsid w:val="00253F18"/>
    <w:rsid w:val="002705A8"/>
    <w:rsid w:val="002715F6"/>
    <w:rsid w:val="0027251B"/>
    <w:rsid w:val="002B3E1A"/>
    <w:rsid w:val="002D184B"/>
    <w:rsid w:val="002D4415"/>
    <w:rsid w:val="002D7582"/>
    <w:rsid w:val="002E3C4F"/>
    <w:rsid w:val="002F0409"/>
    <w:rsid w:val="002F6F3A"/>
    <w:rsid w:val="00305423"/>
    <w:rsid w:val="003123B8"/>
    <w:rsid w:val="0031792A"/>
    <w:rsid w:val="00323149"/>
    <w:rsid w:val="00323F9B"/>
    <w:rsid w:val="003255EA"/>
    <w:rsid w:val="0032682A"/>
    <w:rsid w:val="00331205"/>
    <w:rsid w:val="003313F6"/>
    <w:rsid w:val="00334E0F"/>
    <w:rsid w:val="0034274C"/>
    <w:rsid w:val="00357788"/>
    <w:rsid w:val="00365A5E"/>
    <w:rsid w:val="0037027B"/>
    <w:rsid w:val="003706CA"/>
    <w:rsid w:val="0037720A"/>
    <w:rsid w:val="003807A5"/>
    <w:rsid w:val="003845A8"/>
    <w:rsid w:val="003850ED"/>
    <w:rsid w:val="00386254"/>
    <w:rsid w:val="003954AD"/>
    <w:rsid w:val="003B2DF5"/>
    <w:rsid w:val="003B4484"/>
    <w:rsid w:val="003B73B4"/>
    <w:rsid w:val="003C40ED"/>
    <w:rsid w:val="003C47FD"/>
    <w:rsid w:val="003C5C34"/>
    <w:rsid w:val="003D1CF1"/>
    <w:rsid w:val="003F0347"/>
    <w:rsid w:val="003F1959"/>
    <w:rsid w:val="003F3E2F"/>
    <w:rsid w:val="004036FB"/>
    <w:rsid w:val="004065B7"/>
    <w:rsid w:val="00410075"/>
    <w:rsid w:val="004173B2"/>
    <w:rsid w:val="00420491"/>
    <w:rsid w:val="004209BD"/>
    <w:rsid w:val="00426812"/>
    <w:rsid w:val="004302FD"/>
    <w:rsid w:val="00430A5A"/>
    <w:rsid w:val="00430C6F"/>
    <w:rsid w:val="004426F8"/>
    <w:rsid w:val="00443E51"/>
    <w:rsid w:val="00450ABB"/>
    <w:rsid w:val="00455279"/>
    <w:rsid w:val="00456688"/>
    <w:rsid w:val="00465BDB"/>
    <w:rsid w:val="004830F1"/>
    <w:rsid w:val="00490008"/>
    <w:rsid w:val="00490F2C"/>
    <w:rsid w:val="004937E5"/>
    <w:rsid w:val="004A1AEE"/>
    <w:rsid w:val="004A3AF5"/>
    <w:rsid w:val="004A7EFF"/>
    <w:rsid w:val="004C5AD8"/>
    <w:rsid w:val="004C7EF7"/>
    <w:rsid w:val="004D716D"/>
    <w:rsid w:val="004F5485"/>
    <w:rsid w:val="005038A1"/>
    <w:rsid w:val="00511769"/>
    <w:rsid w:val="005138E9"/>
    <w:rsid w:val="00524F3A"/>
    <w:rsid w:val="005257B9"/>
    <w:rsid w:val="00526226"/>
    <w:rsid w:val="005275CE"/>
    <w:rsid w:val="005307A5"/>
    <w:rsid w:val="00532739"/>
    <w:rsid w:val="0053527E"/>
    <w:rsid w:val="00537D15"/>
    <w:rsid w:val="00542C96"/>
    <w:rsid w:val="00552C24"/>
    <w:rsid w:val="00556C67"/>
    <w:rsid w:val="005705CE"/>
    <w:rsid w:val="00571CD9"/>
    <w:rsid w:val="00573AEA"/>
    <w:rsid w:val="00575456"/>
    <w:rsid w:val="00583B54"/>
    <w:rsid w:val="005851AB"/>
    <w:rsid w:val="0058759D"/>
    <w:rsid w:val="00587A53"/>
    <w:rsid w:val="00594B56"/>
    <w:rsid w:val="005A6719"/>
    <w:rsid w:val="005B2F2F"/>
    <w:rsid w:val="005B51EB"/>
    <w:rsid w:val="005C0624"/>
    <w:rsid w:val="005C7764"/>
    <w:rsid w:val="005D1333"/>
    <w:rsid w:val="005D26E3"/>
    <w:rsid w:val="005D724E"/>
    <w:rsid w:val="005E1996"/>
    <w:rsid w:val="005E52AC"/>
    <w:rsid w:val="005E557D"/>
    <w:rsid w:val="005F322E"/>
    <w:rsid w:val="005F66C7"/>
    <w:rsid w:val="00603036"/>
    <w:rsid w:val="00611DC5"/>
    <w:rsid w:val="00616848"/>
    <w:rsid w:val="006242C5"/>
    <w:rsid w:val="00624FFE"/>
    <w:rsid w:val="006262B2"/>
    <w:rsid w:val="00626FA6"/>
    <w:rsid w:val="00630AA9"/>
    <w:rsid w:val="00631927"/>
    <w:rsid w:val="00642528"/>
    <w:rsid w:val="00647427"/>
    <w:rsid w:val="006474CE"/>
    <w:rsid w:val="006524D4"/>
    <w:rsid w:val="006543E3"/>
    <w:rsid w:val="00655EAB"/>
    <w:rsid w:val="00672DA7"/>
    <w:rsid w:val="006735C9"/>
    <w:rsid w:val="00674452"/>
    <w:rsid w:val="006749D6"/>
    <w:rsid w:val="00676CFE"/>
    <w:rsid w:val="00685C91"/>
    <w:rsid w:val="006879F3"/>
    <w:rsid w:val="00692FF6"/>
    <w:rsid w:val="00694175"/>
    <w:rsid w:val="006966FC"/>
    <w:rsid w:val="006A0AF7"/>
    <w:rsid w:val="006A7FB5"/>
    <w:rsid w:val="006B623D"/>
    <w:rsid w:val="006C2FE7"/>
    <w:rsid w:val="006E2952"/>
    <w:rsid w:val="006E31E6"/>
    <w:rsid w:val="006E6A2F"/>
    <w:rsid w:val="006F29BF"/>
    <w:rsid w:val="006F5920"/>
    <w:rsid w:val="00702C32"/>
    <w:rsid w:val="007106E2"/>
    <w:rsid w:val="00712458"/>
    <w:rsid w:val="00716FAA"/>
    <w:rsid w:val="00720ACA"/>
    <w:rsid w:val="00722A4D"/>
    <w:rsid w:val="00746B37"/>
    <w:rsid w:val="00747234"/>
    <w:rsid w:val="00750F83"/>
    <w:rsid w:val="00752C8F"/>
    <w:rsid w:val="00754D6F"/>
    <w:rsid w:val="00762738"/>
    <w:rsid w:val="007659FF"/>
    <w:rsid w:val="007746CE"/>
    <w:rsid w:val="00775169"/>
    <w:rsid w:val="00776DFE"/>
    <w:rsid w:val="00780477"/>
    <w:rsid w:val="00780874"/>
    <w:rsid w:val="0078535D"/>
    <w:rsid w:val="00797919"/>
    <w:rsid w:val="00797F90"/>
    <w:rsid w:val="007B7B41"/>
    <w:rsid w:val="007C18A4"/>
    <w:rsid w:val="007C55CD"/>
    <w:rsid w:val="007C65D9"/>
    <w:rsid w:val="007D003C"/>
    <w:rsid w:val="007D37A2"/>
    <w:rsid w:val="007D6DF5"/>
    <w:rsid w:val="007E61FC"/>
    <w:rsid w:val="007F0EF4"/>
    <w:rsid w:val="007F7DCD"/>
    <w:rsid w:val="00801124"/>
    <w:rsid w:val="0081741F"/>
    <w:rsid w:val="00823B02"/>
    <w:rsid w:val="00823BEA"/>
    <w:rsid w:val="0083215D"/>
    <w:rsid w:val="00834D25"/>
    <w:rsid w:val="008351C8"/>
    <w:rsid w:val="00837DCD"/>
    <w:rsid w:val="0084198C"/>
    <w:rsid w:val="008546B4"/>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B661D"/>
    <w:rsid w:val="008B7AF4"/>
    <w:rsid w:val="008C3682"/>
    <w:rsid w:val="008D24BC"/>
    <w:rsid w:val="008D3D39"/>
    <w:rsid w:val="008D425E"/>
    <w:rsid w:val="008E54C8"/>
    <w:rsid w:val="008F4B8F"/>
    <w:rsid w:val="0090690C"/>
    <w:rsid w:val="00910F26"/>
    <w:rsid w:val="00911DB9"/>
    <w:rsid w:val="00914A5D"/>
    <w:rsid w:val="00922660"/>
    <w:rsid w:val="00933D59"/>
    <w:rsid w:val="0093415D"/>
    <w:rsid w:val="009342A7"/>
    <w:rsid w:val="009544B2"/>
    <w:rsid w:val="0096072E"/>
    <w:rsid w:val="009642D7"/>
    <w:rsid w:val="00965AF2"/>
    <w:rsid w:val="00965DF6"/>
    <w:rsid w:val="00970CB9"/>
    <w:rsid w:val="009754CF"/>
    <w:rsid w:val="00982E4B"/>
    <w:rsid w:val="00984782"/>
    <w:rsid w:val="00992CAE"/>
    <w:rsid w:val="009A21E9"/>
    <w:rsid w:val="009B4F3C"/>
    <w:rsid w:val="009B57AD"/>
    <w:rsid w:val="009B7D1B"/>
    <w:rsid w:val="009C3B50"/>
    <w:rsid w:val="009D67E9"/>
    <w:rsid w:val="009D7E25"/>
    <w:rsid w:val="009E4433"/>
    <w:rsid w:val="009E5C52"/>
    <w:rsid w:val="009E7D9D"/>
    <w:rsid w:val="009F0F46"/>
    <w:rsid w:val="00A0140F"/>
    <w:rsid w:val="00A142B7"/>
    <w:rsid w:val="00A20A6F"/>
    <w:rsid w:val="00A22E04"/>
    <w:rsid w:val="00A32744"/>
    <w:rsid w:val="00A37027"/>
    <w:rsid w:val="00A47D4A"/>
    <w:rsid w:val="00A51C04"/>
    <w:rsid w:val="00A51E59"/>
    <w:rsid w:val="00A55B9B"/>
    <w:rsid w:val="00A718F6"/>
    <w:rsid w:val="00A73247"/>
    <w:rsid w:val="00A81378"/>
    <w:rsid w:val="00A8571D"/>
    <w:rsid w:val="00A875A1"/>
    <w:rsid w:val="00A93911"/>
    <w:rsid w:val="00A946F5"/>
    <w:rsid w:val="00AA0D1D"/>
    <w:rsid w:val="00AA17C0"/>
    <w:rsid w:val="00AA3378"/>
    <w:rsid w:val="00AA517A"/>
    <w:rsid w:val="00AC133D"/>
    <w:rsid w:val="00AC5170"/>
    <w:rsid w:val="00AC799A"/>
    <w:rsid w:val="00AD14A5"/>
    <w:rsid w:val="00AE4640"/>
    <w:rsid w:val="00AE79D9"/>
    <w:rsid w:val="00AF0A36"/>
    <w:rsid w:val="00AF4708"/>
    <w:rsid w:val="00AF67D4"/>
    <w:rsid w:val="00B01EB4"/>
    <w:rsid w:val="00B113DA"/>
    <w:rsid w:val="00B125B5"/>
    <w:rsid w:val="00B16B75"/>
    <w:rsid w:val="00B2229F"/>
    <w:rsid w:val="00B3177F"/>
    <w:rsid w:val="00B31B92"/>
    <w:rsid w:val="00B31E30"/>
    <w:rsid w:val="00B32119"/>
    <w:rsid w:val="00B35A91"/>
    <w:rsid w:val="00B36F54"/>
    <w:rsid w:val="00B4092A"/>
    <w:rsid w:val="00B428BE"/>
    <w:rsid w:val="00B4658E"/>
    <w:rsid w:val="00B47EF9"/>
    <w:rsid w:val="00B62B8B"/>
    <w:rsid w:val="00B630F2"/>
    <w:rsid w:val="00B667D0"/>
    <w:rsid w:val="00B66D1F"/>
    <w:rsid w:val="00B71B72"/>
    <w:rsid w:val="00B75813"/>
    <w:rsid w:val="00B758E3"/>
    <w:rsid w:val="00B80F33"/>
    <w:rsid w:val="00B97560"/>
    <w:rsid w:val="00BA4C52"/>
    <w:rsid w:val="00BB1F1E"/>
    <w:rsid w:val="00BB378B"/>
    <w:rsid w:val="00BB7220"/>
    <w:rsid w:val="00BB7490"/>
    <w:rsid w:val="00BC0E1C"/>
    <w:rsid w:val="00BC2FB3"/>
    <w:rsid w:val="00BD2999"/>
    <w:rsid w:val="00BE5F93"/>
    <w:rsid w:val="00BE6FBD"/>
    <w:rsid w:val="00BE7B6C"/>
    <w:rsid w:val="00BF0B33"/>
    <w:rsid w:val="00BF7FF2"/>
    <w:rsid w:val="00C12733"/>
    <w:rsid w:val="00C140D4"/>
    <w:rsid w:val="00C14E9E"/>
    <w:rsid w:val="00C15790"/>
    <w:rsid w:val="00C27574"/>
    <w:rsid w:val="00C30D22"/>
    <w:rsid w:val="00C43D8A"/>
    <w:rsid w:val="00C44D82"/>
    <w:rsid w:val="00C45F8A"/>
    <w:rsid w:val="00C47F29"/>
    <w:rsid w:val="00C51AFC"/>
    <w:rsid w:val="00C536E8"/>
    <w:rsid w:val="00C55305"/>
    <w:rsid w:val="00C55A66"/>
    <w:rsid w:val="00C616DF"/>
    <w:rsid w:val="00C70B69"/>
    <w:rsid w:val="00C772D9"/>
    <w:rsid w:val="00C83020"/>
    <w:rsid w:val="00C85429"/>
    <w:rsid w:val="00C94CD1"/>
    <w:rsid w:val="00C96321"/>
    <w:rsid w:val="00CA21ED"/>
    <w:rsid w:val="00CA458C"/>
    <w:rsid w:val="00CB2E3D"/>
    <w:rsid w:val="00CB5343"/>
    <w:rsid w:val="00CC7D4D"/>
    <w:rsid w:val="00CD4DBE"/>
    <w:rsid w:val="00CE1309"/>
    <w:rsid w:val="00CE23D4"/>
    <w:rsid w:val="00CE51A0"/>
    <w:rsid w:val="00CF76C9"/>
    <w:rsid w:val="00D10D70"/>
    <w:rsid w:val="00D12501"/>
    <w:rsid w:val="00D200E8"/>
    <w:rsid w:val="00D2249B"/>
    <w:rsid w:val="00D276AF"/>
    <w:rsid w:val="00D356A3"/>
    <w:rsid w:val="00D40819"/>
    <w:rsid w:val="00D46A11"/>
    <w:rsid w:val="00D47EF8"/>
    <w:rsid w:val="00D528F2"/>
    <w:rsid w:val="00D5335F"/>
    <w:rsid w:val="00D553C8"/>
    <w:rsid w:val="00D634EE"/>
    <w:rsid w:val="00D64480"/>
    <w:rsid w:val="00D64E65"/>
    <w:rsid w:val="00D659C5"/>
    <w:rsid w:val="00D670FC"/>
    <w:rsid w:val="00D75BA8"/>
    <w:rsid w:val="00D81F8F"/>
    <w:rsid w:val="00D824A4"/>
    <w:rsid w:val="00D86239"/>
    <w:rsid w:val="00DA1235"/>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6435"/>
    <w:rsid w:val="00E17A92"/>
    <w:rsid w:val="00E2105F"/>
    <w:rsid w:val="00E21452"/>
    <w:rsid w:val="00E27310"/>
    <w:rsid w:val="00E3316F"/>
    <w:rsid w:val="00E52FDA"/>
    <w:rsid w:val="00E53AE0"/>
    <w:rsid w:val="00E545EA"/>
    <w:rsid w:val="00E611E6"/>
    <w:rsid w:val="00E62044"/>
    <w:rsid w:val="00E661EE"/>
    <w:rsid w:val="00E70F05"/>
    <w:rsid w:val="00E71A9E"/>
    <w:rsid w:val="00E736CB"/>
    <w:rsid w:val="00E75952"/>
    <w:rsid w:val="00E8342B"/>
    <w:rsid w:val="00E905F5"/>
    <w:rsid w:val="00E93F86"/>
    <w:rsid w:val="00E97F73"/>
    <w:rsid w:val="00EA113C"/>
    <w:rsid w:val="00EB0F3B"/>
    <w:rsid w:val="00EB5124"/>
    <w:rsid w:val="00EC30F9"/>
    <w:rsid w:val="00EC3DF4"/>
    <w:rsid w:val="00ED5B69"/>
    <w:rsid w:val="00EE10EC"/>
    <w:rsid w:val="00EE5AC0"/>
    <w:rsid w:val="00EE7EF0"/>
    <w:rsid w:val="00F02A0E"/>
    <w:rsid w:val="00F04568"/>
    <w:rsid w:val="00F04EC0"/>
    <w:rsid w:val="00F43565"/>
    <w:rsid w:val="00F43ADD"/>
    <w:rsid w:val="00F46736"/>
    <w:rsid w:val="00F50679"/>
    <w:rsid w:val="00F5283F"/>
    <w:rsid w:val="00F52D12"/>
    <w:rsid w:val="00F55913"/>
    <w:rsid w:val="00F56833"/>
    <w:rsid w:val="00F70E31"/>
    <w:rsid w:val="00F7354E"/>
    <w:rsid w:val="00F74A3C"/>
    <w:rsid w:val="00F77A10"/>
    <w:rsid w:val="00F83B5D"/>
    <w:rsid w:val="00F91C22"/>
    <w:rsid w:val="00FB2AFF"/>
    <w:rsid w:val="00FB3D42"/>
    <w:rsid w:val="00FB43E0"/>
    <w:rsid w:val="00FB4B18"/>
    <w:rsid w:val="00FC212B"/>
    <w:rsid w:val="00FC2754"/>
    <w:rsid w:val="00FC3C42"/>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797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nhideWhenUsed/>
    <w:qFormat/>
    <w:rsid w:val="007D003C"/>
    <w:rPr>
      <w:vertAlign w:val="superscript"/>
    </w:rPr>
  </w:style>
  <w:style w:type="paragraph" w:customStyle="1" w:styleId="JUDGMENTCONTINUED">
    <w:name w:val="JUDGMENT CONTINUED"/>
    <w:basedOn w:val="Normal"/>
    <w:next w:val="Normal"/>
    <w:qFormat/>
    <w:rsid w:val="00BE5F93"/>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BE5F93"/>
    <w:pPr>
      <w:numPr>
        <w:numId w:val="2"/>
      </w:numPr>
      <w:spacing w:line="360" w:lineRule="auto"/>
      <w:ind w:left="1040"/>
    </w:pPr>
    <w:rPr>
      <w:rFonts w:eastAsia="Calibri"/>
      <w:sz w:val="26"/>
      <w:szCs w:val="22"/>
    </w:rPr>
  </w:style>
  <w:style w:type="character" w:customStyle="1" w:styleId="JUDGMENTNUMBEREDChar">
    <w:name w:val="JUDGMENT NUMBERED Char"/>
    <w:basedOn w:val="DefaultParagraphFont"/>
    <w:link w:val="JUDGMENTNUMBERED"/>
    <w:rsid w:val="00965DF6"/>
    <w:rPr>
      <w:rFonts w:eastAsia="Calibri"/>
      <w:sz w:val="2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913DA4-2CD4-4127-A6F3-2C8BD068AE5E}">
  <ds:schemaRefs>
    <ds:schemaRef ds:uri="http://schemas.openxmlformats.org/officeDocument/2006/bibliography"/>
  </ds:schemaRefs>
</ds:datastoreItem>
</file>

<file path=customXml/itemProps2.xml><?xml version="1.0" encoding="utf-8"?>
<ds:datastoreItem xmlns:ds="http://schemas.openxmlformats.org/officeDocument/2006/customXml" ds:itemID="{E8F94F7F-2DAF-497C-8198-6F5C975EB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1658</Words>
  <Characters>8633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2021-11-29T11:19:00Z</dcterms:created>
  <dcterms:modified xsi:type="dcterms:W3CDTF">2021-11-29T11:30:00Z</dcterms:modified>
</cp:coreProperties>
</file>