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44C659B" w14:textId="77777777" w:rsidR="00500AE1" w:rsidRDefault="00500AE1" w:rsidP="00500AE1">
      <w:pPr>
        <w:pStyle w:val="BodyA"/>
        <w:spacing w:line="240" w:lineRule="auto"/>
        <w:jc w:val="center"/>
        <w:outlineLvl w:val="0"/>
      </w:pPr>
      <w:r>
        <w:rPr>
          <w:b/>
          <w:bCs/>
          <w:noProof/>
          <w:color w:val="1F497D"/>
          <w:u w:color="1F497D"/>
          <w:lang w:eastAsia="en-US"/>
        </w:rPr>
        <w:drawing>
          <wp:inline distT="0" distB="0" distL="0" distR="0" wp14:anchorId="18C01B6F" wp14:editId="1CE93CEE">
            <wp:extent cx="849732" cy="876300"/>
            <wp:effectExtent l="0" t="0" r="0" b="0"/>
            <wp:docPr id="1073741825" name="officeArt object" descr="Picture 1"/>
            <wp:cNvGraphicFramePr/>
            <a:graphic xmlns:a="http://schemas.openxmlformats.org/drawingml/2006/main">
              <a:graphicData uri="http://schemas.openxmlformats.org/drawingml/2006/picture">
                <pic:pic xmlns:pic="http://schemas.openxmlformats.org/drawingml/2006/picture">
                  <pic:nvPicPr>
                    <pic:cNvPr id="1073741825" name="Picture 1" descr="Picture 1"/>
                    <pic:cNvPicPr>
                      <a:picLocks noChangeAspect="1"/>
                    </pic:cNvPicPr>
                  </pic:nvPicPr>
                  <pic:blipFill>
                    <a:blip r:embed="rId7"/>
                    <a:stretch>
                      <a:fillRect/>
                    </a:stretch>
                  </pic:blipFill>
                  <pic:spPr>
                    <a:xfrm>
                      <a:off x="0" y="0"/>
                      <a:ext cx="849732" cy="876300"/>
                    </a:xfrm>
                    <a:prstGeom prst="rect">
                      <a:avLst/>
                    </a:prstGeom>
                    <a:ln w="12700" cap="flat">
                      <a:noFill/>
                      <a:miter lim="400000"/>
                    </a:ln>
                    <a:effectLst/>
                  </pic:spPr>
                </pic:pic>
              </a:graphicData>
            </a:graphic>
          </wp:inline>
        </w:drawing>
      </w:r>
    </w:p>
    <w:p w14:paraId="51E2AD78" w14:textId="77777777" w:rsidR="00500AE1" w:rsidRDefault="00500AE1" w:rsidP="00500AE1">
      <w:pPr>
        <w:pStyle w:val="BodyA"/>
        <w:spacing w:line="240" w:lineRule="auto"/>
        <w:jc w:val="center"/>
        <w:outlineLvl w:val="0"/>
      </w:pPr>
    </w:p>
    <w:p w14:paraId="0025BD59" w14:textId="77777777" w:rsidR="00500AE1" w:rsidRDefault="00500AE1" w:rsidP="00500AE1">
      <w:pPr>
        <w:pStyle w:val="BodyA"/>
        <w:spacing w:line="240" w:lineRule="auto"/>
        <w:jc w:val="center"/>
        <w:outlineLvl w:val="0"/>
      </w:pPr>
      <w:r>
        <w:rPr>
          <w:b/>
          <w:bCs/>
        </w:rPr>
        <w:t>CONSTITUTIONAL COURT OF SOUTH AFRICA</w:t>
      </w:r>
    </w:p>
    <w:p w14:paraId="42DDB043" w14:textId="77777777" w:rsidR="00500AE1" w:rsidRDefault="00500AE1" w:rsidP="00500AE1">
      <w:pPr>
        <w:pStyle w:val="BodyA"/>
        <w:spacing w:line="240" w:lineRule="auto"/>
      </w:pPr>
    </w:p>
    <w:p w14:paraId="4DBFC545" w14:textId="77777777" w:rsidR="00500AE1" w:rsidRDefault="00500AE1" w:rsidP="00500AE1">
      <w:pPr>
        <w:pStyle w:val="BodyA"/>
        <w:spacing w:line="240" w:lineRule="auto"/>
        <w:jc w:val="center"/>
        <w:rPr>
          <w:b/>
          <w:bCs/>
        </w:rPr>
      </w:pPr>
      <w:r>
        <w:rPr>
          <w:b/>
          <w:bCs/>
        </w:rPr>
        <w:t>Minister of Police and Others v Fidelity Security Services (Pty) Limited</w:t>
      </w:r>
    </w:p>
    <w:p w14:paraId="50FFC281" w14:textId="77777777" w:rsidR="00500AE1" w:rsidRPr="006B575B" w:rsidRDefault="00500AE1" w:rsidP="00500AE1">
      <w:pPr>
        <w:pStyle w:val="BodyA"/>
        <w:spacing w:line="240" w:lineRule="auto"/>
        <w:jc w:val="center"/>
        <w:rPr>
          <w:b/>
          <w:bCs/>
        </w:rPr>
      </w:pPr>
    </w:p>
    <w:p w14:paraId="7ED5B1EA" w14:textId="77777777" w:rsidR="00500AE1" w:rsidRDefault="00500AE1" w:rsidP="00500AE1">
      <w:pPr>
        <w:pStyle w:val="BodyA"/>
        <w:tabs>
          <w:tab w:val="right" w:pos="9000"/>
        </w:tabs>
        <w:spacing w:line="240" w:lineRule="auto"/>
      </w:pPr>
      <w:r>
        <w:tab/>
        <w:t>Case CCT 195/21</w:t>
      </w:r>
    </w:p>
    <w:p w14:paraId="67176327" w14:textId="77777777" w:rsidR="00500AE1" w:rsidRDefault="00500AE1" w:rsidP="00500AE1">
      <w:pPr>
        <w:pStyle w:val="BodyA"/>
        <w:tabs>
          <w:tab w:val="left" w:pos="8520"/>
        </w:tabs>
        <w:spacing w:line="240" w:lineRule="auto"/>
      </w:pPr>
    </w:p>
    <w:p w14:paraId="0743C6D5" w14:textId="77777777" w:rsidR="00500AE1" w:rsidRDefault="00500AE1" w:rsidP="00500AE1">
      <w:pPr>
        <w:pStyle w:val="BodyA"/>
        <w:tabs>
          <w:tab w:val="right" w:pos="9000"/>
        </w:tabs>
        <w:spacing w:line="240" w:lineRule="auto"/>
      </w:pPr>
      <w:r>
        <w:tab/>
        <w:t xml:space="preserve">Date of Hearing: </w:t>
      </w:r>
      <w:r w:rsidR="00497490">
        <w:t>18</w:t>
      </w:r>
      <w:r>
        <w:t xml:space="preserve"> November 2021</w:t>
      </w:r>
    </w:p>
    <w:p w14:paraId="4E2F8FED" w14:textId="77777777" w:rsidR="00500AE1" w:rsidRDefault="00500AE1" w:rsidP="00500AE1">
      <w:pPr>
        <w:pStyle w:val="BodyA"/>
        <w:tabs>
          <w:tab w:val="right" w:pos="9000"/>
        </w:tabs>
        <w:spacing w:line="240" w:lineRule="auto"/>
      </w:pPr>
    </w:p>
    <w:p w14:paraId="11B159EE" w14:textId="77777777" w:rsidR="00500AE1" w:rsidRDefault="00500AE1" w:rsidP="00500AE1">
      <w:pPr>
        <w:pStyle w:val="BodyA"/>
        <w:spacing w:line="240" w:lineRule="auto"/>
      </w:pPr>
    </w:p>
    <w:p w14:paraId="5BD3C957" w14:textId="77777777" w:rsidR="00500AE1" w:rsidRDefault="00500AE1" w:rsidP="00500AE1">
      <w:pPr>
        <w:pStyle w:val="BodyA"/>
        <w:keepNext/>
        <w:pBdr>
          <w:top w:val="single" w:sz="4" w:space="0" w:color="000000"/>
        </w:pBdr>
        <w:spacing w:line="240" w:lineRule="auto"/>
        <w:jc w:val="center"/>
      </w:pPr>
    </w:p>
    <w:p w14:paraId="66DFEC30" w14:textId="77777777" w:rsidR="00500AE1" w:rsidRDefault="00500AE1" w:rsidP="00500AE1">
      <w:pPr>
        <w:pStyle w:val="BodyA"/>
        <w:keepNext/>
        <w:spacing w:line="240" w:lineRule="auto"/>
        <w:jc w:val="center"/>
        <w:outlineLvl w:val="0"/>
      </w:pPr>
      <w:r>
        <w:rPr>
          <w:b/>
          <w:bCs/>
          <w:lang w:val="da-DK"/>
        </w:rPr>
        <w:t>MEDIA SUMMARY</w:t>
      </w:r>
    </w:p>
    <w:p w14:paraId="3774E89F" w14:textId="77777777" w:rsidR="00500AE1" w:rsidRDefault="00500AE1" w:rsidP="00500AE1">
      <w:pPr>
        <w:pStyle w:val="BodyA"/>
        <w:pBdr>
          <w:bottom w:val="single" w:sz="4" w:space="0" w:color="000000"/>
        </w:pBdr>
        <w:spacing w:line="240" w:lineRule="auto"/>
        <w:jc w:val="center"/>
      </w:pPr>
    </w:p>
    <w:p w14:paraId="5DF5D4B6" w14:textId="77777777" w:rsidR="00CD283F" w:rsidRDefault="00CD283F" w:rsidP="00500AE1">
      <w:pPr>
        <w:pStyle w:val="JUDGMENTCONTINUED"/>
        <w:spacing w:line="240" w:lineRule="auto"/>
        <w:rPr>
          <w:i/>
          <w:iCs/>
        </w:rPr>
      </w:pPr>
    </w:p>
    <w:p w14:paraId="1B0CE6EB" w14:textId="6E9179AD" w:rsidR="00500AE1" w:rsidRPr="007E2CC3" w:rsidRDefault="00500AE1" w:rsidP="00500AE1">
      <w:pPr>
        <w:pStyle w:val="JUDGMENTCONTINUED"/>
        <w:spacing w:line="240" w:lineRule="auto"/>
        <w:rPr>
          <w:i/>
          <w:iCs/>
        </w:rPr>
      </w:pPr>
      <w:r>
        <w:rPr>
          <w:i/>
          <w:iCs/>
        </w:rPr>
        <w:t>The following explanatory note is provided to assist the media in reporting this case and is not binding on the Constitutional Court or any member of the Court.</w:t>
      </w:r>
    </w:p>
    <w:p w14:paraId="59037FF7" w14:textId="77777777" w:rsidR="00C0615B" w:rsidRDefault="006E3E3F"/>
    <w:p w14:paraId="76510237" w14:textId="14C8143C" w:rsidR="00497490" w:rsidRDefault="00497490" w:rsidP="00497490">
      <w:pPr>
        <w:spacing w:line="360" w:lineRule="auto"/>
      </w:pPr>
      <w:r>
        <w:t>On 18 November 2021 at 10h00, the Constitutional Court will hear an appeal against a finding</w:t>
      </w:r>
      <w:r w:rsidR="00CD283F">
        <w:t xml:space="preserve"> made by the Supreme Court of Appeal</w:t>
      </w:r>
      <w:r>
        <w:t xml:space="preserve"> that Fidelity Security Services (Pty) Limited (Fidelity) is entitled to apply fo</w:t>
      </w:r>
      <w:r w:rsidR="002F0997">
        <w:t>r new firearm licences,</w:t>
      </w:r>
      <w:r>
        <w:t xml:space="preserve"> despite the fact it had allow</w:t>
      </w:r>
      <w:r w:rsidR="008360E9">
        <w:t>ed</w:t>
      </w:r>
      <w:r>
        <w:t xml:space="preserve"> th</w:t>
      </w:r>
      <w:r w:rsidR="00CD283F">
        <w:t>o</w:t>
      </w:r>
      <w:r>
        <w:t>se to expire.</w:t>
      </w:r>
    </w:p>
    <w:p w14:paraId="1CCEEFDE" w14:textId="77777777" w:rsidR="00497490" w:rsidRDefault="00497490" w:rsidP="00497490">
      <w:pPr>
        <w:spacing w:line="360" w:lineRule="auto"/>
      </w:pPr>
    </w:p>
    <w:p w14:paraId="49D4E31A" w14:textId="48B43F02" w:rsidR="00497490" w:rsidRDefault="00912080" w:rsidP="002F0997">
      <w:pPr>
        <w:pStyle w:val="JUDGMENTNUMBERED"/>
        <w:numPr>
          <w:ilvl w:val="0"/>
          <w:numId w:val="0"/>
        </w:numPr>
      </w:pPr>
      <w:r>
        <w:t xml:space="preserve">As one of the largest security companies in South Africa, </w:t>
      </w:r>
      <w:r w:rsidR="00497490">
        <w:t xml:space="preserve">Fidelity </w:t>
      </w:r>
      <w:r w:rsidR="00810A40">
        <w:t>was licensed to possess some 8500 firearms.</w:t>
      </w:r>
      <w:r w:rsidR="00497490">
        <w:t xml:space="preserve">  </w:t>
      </w:r>
      <w:r w:rsidR="000B674C">
        <w:t xml:space="preserve">Due to an administrative error, </w:t>
      </w:r>
      <w:r w:rsidR="00810A40">
        <w:t xml:space="preserve">the licences of some 700 firearms </w:t>
      </w:r>
      <w:r w:rsidR="000B674C">
        <w:t>were</w:t>
      </w:r>
      <w:r w:rsidR="00810A40">
        <w:t xml:space="preserve"> not renewed timeously, so that they terminated by operation of law</w:t>
      </w:r>
      <w:r>
        <w:t>, namely in terms of the Firearms Control Act 60 of 2000 (the Act)</w:t>
      </w:r>
      <w:r w:rsidR="00810A40">
        <w:t xml:space="preserve">.  </w:t>
      </w:r>
      <w:r w:rsidR="00497490">
        <w:t>On 18 April 2016, F</w:t>
      </w:r>
      <w:r w:rsidR="000B674C">
        <w:t xml:space="preserve">idelity </w:t>
      </w:r>
      <w:r w:rsidR="00810A40">
        <w:t xml:space="preserve">attempted to renew the licences, but </w:t>
      </w:r>
      <w:r w:rsidR="00497490">
        <w:t>the Designated Firearm Officer at the Florida police station refused to accept the late applications for renewal</w:t>
      </w:r>
      <w:r w:rsidR="000B674C">
        <w:t>, acting in terms of the Act</w:t>
      </w:r>
      <w:r w:rsidR="00497490">
        <w:t>.</w:t>
      </w:r>
    </w:p>
    <w:p w14:paraId="071932EB" w14:textId="77777777" w:rsidR="002F0997" w:rsidRDefault="002F0997" w:rsidP="002F0997">
      <w:pPr>
        <w:pStyle w:val="JUDGMENTCONTINUED"/>
      </w:pPr>
    </w:p>
    <w:p w14:paraId="6CC30602" w14:textId="4A76A83B" w:rsidR="008A0F71" w:rsidRDefault="002F0997" w:rsidP="008A0F71">
      <w:pPr>
        <w:pStyle w:val="JUDGMENTNUMBERED"/>
        <w:numPr>
          <w:ilvl w:val="0"/>
          <w:numId w:val="0"/>
        </w:numPr>
      </w:pPr>
      <w:r>
        <w:t xml:space="preserve">Fidelity </w:t>
      </w:r>
      <w:r w:rsidRPr="002E506C">
        <w:t>launched an application in the High Court of South Africa, Gauteng Division, Pretoria (High Court)</w:t>
      </w:r>
      <w:r>
        <w:t xml:space="preserve">, seeking to compel the police to accept </w:t>
      </w:r>
      <w:r w:rsidR="00912080">
        <w:t xml:space="preserve">its </w:t>
      </w:r>
      <w:r>
        <w:t xml:space="preserve">late renewal applications and </w:t>
      </w:r>
      <w:r w:rsidR="00912080">
        <w:t xml:space="preserve">to </w:t>
      </w:r>
      <w:r>
        <w:t>interdict them from seizing the firearms</w:t>
      </w:r>
      <w:r w:rsidR="00667764">
        <w:t xml:space="preserve"> for which the </w:t>
      </w:r>
      <w:r>
        <w:t xml:space="preserve">licences had </w:t>
      </w:r>
      <w:r>
        <w:lastRenderedPageBreak/>
        <w:t>terminated.</w:t>
      </w:r>
      <w:r w:rsidR="008A0F71">
        <w:t xml:space="preserve">  The High Court held that the Act must be interpreted to require the firearms to be surrendered and destroyed, and that this did not infringe upon Fidelity’s constitutional rights.</w:t>
      </w:r>
    </w:p>
    <w:p w14:paraId="10CA741D" w14:textId="77777777" w:rsidR="008A0F71" w:rsidRDefault="008A0F71" w:rsidP="008A0F71">
      <w:pPr>
        <w:pStyle w:val="JUDGMENTCONTINUED"/>
      </w:pPr>
    </w:p>
    <w:p w14:paraId="41D539E7" w14:textId="42B9DF0D" w:rsidR="00497490" w:rsidRDefault="008A0F71" w:rsidP="000878A9">
      <w:pPr>
        <w:pStyle w:val="JUDGMENTCONTINUED"/>
      </w:pPr>
      <w:r>
        <w:t>Aggrieved, Fidelity approac</w:t>
      </w:r>
      <w:r w:rsidR="000B674C">
        <w:t>hed the Supreme Court of Appeal</w:t>
      </w:r>
      <w:r>
        <w:t xml:space="preserve">.  </w:t>
      </w:r>
      <w:r>
        <w:rPr>
          <w:lang w:eastAsia="en-ZA"/>
        </w:rPr>
        <w:t>Th</w:t>
      </w:r>
      <w:r w:rsidR="00912080">
        <w:rPr>
          <w:lang w:eastAsia="en-ZA"/>
        </w:rPr>
        <w:t>at</w:t>
      </w:r>
      <w:r>
        <w:rPr>
          <w:lang w:eastAsia="en-ZA"/>
        </w:rPr>
        <w:t xml:space="preserve"> </w:t>
      </w:r>
      <w:r w:rsidR="000B674C">
        <w:rPr>
          <w:lang w:eastAsia="en-ZA"/>
        </w:rPr>
        <w:t>Court</w:t>
      </w:r>
      <w:r>
        <w:rPr>
          <w:lang w:eastAsia="en-ZA"/>
        </w:rPr>
        <w:t xml:space="preserve"> found that there is nothing in the Act </w:t>
      </w:r>
      <w:r w:rsidR="00912080">
        <w:rPr>
          <w:lang w:eastAsia="en-ZA"/>
        </w:rPr>
        <w:t>n</w:t>
      </w:r>
      <w:r>
        <w:rPr>
          <w:lang w:eastAsia="en-ZA"/>
        </w:rPr>
        <w:t>or the regulations that suggests that someone whose licence has terminated by operation of law is forever precluded from applying for a new licence.</w:t>
      </w:r>
      <w:r w:rsidR="000878A9">
        <w:rPr>
          <w:lang w:eastAsia="en-ZA"/>
        </w:rPr>
        <w:t xml:space="preserve">  Destroying firearms</w:t>
      </w:r>
      <w:r w:rsidR="000B674C">
        <w:rPr>
          <w:lang w:eastAsia="en-ZA"/>
        </w:rPr>
        <w:t>,</w:t>
      </w:r>
      <w:r w:rsidR="000878A9">
        <w:rPr>
          <w:lang w:eastAsia="en-ZA"/>
        </w:rPr>
        <w:t xml:space="preserve"> and then requiring firearm owners to buy new firearms</w:t>
      </w:r>
      <w:r w:rsidR="000B674C">
        <w:rPr>
          <w:lang w:eastAsia="en-ZA"/>
        </w:rPr>
        <w:t xml:space="preserve"> to make a new licence application</w:t>
      </w:r>
      <w:r w:rsidR="000878A9">
        <w:rPr>
          <w:lang w:eastAsia="en-ZA"/>
        </w:rPr>
        <w:t xml:space="preserve">, is neither sensible </w:t>
      </w:r>
      <w:r w:rsidR="00912080">
        <w:rPr>
          <w:lang w:eastAsia="en-ZA"/>
        </w:rPr>
        <w:t>n</w:t>
      </w:r>
      <w:r w:rsidR="000878A9">
        <w:rPr>
          <w:lang w:eastAsia="en-ZA"/>
        </w:rPr>
        <w:t xml:space="preserve">or business-like.  </w:t>
      </w:r>
      <w:r w:rsidR="000B674C">
        <w:rPr>
          <w:lang w:eastAsia="en-ZA"/>
        </w:rPr>
        <w:t>Ultimately, the</w:t>
      </w:r>
      <w:r w:rsidR="000878A9">
        <w:rPr>
          <w:lang w:eastAsia="en-ZA"/>
        </w:rPr>
        <w:t xml:space="preserve"> Supreme Court of Appeal found that Fidelity</w:t>
      </w:r>
      <w:r w:rsidR="000B674C">
        <w:rPr>
          <w:lang w:eastAsia="en-ZA"/>
        </w:rPr>
        <w:t xml:space="preserve"> was</w:t>
      </w:r>
      <w:r w:rsidR="000878A9">
        <w:rPr>
          <w:lang w:eastAsia="en-ZA"/>
        </w:rPr>
        <w:t xml:space="preserve"> entitled to apply afresh for new licences to possess firearms.</w:t>
      </w:r>
    </w:p>
    <w:p w14:paraId="2C1B23B1" w14:textId="77777777" w:rsidR="000878A9" w:rsidRDefault="000878A9" w:rsidP="000878A9">
      <w:pPr>
        <w:pStyle w:val="JUDGMENTCONTINUED"/>
      </w:pPr>
    </w:p>
    <w:p w14:paraId="28350FCC" w14:textId="39A25D16" w:rsidR="006832D1" w:rsidRDefault="000878A9" w:rsidP="000878A9">
      <w:pPr>
        <w:pStyle w:val="JUDGMENTCONTINUED"/>
      </w:pPr>
      <w:r>
        <w:t xml:space="preserve">The Minister of Police, the Minister of Justice and the Acting National Commissioner of the South African Police Service </w:t>
      </w:r>
      <w:r w:rsidR="006832D1">
        <w:t xml:space="preserve">(the applicants) </w:t>
      </w:r>
      <w:r>
        <w:t xml:space="preserve">have approached the Constitutional Court to appeal this decision.  </w:t>
      </w:r>
      <w:r w:rsidR="006832D1">
        <w:t xml:space="preserve">Relying on the </w:t>
      </w:r>
      <w:r>
        <w:t xml:space="preserve">decision of the Constitutional Court in </w:t>
      </w:r>
      <w:r w:rsidR="006832D1" w:rsidRPr="00A8348D">
        <w:rPr>
          <w:i/>
        </w:rPr>
        <w:t>Minister of Safety and Security v South African Hunters and Game Conservation Association</w:t>
      </w:r>
      <w:r w:rsidR="006832D1">
        <w:rPr>
          <w:i/>
        </w:rPr>
        <w:t xml:space="preserve"> </w:t>
      </w:r>
      <w:r w:rsidR="006832D1">
        <w:t>[2018] ZACC 14; 2018 (2) SACR 164 (CC); 2018 (1) BCLR 1268 (CC) (</w:t>
      </w:r>
      <w:r w:rsidR="006832D1">
        <w:rPr>
          <w:i/>
        </w:rPr>
        <w:t>SA</w:t>
      </w:r>
      <w:r w:rsidR="00A02722">
        <w:rPr>
          <w:i/>
        </w:rPr>
        <w:t> </w:t>
      </w:r>
      <w:r w:rsidR="006832D1">
        <w:rPr>
          <w:i/>
        </w:rPr>
        <w:t>Hunters</w:t>
      </w:r>
      <w:r w:rsidR="006832D1">
        <w:t>), the crux of their application is that Fidelity is precluded from applying for licenses for those firearms</w:t>
      </w:r>
      <w:r w:rsidR="00667764">
        <w:t xml:space="preserve"> for which the </w:t>
      </w:r>
      <w:r w:rsidR="006832D1">
        <w:t>licences have not been renewed in accordance with the Act</w:t>
      </w:r>
      <w:r w:rsidR="00A02722">
        <w:t>, and have therefore terminated by operation of law</w:t>
      </w:r>
      <w:r w:rsidR="006832D1">
        <w:t>.</w:t>
      </w:r>
      <w:r w:rsidR="006832D1" w:rsidRPr="00AA7B9F">
        <w:rPr>
          <w:i/>
        </w:rPr>
        <w:t xml:space="preserve"> </w:t>
      </w:r>
      <w:r>
        <w:t xml:space="preserve"> </w:t>
      </w:r>
      <w:r w:rsidR="006832D1">
        <w:t>The applicants submit that the Supreme Court of Appeal interpreted the Act to ignore the offence, elevating Fidelity’s financial prejudice over the demands of legality.</w:t>
      </w:r>
    </w:p>
    <w:p w14:paraId="16ABDE6D" w14:textId="77777777" w:rsidR="006832D1" w:rsidRDefault="006832D1" w:rsidP="006832D1">
      <w:pPr>
        <w:pStyle w:val="JUDGMENTCONTINUED"/>
      </w:pPr>
    </w:p>
    <w:p w14:paraId="5A80C2DA" w14:textId="67B71A3E" w:rsidR="006832D1" w:rsidRDefault="006832D1" w:rsidP="006832D1">
      <w:pPr>
        <w:pStyle w:val="JUDGMENTCONTINUED"/>
        <w:rPr>
          <w:szCs w:val="26"/>
          <w:lang w:val="en-US"/>
        </w:rPr>
      </w:pPr>
      <w:r>
        <w:rPr>
          <w:lang w:val="en-US"/>
        </w:rPr>
        <w:t>Fidelity</w:t>
      </w:r>
      <w:r w:rsidR="00215FCA">
        <w:rPr>
          <w:lang w:val="en-US"/>
        </w:rPr>
        <w:t xml:space="preserve"> opposes the application.  It</w:t>
      </w:r>
      <w:r>
        <w:rPr>
          <w:lang w:val="en-US"/>
        </w:rPr>
        <w:t xml:space="preserve"> submits that </w:t>
      </w:r>
      <w:r>
        <w:rPr>
          <w:i/>
          <w:lang w:val="en-US"/>
        </w:rPr>
        <w:t xml:space="preserve">SA Hunters </w:t>
      </w:r>
      <w:r>
        <w:rPr>
          <w:lang w:val="en-US"/>
        </w:rPr>
        <w:t>established only that firearms</w:t>
      </w:r>
      <w:r w:rsidR="00667764">
        <w:rPr>
          <w:lang w:val="en-US"/>
        </w:rPr>
        <w:t xml:space="preserve"> for which the</w:t>
      </w:r>
      <w:r>
        <w:rPr>
          <w:lang w:val="en-US"/>
        </w:rPr>
        <w:t xml:space="preserve"> licen</w:t>
      </w:r>
      <w:r w:rsidR="00667764">
        <w:rPr>
          <w:lang w:val="en-US"/>
        </w:rPr>
        <w:t>c</w:t>
      </w:r>
      <w:r>
        <w:rPr>
          <w:lang w:val="en-US"/>
        </w:rPr>
        <w:t>es have expired must be handed over to the police.  It did not suggest that the firearm must be surrendered for destruction.</w:t>
      </w:r>
      <w:r w:rsidR="003C3D40">
        <w:rPr>
          <w:szCs w:val="26"/>
          <w:lang w:val="en-US"/>
        </w:rPr>
        <w:t xml:space="preserve">  </w:t>
      </w:r>
      <w:r w:rsidR="00A02722">
        <w:rPr>
          <w:szCs w:val="26"/>
          <w:lang w:val="en-US"/>
        </w:rPr>
        <w:t>According to Fidelity, t</w:t>
      </w:r>
      <w:r w:rsidRPr="004E6401">
        <w:rPr>
          <w:lang w:val="en-US"/>
        </w:rPr>
        <w:t xml:space="preserve">he lapsing of a licence to possess a firearm does not </w:t>
      </w:r>
      <w:r w:rsidR="003C3D40">
        <w:rPr>
          <w:lang w:val="en-US"/>
        </w:rPr>
        <w:t xml:space="preserve">terminate ownership.  It also does not bar the </w:t>
      </w:r>
      <w:r w:rsidR="00A02722">
        <w:rPr>
          <w:lang w:val="en-US"/>
        </w:rPr>
        <w:t xml:space="preserve">owner </w:t>
      </w:r>
      <w:r w:rsidR="003C3D40">
        <w:rPr>
          <w:lang w:val="en-US"/>
        </w:rPr>
        <w:t xml:space="preserve">of the firearm from applying for </w:t>
      </w:r>
      <w:r w:rsidR="00A02722">
        <w:rPr>
          <w:lang w:val="en-US"/>
        </w:rPr>
        <w:t xml:space="preserve">the </w:t>
      </w:r>
      <w:r w:rsidR="003C3D40">
        <w:rPr>
          <w:lang w:val="en-US"/>
        </w:rPr>
        <w:t>renewal of the licence</w:t>
      </w:r>
      <w:r w:rsidR="00A02722">
        <w:rPr>
          <w:lang w:val="en-US"/>
        </w:rPr>
        <w:t>.  T</w:t>
      </w:r>
      <w:r w:rsidR="003C3D40">
        <w:rPr>
          <w:lang w:val="en-US"/>
        </w:rPr>
        <w:t>o interpret the Act thus constitutes a breach of the fundamental right to just administrative action.</w:t>
      </w:r>
      <w:r>
        <w:rPr>
          <w:lang w:val="en-US"/>
        </w:rPr>
        <w:t xml:space="preserve">  </w:t>
      </w:r>
      <w:r w:rsidR="003C3D40">
        <w:rPr>
          <w:lang w:val="en-US"/>
        </w:rPr>
        <w:t>In addition, Fidelity submits that the applicants’ interpretation of the Act is not logical or business</w:t>
      </w:r>
      <w:r w:rsidR="00A02722">
        <w:rPr>
          <w:lang w:val="en-US"/>
        </w:rPr>
        <w:noBreakHyphen/>
      </w:r>
      <w:r w:rsidR="003C3D40">
        <w:rPr>
          <w:lang w:val="en-US"/>
        </w:rPr>
        <w:t xml:space="preserve">like, </w:t>
      </w:r>
      <w:r w:rsidR="00A02722">
        <w:rPr>
          <w:lang w:val="en-US"/>
        </w:rPr>
        <w:t xml:space="preserve">impinges upon its property rights and to </w:t>
      </w:r>
      <w:r w:rsidR="00215FCA">
        <w:rPr>
          <w:lang w:val="en-US"/>
        </w:rPr>
        <w:t xml:space="preserve">right to </w:t>
      </w:r>
      <w:r w:rsidR="00A02722">
        <w:rPr>
          <w:lang w:val="en-US"/>
        </w:rPr>
        <w:t xml:space="preserve">trade, </w:t>
      </w:r>
      <w:r w:rsidR="003C3D40">
        <w:rPr>
          <w:lang w:val="en-US"/>
        </w:rPr>
        <w:t xml:space="preserve">and is in </w:t>
      </w:r>
      <w:r w:rsidR="003C3D40">
        <w:rPr>
          <w:lang w:val="en-US"/>
        </w:rPr>
        <w:lastRenderedPageBreak/>
        <w:t xml:space="preserve">fact </w:t>
      </w:r>
      <w:r>
        <w:rPr>
          <w:szCs w:val="26"/>
          <w:lang w:val="en-US"/>
        </w:rPr>
        <w:t>in direct conflict with one of the objectives of the Act</w:t>
      </w:r>
      <w:r w:rsidR="00A02722">
        <w:rPr>
          <w:szCs w:val="26"/>
          <w:lang w:val="en-US"/>
        </w:rPr>
        <w:t xml:space="preserve"> itself</w:t>
      </w:r>
      <w:r>
        <w:rPr>
          <w:szCs w:val="26"/>
          <w:lang w:val="en-US"/>
        </w:rPr>
        <w:t xml:space="preserve">, </w:t>
      </w:r>
      <w:r w:rsidR="00A02722">
        <w:rPr>
          <w:szCs w:val="26"/>
          <w:lang w:val="en-US"/>
        </w:rPr>
        <w:t xml:space="preserve">that is </w:t>
      </w:r>
      <w:r>
        <w:rPr>
          <w:szCs w:val="26"/>
          <w:lang w:val="en-US"/>
        </w:rPr>
        <w:t>to limit the proliferation of firearms.</w:t>
      </w:r>
      <w:r w:rsidR="003C3D40">
        <w:rPr>
          <w:szCs w:val="26"/>
          <w:lang w:val="en-US"/>
        </w:rPr>
        <w:t xml:space="preserve">  </w:t>
      </w:r>
      <w:r w:rsidR="00215FCA">
        <w:rPr>
          <w:szCs w:val="26"/>
          <w:lang w:val="en-US"/>
        </w:rPr>
        <w:t>According to Fidelity, t</w:t>
      </w:r>
      <w:r w:rsidR="003C3D40">
        <w:rPr>
          <w:szCs w:val="26"/>
          <w:lang w:val="en-US"/>
        </w:rPr>
        <w:t>his interpretation could not have been the intention of the Legislature.</w:t>
      </w:r>
      <w:r w:rsidR="00215FCA">
        <w:rPr>
          <w:szCs w:val="26"/>
          <w:lang w:val="en-US"/>
        </w:rPr>
        <w:t xml:space="preserve">  Fidelity asks this Court to uphold the order of the Supreme Court of Appeal, although it brings a cross-appeal against the costs order of that Court.</w:t>
      </w:r>
    </w:p>
    <w:p w14:paraId="020D7E16" w14:textId="647D5D3B" w:rsidR="00215FCA" w:rsidRDefault="00215FCA" w:rsidP="00182612">
      <w:pPr>
        <w:pStyle w:val="JUDGMENTNUMBERED"/>
        <w:numPr>
          <w:ilvl w:val="0"/>
          <w:numId w:val="0"/>
        </w:numPr>
        <w:ind w:left="360" w:hanging="360"/>
        <w:rPr>
          <w:lang w:val="en-US"/>
        </w:rPr>
      </w:pPr>
    </w:p>
    <w:p w14:paraId="386E9639" w14:textId="10A1C041" w:rsidR="00215FCA" w:rsidRPr="00215FCA" w:rsidRDefault="00215FCA" w:rsidP="00215FCA">
      <w:pPr>
        <w:pStyle w:val="JUDGMENTCONTINUED"/>
        <w:rPr>
          <w:lang w:val="en-US"/>
        </w:rPr>
      </w:pPr>
      <w:r>
        <w:rPr>
          <w:lang w:val="en-US"/>
        </w:rPr>
        <w:t xml:space="preserve">The Constitutional Court has received applications from Sakeliga NPC, </w:t>
      </w:r>
      <w:r w:rsidR="00182612">
        <w:rPr>
          <w:lang w:val="en-US"/>
        </w:rPr>
        <w:t>Gun Owners South Africa NPC,</w:t>
      </w:r>
      <w:r>
        <w:rPr>
          <w:lang w:val="en-US"/>
        </w:rPr>
        <w:t xml:space="preserve"> National Hunting and Shooting Association and Professional Hunting Association of South Africa, to be admitted as </w:t>
      </w:r>
      <w:r w:rsidRPr="00182612">
        <w:rPr>
          <w:i/>
          <w:lang w:val="en-US"/>
        </w:rPr>
        <w:t>amici curiae</w:t>
      </w:r>
      <w:r>
        <w:rPr>
          <w:lang w:val="en-US"/>
        </w:rPr>
        <w:t xml:space="preserve">.  They advance various arguments </w:t>
      </w:r>
      <w:r w:rsidR="00CD7099">
        <w:rPr>
          <w:lang w:val="en-US"/>
        </w:rPr>
        <w:t xml:space="preserve">to assist in the determination of the matter </w:t>
      </w:r>
      <w:r>
        <w:rPr>
          <w:lang w:val="en-US"/>
        </w:rPr>
        <w:t xml:space="preserve">and the Constitutional Court </w:t>
      </w:r>
      <w:r w:rsidR="007C1AC1">
        <w:rPr>
          <w:lang w:val="en-US"/>
        </w:rPr>
        <w:t>has reserved</w:t>
      </w:r>
      <w:bookmarkStart w:id="0" w:name="_GoBack"/>
      <w:bookmarkEnd w:id="0"/>
      <w:r>
        <w:rPr>
          <w:lang w:val="en-US"/>
        </w:rPr>
        <w:t xml:space="preserve"> the decision to admit them.</w:t>
      </w:r>
    </w:p>
    <w:sectPr w:rsidR="00215FCA" w:rsidRPr="00215FCA" w:rsidSect="009B0A31">
      <w:headerReference w:type="default" r:id="rId8"/>
      <w:footerReference w:type="default" r:id="rId9"/>
      <w:type w:val="continuous"/>
      <w:pgSz w:w="11907" w:h="16839" w:code="9"/>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C22707E" w14:textId="77777777" w:rsidR="006E3E3F" w:rsidRDefault="006E3E3F" w:rsidP="00500AE1">
      <w:pPr>
        <w:spacing w:line="240" w:lineRule="auto"/>
      </w:pPr>
      <w:r>
        <w:separator/>
      </w:r>
    </w:p>
  </w:endnote>
  <w:endnote w:type="continuationSeparator" w:id="0">
    <w:p w14:paraId="3916FD8B" w14:textId="77777777" w:rsidR="006E3E3F" w:rsidRDefault="006E3E3F" w:rsidP="00500AE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772B83" w14:textId="77777777" w:rsidR="00921D53" w:rsidRDefault="006E3E3F" w:rsidP="0087217E">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4F1A79D" w14:textId="77777777" w:rsidR="006E3E3F" w:rsidRDefault="006E3E3F" w:rsidP="00500AE1">
      <w:pPr>
        <w:spacing w:line="240" w:lineRule="auto"/>
      </w:pPr>
      <w:r>
        <w:separator/>
      </w:r>
    </w:p>
  </w:footnote>
  <w:footnote w:type="continuationSeparator" w:id="0">
    <w:p w14:paraId="00506631" w14:textId="77777777" w:rsidR="006E3E3F" w:rsidRDefault="006E3E3F" w:rsidP="00500AE1">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1B9FC0" w14:textId="77777777" w:rsidR="00921D53" w:rsidRDefault="006E3E3F" w:rsidP="008C727F">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5A7A26"/>
    <w:multiLevelType w:val="hybridMultilevel"/>
    <w:tmpl w:val="5D54B6FC"/>
    <w:lvl w:ilvl="0" w:tplc="509008F2">
      <w:start w:val="1"/>
      <w:numFmt w:val="decimal"/>
      <w:pStyle w:val="JUDGMENTNUMBERED"/>
      <w:lvlText w:val="[%1]"/>
      <w:lvlJc w:val="left"/>
      <w:pPr>
        <w:ind w:left="360" w:hanging="360"/>
      </w:pPr>
      <w:rPr>
        <w:rFonts w:ascii="Times New Roman" w:hAnsi="Times New Roman" w:hint="default"/>
        <w:b w:val="0"/>
        <w:caps w:val="0"/>
        <w:strike w:val="0"/>
        <w:dstrike w:val="0"/>
        <w:vanish w:val="0"/>
        <w:sz w:val="26"/>
        <w:vertAlign w:val="baseline"/>
        <w14:shadow w14:blurRad="0" w14:dist="0" w14:dir="0" w14:sx="0" w14:sy="0" w14:kx="0" w14:ky="0" w14:algn="none">
          <w14:srgbClr w14:val="000000"/>
        </w14:shadow>
        <w14:textOutline w14:w="0" w14:cap="rnd" w14:cmpd="sng" w14:algn="ctr">
          <w14:noFill/>
          <w14:prstDash w14:val="solid"/>
          <w14:bevel/>
        </w14:textOutline>
      </w:rPr>
    </w:lvl>
    <w:lvl w:ilvl="1" w:tplc="04090019">
      <w:start w:val="1"/>
      <w:numFmt w:val="lowerLetter"/>
      <w:lvlText w:val="%2."/>
      <w:lvlJc w:val="left"/>
      <w:pPr>
        <w:ind w:left="760" w:hanging="360"/>
      </w:pPr>
    </w:lvl>
    <w:lvl w:ilvl="2" w:tplc="0409001B" w:tentative="1">
      <w:start w:val="1"/>
      <w:numFmt w:val="lowerRoman"/>
      <w:lvlText w:val="%3."/>
      <w:lvlJc w:val="right"/>
      <w:pPr>
        <w:ind w:left="1480" w:hanging="180"/>
      </w:pPr>
    </w:lvl>
    <w:lvl w:ilvl="3" w:tplc="0409000F" w:tentative="1">
      <w:start w:val="1"/>
      <w:numFmt w:val="decimal"/>
      <w:lvlText w:val="%4."/>
      <w:lvlJc w:val="left"/>
      <w:pPr>
        <w:ind w:left="2200" w:hanging="360"/>
      </w:pPr>
    </w:lvl>
    <w:lvl w:ilvl="4" w:tplc="04090019" w:tentative="1">
      <w:start w:val="1"/>
      <w:numFmt w:val="lowerLetter"/>
      <w:lvlText w:val="%5."/>
      <w:lvlJc w:val="left"/>
      <w:pPr>
        <w:ind w:left="2920" w:hanging="360"/>
      </w:pPr>
    </w:lvl>
    <w:lvl w:ilvl="5" w:tplc="0409001B" w:tentative="1">
      <w:start w:val="1"/>
      <w:numFmt w:val="lowerRoman"/>
      <w:lvlText w:val="%6."/>
      <w:lvlJc w:val="right"/>
      <w:pPr>
        <w:ind w:left="3640" w:hanging="180"/>
      </w:pPr>
    </w:lvl>
    <w:lvl w:ilvl="6" w:tplc="0409000F" w:tentative="1">
      <w:start w:val="1"/>
      <w:numFmt w:val="decimal"/>
      <w:lvlText w:val="%7."/>
      <w:lvlJc w:val="left"/>
      <w:pPr>
        <w:ind w:left="4360" w:hanging="360"/>
      </w:pPr>
    </w:lvl>
    <w:lvl w:ilvl="7" w:tplc="04090019" w:tentative="1">
      <w:start w:val="1"/>
      <w:numFmt w:val="lowerLetter"/>
      <w:lvlText w:val="%8."/>
      <w:lvlJc w:val="left"/>
      <w:pPr>
        <w:ind w:left="5080" w:hanging="360"/>
      </w:pPr>
    </w:lvl>
    <w:lvl w:ilvl="8" w:tplc="0409001B" w:tentative="1">
      <w:start w:val="1"/>
      <w:numFmt w:val="lowerRoman"/>
      <w:lvlText w:val="%9."/>
      <w:lvlJc w:val="right"/>
      <w:pPr>
        <w:ind w:left="5800" w:hanging="180"/>
      </w:pPr>
    </w:lvl>
  </w:abstractNum>
  <w:abstractNum w:abstractNumId="1" w15:restartNumberingAfterBreak="0">
    <w:nsid w:val="34BF434D"/>
    <w:multiLevelType w:val="hybridMultilevel"/>
    <w:tmpl w:val="07A23600"/>
    <w:lvl w:ilvl="0" w:tplc="430469DE">
      <w:start w:val="1"/>
      <w:numFmt w:val="lowerLetter"/>
      <w:lvlText w:val="(%1)"/>
      <w:lvlJc w:val="left"/>
      <w:pPr>
        <w:ind w:left="2160" w:hanging="720"/>
      </w:pPr>
      <w:rPr>
        <w:rFonts w:hint="default"/>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2" w15:restartNumberingAfterBreak="0">
    <w:nsid w:val="4C801DFE"/>
    <w:multiLevelType w:val="hybridMultilevel"/>
    <w:tmpl w:val="DAE03E1C"/>
    <w:lvl w:ilvl="0" w:tplc="1C09000F">
      <w:start w:val="1"/>
      <w:numFmt w:val="decimal"/>
      <w:lvlText w:val="%1."/>
      <w:lvlJc w:val="left"/>
      <w:pPr>
        <w:ind w:left="786" w:hanging="360"/>
      </w:pPr>
    </w:lvl>
    <w:lvl w:ilvl="1" w:tplc="1C090019" w:tentative="1">
      <w:start w:val="1"/>
      <w:numFmt w:val="lowerLetter"/>
      <w:lvlText w:val="%2."/>
      <w:lvlJc w:val="left"/>
      <w:pPr>
        <w:ind w:left="1506" w:hanging="360"/>
      </w:pPr>
    </w:lvl>
    <w:lvl w:ilvl="2" w:tplc="1C09001B" w:tentative="1">
      <w:start w:val="1"/>
      <w:numFmt w:val="lowerRoman"/>
      <w:lvlText w:val="%3."/>
      <w:lvlJc w:val="right"/>
      <w:pPr>
        <w:ind w:left="2226" w:hanging="180"/>
      </w:pPr>
    </w:lvl>
    <w:lvl w:ilvl="3" w:tplc="1C09000F">
      <w:start w:val="1"/>
      <w:numFmt w:val="decimal"/>
      <w:lvlText w:val="%4."/>
      <w:lvlJc w:val="left"/>
      <w:pPr>
        <w:ind w:left="2946" w:hanging="360"/>
      </w:pPr>
    </w:lvl>
    <w:lvl w:ilvl="4" w:tplc="1C090019" w:tentative="1">
      <w:start w:val="1"/>
      <w:numFmt w:val="lowerLetter"/>
      <w:lvlText w:val="%5."/>
      <w:lvlJc w:val="left"/>
      <w:pPr>
        <w:ind w:left="3666" w:hanging="360"/>
      </w:pPr>
    </w:lvl>
    <w:lvl w:ilvl="5" w:tplc="1C09001B" w:tentative="1">
      <w:start w:val="1"/>
      <w:numFmt w:val="lowerRoman"/>
      <w:lvlText w:val="%6."/>
      <w:lvlJc w:val="right"/>
      <w:pPr>
        <w:ind w:left="4386" w:hanging="180"/>
      </w:pPr>
    </w:lvl>
    <w:lvl w:ilvl="6" w:tplc="1C09000F" w:tentative="1">
      <w:start w:val="1"/>
      <w:numFmt w:val="decimal"/>
      <w:lvlText w:val="%7."/>
      <w:lvlJc w:val="left"/>
      <w:pPr>
        <w:ind w:left="5106" w:hanging="360"/>
      </w:pPr>
    </w:lvl>
    <w:lvl w:ilvl="7" w:tplc="1C090019" w:tentative="1">
      <w:start w:val="1"/>
      <w:numFmt w:val="lowerLetter"/>
      <w:lvlText w:val="%8."/>
      <w:lvlJc w:val="left"/>
      <w:pPr>
        <w:ind w:left="5826" w:hanging="360"/>
      </w:pPr>
    </w:lvl>
    <w:lvl w:ilvl="8" w:tplc="1C09001B" w:tentative="1">
      <w:start w:val="1"/>
      <w:numFmt w:val="lowerRoman"/>
      <w:lvlText w:val="%9."/>
      <w:lvlJc w:val="right"/>
      <w:pPr>
        <w:ind w:left="6546"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00AE1"/>
    <w:rsid w:val="000878A9"/>
    <w:rsid w:val="000B674C"/>
    <w:rsid w:val="001449CD"/>
    <w:rsid w:val="00182612"/>
    <w:rsid w:val="00215FCA"/>
    <w:rsid w:val="0026515C"/>
    <w:rsid w:val="002F0997"/>
    <w:rsid w:val="003C3D40"/>
    <w:rsid w:val="003D7D89"/>
    <w:rsid w:val="00497490"/>
    <w:rsid w:val="00500AE1"/>
    <w:rsid w:val="00593640"/>
    <w:rsid w:val="005B181E"/>
    <w:rsid w:val="005C37DD"/>
    <w:rsid w:val="00667764"/>
    <w:rsid w:val="006832D1"/>
    <w:rsid w:val="006E3E3F"/>
    <w:rsid w:val="00777AF5"/>
    <w:rsid w:val="007C1AC1"/>
    <w:rsid w:val="00810A40"/>
    <w:rsid w:val="008360E9"/>
    <w:rsid w:val="008A0F71"/>
    <w:rsid w:val="00912080"/>
    <w:rsid w:val="00A02722"/>
    <w:rsid w:val="00CD283F"/>
    <w:rsid w:val="00CD7099"/>
    <w:rsid w:val="00D10F2F"/>
    <w:rsid w:val="00D32A98"/>
    <w:rsid w:val="00F4040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854FA8"/>
  <w15:chartTrackingRefBased/>
  <w15:docId w15:val="{255292AF-09AA-48C3-A05E-276585FCC9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00AE1"/>
    <w:pPr>
      <w:spacing w:after="0" w:line="480" w:lineRule="auto"/>
      <w:jc w:val="both"/>
    </w:pPr>
    <w:rPr>
      <w:rFonts w:ascii="Times New Roman" w:eastAsia="Calibri" w:hAnsi="Times New Roman" w:cs="Times New Roman"/>
      <w:sz w:val="26"/>
      <w:lang w:val="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500AE1"/>
    <w:pPr>
      <w:numPr>
        <w:numId w:val="1"/>
      </w:numPr>
      <w:spacing w:line="360" w:lineRule="auto"/>
    </w:pPr>
  </w:style>
  <w:style w:type="paragraph" w:customStyle="1" w:styleId="JUDGMENTCONTINUED">
    <w:name w:val="JUDGMENT CONTINUED"/>
    <w:basedOn w:val="JUDGMENTNUMBERED"/>
    <w:next w:val="JUDGMENTNUMBERED"/>
    <w:qFormat/>
    <w:rsid w:val="00500AE1"/>
    <w:pPr>
      <w:numPr>
        <w:numId w:val="0"/>
      </w:numPr>
    </w:pPr>
  </w:style>
  <w:style w:type="paragraph" w:customStyle="1" w:styleId="QUOTATION">
    <w:name w:val="QUOTATION"/>
    <w:basedOn w:val="Normal"/>
    <w:next w:val="JUDGMENTCONTINUED"/>
    <w:qFormat/>
    <w:rsid w:val="00500AE1"/>
    <w:pPr>
      <w:spacing w:line="360" w:lineRule="auto"/>
      <w:ind w:left="720" w:right="720"/>
    </w:pPr>
    <w:rPr>
      <w:sz w:val="22"/>
    </w:rPr>
  </w:style>
  <w:style w:type="paragraph" w:styleId="ListParagraph">
    <w:name w:val="List Paragraph"/>
    <w:basedOn w:val="Normal"/>
    <w:uiPriority w:val="1"/>
    <w:qFormat/>
    <w:rsid w:val="00500AE1"/>
    <w:pPr>
      <w:ind w:left="720"/>
      <w:contextualSpacing/>
    </w:pPr>
  </w:style>
  <w:style w:type="paragraph" w:styleId="FootnoteText">
    <w:name w:val="footnote text"/>
    <w:aliases w:val="Footnote Text Char1 Char,Footnote Text Char Char Char,Footnote Text Char1 Char Char Char,Footnote Text Char Char Char Char Char,Footnote Text Char1 Char Char Char Char Char,Footnote Text Char Char,Footnote Text Char Char1,single space Char"/>
    <w:basedOn w:val="Normal"/>
    <w:link w:val="FootnoteTextChar"/>
    <w:uiPriority w:val="99"/>
    <w:unhideWhenUsed/>
    <w:qFormat/>
    <w:rsid w:val="00500AE1"/>
    <w:pPr>
      <w:spacing w:after="120" w:line="240" w:lineRule="auto"/>
    </w:pPr>
    <w:rPr>
      <w:sz w:val="20"/>
    </w:rPr>
  </w:style>
  <w:style w:type="character" w:customStyle="1" w:styleId="FootnoteTextChar">
    <w:name w:val="Footnote Text Char"/>
    <w:aliases w:val="Footnote Text Char1 Char Char,Footnote Text Char Char Char Char,Footnote Text Char1 Char Char Char Char,Footnote Text Char Char Char Char Char Char,Footnote Text Char1 Char Char Char Char Char Char,Footnote Text Char Char Char1"/>
    <w:basedOn w:val="DefaultParagraphFont"/>
    <w:link w:val="FootnoteText"/>
    <w:uiPriority w:val="99"/>
    <w:rsid w:val="00500AE1"/>
    <w:rPr>
      <w:rFonts w:ascii="Times New Roman" w:eastAsia="Calibri" w:hAnsi="Times New Roman" w:cs="Times New Roman"/>
      <w:sz w:val="20"/>
      <w:lang w:val="en-ZA"/>
    </w:rPr>
  </w:style>
  <w:style w:type="character" w:styleId="FootnoteReference">
    <w:name w:val="footnote reference"/>
    <w:basedOn w:val="DefaultParagraphFont"/>
    <w:uiPriority w:val="99"/>
    <w:unhideWhenUsed/>
    <w:rsid w:val="00500AE1"/>
    <w:rPr>
      <w:vertAlign w:val="superscript"/>
    </w:rPr>
  </w:style>
  <w:style w:type="paragraph" w:styleId="Header">
    <w:name w:val="header"/>
    <w:basedOn w:val="Normal"/>
    <w:link w:val="HeaderChar"/>
    <w:unhideWhenUsed/>
    <w:rsid w:val="00500AE1"/>
    <w:pPr>
      <w:tabs>
        <w:tab w:val="center" w:pos="4680"/>
        <w:tab w:val="right" w:pos="9360"/>
      </w:tabs>
      <w:spacing w:line="240" w:lineRule="auto"/>
    </w:pPr>
  </w:style>
  <w:style w:type="character" w:customStyle="1" w:styleId="HeaderChar">
    <w:name w:val="Header Char"/>
    <w:basedOn w:val="DefaultParagraphFont"/>
    <w:link w:val="Header"/>
    <w:rsid w:val="00500AE1"/>
    <w:rPr>
      <w:rFonts w:ascii="Times New Roman" w:eastAsia="Calibri" w:hAnsi="Times New Roman" w:cs="Times New Roman"/>
      <w:sz w:val="26"/>
      <w:lang w:val="en-ZA"/>
    </w:rPr>
  </w:style>
  <w:style w:type="paragraph" w:styleId="Footer">
    <w:name w:val="footer"/>
    <w:basedOn w:val="Normal"/>
    <w:link w:val="FooterChar"/>
    <w:unhideWhenUsed/>
    <w:rsid w:val="00500AE1"/>
    <w:pPr>
      <w:tabs>
        <w:tab w:val="center" w:pos="4680"/>
        <w:tab w:val="right" w:pos="9360"/>
      </w:tabs>
      <w:spacing w:line="240" w:lineRule="auto"/>
    </w:pPr>
  </w:style>
  <w:style w:type="character" w:customStyle="1" w:styleId="FooterChar">
    <w:name w:val="Footer Char"/>
    <w:basedOn w:val="DefaultParagraphFont"/>
    <w:link w:val="Footer"/>
    <w:rsid w:val="00500AE1"/>
    <w:rPr>
      <w:rFonts w:ascii="Times New Roman" w:eastAsia="Calibri" w:hAnsi="Times New Roman" w:cs="Times New Roman"/>
      <w:sz w:val="26"/>
      <w:lang w:val="en-ZA"/>
    </w:rPr>
  </w:style>
  <w:style w:type="paragraph" w:customStyle="1" w:styleId="HEADING">
    <w:name w:val="HEADING"/>
    <w:basedOn w:val="JUDGMENTNUMBERED"/>
    <w:next w:val="JUDGMENTNUMBERED"/>
    <w:link w:val="HEADINGChar"/>
    <w:qFormat/>
    <w:rsid w:val="00500AE1"/>
    <w:pPr>
      <w:keepNext/>
      <w:numPr>
        <w:numId w:val="0"/>
      </w:numPr>
      <w:spacing w:after="120"/>
    </w:pPr>
    <w:rPr>
      <w:i/>
    </w:rPr>
  </w:style>
  <w:style w:type="character" w:customStyle="1" w:styleId="JUDGMENTNUMBEREDChar">
    <w:name w:val="JUDGMENT NUMBERED Char"/>
    <w:basedOn w:val="DefaultParagraphFont"/>
    <w:link w:val="JUDGMENTNUMBERED"/>
    <w:rsid w:val="00500AE1"/>
    <w:rPr>
      <w:rFonts w:ascii="Times New Roman" w:eastAsia="Calibri" w:hAnsi="Times New Roman" w:cs="Times New Roman"/>
      <w:sz w:val="26"/>
      <w:lang w:val="en-ZA"/>
    </w:rPr>
  </w:style>
  <w:style w:type="character" w:customStyle="1" w:styleId="HEADINGChar">
    <w:name w:val="HEADING Char"/>
    <w:basedOn w:val="JUDGMENTNUMBEREDChar"/>
    <w:link w:val="HEADING"/>
    <w:rsid w:val="00500AE1"/>
    <w:rPr>
      <w:rFonts w:ascii="Times New Roman" w:eastAsia="Calibri" w:hAnsi="Times New Roman" w:cs="Times New Roman"/>
      <w:i/>
      <w:sz w:val="26"/>
      <w:lang w:val="en-ZA"/>
    </w:rPr>
  </w:style>
  <w:style w:type="paragraph" w:customStyle="1" w:styleId="BodyA">
    <w:name w:val="Body A"/>
    <w:rsid w:val="00500AE1"/>
    <w:pPr>
      <w:pBdr>
        <w:top w:val="nil"/>
        <w:left w:val="nil"/>
        <w:bottom w:val="nil"/>
        <w:right w:val="nil"/>
        <w:between w:val="nil"/>
        <w:bar w:val="nil"/>
      </w:pBdr>
      <w:spacing w:after="0" w:line="480" w:lineRule="auto"/>
      <w:jc w:val="both"/>
    </w:pPr>
    <w:rPr>
      <w:rFonts w:ascii="Times New Roman" w:eastAsia="Arial Unicode MS" w:hAnsi="Times New Roman" w:cs="Arial Unicode MS"/>
      <w:color w:val="000000"/>
      <w:sz w:val="26"/>
      <w:szCs w:val="26"/>
      <w:u w:color="000000"/>
      <w:bdr w:val="nil"/>
      <w:lang w:eastAsia="en-ZA"/>
    </w:rPr>
  </w:style>
  <w:style w:type="character" w:styleId="CommentReference">
    <w:name w:val="annotation reference"/>
    <w:basedOn w:val="DefaultParagraphFont"/>
    <w:uiPriority w:val="99"/>
    <w:semiHidden/>
    <w:unhideWhenUsed/>
    <w:rsid w:val="00912080"/>
    <w:rPr>
      <w:sz w:val="16"/>
      <w:szCs w:val="16"/>
    </w:rPr>
  </w:style>
  <w:style w:type="paragraph" w:styleId="CommentText">
    <w:name w:val="annotation text"/>
    <w:basedOn w:val="Normal"/>
    <w:link w:val="CommentTextChar"/>
    <w:uiPriority w:val="99"/>
    <w:semiHidden/>
    <w:unhideWhenUsed/>
    <w:rsid w:val="00912080"/>
    <w:pPr>
      <w:spacing w:line="240" w:lineRule="auto"/>
    </w:pPr>
    <w:rPr>
      <w:sz w:val="20"/>
      <w:szCs w:val="20"/>
    </w:rPr>
  </w:style>
  <w:style w:type="character" w:customStyle="1" w:styleId="CommentTextChar">
    <w:name w:val="Comment Text Char"/>
    <w:basedOn w:val="DefaultParagraphFont"/>
    <w:link w:val="CommentText"/>
    <w:uiPriority w:val="99"/>
    <w:semiHidden/>
    <w:rsid w:val="00912080"/>
    <w:rPr>
      <w:rFonts w:ascii="Times New Roman" w:eastAsia="Calibri" w:hAnsi="Times New Roman" w:cs="Times New Roman"/>
      <w:sz w:val="20"/>
      <w:szCs w:val="20"/>
      <w:lang w:val="en-ZA"/>
    </w:rPr>
  </w:style>
  <w:style w:type="paragraph" w:styleId="CommentSubject">
    <w:name w:val="annotation subject"/>
    <w:basedOn w:val="CommentText"/>
    <w:next w:val="CommentText"/>
    <w:link w:val="CommentSubjectChar"/>
    <w:uiPriority w:val="99"/>
    <w:semiHidden/>
    <w:unhideWhenUsed/>
    <w:rsid w:val="00912080"/>
    <w:rPr>
      <w:b/>
      <w:bCs/>
    </w:rPr>
  </w:style>
  <w:style w:type="character" w:customStyle="1" w:styleId="CommentSubjectChar">
    <w:name w:val="Comment Subject Char"/>
    <w:basedOn w:val="CommentTextChar"/>
    <w:link w:val="CommentSubject"/>
    <w:uiPriority w:val="99"/>
    <w:semiHidden/>
    <w:rsid w:val="00912080"/>
    <w:rPr>
      <w:rFonts w:ascii="Times New Roman" w:eastAsia="Calibri" w:hAnsi="Times New Roman" w:cs="Times New Roman"/>
      <w:b/>
      <w:bCs/>
      <w:sz w:val="20"/>
      <w:szCs w:val="20"/>
      <w:lang w:val="en-ZA"/>
    </w:rPr>
  </w:style>
  <w:style w:type="paragraph" w:styleId="BalloonText">
    <w:name w:val="Balloon Text"/>
    <w:basedOn w:val="Normal"/>
    <w:link w:val="BalloonTextChar"/>
    <w:uiPriority w:val="99"/>
    <w:semiHidden/>
    <w:unhideWhenUsed/>
    <w:rsid w:val="00912080"/>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12080"/>
    <w:rPr>
      <w:rFonts w:ascii="Segoe UI" w:eastAsia="Calibri" w:hAnsi="Segoe UI" w:cs="Segoe UI"/>
      <w:sz w:val="18"/>
      <w:szCs w:val="18"/>
      <w:lang w:val="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660</Words>
  <Characters>3768</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Ruth Kruger</dc:creator>
  <cp:keywords/>
  <dc:description/>
  <cp:lastModifiedBy>Ruth Kruger</cp:lastModifiedBy>
  <cp:revision>2</cp:revision>
  <dcterms:created xsi:type="dcterms:W3CDTF">2021-11-17T10:08:00Z</dcterms:created>
  <dcterms:modified xsi:type="dcterms:W3CDTF">2021-11-17T10:08:00Z</dcterms:modified>
</cp:coreProperties>
</file>