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57AE83" w14:textId="77777777" w:rsidR="004A0D9D" w:rsidRDefault="004A0D9D" w:rsidP="004A0D9D">
      <w:pPr>
        <w:jc w:val="center"/>
      </w:pPr>
      <w:r w:rsidRPr="00CA458C">
        <w:rPr>
          <w:noProof/>
          <w:lang w:eastAsia="en-ZA"/>
        </w:rPr>
        <w:drawing>
          <wp:inline distT="0" distB="0" distL="0" distR="0" wp14:anchorId="1D002670" wp14:editId="29CF4C7D">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7" r:link="rId8"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14:paraId="61CEE19B" w14:textId="77777777" w:rsidR="004A0D9D" w:rsidRDefault="004A0D9D" w:rsidP="004A0D9D">
      <w:pPr>
        <w:jc w:val="center"/>
      </w:pPr>
    </w:p>
    <w:p w14:paraId="58B1E7A0" w14:textId="77777777" w:rsidR="004A0D9D" w:rsidRPr="00100894" w:rsidRDefault="004A0D9D" w:rsidP="004A0D9D">
      <w:pPr>
        <w:jc w:val="center"/>
        <w:rPr>
          <w:b/>
        </w:rPr>
      </w:pPr>
      <w:r w:rsidRPr="00100894">
        <w:rPr>
          <w:b/>
        </w:rPr>
        <w:t>CONSTITUTIONAL COURT OF SOUTH AFRICA</w:t>
      </w:r>
    </w:p>
    <w:p w14:paraId="3C0FC9AE" w14:textId="77777777" w:rsidR="004A0D9D" w:rsidRPr="00100894" w:rsidRDefault="004A0D9D" w:rsidP="004A0D9D"/>
    <w:p w14:paraId="04CBFE2D" w14:textId="302076E1" w:rsidR="004A0D9D" w:rsidRDefault="005C3216" w:rsidP="005C3216">
      <w:pPr>
        <w:jc w:val="center"/>
        <w:rPr>
          <w:bCs/>
          <w:sz w:val="26"/>
          <w:szCs w:val="26"/>
          <w:lang w:val="en-GB"/>
        </w:rPr>
      </w:pPr>
      <w:r>
        <w:rPr>
          <w:b/>
        </w:rPr>
        <w:t>Adam Damons</w:t>
      </w:r>
      <w:r w:rsidR="00CA2A66">
        <w:rPr>
          <w:b/>
        </w:rPr>
        <w:t xml:space="preserve"> </w:t>
      </w:r>
      <w:r w:rsidR="00696F92">
        <w:rPr>
          <w:b/>
        </w:rPr>
        <w:t>v</w:t>
      </w:r>
      <w:r w:rsidR="00630A40">
        <w:rPr>
          <w:b/>
        </w:rPr>
        <w:t xml:space="preserve"> </w:t>
      </w:r>
      <w:r w:rsidRPr="00157D30">
        <w:rPr>
          <w:b/>
          <w:bCs/>
          <w:sz w:val="26"/>
          <w:szCs w:val="26"/>
          <w:lang w:val="en-GB"/>
        </w:rPr>
        <w:t>City of Cape Town</w:t>
      </w:r>
    </w:p>
    <w:p w14:paraId="20E2BB6C" w14:textId="331B3D92" w:rsidR="004A0D9D" w:rsidRPr="00100894" w:rsidRDefault="004A0D9D" w:rsidP="004A0D9D">
      <w:pPr>
        <w:jc w:val="right"/>
        <w:rPr>
          <w:b/>
        </w:rPr>
      </w:pPr>
      <w:r w:rsidRPr="00100894">
        <w:rPr>
          <w:b/>
        </w:rPr>
        <w:t xml:space="preserve">CCT </w:t>
      </w:r>
      <w:r w:rsidR="005C3216">
        <w:rPr>
          <w:b/>
        </w:rPr>
        <w:t>278</w:t>
      </w:r>
      <w:r w:rsidR="00630A40">
        <w:rPr>
          <w:b/>
        </w:rPr>
        <w:t>/21</w:t>
      </w:r>
    </w:p>
    <w:p w14:paraId="353CE51E" w14:textId="77777777" w:rsidR="004A0D9D" w:rsidRPr="00100894" w:rsidRDefault="004A0D9D" w:rsidP="004A0D9D">
      <w:pPr>
        <w:jc w:val="right"/>
        <w:rPr>
          <w:b/>
        </w:rPr>
      </w:pPr>
    </w:p>
    <w:p w14:paraId="7C2E834A" w14:textId="41FED823" w:rsidR="004A0D9D" w:rsidRPr="00100894" w:rsidRDefault="004A0D9D" w:rsidP="004A0D9D">
      <w:pPr>
        <w:jc w:val="right"/>
        <w:rPr>
          <w:b/>
        </w:rPr>
      </w:pPr>
      <w:r w:rsidRPr="00100894">
        <w:rPr>
          <w:b/>
        </w:rPr>
        <w:t xml:space="preserve">Date of hearing: </w:t>
      </w:r>
      <w:r w:rsidR="005C3216">
        <w:rPr>
          <w:b/>
        </w:rPr>
        <w:t>12</w:t>
      </w:r>
      <w:r w:rsidR="00630A40">
        <w:rPr>
          <w:b/>
        </w:rPr>
        <w:t xml:space="preserve"> August</w:t>
      </w:r>
      <w:r w:rsidR="006F3BB4">
        <w:rPr>
          <w:b/>
        </w:rPr>
        <w:t xml:space="preserve"> 2021</w:t>
      </w:r>
    </w:p>
    <w:p w14:paraId="1F6FB475" w14:textId="77777777" w:rsidR="004A0D9D" w:rsidRPr="00100894" w:rsidRDefault="004A0D9D" w:rsidP="004A0D9D"/>
    <w:p w14:paraId="1B6AA8AD" w14:textId="77777777" w:rsidR="004A0D9D" w:rsidRPr="00100894" w:rsidRDefault="004A0D9D" w:rsidP="004A0D9D">
      <w:r w:rsidRPr="00100894">
        <w:t>________________________________________________________________________</w:t>
      </w:r>
    </w:p>
    <w:p w14:paraId="65D5A2DA" w14:textId="77777777" w:rsidR="004A0D9D" w:rsidRPr="00100894" w:rsidRDefault="004A0D9D" w:rsidP="004A0D9D">
      <w:pPr>
        <w:jc w:val="center"/>
        <w:rPr>
          <w:b/>
        </w:rPr>
      </w:pPr>
    </w:p>
    <w:p w14:paraId="4FD57344" w14:textId="77777777" w:rsidR="004A0D9D" w:rsidRPr="00100894" w:rsidRDefault="004A0D9D" w:rsidP="004A0D9D">
      <w:pPr>
        <w:jc w:val="center"/>
        <w:rPr>
          <w:b/>
        </w:rPr>
      </w:pPr>
      <w:r w:rsidRPr="00100894">
        <w:rPr>
          <w:b/>
        </w:rPr>
        <w:t>MEDIA SUMMARY</w:t>
      </w:r>
    </w:p>
    <w:p w14:paraId="4AB3CB06" w14:textId="77777777" w:rsidR="004A0D9D" w:rsidRPr="00100894" w:rsidRDefault="004A0D9D" w:rsidP="004A0D9D">
      <w:pPr>
        <w:jc w:val="center"/>
      </w:pPr>
      <w:r w:rsidRPr="00100894">
        <w:t>________________________________________________________________________</w:t>
      </w:r>
    </w:p>
    <w:p w14:paraId="6E807E6B" w14:textId="77777777" w:rsidR="004A0D9D" w:rsidRPr="00100894" w:rsidRDefault="004A0D9D" w:rsidP="004A0D9D">
      <w:pPr>
        <w:spacing w:line="360" w:lineRule="auto"/>
        <w:jc w:val="left"/>
      </w:pPr>
    </w:p>
    <w:p w14:paraId="527EB586" w14:textId="77777777" w:rsidR="004A0D9D" w:rsidRPr="00100894" w:rsidRDefault="004A0D9D" w:rsidP="004A0D9D">
      <w:pPr>
        <w:rPr>
          <w:i/>
        </w:rPr>
      </w:pPr>
      <w:r w:rsidRPr="00100894">
        <w:rPr>
          <w:i/>
        </w:rPr>
        <w:t>The following explanatory note is provided to assist the media in reporting this case and is not binding on the Constitutional Court or any member of the Court.</w:t>
      </w:r>
    </w:p>
    <w:p w14:paraId="6206A9D3" w14:textId="77777777" w:rsidR="004A0D9D" w:rsidRPr="00100894" w:rsidRDefault="004A0D9D" w:rsidP="004A0D9D">
      <w:pPr>
        <w:rPr>
          <w:sz w:val="28"/>
          <w:szCs w:val="28"/>
        </w:rPr>
      </w:pPr>
    </w:p>
    <w:p w14:paraId="4A779566" w14:textId="21AA6454" w:rsidR="00592752" w:rsidRDefault="005C3216" w:rsidP="004A0D9D">
      <w:r>
        <w:t>On 12</w:t>
      </w:r>
      <w:r w:rsidR="00630A40">
        <w:t xml:space="preserve"> August</w:t>
      </w:r>
      <w:r w:rsidR="006F3BB4">
        <w:t xml:space="preserve"> 2021</w:t>
      </w:r>
      <w:r w:rsidR="004A0D9D">
        <w:t xml:space="preserve"> at </w:t>
      </w:r>
      <w:r w:rsidR="004A0D9D" w:rsidRPr="00E17A92">
        <w:t>10h00</w:t>
      </w:r>
      <w:r w:rsidR="004A0D9D">
        <w:t xml:space="preserve">, </w:t>
      </w:r>
      <w:r w:rsidR="004A0D9D" w:rsidRPr="00100894">
        <w:t xml:space="preserve">the Constitutional Court will hear </w:t>
      </w:r>
      <w:r w:rsidR="004A0D9D" w:rsidRPr="00E17A92">
        <w:t xml:space="preserve">an application </w:t>
      </w:r>
      <w:r>
        <w:t xml:space="preserve">for leave to appeal against the judgment of the Labour Appeal Court which set </w:t>
      </w:r>
      <w:r w:rsidR="00A53D2C">
        <w:t>aside an</w:t>
      </w:r>
      <w:r w:rsidR="00AB7AE8">
        <w:t xml:space="preserve"> order of the Labour Court.</w:t>
      </w:r>
      <w:r w:rsidR="00806FAD">
        <w:t xml:space="preserve">  The Labour Appeal Court found that physical ability is an inherent requirement of the job of firefighting, a</w:t>
      </w:r>
      <w:r w:rsidR="00482968">
        <w:t>nd</w:t>
      </w:r>
      <w:r w:rsidR="00806FAD">
        <w:t xml:space="preserve"> that all firefighters, regardless of disability, are required to undergo a physical assessment prior to promotion to the rank of senior firefighter.</w:t>
      </w:r>
    </w:p>
    <w:p w14:paraId="582DC9C8" w14:textId="6FA2DB2A" w:rsidR="00795C66" w:rsidRDefault="00795C66" w:rsidP="004A0D9D"/>
    <w:p w14:paraId="42B10B9A" w14:textId="099C49F3" w:rsidR="003C5FBA" w:rsidRDefault="00C56780" w:rsidP="00795C66">
      <w:r>
        <w:t>The applicant</w:t>
      </w:r>
      <w:r w:rsidR="00275415">
        <w:t xml:space="preserve"> </w:t>
      </w:r>
      <w:r w:rsidR="00806FAD">
        <w:t>wa</w:t>
      </w:r>
      <w:r w:rsidR="00242213">
        <w:t xml:space="preserve">s </w:t>
      </w:r>
      <w:r w:rsidR="00806FAD">
        <w:t>employed as</w:t>
      </w:r>
      <w:r w:rsidR="00242213">
        <w:t xml:space="preserve"> </w:t>
      </w:r>
      <w:r w:rsidR="00806FAD">
        <w:t>a f</w:t>
      </w:r>
      <w:r w:rsidR="00242213">
        <w:t>ire</w:t>
      </w:r>
      <w:r w:rsidR="00806FAD">
        <w:t>f</w:t>
      </w:r>
      <w:r w:rsidR="00242213">
        <w:t xml:space="preserve">ighter on 1 February 2001 by the respondent.  </w:t>
      </w:r>
      <w:r w:rsidR="00806FAD">
        <w:t>I</w:t>
      </w:r>
      <w:r w:rsidR="009C3DE1">
        <w:t xml:space="preserve">n 2010, the applicant was injured during a drill at the fire station.  </w:t>
      </w:r>
      <w:r w:rsidR="00806FAD">
        <w:t xml:space="preserve">The drill was irregular, in that, instead of carrying mannequins the firefighters were ordered to carry one another.  </w:t>
      </w:r>
      <w:r w:rsidR="00482968">
        <w:t>Accidently, t</w:t>
      </w:r>
      <w:r>
        <w:t xml:space="preserve">he applicant </w:t>
      </w:r>
      <w:r w:rsidR="00806FAD">
        <w:t xml:space="preserve">was </w:t>
      </w:r>
      <w:r>
        <w:t>droppe</w:t>
      </w:r>
      <w:r w:rsidR="00806FAD">
        <w:t>d</w:t>
      </w:r>
      <w:r>
        <w:t xml:space="preserve"> from the drill tower.  </w:t>
      </w:r>
      <w:r w:rsidR="00482968">
        <w:t>He</w:t>
      </w:r>
      <w:r>
        <w:t xml:space="preserve"> suffered injuries to his </w:t>
      </w:r>
      <w:r w:rsidR="00B67A09">
        <w:t>back, neck</w:t>
      </w:r>
      <w:r>
        <w:t>, left knee and left ankle</w:t>
      </w:r>
      <w:r w:rsidR="00806FAD">
        <w:t xml:space="preserve">, </w:t>
      </w:r>
      <w:r w:rsidR="00482968">
        <w:t>resulting in</w:t>
      </w:r>
      <w:r>
        <w:t xml:space="preserve"> long-term</w:t>
      </w:r>
      <w:r w:rsidR="00B67A09">
        <w:t xml:space="preserve"> physical impairment</w:t>
      </w:r>
      <w:r w:rsidR="00806FAD">
        <w:t>.</w:t>
      </w:r>
    </w:p>
    <w:p w14:paraId="28FFC812" w14:textId="77777777" w:rsidR="009C3DE1" w:rsidRDefault="009C3DE1" w:rsidP="00795C66"/>
    <w:p w14:paraId="5138D5A4" w14:textId="1476200D" w:rsidR="007647BF" w:rsidRPr="007647BF" w:rsidRDefault="00B67A09" w:rsidP="007647BF">
      <w:r>
        <w:t>After sustaining the injury, the applicant returned to work but was in immense pain.  As a result, he was unable to perform intensive physical work</w:t>
      </w:r>
      <w:r w:rsidR="00806FAD">
        <w:t>.</w:t>
      </w:r>
      <w:r>
        <w:t xml:space="preserve"> </w:t>
      </w:r>
      <w:r w:rsidR="00806FAD">
        <w:t xml:space="preserve"> </w:t>
      </w:r>
      <w:r>
        <w:t xml:space="preserve">The respondent conducted an incapacity inquiry which resulted </w:t>
      </w:r>
      <w:r w:rsidR="007647BF">
        <w:t xml:space="preserve">in the applicant being transferred to the Finance and Billing Section where he fulfilled administrative functions as a clerk, with the transfer taking effect from 23 January 2013.  </w:t>
      </w:r>
      <w:r w:rsidR="007647BF" w:rsidRPr="007647BF">
        <w:t xml:space="preserve">Despite not performing the duties of a typical firefighter due to his disability, </w:t>
      </w:r>
      <w:r w:rsidR="00806FAD">
        <w:t>the applicant</w:t>
      </w:r>
      <w:r w:rsidR="007647BF" w:rsidRPr="007647BF">
        <w:t xml:space="preserve"> nevertheless retained the rank and salary level of firefighter, as well as his 22.8% standby allowance.</w:t>
      </w:r>
      <w:r w:rsidR="00721D40">
        <w:rPr>
          <w:vertAlign w:val="superscript"/>
        </w:rPr>
        <w:t xml:space="preserve"> </w:t>
      </w:r>
      <w:r w:rsidR="007647BF" w:rsidRPr="007647BF">
        <w:t xml:space="preserve"> </w:t>
      </w:r>
      <w:r w:rsidR="00806FAD">
        <w:t xml:space="preserve"> </w:t>
      </w:r>
      <w:r w:rsidR="007647BF" w:rsidRPr="007647BF">
        <w:t>Thereafter, the applicant applied for a transfer to his current position in the Fire and Life Safety Education Section.</w:t>
      </w:r>
      <w:r w:rsidR="00721D40">
        <w:rPr>
          <w:vertAlign w:val="superscript"/>
        </w:rPr>
        <w:t xml:space="preserve">  </w:t>
      </w:r>
    </w:p>
    <w:p w14:paraId="0C68CA13" w14:textId="77777777" w:rsidR="007647BF" w:rsidRPr="007647BF" w:rsidRDefault="007647BF" w:rsidP="007647BF"/>
    <w:p w14:paraId="577A6DDD" w14:textId="12B848C0" w:rsidR="00795C66" w:rsidRDefault="00721D40" w:rsidP="00795C66">
      <w:r w:rsidRPr="00721D40">
        <w:t xml:space="preserve">Prior to the applicant’s injury, the respondent published a policy, dated 1 April 2009, entitled the “Advancement Policy” (the Policy), which was applicable to its Fire and Rescue Service. </w:t>
      </w:r>
      <w:r>
        <w:t xml:space="preserve"> The</w:t>
      </w:r>
      <w:r w:rsidRPr="00721D40">
        <w:t xml:space="preserve"> purpose of the Policy was to apply ostensibly uniform criteria for the </w:t>
      </w:r>
      <w:r w:rsidRPr="00721D40">
        <w:lastRenderedPageBreak/>
        <w:t>advancement of firefighters to the post of senior firefighter</w:t>
      </w:r>
      <w:r>
        <w:t>.  The policy prescribes requirements</w:t>
      </w:r>
      <w:r w:rsidR="00E616C2">
        <w:t xml:space="preserve"> to be satisfied</w:t>
      </w:r>
      <w:r>
        <w:t xml:space="preserve"> in order to advance from </w:t>
      </w:r>
      <w:r w:rsidR="00E616C2">
        <w:t xml:space="preserve">the </w:t>
      </w:r>
      <w:r>
        <w:t>position of firefighter to that of a senior fighter</w:t>
      </w:r>
      <w:r w:rsidR="00E616C2">
        <w:t>.</w:t>
      </w:r>
    </w:p>
    <w:p w14:paraId="25F2089F" w14:textId="77777777" w:rsidR="006F5919" w:rsidRPr="002F18C4" w:rsidRDefault="006F5919" w:rsidP="00795C66"/>
    <w:p w14:paraId="0DD54958" w14:textId="046B1171" w:rsidR="006F5919" w:rsidRDefault="006F5919" w:rsidP="006F5919">
      <w:r>
        <w:t>The a</w:t>
      </w:r>
      <w:r w:rsidR="00AF7384">
        <w:t>pplicant</w:t>
      </w:r>
      <w:r w:rsidRPr="006F5919">
        <w:t xml:space="preserve"> successfully complied with all requirements for advancement, except for the final requirement which required him to undergo a practical physical assessment.  The nature of his disability precluded him from successfully participating in the physical assessment.</w:t>
      </w:r>
      <w:r>
        <w:t xml:space="preserve">  </w:t>
      </w:r>
      <w:r w:rsidRPr="006F5919">
        <w:t>The applicant applied for advancement in accordance with the Policy and requested the respondent to relax the physical assessment requirement.  The respondent refused</w:t>
      </w:r>
      <w:r w:rsidR="00AF7384">
        <w:t xml:space="preserve"> and</w:t>
      </w:r>
      <w:r w:rsidRPr="006F5919">
        <w:t xml:space="preserve"> dismissed the applicant’s application for advancement. </w:t>
      </w:r>
      <w:r w:rsidR="00AF7384">
        <w:t xml:space="preserve"> </w:t>
      </w:r>
      <w:r w:rsidRPr="006F5919">
        <w:t>Aggrieved, the applicant referred the dispute to the CCMA in terms of section 10(2) of the E</w:t>
      </w:r>
      <w:r w:rsidR="00AF7384">
        <w:t xml:space="preserve">mployment </w:t>
      </w:r>
      <w:r w:rsidRPr="006F5919">
        <w:t>E</w:t>
      </w:r>
      <w:r w:rsidR="00AF7384">
        <w:t xml:space="preserve">quity </w:t>
      </w:r>
      <w:r w:rsidRPr="006F5919">
        <w:t>A</w:t>
      </w:r>
      <w:r w:rsidR="00AF7384">
        <w:t>ct 55 of 1998 (EEA)</w:t>
      </w:r>
      <w:r w:rsidRPr="006F5919">
        <w:t xml:space="preserve"> for conciliation.  Conciliation occurred on 22 January 2015 but was ultimately unsuccessful.  The matter was subsequently referred for arbitration before the South African Local Government Bargaining Council (SALGBC).</w:t>
      </w:r>
    </w:p>
    <w:p w14:paraId="32D21D3D" w14:textId="41B86D60" w:rsidR="009D383D" w:rsidRDefault="009D383D" w:rsidP="006F5919"/>
    <w:p w14:paraId="5B48C8E6" w14:textId="1EE461E3" w:rsidR="009D383D" w:rsidRPr="006F5919" w:rsidRDefault="009D383D" w:rsidP="006F5919">
      <w:r w:rsidRPr="009D383D">
        <w:t>The arbitrator held that the defence put forward regarding the inherent requirements of the job fell within the ambit of the EEA, and consequently found that the SALGBC lacked the jurisdiction to determine this aspect of the dispute.  The dispute remained unresolved and the applicant referred it to the Labour Court in terms of section 10(6)(a) of the EEA</w:t>
      </w:r>
      <w:r w:rsidR="00803BA0">
        <w:t>.</w:t>
      </w:r>
    </w:p>
    <w:p w14:paraId="4A6B68D2" w14:textId="77777777" w:rsidR="006F5919" w:rsidRPr="006F5919" w:rsidRDefault="006F5919" w:rsidP="006F5919"/>
    <w:p w14:paraId="27A88772" w14:textId="56137BE4" w:rsidR="006F5919" w:rsidRPr="006F5919" w:rsidRDefault="006F5919" w:rsidP="006F5919">
      <w:r w:rsidRPr="006F5919">
        <w:t>Before the Labour Court</w:t>
      </w:r>
      <w:r>
        <w:t xml:space="preserve">, </w:t>
      </w:r>
      <w:r w:rsidRPr="006F5919">
        <w:t>the applicant sought an order declaring that the respondent’s conduct amounted to unfair discrimination as contemplated in section 6(1) of the EEA, directing the respondent to withdraw the application of the physical assessment requirement contained in the Policy to persons with disabilities and to reconsider the applicant’s application for advancemen</w:t>
      </w:r>
      <w:r>
        <w:t>t.</w:t>
      </w:r>
      <w:r w:rsidRPr="006F5919">
        <w:rPr>
          <w:rFonts w:eastAsia="Calibri"/>
          <w:sz w:val="26"/>
          <w:szCs w:val="22"/>
        </w:rPr>
        <w:t xml:space="preserve"> </w:t>
      </w:r>
      <w:r>
        <w:rPr>
          <w:rFonts w:eastAsia="Calibri"/>
          <w:sz w:val="26"/>
          <w:szCs w:val="22"/>
        </w:rPr>
        <w:t xml:space="preserve"> </w:t>
      </w:r>
      <w:r w:rsidRPr="006F5919">
        <w:t>The Labour Court held that when the respondent transferred and subsequently accommodated the applicant, it had kept him within the structure laid out in the Policy; he retained the rank of firefighter despite his injury and the permanent disability caused by it</w:t>
      </w:r>
      <w:r w:rsidR="00615A86">
        <w:t xml:space="preserve">.  </w:t>
      </w:r>
      <w:r w:rsidR="00615A86" w:rsidRPr="00615A86">
        <w:t xml:space="preserve">The Labour Court </w:t>
      </w:r>
      <w:r w:rsidR="00615A86">
        <w:t>concluded</w:t>
      </w:r>
      <w:r w:rsidR="00615A86" w:rsidRPr="00615A86">
        <w:t xml:space="preserve"> that it was clear that the applicant had been transferred to an alternate section in the Fire and Rescue Services as a permanent measure, with a view to adapting his work to accommodate his disability, especially considering that the respondent was aware of the permanent nature of his disability at the time of transfer</w:t>
      </w:r>
      <w:r w:rsidR="00615A86">
        <w:t xml:space="preserve">.  </w:t>
      </w:r>
      <w:r w:rsidR="00615A86" w:rsidRPr="00615A86">
        <w:t>The Labour Court proceeded to order that the application of the Policy to the applicant amounted to unfair discrimination in terms of section 6(1) of the EEA.  The respondent was directed to re-consider the applicant’s advancement application within 15 days of the order being handed down</w:t>
      </w:r>
      <w:r w:rsidR="00615A86">
        <w:t>.</w:t>
      </w:r>
    </w:p>
    <w:p w14:paraId="6016A9DB" w14:textId="5A0CD0BB" w:rsidR="00795C66" w:rsidRPr="002F18C4" w:rsidRDefault="00795C66" w:rsidP="00795C66"/>
    <w:p w14:paraId="2A51F565" w14:textId="18BE6234" w:rsidR="00615A86" w:rsidRDefault="00615A86" w:rsidP="00AD3900">
      <w:r w:rsidRPr="00615A86">
        <w:t xml:space="preserve">Aggrieved by the </w:t>
      </w:r>
      <w:r>
        <w:t>judgment of the Labour Court</w:t>
      </w:r>
      <w:r w:rsidRPr="00615A86">
        <w:t>, the respondent appealed to the Labour Appeal Cour</w:t>
      </w:r>
      <w:r>
        <w:t xml:space="preserve">t.  The respondent </w:t>
      </w:r>
      <w:r w:rsidR="008A46B7">
        <w:t xml:space="preserve">submitted that it had not unfairly discriminated against the applicant, either directly or indirectly, and </w:t>
      </w:r>
      <w:r>
        <w:t>r</w:t>
      </w:r>
      <w:r w:rsidR="008A46B7">
        <w:t>elied on section 6(2)(b) of the EEA, alleging that the inherent requirements of the job precluded the applicant from advancing</w:t>
      </w:r>
      <w:r>
        <w:t xml:space="preserve">.  </w:t>
      </w:r>
      <w:r w:rsidRPr="00615A86">
        <w:t>The Labour Appeal Court held that the differentiation between the applicant and active firefighters, who are considered for promotion under the Policy, is justified by the rational requirements contained in the Policy and by the inherent requirements for the position of senior firefighter</w:t>
      </w:r>
      <w:r>
        <w:t>.</w:t>
      </w:r>
      <w:r w:rsidR="008A46B7">
        <w:t xml:space="preserve">  </w:t>
      </w:r>
      <w:r w:rsidR="00FB5EE4" w:rsidRPr="00FB5EE4">
        <w:t xml:space="preserve">The Labour Appeal Court </w:t>
      </w:r>
      <w:r w:rsidR="00FB5EE4">
        <w:t>concluded</w:t>
      </w:r>
      <w:r w:rsidR="00FB5EE4" w:rsidRPr="00FB5EE4">
        <w:t xml:space="preserve"> that it was not possible for the applicant to perform the essential requirements of an active firefighter, nor could it possibly be in the public interest to have firefighters who are not capable of dealing with the </w:t>
      </w:r>
      <w:r w:rsidR="00FB5EE4" w:rsidRPr="00FB5EE4">
        <w:lastRenderedPageBreak/>
        <w:t xml:space="preserve">outbreak of fires, which, in the respondent’s area of operation, are extremely frequent.  </w:t>
      </w:r>
      <w:r w:rsidR="00FB5EE4">
        <w:t>The Labour Appeal Court upheld the appeal, set</w:t>
      </w:r>
      <w:r w:rsidR="006251C0">
        <w:t>ting</w:t>
      </w:r>
      <w:r w:rsidR="00FB5EE4">
        <w:t xml:space="preserve"> aside the decision of the Labour Court</w:t>
      </w:r>
      <w:r w:rsidR="006251C0">
        <w:t>.</w:t>
      </w:r>
    </w:p>
    <w:p w14:paraId="26A44105" w14:textId="065F2FC4" w:rsidR="00FB5EE4" w:rsidRDefault="00FB5EE4" w:rsidP="00AD3900"/>
    <w:p w14:paraId="3BE40758" w14:textId="71DDF66A" w:rsidR="001A6049" w:rsidRPr="001A6049" w:rsidRDefault="00275415">
      <w:r>
        <w:t>Before the Constitutional Court, t</w:t>
      </w:r>
      <w:r w:rsidR="001A6049">
        <w:t>he applicant argues that</w:t>
      </w:r>
      <w:r w:rsidR="00AC019C">
        <w:t xml:space="preserve"> he has suffered unfair discrimination, either directly or indirectly.  </w:t>
      </w:r>
      <w:r w:rsidR="001A6049" w:rsidRPr="001A6049">
        <w:t xml:space="preserve">He submits that the Policy does not make provision for discrimination </w:t>
      </w:r>
      <w:r w:rsidR="00AC019C" w:rsidRPr="001A6049">
        <w:t>based on</w:t>
      </w:r>
      <w:r w:rsidR="001A6049" w:rsidRPr="001A6049">
        <w:t xml:space="preserve"> disability</w:t>
      </w:r>
      <w:r w:rsidR="00AC019C">
        <w:t>, and that any discrimination is consequently arbitrary and capricious</w:t>
      </w:r>
      <w:r>
        <w:t>.</w:t>
      </w:r>
      <w:r w:rsidRPr="001A6049" w:rsidDel="00275415">
        <w:t xml:space="preserve"> </w:t>
      </w:r>
      <w:r>
        <w:t xml:space="preserve"> On the applicant’s version, </w:t>
      </w:r>
      <w:r w:rsidR="001A6049" w:rsidRPr="001A6049">
        <w:t>the respondent waived the physical a</w:t>
      </w:r>
      <w:r>
        <w:t>bility</w:t>
      </w:r>
      <w:r w:rsidR="001A6049" w:rsidRPr="001A6049">
        <w:t xml:space="preserve"> requirement when it elected to retain him </w:t>
      </w:r>
      <w:r>
        <w:t>on the rank of</w:t>
      </w:r>
      <w:r w:rsidR="001A6049" w:rsidRPr="001A6049">
        <w:t xml:space="preserve"> firefighter</w:t>
      </w:r>
      <w:r>
        <w:t>,</w:t>
      </w:r>
      <w:r w:rsidR="001A6049" w:rsidRPr="001A6049">
        <w:t xml:space="preserve"> and it should waive </w:t>
      </w:r>
      <w:r>
        <w:t>the requirement</w:t>
      </w:r>
      <w:r w:rsidR="001A6049" w:rsidRPr="001A6049">
        <w:t xml:space="preserve"> once again to enable him to advance to the rank of senior firefighter.</w:t>
      </w:r>
      <w:r>
        <w:t xml:space="preserve">  H</w:t>
      </w:r>
      <w:r w:rsidR="001A6049" w:rsidRPr="001A6049">
        <w:t>e</w:t>
      </w:r>
      <w:r>
        <w:t xml:space="preserve"> submits that he</w:t>
      </w:r>
      <w:r w:rsidR="001A6049" w:rsidRPr="001A6049">
        <w:t xml:space="preserve"> accepted the alternative placement conditional upon retaining the same benefits applicable to his position before the transfer, including promotion, and that the respondent never rejected this.</w:t>
      </w:r>
    </w:p>
    <w:p w14:paraId="557A035D" w14:textId="77777777" w:rsidR="001A6049" w:rsidRPr="001A6049" w:rsidRDefault="001A6049" w:rsidP="001A6049"/>
    <w:p w14:paraId="03C1DF51" w14:textId="5ACA197D" w:rsidR="009D383D" w:rsidRPr="00AD3900" w:rsidRDefault="00260C1D" w:rsidP="00AD3900">
      <w:r>
        <w:t>The</w:t>
      </w:r>
      <w:r w:rsidR="001A6049">
        <w:t xml:space="preserve"> respondent </w:t>
      </w:r>
      <w:r w:rsidR="009D383D" w:rsidRPr="009D383D">
        <w:t xml:space="preserve">argues </w:t>
      </w:r>
      <w:r>
        <w:t xml:space="preserve">that it is evident that physical ability is an inherent requirement of the job of firefighting and </w:t>
      </w:r>
      <w:r w:rsidR="009D383D" w:rsidRPr="009D383D">
        <w:t xml:space="preserve">that once </w:t>
      </w:r>
      <w:r>
        <w:t xml:space="preserve">the </w:t>
      </w:r>
      <w:r w:rsidR="009D383D" w:rsidRPr="009D383D">
        <w:t xml:space="preserve">inherent requirements </w:t>
      </w:r>
      <w:r>
        <w:t>are</w:t>
      </w:r>
      <w:r w:rsidR="009D383D" w:rsidRPr="009D383D">
        <w:t xml:space="preserve"> successfully raised, </w:t>
      </w:r>
      <w:r w:rsidR="00452608">
        <w:t xml:space="preserve">there is no unfair discrimination and </w:t>
      </w:r>
      <w:r w:rsidR="009D383D" w:rsidRPr="009D383D">
        <w:t xml:space="preserve">no other considerations should be taken into account. </w:t>
      </w:r>
      <w:r w:rsidR="00803BA0">
        <w:t xml:space="preserve"> </w:t>
      </w:r>
      <w:bookmarkStart w:id="0" w:name="_GoBack"/>
      <w:bookmarkEnd w:id="0"/>
      <w:r w:rsidR="00AC019C">
        <w:t>It contends that r</w:t>
      </w:r>
      <w:r w:rsidR="009D383D" w:rsidRPr="009D383D">
        <w:t>easonable accommodation becomes irrelevant because the concept of reasonable accommodation only applies if the person can fulfil the essential functions of the</w:t>
      </w:r>
      <w:r w:rsidR="00AC019C">
        <w:t xml:space="preserve"> position.</w:t>
      </w:r>
      <w:r w:rsidR="009D383D" w:rsidRPr="009D383D">
        <w:t xml:space="preserve">  It argues further that if reasonable accommodation is impossible, then the fact that the disability occurred at work is similarly irrelevant</w:t>
      </w:r>
      <w:r w:rsidR="00452608">
        <w:t>.</w:t>
      </w:r>
    </w:p>
    <w:sectPr w:rsidR="009D383D" w:rsidRPr="00AD3900" w:rsidSect="00883D6C">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93DFD3" w14:textId="77777777" w:rsidR="003B0469" w:rsidRDefault="003B0469" w:rsidP="001C1F8A">
      <w:r>
        <w:separator/>
      </w:r>
    </w:p>
  </w:endnote>
  <w:endnote w:type="continuationSeparator" w:id="0">
    <w:p w14:paraId="7E1FA19C" w14:textId="77777777" w:rsidR="003B0469" w:rsidRDefault="003B0469" w:rsidP="001C1F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F730D6" w14:textId="77777777" w:rsidR="003B0469" w:rsidRDefault="003B0469" w:rsidP="001C1F8A">
      <w:r>
        <w:separator/>
      </w:r>
    </w:p>
  </w:footnote>
  <w:footnote w:type="continuationSeparator" w:id="0">
    <w:p w14:paraId="6122B322" w14:textId="77777777" w:rsidR="003B0469" w:rsidRDefault="003B0469" w:rsidP="001C1F8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0D9D"/>
    <w:rsid w:val="00027A43"/>
    <w:rsid w:val="0003074D"/>
    <w:rsid w:val="00033E1F"/>
    <w:rsid w:val="00043EDB"/>
    <w:rsid w:val="00045EC9"/>
    <w:rsid w:val="00061EFB"/>
    <w:rsid w:val="000717E0"/>
    <w:rsid w:val="000843F3"/>
    <w:rsid w:val="000B0F9D"/>
    <w:rsid w:val="000E58DA"/>
    <w:rsid w:val="000F47C0"/>
    <w:rsid w:val="00123FF4"/>
    <w:rsid w:val="00125A99"/>
    <w:rsid w:val="00136296"/>
    <w:rsid w:val="00146A46"/>
    <w:rsid w:val="00157D30"/>
    <w:rsid w:val="001A6049"/>
    <w:rsid w:val="001A7C4D"/>
    <w:rsid w:val="001B205E"/>
    <w:rsid w:val="001C1F8A"/>
    <w:rsid w:val="001E7FDA"/>
    <w:rsid w:val="002224DA"/>
    <w:rsid w:val="002271DE"/>
    <w:rsid w:val="00236A75"/>
    <w:rsid w:val="00242213"/>
    <w:rsid w:val="002533D2"/>
    <w:rsid w:val="00260C1D"/>
    <w:rsid w:val="00275415"/>
    <w:rsid w:val="00281065"/>
    <w:rsid w:val="00295D22"/>
    <w:rsid w:val="002A197D"/>
    <w:rsid w:val="002D54A1"/>
    <w:rsid w:val="002F18C4"/>
    <w:rsid w:val="002F2F69"/>
    <w:rsid w:val="002F3D8C"/>
    <w:rsid w:val="00314047"/>
    <w:rsid w:val="00316564"/>
    <w:rsid w:val="00321757"/>
    <w:rsid w:val="00343F86"/>
    <w:rsid w:val="00346E54"/>
    <w:rsid w:val="00347FAB"/>
    <w:rsid w:val="003B0469"/>
    <w:rsid w:val="003C5FBA"/>
    <w:rsid w:val="003E0868"/>
    <w:rsid w:val="003E4F20"/>
    <w:rsid w:val="003F2651"/>
    <w:rsid w:val="003F40FF"/>
    <w:rsid w:val="00405BFE"/>
    <w:rsid w:val="004163E8"/>
    <w:rsid w:val="00432020"/>
    <w:rsid w:val="00435ABA"/>
    <w:rsid w:val="00452608"/>
    <w:rsid w:val="00467BFD"/>
    <w:rsid w:val="00482968"/>
    <w:rsid w:val="004A0D9D"/>
    <w:rsid w:val="004A338E"/>
    <w:rsid w:val="004D2EBB"/>
    <w:rsid w:val="004E01A6"/>
    <w:rsid w:val="004F4A8B"/>
    <w:rsid w:val="004F75F0"/>
    <w:rsid w:val="0050003A"/>
    <w:rsid w:val="00512C0D"/>
    <w:rsid w:val="00516AE4"/>
    <w:rsid w:val="00551635"/>
    <w:rsid w:val="00563EE2"/>
    <w:rsid w:val="00574768"/>
    <w:rsid w:val="00580D03"/>
    <w:rsid w:val="00592752"/>
    <w:rsid w:val="00595028"/>
    <w:rsid w:val="005A5DC4"/>
    <w:rsid w:val="005C3216"/>
    <w:rsid w:val="005D3B4C"/>
    <w:rsid w:val="00600E1B"/>
    <w:rsid w:val="00615A86"/>
    <w:rsid w:val="006251C0"/>
    <w:rsid w:val="0063068B"/>
    <w:rsid w:val="00630A40"/>
    <w:rsid w:val="006321AD"/>
    <w:rsid w:val="00644C25"/>
    <w:rsid w:val="00662B28"/>
    <w:rsid w:val="00696F92"/>
    <w:rsid w:val="006C2B63"/>
    <w:rsid w:val="006D3E75"/>
    <w:rsid w:val="006E286D"/>
    <w:rsid w:val="006E7BEB"/>
    <w:rsid w:val="006F3BB4"/>
    <w:rsid w:val="006F5919"/>
    <w:rsid w:val="00701135"/>
    <w:rsid w:val="00721D40"/>
    <w:rsid w:val="0074155D"/>
    <w:rsid w:val="007566BB"/>
    <w:rsid w:val="007647BF"/>
    <w:rsid w:val="00772613"/>
    <w:rsid w:val="007734A1"/>
    <w:rsid w:val="00783060"/>
    <w:rsid w:val="00795C66"/>
    <w:rsid w:val="007A0840"/>
    <w:rsid w:val="00803BA0"/>
    <w:rsid w:val="00806FAD"/>
    <w:rsid w:val="00813BF4"/>
    <w:rsid w:val="00814ECF"/>
    <w:rsid w:val="0082647A"/>
    <w:rsid w:val="0083428F"/>
    <w:rsid w:val="008379A2"/>
    <w:rsid w:val="00860345"/>
    <w:rsid w:val="00865228"/>
    <w:rsid w:val="008813A6"/>
    <w:rsid w:val="0088404A"/>
    <w:rsid w:val="0089423C"/>
    <w:rsid w:val="008A46B7"/>
    <w:rsid w:val="008A5D10"/>
    <w:rsid w:val="008B40FE"/>
    <w:rsid w:val="008C599A"/>
    <w:rsid w:val="008E40D4"/>
    <w:rsid w:val="008F0302"/>
    <w:rsid w:val="00906248"/>
    <w:rsid w:val="009122CB"/>
    <w:rsid w:val="00935E9A"/>
    <w:rsid w:val="0094778A"/>
    <w:rsid w:val="00964BFA"/>
    <w:rsid w:val="009764E4"/>
    <w:rsid w:val="00982D7E"/>
    <w:rsid w:val="00996525"/>
    <w:rsid w:val="009A6378"/>
    <w:rsid w:val="009B214D"/>
    <w:rsid w:val="009C3DE1"/>
    <w:rsid w:val="009D178A"/>
    <w:rsid w:val="009D383D"/>
    <w:rsid w:val="009E6118"/>
    <w:rsid w:val="009E6ACE"/>
    <w:rsid w:val="00A4739C"/>
    <w:rsid w:val="00A53D2C"/>
    <w:rsid w:val="00A84385"/>
    <w:rsid w:val="00A93F0B"/>
    <w:rsid w:val="00AA06F3"/>
    <w:rsid w:val="00AB7AE8"/>
    <w:rsid w:val="00AC019C"/>
    <w:rsid w:val="00AD3900"/>
    <w:rsid w:val="00AD51BC"/>
    <w:rsid w:val="00AE272D"/>
    <w:rsid w:val="00AE63F6"/>
    <w:rsid w:val="00AF7384"/>
    <w:rsid w:val="00B07652"/>
    <w:rsid w:val="00B162DD"/>
    <w:rsid w:val="00B30FA9"/>
    <w:rsid w:val="00B47131"/>
    <w:rsid w:val="00B517F5"/>
    <w:rsid w:val="00B67A09"/>
    <w:rsid w:val="00B7620B"/>
    <w:rsid w:val="00B90A3B"/>
    <w:rsid w:val="00B9226D"/>
    <w:rsid w:val="00BB2680"/>
    <w:rsid w:val="00BD2578"/>
    <w:rsid w:val="00BE028F"/>
    <w:rsid w:val="00BE10E0"/>
    <w:rsid w:val="00BF31DE"/>
    <w:rsid w:val="00BF609D"/>
    <w:rsid w:val="00C1376B"/>
    <w:rsid w:val="00C56780"/>
    <w:rsid w:val="00CA2A66"/>
    <w:rsid w:val="00CA7DF5"/>
    <w:rsid w:val="00CD3238"/>
    <w:rsid w:val="00CF3E09"/>
    <w:rsid w:val="00D71E51"/>
    <w:rsid w:val="00D86DBC"/>
    <w:rsid w:val="00D92F22"/>
    <w:rsid w:val="00DB5296"/>
    <w:rsid w:val="00DD2E5C"/>
    <w:rsid w:val="00DF64A4"/>
    <w:rsid w:val="00E02273"/>
    <w:rsid w:val="00E052C0"/>
    <w:rsid w:val="00E44218"/>
    <w:rsid w:val="00E54CDC"/>
    <w:rsid w:val="00E60FD9"/>
    <w:rsid w:val="00E616C2"/>
    <w:rsid w:val="00E644CC"/>
    <w:rsid w:val="00E83E43"/>
    <w:rsid w:val="00E9078A"/>
    <w:rsid w:val="00EA005F"/>
    <w:rsid w:val="00EC6393"/>
    <w:rsid w:val="00F0174F"/>
    <w:rsid w:val="00F0390D"/>
    <w:rsid w:val="00F15E7D"/>
    <w:rsid w:val="00F20743"/>
    <w:rsid w:val="00F230A4"/>
    <w:rsid w:val="00F56FEA"/>
    <w:rsid w:val="00F71795"/>
    <w:rsid w:val="00F7244E"/>
    <w:rsid w:val="00F87971"/>
    <w:rsid w:val="00FA2019"/>
    <w:rsid w:val="00FB5EE4"/>
    <w:rsid w:val="00FB756F"/>
    <w:rsid w:val="00FD6E36"/>
    <w:rsid w:val="00FE28F8"/>
    <w:rsid w:val="00FF06AC"/>
    <w:rsid w:val="00FF372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09841E"/>
  <w15:chartTrackingRefBased/>
  <w15:docId w15:val="{F6C21C2A-F4BC-4B44-8587-A8DF936357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A0D9D"/>
    <w:pPr>
      <w:jc w:val="both"/>
    </w:pPr>
    <w:rPr>
      <w:rFonts w:ascii="Times New Roman" w:eastAsia="Times New Roman" w:hAnsi="Times New Roman" w:cs="Times New Roman"/>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aliases w:val="Footnote,Footnote Text Char1,Footnote Text Char Char,Footnote Text Char1 Char Char,Footnote Text Char Char Char Char Char,Footnote Text Char Char1 Char Char,(NECG) Footnote Text,ALTS FOOTNOTE,AR Footnote Text,Footnote text Char,Car,Char Ch"/>
    <w:basedOn w:val="Normal"/>
    <w:link w:val="FootnoteTextChar"/>
    <w:uiPriority w:val="99"/>
    <w:unhideWhenUsed/>
    <w:qFormat/>
    <w:rsid w:val="001C1F8A"/>
    <w:rPr>
      <w:rFonts w:eastAsia="Calibri"/>
      <w:sz w:val="20"/>
      <w:szCs w:val="20"/>
    </w:rPr>
  </w:style>
  <w:style w:type="character" w:customStyle="1" w:styleId="FootnoteTextChar">
    <w:name w:val="Footnote Text Char"/>
    <w:aliases w:val="Footnote Char,Footnote Text Char1 Char,Footnote Text Char Char Char,Footnote Text Char1 Char Char Char,Footnote Text Char Char Char Char Char Char,Footnote Text Char Char1 Char Char Char,(NECG) Footnote Text Char,ALTS FOOTNOTE Char"/>
    <w:basedOn w:val="DefaultParagraphFont"/>
    <w:link w:val="FootnoteText"/>
    <w:rsid w:val="001C1F8A"/>
    <w:rPr>
      <w:rFonts w:ascii="Times New Roman" w:eastAsia="Calibri" w:hAnsi="Times New Roman" w:cs="Times New Roman"/>
      <w:sz w:val="20"/>
      <w:szCs w:val="20"/>
      <w:lang w:val="en-ZA"/>
    </w:rPr>
  </w:style>
  <w:style w:type="character" w:styleId="FootnoteReference">
    <w:name w:val="footnote reference"/>
    <w:aliases w:val="Ref,de nota al pie,註腳內容,Footnotes refss,Appel note de bas de page,(NECG) Footnote Reference,fr,Footnote symbol,Style 12,Footnote Reference + Superscript,Footnote Reference in text,Footnote Reference Superscript,o,Style 4"/>
    <w:basedOn w:val="DefaultParagraphFont"/>
    <w:uiPriority w:val="99"/>
    <w:unhideWhenUsed/>
    <w:qFormat/>
    <w:rsid w:val="001C1F8A"/>
    <w:rPr>
      <w:vertAlign w:val="superscript"/>
    </w:rPr>
  </w:style>
  <w:style w:type="character" w:styleId="CommentReference">
    <w:name w:val="annotation reference"/>
    <w:basedOn w:val="DefaultParagraphFont"/>
    <w:uiPriority w:val="99"/>
    <w:semiHidden/>
    <w:unhideWhenUsed/>
    <w:rsid w:val="00D86DBC"/>
    <w:rPr>
      <w:sz w:val="16"/>
      <w:szCs w:val="16"/>
    </w:rPr>
  </w:style>
  <w:style w:type="paragraph" w:styleId="CommentText">
    <w:name w:val="annotation text"/>
    <w:basedOn w:val="Normal"/>
    <w:link w:val="CommentTextChar"/>
    <w:uiPriority w:val="99"/>
    <w:semiHidden/>
    <w:unhideWhenUsed/>
    <w:rsid w:val="00D86DBC"/>
    <w:rPr>
      <w:sz w:val="20"/>
      <w:szCs w:val="20"/>
    </w:rPr>
  </w:style>
  <w:style w:type="character" w:customStyle="1" w:styleId="CommentTextChar">
    <w:name w:val="Comment Text Char"/>
    <w:basedOn w:val="DefaultParagraphFont"/>
    <w:link w:val="CommentText"/>
    <w:uiPriority w:val="99"/>
    <w:semiHidden/>
    <w:rsid w:val="00D86DBC"/>
    <w:rPr>
      <w:rFonts w:ascii="Times New Roman" w:eastAsia="Times New Roman" w:hAnsi="Times New Roman" w:cs="Times New Roman"/>
      <w:sz w:val="20"/>
      <w:szCs w:val="20"/>
      <w:lang w:val="en-ZA"/>
    </w:rPr>
  </w:style>
  <w:style w:type="paragraph" w:styleId="CommentSubject">
    <w:name w:val="annotation subject"/>
    <w:basedOn w:val="CommentText"/>
    <w:next w:val="CommentText"/>
    <w:link w:val="CommentSubjectChar"/>
    <w:uiPriority w:val="99"/>
    <w:semiHidden/>
    <w:unhideWhenUsed/>
    <w:rsid w:val="00D86DBC"/>
    <w:rPr>
      <w:b/>
      <w:bCs/>
    </w:rPr>
  </w:style>
  <w:style w:type="character" w:customStyle="1" w:styleId="CommentSubjectChar">
    <w:name w:val="Comment Subject Char"/>
    <w:basedOn w:val="CommentTextChar"/>
    <w:link w:val="CommentSubject"/>
    <w:uiPriority w:val="99"/>
    <w:semiHidden/>
    <w:rsid w:val="00D86DBC"/>
    <w:rPr>
      <w:rFonts w:ascii="Times New Roman" w:eastAsia="Times New Roman" w:hAnsi="Times New Roman" w:cs="Times New Roman"/>
      <w:b/>
      <w:bCs/>
      <w:sz w:val="20"/>
      <w:szCs w:val="20"/>
      <w:lang w:val="en-ZA"/>
    </w:rPr>
  </w:style>
  <w:style w:type="paragraph" w:styleId="BalloonText">
    <w:name w:val="Balloon Text"/>
    <w:basedOn w:val="Normal"/>
    <w:link w:val="BalloonTextChar"/>
    <w:uiPriority w:val="99"/>
    <w:semiHidden/>
    <w:unhideWhenUsed/>
    <w:rsid w:val="00D86DB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86DBC"/>
    <w:rPr>
      <w:rFonts w:ascii="Segoe UI" w:eastAsia="Times New Roman" w:hAnsi="Segoe UI" w:cs="Segoe UI"/>
      <w:sz w:val="18"/>
      <w:szCs w:val="18"/>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cid:image001.png@01CF121A.2263A8C0"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53411F8C-7C8D-2340-AF6F-9488B4C09801}">
  <we:reference id="wa200001011" version="1.1.0.0" store="en-US" storeType="OMEX"/>
  <we:alternateReferences>
    <we:reference id="wa200001011" version="1.1.0.0" store="WA200001011"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C576CA-BD3A-44D2-9468-B852912BD9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1112</Words>
  <Characters>6345</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Victor H Perez B</dc:creator>
  <cp:keywords/>
  <dc:description/>
  <cp:lastModifiedBy>Kelebogile  Aplane</cp:lastModifiedBy>
  <cp:revision>2</cp:revision>
  <dcterms:created xsi:type="dcterms:W3CDTF">2021-08-10T14:51:00Z</dcterms:created>
  <dcterms:modified xsi:type="dcterms:W3CDTF">2021-08-10T14:51:00Z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_documentId">
    <vt:lpwstr>documentId_3269</vt:lpwstr>
  </property>
  <property fmtid="{D5CDD505-2E9C-101B-9397-08002B2CF9AE}" pid="3" name="grammarly_documentContext">
    <vt:lpwstr>{"goals":[],"domain":"general","emotions":[],"dialect":"british"}</vt:lpwstr>
  </property>
  <property fmtid="{D5CDD505-2E9C-101B-9397-08002B2CF9AE}" pid="4" name="_AdHocReviewCycleID">
    <vt:i4>-1475737208</vt:i4>
  </property>
  <property fmtid="{D5CDD505-2E9C-101B-9397-08002B2CF9AE}" pid="5" name="_NewReviewCycle">
    <vt:lpwstr/>
  </property>
  <property fmtid="{D5CDD505-2E9C-101B-9397-08002B2CF9AE}" pid="6" name="_EmailSubject">
    <vt:lpwstr>[Pre hearing media summary and tweet] CCT 278/21 Adam Damons v City of Cape Town</vt:lpwstr>
  </property>
  <property fmtid="{D5CDD505-2E9C-101B-9397-08002B2CF9AE}" pid="7" name="_AuthorEmail">
    <vt:lpwstr>Ngobeni@concourt.org.za</vt:lpwstr>
  </property>
  <property fmtid="{D5CDD505-2E9C-101B-9397-08002B2CF9AE}" pid="8" name="_AuthorEmailDisplayName">
    <vt:lpwstr>Mmabatho Ngobeni</vt:lpwstr>
  </property>
</Properties>
</file>