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2D288B" w14:textId="77777777" w:rsidR="00F5283F" w:rsidRPr="00A57E8E" w:rsidRDefault="00CA458C" w:rsidP="00720ACA">
      <w:pPr>
        <w:jc w:val="center"/>
      </w:pPr>
      <w:r w:rsidRPr="00A57E8E">
        <w:rPr>
          <w:noProof/>
          <w:lang w:eastAsia="en-ZA"/>
        </w:rPr>
        <w:drawing>
          <wp:inline distT="0" distB="0" distL="0" distR="0" wp14:anchorId="16C492F3" wp14:editId="0E46328C">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05793F1B" w14:textId="77777777" w:rsidR="00F5283F" w:rsidRPr="00A57E8E" w:rsidRDefault="00F5283F" w:rsidP="00720ACA">
      <w:pPr>
        <w:jc w:val="center"/>
      </w:pPr>
    </w:p>
    <w:p w14:paraId="1776A3C9" w14:textId="77777777" w:rsidR="001E5F5A" w:rsidRPr="00A57E8E" w:rsidRDefault="001E5F5A" w:rsidP="00720ACA">
      <w:pPr>
        <w:jc w:val="center"/>
        <w:rPr>
          <w:b/>
        </w:rPr>
      </w:pPr>
      <w:r w:rsidRPr="00A57E8E">
        <w:rPr>
          <w:b/>
        </w:rPr>
        <w:t>CONSTIT</w:t>
      </w:r>
      <w:r w:rsidR="00676CFE" w:rsidRPr="00A57E8E">
        <w:rPr>
          <w:b/>
        </w:rPr>
        <w:t>UT</w:t>
      </w:r>
      <w:r w:rsidRPr="00A57E8E">
        <w:rPr>
          <w:b/>
        </w:rPr>
        <w:t>IONAL COURT OF SOUTH AFRICA</w:t>
      </w:r>
    </w:p>
    <w:p w14:paraId="3D76199B" w14:textId="77777777" w:rsidR="00702537" w:rsidRPr="00702537" w:rsidRDefault="00702537" w:rsidP="00702537">
      <w:pPr>
        <w:widowControl w:val="0"/>
        <w:autoSpaceDE w:val="0"/>
        <w:autoSpaceDN w:val="0"/>
        <w:jc w:val="left"/>
      </w:pPr>
    </w:p>
    <w:p w14:paraId="76C12300" w14:textId="3ECD4EC7" w:rsidR="00702537" w:rsidRDefault="008D240D" w:rsidP="00216A0A">
      <w:pPr>
        <w:jc w:val="center"/>
        <w:rPr>
          <w:rFonts w:eastAsia="Calibri"/>
          <w:b/>
        </w:rPr>
      </w:pPr>
      <w:r>
        <w:rPr>
          <w:b/>
          <w:szCs w:val="26"/>
        </w:rPr>
        <w:t>Minister of Finance v Afribusiness NPC</w:t>
      </w:r>
    </w:p>
    <w:p w14:paraId="6A68B314" w14:textId="77777777" w:rsidR="001C2121" w:rsidRPr="00BD377D" w:rsidRDefault="001C2121" w:rsidP="006B10A5">
      <w:pPr>
        <w:rPr>
          <w:rFonts w:eastAsia="Calibri"/>
          <w:b/>
          <w:caps/>
        </w:rPr>
      </w:pPr>
    </w:p>
    <w:p w14:paraId="4DAAFEAD" w14:textId="72747CE7" w:rsidR="00E07942" w:rsidRPr="00A57E8E" w:rsidRDefault="00D40819" w:rsidP="00720ACA">
      <w:pPr>
        <w:jc w:val="right"/>
        <w:rPr>
          <w:b/>
        </w:rPr>
      </w:pPr>
      <w:r w:rsidRPr="00A57E8E">
        <w:rPr>
          <w:b/>
        </w:rPr>
        <w:t>CCT</w:t>
      </w:r>
      <w:r w:rsidR="00720ACA" w:rsidRPr="00A57E8E">
        <w:rPr>
          <w:b/>
        </w:rPr>
        <w:t xml:space="preserve"> </w:t>
      </w:r>
      <w:r w:rsidR="008D240D">
        <w:rPr>
          <w:b/>
        </w:rPr>
        <w:t>279/20</w:t>
      </w:r>
    </w:p>
    <w:p w14:paraId="33F908B7" w14:textId="77777777" w:rsidR="00D40819" w:rsidRPr="00A57E8E" w:rsidRDefault="00D40819" w:rsidP="00720ACA">
      <w:pPr>
        <w:jc w:val="right"/>
        <w:rPr>
          <w:b/>
        </w:rPr>
      </w:pPr>
    </w:p>
    <w:p w14:paraId="73D03476" w14:textId="5C68FD6C" w:rsidR="00E07942" w:rsidRPr="00A57E8E" w:rsidRDefault="00E07942" w:rsidP="00720ACA">
      <w:pPr>
        <w:jc w:val="right"/>
        <w:rPr>
          <w:b/>
        </w:rPr>
      </w:pPr>
      <w:r w:rsidRPr="00A57E8E">
        <w:rPr>
          <w:b/>
        </w:rPr>
        <w:t xml:space="preserve">Date of hearing: </w:t>
      </w:r>
      <w:r w:rsidR="008D240D">
        <w:rPr>
          <w:b/>
        </w:rPr>
        <w:t>25 May 2021</w:t>
      </w:r>
    </w:p>
    <w:p w14:paraId="157986DC" w14:textId="77777777" w:rsidR="00823B02" w:rsidRPr="00A57E8E" w:rsidRDefault="00823B02" w:rsidP="00AE4640"/>
    <w:p w14:paraId="7237604A" w14:textId="77777777" w:rsidR="001E5F5A" w:rsidRPr="00A57E8E" w:rsidRDefault="00526226" w:rsidP="00AE4640">
      <w:r w:rsidRPr="00A57E8E">
        <w:t>________________________________________________________________________</w:t>
      </w:r>
    </w:p>
    <w:p w14:paraId="5175E3D4" w14:textId="77777777" w:rsidR="00526226" w:rsidRPr="00A57E8E" w:rsidRDefault="00526226" w:rsidP="00526226">
      <w:pPr>
        <w:jc w:val="center"/>
        <w:rPr>
          <w:b/>
        </w:rPr>
      </w:pPr>
    </w:p>
    <w:p w14:paraId="32B21A0D" w14:textId="77777777" w:rsidR="00526226" w:rsidRPr="00A57E8E" w:rsidRDefault="001E5F5A" w:rsidP="00526226">
      <w:pPr>
        <w:jc w:val="center"/>
        <w:rPr>
          <w:b/>
        </w:rPr>
      </w:pPr>
      <w:r w:rsidRPr="00A57E8E">
        <w:rPr>
          <w:b/>
        </w:rPr>
        <w:t>MEDIA SUMMARY</w:t>
      </w:r>
    </w:p>
    <w:p w14:paraId="759E3CFC" w14:textId="77777777" w:rsidR="00526226" w:rsidRPr="00A57E8E" w:rsidRDefault="00526226" w:rsidP="00526226">
      <w:pPr>
        <w:jc w:val="center"/>
      </w:pPr>
      <w:r w:rsidRPr="00A57E8E">
        <w:t>________________________________________________________________________</w:t>
      </w:r>
    </w:p>
    <w:p w14:paraId="52968EB3" w14:textId="77777777" w:rsidR="001E5F5A" w:rsidRPr="00A57E8E" w:rsidRDefault="001E5F5A" w:rsidP="008B532D">
      <w:pPr>
        <w:spacing w:line="360" w:lineRule="auto"/>
        <w:jc w:val="left"/>
      </w:pPr>
    </w:p>
    <w:p w14:paraId="74ED4C4E" w14:textId="77777777" w:rsidR="001E5F5A" w:rsidRPr="00A57E8E" w:rsidRDefault="001E5F5A" w:rsidP="006474CE">
      <w:pPr>
        <w:rPr>
          <w:i/>
        </w:rPr>
      </w:pPr>
      <w:r w:rsidRPr="00A57E8E">
        <w:rPr>
          <w:i/>
        </w:rPr>
        <w:t xml:space="preserve">The following </w:t>
      </w:r>
      <w:r w:rsidR="008C3682" w:rsidRPr="00A57E8E">
        <w:rPr>
          <w:i/>
        </w:rPr>
        <w:t xml:space="preserve">explanatory note </w:t>
      </w:r>
      <w:r w:rsidRPr="00A57E8E">
        <w:rPr>
          <w:i/>
        </w:rPr>
        <w:t>is provided to assist the media in reporting this case and is not binding on the Constitutional Court or any member of the Court.</w:t>
      </w:r>
    </w:p>
    <w:p w14:paraId="4E954006" w14:textId="77777777" w:rsidR="001E5F5A" w:rsidRPr="00A57E8E" w:rsidRDefault="001E5F5A" w:rsidP="006474CE"/>
    <w:p w14:paraId="7939C341" w14:textId="7828A0E9" w:rsidR="008D240D" w:rsidRDefault="006474CE" w:rsidP="0019154E">
      <w:r w:rsidRPr="00C02F7D">
        <w:t>On</w:t>
      </w:r>
      <w:r w:rsidR="000935F7">
        <w:t xml:space="preserve"> T</w:t>
      </w:r>
      <w:r w:rsidR="008D240D">
        <w:t>ue</w:t>
      </w:r>
      <w:r w:rsidR="000935F7">
        <w:t>sday,</w:t>
      </w:r>
      <w:r w:rsidRPr="00C02F7D">
        <w:t xml:space="preserve"> </w:t>
      </w:r>
      <w:r w:rsidR="008D240D">
        <w:t>25</w:t>
      </w:r>
      <w:r w:rsidR="00216A0A">
        <w:t xml:space="preserve"> </w:t>
      </w:r>
      <w:r w:rsidR="008D240D">
        <w:t>May</w:t>
      </w:r>
      <w:r w:rsidR="00216A0A">
        <w:t xml:space="preserve"> 202</w:t>
      </w:r>
      <w:r w:rsidR="008D240D">
        <w:t>1</w:t>
      </w:r>
      <w:r w:rsidR="0007028D" w:rsidRPr="00C02F7D">
        <w:t xml:space="preserve"> </w:t>
      </w:r>
      <w:r w:rsidR="00AC799A" w:rsidRPr="00C02F7D">
        <w:t xml:space="preserve">at </w:t>
      </w:r>
      <w:r w:rsidR="0007028D" w:rsidRPr="00C02F7D">
        <w:t>10</w:t>
      </w:r>
      <w:r w:rsidR="00AC799A" w:rsidRPr="00C02F7D">
        <w:t xml:space="preserve">h00 </w:t>
      </w:r>
      <w:r w:rsidR="000D35AE" w:rsidRPr="00C02F7D">
        <w:t xml:space="preserve">the </w:t>
      </w:r>
      <w:r w:rsidR="008C3682" w:rsidRPr="00C02F7D">
        <w:t xml:space="preserve">Constitutional Court </w:t>
      </w:r>
      <w:r w:rsidR="000D35AE" w:rsidRPr="00C02F7D">
        <w:t xml:space="preserve">will hear </w:t>
      </w:r>
      <w:r w:rsidR="00F178C4" w:rsidRPr="00C02F7D">
        <w:t xml:space="preserve">an application </w:t>
      </w:r>
      <w:r w:rsidR="00E70D77" w:rsidRPr="00C02F7D">
        <w:t xml:space="preserve">for </w:t>
      </w:r>
      <w:r w:rsidR="0006798E" w:rsidRPr="00C02F7D">
        <w:t xml:space="preserve">leave to appeal </w:t>
      </w:r>
      <w:r w:rsidR="00400F35" w:rsidRPr="00C02F7D">
        <w:t>ag</w:t>
      </w:r>
      <w:r w:rsidR="0006798E" w:rsidRPr="00C02F7D">
        <w:t>a</w:t>
      </w:r>
      <w:r w:rsidR="00400F35" w:rsidRPr="00C02F7D">
        <w:t>inst a</w:t>
      </w:r>
      <w:r w:rsidR="008F633C">
        <w:t xml:space="preserve"> judg</w:t>
      </w:r>
      <w:r w:rsidR="004F47CF">
        <w:t>ment</w:t>
      </w:r>
      <w:r w:rsidR="000935F7">
        <w:t xml:space="preserve"> and order</w:t>
      </w:r>
      <w:r w:rsidR="004F47CF">
        <w:t xml:space="preserve"> </w:t>
      </w:r>
      <w:r w:rsidR="008D240D">
        <w:t>of the Supreme Court of Appeal.  The applicant is the Minister of Finance.  The respondent is Afribusiness NPC</w:t>
      </w:r>
      <w:r w:rsidR="00677F27">
        <w:t>.</w:t>
      </w:r>
    </w:p>
    <w:p w14:paraId="1A20C4EB" w14:textId="762F3E50" w:rsidR="008D240D" w:rsidRDefault="008D240D" w:rsidP="0019154E"/>
    <w:p w14:paraId="128A5C31" w14:textId="50A6AE59" w:rsidR="00EF320B" w:rsidRDefault="008D240D" w:rsidP="0095467B">
      <w:r>
        <w:t>On 14 June 2016, the Minister, acting in terms of section 5</w:t>
      </w:r>
      <w:r w:rsidR="00C734E7">
        <w:t xml:space="preserve"> </w:t>
      </w:r>
      <w:r>
        <w:t xml:space="preserve">of the </w:t>
      </w:r>
      <w:r w:rsidR="009C5DBC" w:rsidRPr="009C5DBC">
        <w:t>Preferential Procurement Policy Framework Act 5 of 2000 (the Act)</w:t>
      </w:r>
      <w:r w:rsidR="009C5DBC">
        <w:t xml:space="preserve">, published “Draft Procurement Regulations 2016” for public comment.  </w:t>
      </w:r>
      <w:r w:rsidR="008D31FE">
        <w:t>The deadline</w:t>
      </w:r>
      <w:r w:rsidR="00EF320B">
        <w:t xml:space="preserve"> for comment</w:t>
      </w:r>
      <w:r w:rsidR="008D31FE">
        <w:t xml:space="preserve"> was 15 July 2016.  </w:t>
      </w:r>
      <w:r w:rsidR="002E6B4F">
        <w:t>Wh</w:t>
      </w:r>
      <w:r w:rsidR="0011156D">
        <w:t xml:space="preserve">en the period </w:t>
      </w:r>
      <w:r w:rsidR="002E6B4F">
        <w:t xml:space="preserve"> </w:t>
      </w:r>
      <w:r w:rsidR="000D3623">
        <w:t>expired</w:t>
      </w:r>
      <w:r w:rsidR="002E6B4F">
        <w:t xml:space="preserve">, Afribusiness </w:t>
      </w:r>
      <w:r w:rsidR="00403C2D">
        <w:t>sought</w:t>
      </w:r>
      <w:r w:rsidR="008D31FE">
        <w:t xml:space="preserve"> </w:t>
      </w:r>
      <w:r w:rsidR="0011156D">
        <w:t>that the period be extended by 60 to 90 days</w:t>
      </w:r>
      <w:r w:rsidR="008D31FE">
        <w:t>.</w:t>
      </w:r>
      <w:r w:rsidR="00254F90">
        <w:t xml:space="preserve">  </w:t>
      </w:r>
      <w:r w:rsidR="008D31FE">
        <w:t>T</w:t>
      </w:r>
      <w:r w:rsidR="00E25A72">
        <w:t>he Minister extended the date for comments to 23 September 2016.</w:t>
      </w:r>
      <w:r w:rsidR="00EF320B">
        <w:t xml:space="preserve">  </w:t>
      </w:r>
      <w:r w:rsidR="00E25A72">
        <w:t xml:space="preserve">Afribusiness submitted its comments but maintained that the period given for public comment </w:t>
      </w:r>
      <w:r w:rsidR="002E0C0D">
        <w:t xml:space="preserve">was </w:t>
      </w:r>
      <w:r w:rsidR="00E25A72">
        <w:t>insufficient.</w:t>
      </w:r>
    </w:p>
    <w:p w14:paraId="455B9BC6" w14:textId="77777777" w:rsidR="00EF320B" w:rsidRDefault="00EF320B" w:rsidP="0095467B"/>
    <w:p w14:paraId="01FDE4E9" w14:textId="42392953" w:rsidR="00E25A72" w:rsidRDefault="00A809DD" w:rsidP="0095467B">
      <w:r>
        <w:t>O</w:t>
      </w:r>
      <w:r w:rsidR="00E25A72">
        <w:t xml:space="preserve">n 20 January 2017, the Minister promulgated the </w:t>
      </w:r>
      <w:r w:rsidR="00292D49">
        <w:t>Preferential Procurement Regulations, 2017 (</w:t>
      </w:r>
      <w:r w:rsidR="00E25A72">
        <w:t>2017 Regulations</w:t>
      </w:r>
      <w:r w:rsidR="00292D49">
        <w:t>)</w:t>
      </w:r>
      <w:r w:rsidR="00E25A72">
        <w:t xml:space="preserve">.  </w:t>
      </w:r>
      <w:r w:rsidR="00292D49">
        <w:t>The 2017 Regulations</w:t>
      </w:r>
      <w:r w:rsidR="00D4663D">
        <w:t xml:space="preserve">, </w:t>
      </w:r>
      <w:r w:rsidR="002E0C0D" w:rsidRPr="00DD2D1E">
        <w:rPr>
          <w:i/>
        </w:rPr>
        <w:t>inter alia</w:t>
      </w:r>
      <w:r w:rsidR="00D4663D">
        <w:t>,</w:t>
      </w:r>
      <w:r w:rsidR="00292D49">
        <w:t xml:space="preserve"> introduced a </w:t>
      </w:r>
      <w:proofErr w:type="gramStart"/>
      <w:r w:rsidR="00C41DFE">
        <w:t>pre-</w:t>
      </w:r>
      <w:r w:rsidR="00B758AC">
        <w:t> </w:t>
      </w:r>
      <w:r w:rsidR="00C41DFE">
        <w:t xml:space="preserve">qualification </w:t>
      </w:r>
      <w:r w:rsidR="00EF320B">
        <w:t>criteria</w:t>
      </w:r>
      <w:proofErr w:type="gramEnd"/>
      <w:r w:rsidR="00EF320B">
        <w:t xml:space="preserve"> </w:t>
      </w:r>
      <w:r w:rsidR="00887895">
        <w:t>to be eligible to tender</w:t>
      </w:r>
      <w:r w:rsidR="00292D49">
        <w:t xml:space="preserve">.  </w:t>
      </w:r>
      <w:r w:rsidR="00E25A72">
        <w:t xml:space="preserve">Under </w:t>
      </w:r>
      <w:r w:rsidR="00403C2D">
        <w:t>the</w:t>
      </w:r>
      <w:r w:rsidR="00E25A72">
        <w:t xml:space="preserve"> regulations</w:t>
      </w:r>
      <w:r w:rsidR="00AD1C22">
        <w:t xml:space="preserve">, </w:t>
      </w:r>
      <w:r w:rsidR="000F69B0">
        <w:t xml:space="preserve">if an organ of state elects to apply the pre- qualification criteria, </w:t>
      </w:r>
      <w:r w:rsidR="00AD1C22">
        <w:t>any tender that does not meet the criteria</w:t>
      </w:r>
      <w:r w:rsidR="000F69B0" w:rsidRPr="000F69B0">
        <w:t xml:space="preserve"> </w:t>
      </w:r>
      <w:r w:rsidR="00CB2782">
        <w:t>is</w:t>
      </w:r>
      <w:r w:rsidR="00AD1C22">
        <w:t xml:space="preserve"> an unacceptable tender. </w:t>
      </w:r>
      <w:r w:rsidR="00D7238F">
        <w:t xml:space="preserve"> </w:t>
      </w:r>
      <w:r>
        <w:t xml:space="preserve">These </w:t>
      </w:r>
      <w:r w:rsidR="00D7238F">
        <w:t xml:space="preserve">qualifying criteria </w:t>
      </w:r>
      <w:r w:rsidR="000F69B0">
        <w:t xml:space="preserve">advance certain designated groups and provide that only certain tenderers </w:t>
      </w:r>
      <w:r w:rsidR="002E0C0D">
        <w:t xml:space="preserve">may </w:t>
      </w:r>
      <w:r w:rsidR="000F69B0">
        <w:t>respond</w:t>
      </w:r>
      <w:r w:rsidR="00A320B7">
        <w:t xml:space="preserve">, these </w:t>
      </w:r>
      <w:proofErr w:type="gramStart"/>
      <w:r w:rsidR="000F69B0">
        <w:t>include</w:t>
      </w:r>
      <w:r w:rsidR="002E0C0D">
        <w:t>:</w:t>
      </w:r>
      <w:proofErr w:type="gramEnd"/>
      <w:r w:rsidR="000F69B0">
        <w:t xml:space="preserve"> tenderers having a stipulated minimum </w:t>
      </w:r>
      <w:r w:rsidR="002E0C0D" w:rsidRPr="000E19F3">
        <w:t>Broad</w:t>
      </w:r>
      <w:r w:rsidR="002E0C0D">
        <w:t>-</w:t>
      </w:r>
      <w:r w:rsidR="000E19F3" w:rsidRPr="000E19F3">
        <w:t>Ba</w:t>
      </w:r>
      <w:r w:rsidR="00B758AC">
        <w:t>sed Black Economic Empowerment</w:t>
      </w:r>
      <w:r w:rsidR="000E19F3" w:rsidRPr="000E19F3">
        <w:t xml:space="preserve"> </w:t>
      </w:r>
      <w:r w:rsidR="0011156D">
        <w:t>(</w:t>
      </w:r>
      <w:r w:rsidR="000F69B0">
        <w:t>B-BBEE</w:t>
      </w:r>
      <w:r w:rsidR="0011156D">
        <w:t>)</w:t>
      </w:r>
      <w:r w:rsidR="00CB2782">
        <w:t xml:space="preserve"> status level of contributor</w:t>
      </w:r>
      <w:r w:rsidR="000F69B0">
        <w:t>; exempted micro enterprise</w:t>
      </w:r>
      <w:r w:rsidR="00B758AC">
        <w:t>s</w:t>
      </w:r>
      <w:r w:rsidR="000F69B0">
        <w:t xml:space="preserve"> (EME</w:t>
      </w:r>
      <w:r w:rsidR="000D3623">
        <w:t>s</w:t>
      </w:r>
      <w:r w:rsidR="000F69B0">
        <w:t xml:space="preserve">) or </w:t>
      </w:r>
      <w:r w:rsidR="000F69B0" w:rsidRPr="000F69B0">
        <w:t>qualifying small enterprise</w:t>
      </w:r>
      <w:r w:rsidR="00B758AC">
        <w:t>s</w:t>
      </w:r>
      <w:r w:rsidR="000F69B0" w:rsidRPr="000F69B0">
        <w:t xml:space="preserve"> (QSE</w:t>
      </w:r>
      <w:r w:rsidR="000D3623">
        <w:t>s</w:t>
      </w:r>
      <w:r w:rsidR="000F69B0" w:rsidRPr="000F69B0">
        <w:t>)</w:t>
      </w:r>
      <w:r w:rsidR="000E19F3">
        <w:t xml:space="preserve">, and tenderers </w:t>
      </w:r>
      <w:r w:rsidR="00B758AC">
        <w:t>sub</w:t>
      </w:r>
      <w:r w:rsidR="000E19F3">
        <w:t>contracting a minimum of 30% to</w:t>
      </w:r>
      <w:r w:rsidR="00FF1DF6">
        <w:t xml:space="preserve"> </w:t>
      </w:r>
      <w:r w:rsidR="000E19F3">
        <w:t>EMEs and QSEs</w:t>
      </w:r>
      <w:r w:rsidR="00FF1DF6">
        <w:t xml:space="preserve"> which are at least 51 percent </w:t>
      </w:r>
      <w:r w:rsidR="002E0C0D">
        <w:t xml:space="preserve">black </w:t>
      </w:r>
      <w:r w:rsidR="00FF1DF6">
        <w:t>owned</w:t>
      </w:r>
      <w:r w:rsidR="000F69B0">
        <w:t xml:space="preserve">.  </w:t>
      </w:r>
      <w:r w:rsidR="00D7238F">
        <w:t>If</w:t>
      </w:r>
      <w:r w:rsidR="001542B6">
        <w:t xml:space="preserve"> feasible to subcontract for a contract above R30 million, then the organ of state must apply subcontracting to advance </w:t>
      </w:r>
      <w:r w:rsidR="00C734E7">
        <w:t xml:space="preserve">the </w:t>
      </w:r>
      <w:r w:rsidR="001542B6">
        <w:t>designated groups.</w:t>
      </w:r>
    </w:p>
    <w:p w14:paraId="2AA61F21" w14:textId="77777777" w:rsidR="00E25A72" w:rsidRDefault="00E25A72" w:rsidP="0095467B"/>
    <w:p w14:paraId="1A50ACB1" w14:textId="093F60D8" w:rsidR="00A14F99" w:rsidRDefault="007E5F8B" w:rsidP="0095467B">
      <w:r>
        <w:lastRenderedPageBreak/>
        <w:t>Afribusiness was not satisfied with</w:t>
      </w:r>
      <w:r w:rsidR="00594D72">
        <w:t xml:space="preserve"> </w:t>
      </w:r>
      <w:r w:rsidR="0011156D">
        <w:t xml:space="preserve">certain </w:t>
      </w:r>
      <w:r>
        <w:t xml:space="preserve"> </w:t>
      </w:r>
      <w:r w:rsidR="00594D72">
        <w:t>provisions</w:t>
      </w:r>
      <w:r>
        <w:t xml:space="preserve"> of </w:t>
      </w:r>
      <w:r w:rsidR="00A14F99">
        <w:t xml:space="preserve">the </w:t>
      </w:r>
      <w:r w:rsidR="000E19F3">
        <w:t xml:space="preserve">2017 </w:t>
      </w:r>
      <w:r w:rsidR="00A14F99">
        <w:t>Regulations</w:t>
      </w:r>
      <w:r>
        <w:t xml:space="preserve">. </w:t>
      </w:r>
      <w:r w:rsidR="00403C2D">
        <w:t xml:space="preserve"> </w:t>
      </w:r>
      <w:r>
        <w:t xml:space="preserve">It </w:t>
      </w:r>
      <w:r w:rsidR="000E19F3">
        <w:t>approached the</w:t>
      </w:r>
      <w:r w:rsidR="00A14F99">
        <w:t xml:space="preserve"> High Court</w:t>
      </w:r>
      <w:r w:rsidR="00631A41">
        <w:t xml:space="preserve"> </w:t>
      </w:r>
      <w:r>
        <w:t xml:space="preserve">and sought </w:t>
      </w:r>
      <w:r w:rsidR="00A14F99">
        <w:t xml:space="preserve">an order </w:t>
      </w:r>
      <w:r w:rsidR="00631A41">
        <w:t xml:space="preserve">reviewing and setting aside the </w:t>
      </w:r>
      <w:r w:rsidR="000E19F3">
        <w:t xml:space="preserve">2017 </w:t>
      </w:r>
      <w:r w:rsidR="00631A41">
        <w:t xml:space="preserve">Regulations in terms of the Promotion of Administrative Justice Act </w:t>
      </w:r>
      <w:r w:rsidR="000E19F3">
        <w:t xml:space="preserve">3 of 2000 </w:t>
      </w:r>
      <w:r w:rsidR="00631A41">
        <w:t>(PAJA)</w:t>
      </w:r>
      <w:r w:rsidR="00A14F99">
        <w:t xml:space="preserve">.  </w:t>
      </w:r>
      <w:r w:rsidR="00631A41">
        <w:t>T</w:t>
      </w:r>
      <w:r w:rsidR="00D23266">
        <w:t xml:space="preserve">he High Court held that the Constitution requires procurement processes to achieve economic transformation and the addition </w:t>
      </w:r>
      <w:r w:rsidR="00602FAF">
        <w:t xml:space="preserve">of the </w:t>
      </w:r>
      <w:r w:rsidR="00D23266">
        <w:t xml:space="preserve">pre-qualification system was </w:t>
      </w:r>
      <w:r w:rsidR="00C734E7">
        <w:t xml:space="preserve">permitted </w:t>
      </w:r>
      <w:r w:rsidR="00D23266">
        <w:t>as it denote</w:t>
      </w:r>
      <w:r w:rsidR="00602FAF">
        <w:t>d</w:t>
      </w:r>
      <w:r w:rsidR="00D23266">
        <w:t xml:space="preserve"> what an </w:t>
      </w:r>
      <w:r w:rsidR="00A320B7">
        <w:t>“</w:t>
      </w:r>
      <w:r w:rsidR="00D23266">
        <w:t xml:space="preserve">acceptable </w:t>
      </w:r>
      <w:r w:rsidR="00A320B7">
        <w:t xml:space="preserve">tender” </w:t>
      </w:r>
      <w:r w:rsidR="00D23266">
        <w:t>is</w:t>
      </w:r>
      <w:r w:rsidR="00884C68">
        <w:t xml:space="preserve"> in terms of </w:t>
      </w:r>
      <w:r w:rsidR="00C734E7">
        <w:t>sec</w:t>
      </w:r>
      <w:r w:rsidR="000D3623">
        <w:t>t</w:t>
      </w:r>
      <w:r w:rsidR="00C734E7">
        <w:t xml:space="preserve">ion 1 of </w:t>
      </w:r>
      <w:r w:rsidR="00884C68">
        <w:t xml:space="preserve">the Act </w:t>
      </w:r>
      <w:r w:rsidR="00D23266">
        <w:t>and thereafter tenderers are subjected to the ordinary scoring system</w:t>
      </w:r>
      <w:r w:rsidR="000E19F3">
        <w:t xml:space="preserve"> in section 2 of the Act</w:t>
      </w:r>
      <w:r w:rsidR="00D23266">
        <w:t xml:space="preserve">.  In addition, the High Court </w:t>
      </w:r>
      <w:r w:rsidR="00F86E5A">
        <w:t>held</w:t>
      </w:r>
      <w:r w:rsidR="00D23266">
        <w:t xml:space="preserve"> that the 2011 Regulations also </w:t>
      </w:r>
      <w:r w:rsidR="000D3623">
        <w:t xml:space="preserve">contained </w:t>
      </w:r>
      <w:r w:rsidR="00D23266">
        <w:t>pre-qualifying criteria</w:t>
      </w:r>
      <w:r w:rsidR="00D4663D">
        <w:t xml:space="preserve"> relating to functionality</w:t>
      </w:r>
      <w:r w:rsidR="000E19F3">
        <w:t xml:space="preserve"> which </w:t>
      </w:r>
      <w:r w:rsidR="00D4663D">
        <w:t>were never</w:t>
      </w:r>
      <w:r w:rsidR="000E19F3">
        <w:t xml:space="preserve"> challenged</w:t>
      </w:r>
      <w:r w:rsidR="00D23266">
        <w:t xml:space="preserve">.  Therefore, Afribusiness’ complaint could not be said to be against the concept of pre-qualifying criteria but </w:t>
      </w:r>
      <w:r w:rsidR="00C734E7">
        <w:t xml:space="preserve">rather </w:t>
      </w:r>
      <w:r w:rsidR="00D23266">
        <w:t>that they did not fall within th</w:t>
      </w:r>
      <w:r w:rsidR="00D13936">
        <w:t>e groups to be advanced.  This aside, the pre-</w:t>
      </w:r>
      <w:proofErr w:type="spellStart"/>
      <w:r w:rsidR="00C734E7">
        <w:t>qualifcation</w:t>
      </w:r>
      <w:proofErr w:type="spellEnd"/>
      <w:r w:rsidR="00C734E7">
        <w:t xml:space="preserve"> </w:t>
      </w:r>
      <w:r w:rsidR="00D13936">
        <w:t>criteria did not exclude tenderers based on race as Q</w:t>
      </w:r>
      <w:r w:rsidR="00844CB8">
        <w:t>S</w:t>
      </w:r>
      <w:r w:rsidR="00884C68">
        <w:t xml:space="preserve">Es </w:t>
      </w:r>
      <w:r w:rsidR="00D13936">
        <w:t xml:space="preserve">and EMEs were not subject to the requirement of majority black ownership.  </w:t>
      </w:r>
      <w:r>
        <w:t>T</w:t>
      </w:r>
      <w:r w:rsidR="00D13936">
        <w:t>he High Court</w:t>
      </w:r>
      <w:r>
        <w:t xml:space="preserve"> rejected the </w:t>
      </w:r>
      <w:r w:rsidR="00D4663D">
        <w:t>procedural unfairness challenge</w:t>
      </w:r>
      <w:r>
        <w:t xml:space="preserve"> on the basis that </w:t>
      </w:r>
      <w:r w:rsidR="00D13936">
        <w:t>the period for comment was beyond 30 days as required by Regulation 18 of the PAJA Regulati</w:t>
      </w:r>
      <w:r w:rsidR="00631A41">
        <w:t>ons.</w:t>
      </w:r>
      <w:r w:rsidR="00C41DFE">
        <w:t xml:space="preserve">  </w:t>
      </w:r>
      <w:r w:rsidR="000D3623">
        <w:t>In the result</w:t>
      </w:r>
      <w:r w:rsidR="00D13936">
        <w:t xml:space="preserve">, the High Court held the </w:t>
      </w:r>
      <w:r w:rsidR="00403C2D">
        <w:t xml:space="preserve">2017 </w:t>
      </w:r>
      <w:r w:rsidR="000E19F3">
        <w:t>R</w:t>
      </w:r>
      <w:r w:rsidR="00D13936">
        <w:t>egulations were rational and lawful</w:t>
      </w:r>
      <w:r w:rsidR="006B72E9">
        <w:t xml:space="preserve"> and dismissed the application with costs</w:t>
      </w:r>
      <w:r w:rsidR="00594D72">
        <w:t>.</w:t>
      </w:r>
    </w:p>
    <w:p w14:paraId="3813FE13" w14:textId="77777777" w:rsidR="00FF1DF6" w:rsidRDefault="00FF1DF6" w:rsidP="0095467B"/>
    <w:p w14:paraId="46A7814F" w14:textId="19FE7794" w:rsidR="00D13936" w:rsidRDefault="006B72E9" w:rsidP="0095467B">
      <w:r>
        <w:t>Afribusiness appealed to the Supreme Court of Appeal</w:t>
      </w:r>
      <w:r w:rsidR="00631A41">
        <w:t xml:space="preserve">.  </w:t>
      </w:r>
      <w:r>
        <w:t xml:space="preserve">The Supreme Court of Appeal </w:t>
      </w:r>
      <w:r w:rsidR="006D1CAE">
        <w:t>hel</w:t>
      </w:r>
      <w:r>
        <w:t>d that nothing turned on whether the review was in terms of PAJA or the ground of legality.</w:t>
      </w:r>
      <w:r w:rsidR="00AC49C0">
        <w:t xml:space="preserve">  </w:t>
      </w:r>
      <w:proofErr w:type="gramStart"/>
      <w:r w:rsidR="00AC49C0">
        <w:t>After considering the Act and section 217 of the Constitution</w:t>
      </w:r>
      <w:r w:rsidR="00FF1DF6">
        <w:t>,</w:t>
      </w:r>
      <w:r w:rsidR="006D1CAE">
        <w:t xml:space="preserve"> </w:t>
      </w:r>
      <w:r w:rsidR="000E19F3">
        <w:t>it</w:t>
      </w:r>
      <w:proofErr w:type="gramEnd"/>
      <w:r w:rsidR="000E19F3">
        <w:t xml:space="preserve"> </w:t>
      </w:r>
      <w:r w:rsidR="00AC49C0">
        <w:t>held that</w:t>
      </w:r>
      <w:r w:rsidR="00FF1DF6">
        <w:t xml:space="preserve"> the</w:t>
      </w:r>
      <w:r w:rsidR="00AC49C0">
        <w:t xml:space="preserve"> Minister had failed to </w:t>
      </w:r>
      <w:r w:rsidR="00594D72">
        <w:t>a</w:t>
      </w:r>
      <w:r w:rsidR="00AC49C0">
        <w:t xml:space="preserve">ct within the scope of his powers under the Act.  </w:t>
      </w:r>
      <w:r w:rsidR="002A61C3">
        <w:t xml:space="preserve">That Court held that </w:t>
      </w:r>
      <w:proofErr w:type="gramStart"/>
      <w:r w:rsidR="000E19F3">
        <w:t>in light of</w:t>
      </w:r>
      <w:proofErr w:type="gramEnd"/>
      <w:r w:rsidR="000E19F3">
        <w:t xml:space="preserve"> section 2</w:t>
      </w:r>
      <w:r w:rsidR="00D4663D">
        <w:t xml:space="preserve"> </w:t>
      </w:r>
      <w:r w:rsidR="000E19F3">
        <w:t xml:space="preserve">of the Act, </w:t>
      </w:r>
      <w:r w:rsidR="002A61C3">
        <w:t xml:space="preserve">the correct approach </w:t>
      </w:r>
      <w:r w:rsidR="00AC49C0">
        <w:t>to evaluating tenders is to first ascertain the highest points scorer and</w:t>
      </w:r>
      <w:r w:rsidR="000E19F3">
        <w:t xml:space="preserve"> thereafter,</w:t>
      </w:r>
      <w:r w:rsidR="00AC49C0">
        <w:t xml:space="preserve"> if there are objective criteria that justify the award of the tender to a tenderer with a lower score, </w:t>
      </w:r>
      <w:r w:rsidR="000E19F3">
        <w:t>organs of state may do so</w:t>
      </w:r>
      <w:r w:rsidR="00AC49C0">
        <w:t xml:space="preserve">.  </w:t>
      </w:r>
      <w:r w:rsidR="006D1CAE">
        <w:t xml:space="preserve">The </w:t>
      </w:r>
      <w:r w:rsidR="001716FE">
        <w:t xml:space="preserve">Supreme </w:t>
      </w:r>
      <w:r w:rsidR="006D1CAE">
        <w:t>Court</w:t>
      </w:r>
      <w:r w:rsidR="001716FE">
        <w:t xml:space="preserve"> of Appeal</w:t>
      </w:r>
      <w:r w:rsidR="006D1CAE">
        <w:t xml:space="preserve"> held that the</w:t>
      </w:r>
      <w:r w:rsidR="00102E14">
        <w:t xml:space="preserve"> preliminary disqualification was </w:t>
      </w:r>
      <w:r w:rsidR="00D4663D">
        <w:t>im</w:t>
      </w:r>
      <w:r w:rsidR="00594D72">
        <w:t>permissible</w:t>
      </w:r>
      <w:r w:rsidR="00D4663D">
        <w:t xml:space="preserve"> as it was </w:t>
      </w:r>
      <w:r w:rsidR="00102E14">
        <w:t>not consonant with the approach envisaged by section 217</w:t>
      </w:r>
      <w:r w:rsidR="00D4663D">
        <w:t>(1)</w:t>
      </w:r>
      <w:r w:rsidR="00102E14">
        <w:t xml:space="preserve"> of the Constitution.  Consequently, </w:t>
      </w:r>
      <w:r w:rsidR="006D1CAE">
        <w:t xml:space="preserve">it held that </w:t>
      </w:r>
      <w:r w:rsidR="001716FE">
        <w:t>the Minister’s promulgation of r</w:t>
      </w:r>
      <w:r w:rsidR="00102E14">
        <w:t>egulations 3(b), 4 and 9 w</w:t>
      </w:r>
      <w:r w:rsidR="001716FE">
        <w:t>as</w:t>
      </w:r>
      <w:r w:rsidR="00102E14">
        <w:t xml:space="preserve"> unlawful.  The 2017 Regulations were </w:t>
      </w:r>
      <w:r w:rsidR="001716FE">
        <w:t xml:space="preserve">declared invalid as they were </w:t>
      </w:r>
      <w:r w:rsidR="00102E14">
        <w:t>for inconsisten</w:t>
      </w:r>
      <w:r w:rsidR="001716FE">
        <w:t>t</w:t>
      </w:r>
      <w:r w:rsidR="00102E14">
        <w:t xml:space="preserve"> with the Act and section 217 of the Constitution</w:t>
      </w:r>
      <w:r w:rsidR="006D1CAE">
        <w:t xml:space="preserve">. </w:t>
      </w:r>
      <w:r w:rsidR="00631A41">
        <w:t xml:space="preserve"> </w:t>
      </w:r>
      <w:r w:rsidR="006D1CAE">
        <w:t xml:space="preserve">The </w:t>
      </w:r>
      <w:r w:rsidR="001716FE">
        <w:t xml:space="preserve">declaration </w:t>
      </w:r>
      <w:r w:rsidR="006D1CAE">
        <w:t xml:space="preserve"> of invalidity was </w:t>
      </w:r>
      <w:r w:rsidR="00102E14">
        <w:t>suspended for 12 months.</w:t>
      </w:r>
    </w:p>
    <w:p w14:paraId="3FE46EFA" w14:textId="77777777" w:rsidR="00DE6CE6" w:rsidRPr="00C02F7D" w:rsidRDefault="00DE6CE6" w:rsidP="0006798E"/>
    <w:p w14:paraId="4FE34B25" w14:textId="1095FBD5" w:rsidR="00102E14" w:rsidRDefault="006B64EF" w:rsidP="001432AE">
      <w:r>
        <w:t xml:space="preserve">The Minister approached this Court for leave to appeal against the order of the Supreme Court of Appeal.  He </w:t>
      </w:r>
      <w:r w:rsidR="00102E14">
        <w:t>s</w:t>
      </w:r>
      <w:r w:rsidR="006D1CAE">
        <w:t>ubmits</w:t>
      </w:r>
      <w:r w:rsidR="00102E14">
        <w:t xml:space="preserve"> that a proper reading of section 217 of the Constitution requires a consideration of the country’s segregated past</w:t>
      </w:r>
      <w:r w:rsidR="00624DD5">
        <w:t>.</w:t>
      </w:r>
      <w:r w:rsidR="009A1CDA" w:rsidRPr="009A1CDA">
        <w:t xml:space="preserve"> </w:t>
      </w:r>
      <w:r w:rsidR="009A1CDA">
        <w:t xml:space="preserve"> The Minister submits that the </w:t>
      </w:r>
      <w:r w:rsidR="00FF1DF6">
        <w:t>promulgation</w:t>
      </w:r>
      <w:r w:rsidR="00776435">
        <w:t xml:space="preserve"> of the</w:t>
      </w:r>
      <w:r w:rsidR="00FF1DF6">
        <w:t xml:space="preserve"> </w:t>
      </w:r>
      <w:r w:rsidR="000E19F3">
        <w:t xml:space="preserve">2017 </w:t>
      </w:r>
      <w:r w:rsidR="009A1CDA">
        <w:t>Regulations w</w:t>
      </w:r>
      <w:r w:rsidR="00FF1DF6">
        <w:t>as</w:t>
      </w:r>
      <w:r w:rsidR="009A1CDA">
        <w:t xml:space="preserve"> not administrative action </w:t>
      </w:r>
      <w:r w:rsidR="00776435">
        <w:t xml:space="preserve">but </w:t>
      </w:r>
      <w:r w:rsidR="00CB2782">
        <w:t xml:space="preserve">was </w:t>
      </w:r>
      <w:r w:rsidR="00594D72">
        <w:t xml:space="preserve">of </w:t>
      </w:r>
      <w:r w:rsidR="00CB2782">
        <w:t>a policymaking</w:t>
      </w:r>
      <w:r w:rsidR="00776435">
        <w:t xml:space="preserve"> nature</w:t>
      </w:r>
      <w:r w:rsidR="00CB2782">
        <w:t xml:space="preserve"> and intended to achieve substantive equality and economic redress</w:t>
      </w:r>
      <w:r w:rsidR="00CB2782" w:rsidDel="00CB2782">
        <w:t xml:space="preserve"> </w:t>
      </w:r>
      <w:r w:rsidR="009A1CDA">
        <w:t xml:space="preserve">and </w:t>
      </w:r>
      <w:r w:rsidR="00CB2782">
        <w:t xml:space="preserve">therefore they </w:t>
      </w:r>
      <w:r w:rsidR="009A1CDA">
        <w:t>are reviewable only under the principle of legality.</w:t>
      </w:r>
      <w:r w:rsidR="00624DD5">
        <w:t xml:space="preserve">  The </w:t>
      </w:r>
      <w:r w:rsidR="006D1CAE">
        <w:t>Minister</w:t>
      </w:r>
      <w:r w:rsidR="00624DD5">
        <w:t xml:space="preserve"> also argues that the powers he has under section 5</w:t>
      </w:r>
      <w:r w:rsidR="00594D72">
        <w:t xml:space="preserve"> of the Act</w:t>
      </w:r>
      <w:r w:rsidR="00624DD5">
        <w:t xml:space="preserve"> are broad and the Supreme Court of Appeal failed to appreciate this as the regulatory scheme is flexible and enables the Minister to make any regulations that advance the objects of the Act.</w:t>
      </w:r>
      <w:r w:rsidR="009A1CDA">
        <w:t xml:space="preserve">  </w:t>
      </w:r>
      <w:r w:rsidR="000E19F3">
        <w:t>He adds that</w:t>
      </w:r>
      <w:r w:rsidR="009A1CDA">
        <w:t xml:space="preserve"> the Supreme Court of Appeal erred in that it measured the legality of the 2017 Regulations solely against the requirements of section 217(</w:t>
      </w:r>
      <w:r w:rsidR="00B74526">
        <w:t>1</w:t>
      </w:r>
      <w:r w:rsidR="009A1CDA">
        <w:t xml:space="preserve">) </w:t>
      </w:r>
      <w:r w:rsidR="00B74526">
        <w:t>of the Constitution</w:t>
      </w:r>
      <w:r w:rsidR="00CB2782">
        <w:t xml:space="preserve"> and</w:t>
      </w:r>
      <w:r w:rsidR="00633636">
        <w:t xml:space="preserve"> did not attempt to read section 2 and 5 of the Act harmoniously </w:t>
      </w:r>
      <w:r w:rsidR="00403C2D">
        <w:t>considering</w:t>
      </w:r>
      <w:r w:rsidR="00633636">
        <w:t xml:space="preserve"> section 217(2)</w:t>
      </w:r>
      <w:r w:rsidR="006F7C6B">
        <w:t xml:space="preserve"> and (3)</w:t>
      </w:r>
      <w:r w:rsidR="00633636">
        <w:t xml:space="preserve"> of the Constitution.  </w:t>
      </w:r>
      <w:r w:rsidR="003179BC">
        <w:t xml:space="preserve">In any event, the </w:t>
      </w:r>
      <w:r w:rsidR="00D4663D">
        <w:t xml:space="preserve">2017 </w:t>
      </w:r>
      <w:r w:rsidR="003179BC">
        <w:t>Regulations were not intended to replace the scoring system under the Act</w:t>
      </w:r>
      <w:r w:rsidR="002C7EB6">
        <w:t xml:space="preserve"> but are contemplated in terms of the Act’s definition of an </w:t>
      </w:r>
      <w:r w:rsidR="006F7C6B">
        <w:t>“</w:t>
      </w:r>
      <w:r w:rsidR="002C7EB6">
        <w:t>acceptable tender</w:t>
      </w:r>
      <w:r w:rsidR="006F7C6B">
        <w:t>”</w:t>
      </w:r>
      <w:r w:rsidR="002C7EB6">
        <w:t xml:space="preserve"> to which the preference point system may be applied.</w:t>
      </w:r>
    </w:p>
    <w:p w14:paraId="54F79D69" w14:textId="77777777" w:rsidR="00D1528E" w:rsidRDefault="00D1528E" w:rsidP="0066429F"/>
    <w:p w14:paraId="36CF3419" w14:textId="405C05BE" w:rsidR="00403C2D" w:rsidRPr="00C41DFE" w:rsidRDefault="006D1CAE" w:rsidP="00CF5C44">
      <w:r>
        <w:t>Afribusiness</w:t>
      </w:r>
      <w:r w:rsidR="00D95375" w:rsidRPr="00D95375">
        <w:t xml:space="preserve"> submits that the </w:t>
      </w:r>
      <w:r w:rsidR="001661E8">
        <w:t xml:space="preserve">Act does not empower the </w:t>
      </w:r>
      <w:r>
        <w:t xml:space="preserve">Minister </w:t>
      </w:r>
      <w:r w:rsidR="001661E8">
        <w:t>to create pre-</w:t>
      </w:r>
      <w:r w:rsidR="00CB2782">
        <w:t> </w:t>
      </w:r>
      <w:r w:rsidR="001661E8">
        <w:t xml:space="preserve">qualification </w:t>
      </w:r>
      <w:r w:rsidR="00CB2782">
        <w:t xml:space="preserve">criteria </w:t>
      </w:r>
      <w:r w:rsidR="001661E8">
        <w:t>that disqualifies tenderers</w:t>
      </w:r>
      <w:r w:rsidR="00403C2D">
        <w:t xml:space="preserve"> without recourse to their preference point score</w:t>
      </w:r>
      <w:r w:rsidR="00CB2782">
        <w:t xml:space="preserve"> in section 2 of the Act, therefore the</w:t>
      </w:r>
      <w:r w:rsidR="001661E8">
        <w:t xml:space="preserve"> </w:t>
      </w:r>
      <w:r w:rsidR="00403C2D">
        <w:t xml:space="preserve">2017 </w:t>
      </w:r>
      <w:r w:rsidR="001661E8">
        <w:t xml:space="preserve">Regulations </w:t>
      </w:r>
      <w:r w:rsidR="00CB2782">
        <w:t>are inconsistent with</w:t>
      </w:r>
      <w:r w:rsidR="001661E8">
        <w:t xml:space="preserve"> the Act.  </w:t>
      </w:r>
      <w:r w:rsidR="00CB2782">
        <w:t>Afribusiness contends that a</w:t>
      </w:r>
      <w:r w:rsidR="001661E8">
        <w:t xml:space="preserve">ny </w:t>
      </w:r>
      <w:r w:rsidR="00B758AC">
        <w:t xml:space="preserve">regulations </w:t>
      </w:r>
      <w:r w:rsidR="001661E8">
        <w:t>made must be congruent with the provisions of section 217</w:t>
      </w:r>
      <w:r w:rsidR="00633636">
        <w:t>(1)</w:t>
      </w:r>
      <w:r w:rsidR="001661E8">
        <w:t xml:space="preserve"> of the Constitution, </w:t>
      </w:r>
      <w:r w:rsidR="006F7C6B">
        <w:t xml:space="preserve">which require that state procurement must, amongst other things, be </w:t>
      </w:r>
      <w:r w:rsidR="00633636">
        <w:t xml:space="preserve">competitive and </w:t>
      </w:r>
      <w:r w:rsidR="002E0C0D">
        <w:t>cost-</w:t>
      </w:r>
      <w:r w:rsidR="00633636">
        <w:t>effective</w:t>
      </w:r>
      <w:r w:rsidR="00785DA6" w:rsidRPr="00C41DFE">
        <w:t xml:space="preserve">.  </w:t>
      </w:r>
      <w:r w:rsidR="00594D72">
        <w:t xml:space="preserve">It </w:t>
      </w:r>
      <w:r w:rsidR="00403C2D">
        <w:t xml:space="preserve">further submits that the correct approach is to consider the highest points scorer </w:t>
      </w:r>
      <w:r w:rsidR="00CB2782">
        <w:t>and then consider whether the tender can be awarded to a lower scorer</w:t>
      </w:r>
      <w:r w:rsidR="00D4663D" w:rsidRPr="00D4663D">
        <w:t xml:space="preserve">, </w:t>
      </w:r>
      <w:r w:rsidR="00D4663D">
        <w:t>in terms of</w:t>
      </w:r>
      <w:r w:rsidR="00D4663D" w:rsidRPr="00D4663D">
        <w:t xml:space="preserve"> section 2(1)(f) of the Act</w:t>
      </w:r>
      <w:r w:rsidR="00CB2782">
        <w:t>.  It argues that</w:t>
      </w:r>
      <w:r w:rsidR="000D07C6">
        <w:t xml:space="preserve"> </w:t>
      </w:r>
      <w:r w:rsidR="00776435">
        <w:t xml:space="preserve">the </w:t>
      </w:r>
      <w:r w:rsidR="00CB2782">
        <w:t>pre-qualification criteria</w:t>
      </w:r>
      <w:r w:rsidR="00403C2D">
        <w:t xml:space="preserve"> overly narrow the selection pool</w:t>
      </w:r>
      <w:r w:rsidR="00CB2782">
        <w:t xml:space="preserve"> and therefore does not enable the State to find the most capable and cost-effective tenderer</w:t>
      </w:r>
      <w:r w:rsidR="00403C2D">
        <w:t xml:space="preserve">.  </w:t>
      </w:r>
      <w:r w:rsidR="00403C2D" w:rsidRPr="001661E8">
        <w:t xml:space="preserve">Thus, the promulgation of the 2017 Regulations, besides being </w:t>
      </w:r>
      <w:r w:rsidR="00403C2D" w:rsidRPr="000D07C6">
        <w:rPr>
          <w:i/>
        </w:rPr>
        <w:t>ultra vires</w:t>
      </w:r>
      <w:r w:rsidR="00403C2D" w:rsidRPr="001661E8">
        <w:t xml:space="preserve">, was a breach of the separation of powers as the </w:t>
      </w:r>
      <w:r w:rsidR="000E19F3">
        <w:t xml:space="preserve">Minister </w:t>
      </w:r>
      <w:r w:rsidR="000E19F3" w:rsidRPr="001661E8">
        <w:t>stepped</w:t>
      </w:r>
      <w:r w:rsidR="00403C2D" w:rsidRPr="001661E8">
        <w:t xml:space="preserve"> into law-making terrain.</w:t>
      </w:r>
    </w:p>
    <w:p w14:paraId="6D7AB026" w14:textId="1759A66C" w:rsidR="00400F35" w:rsidRDefault="00400F35" w:rsidP="0066429F"/>
    <w:p w14:paraId="65524AA2" w14:textId="57F1D71D" w:rsidR="00660BBA" w:rsidRDefault="00660BBA" w:rsidP="0066429F">
      <w:r w:rsidRPr="00660BBA">
        <w:t xml:space="preserve">The Rule of Law Project and the Economic Freedom Fighters have been admitted as amicus curiae in this application.  </w:t>
      </w:r>
      <w:r>
        <w:t xml:space="preserve">The Rule of Law Project submits that the </w:t>
      </w:r>
      <w:r w:rsidR="008D31FE" w:rsidRPr="008D31FE">
        <w:t>Minister</w:t>
      </w:r>
      <w:r>
        <w:t xml:space="preserve"> acted </w:t>
      </w:r>
      <w:r w:rsidR="00403C2D" w:rsidRPr="000D07C6">
        <w:rPr>
          <w:i/>
        </w:rPr>
        <w:t>ultra vires</w:t>
      </w:r>
      <w:r w:rsidR="00403C2D">
        <w:t xml:space="preserve"> </w:t>
      </w:r>
      <w:r w:rsidR="009909BB">
        <w:t>for the following</w:t>
      </w:r>
      <w:r>
        <w:t xml:space="preserve"> reasons.  First, the power to determine and implement preferential procurement policies is in the </w:t>
      </w:r>
      <w:r w:rsidR="00776435">
        <w:t>domain</w:t>
      </w:r>
      <w:r>
        <w:t xml:space="preserve"> of </w:t>
      </w:r>
      <w:r w:rsidR="00A86595">
        <w:t xml:space="preserve">organs of state.  Specifically, that section 5 only confers a general power on the </w:t>
      </w:r>
      <w:r w:rsidR="008D31FE" w:rsidRPr="008D31FE">
        <w:t>Minister</w:t>
      </w:r>
      <w:r w:rsidR="00A86595">
        <w:t xml:space="preserve"> and</w:t>
      </w:r>
      <w:r w:rsidR="00396E5F">
        <w:t xml:space="preserve"> </w:t>
      </w:r>
      <w:r w:rsidR="00D4663D">
        <w:t>section 2 confers a</w:t>
      </w:r>
      <w:r w:rsidR="00396E5F">
        <w:t xml:space="preserve"> more specific power on organs of state to determine and implement their own preferential procurement policies.  Second, the </w:t>
      </w:r>
      <w:r w:rsidR="006F7C6B">
        <w:t>2017 R</w:t>
      </w:r>
      <w:r w:rsidR="00396E5F">
        <w:t>egulations overemphasi</w:t>
      </w:r>
      <w:r w:rsidR="000D3623">
        <w:t>s</w:t>
      </w:r>
      <w:r w:rsidR="00396E5F">
        <w:t xml:space="preserve">e race </w:t>
      </w:r>
      <w:r w:rsidR="00E81771">
        <w:t>as they focus on black people, while prior versions referred to “</w:t>
      </w:r>
      <w:r w:rsidR="00D4663D">
        <w:t>historically disadvantaged individuals</w:t>
      </w:r>
      <w:r w:rsidR="00E81771">
        <w:t>”</w:t>
      </w:r>
      <w:r w:rsidR="00E50043">
        <w:t>, wh</w:t>
      </w:r>
      <w:r w:rsidR="006F7C6B">
        <w:t>ich</w:t>
      </w:r>
      <w:r w:rsidR="00E50043">
        <w:t xml:space="preserve"> included the broader group of women and persons with disabilities</w:t>
      </w:r>
      <w:r w:rsidR="00E81771">
        <w:t xml:space="preserve">.  </w:t>
      </w:r>
      <w:r w:rsidR="00D90C01">
        <w:t>T</w:t>
      </w:r>
      <w:r w:rsidR="00221D9E">
        <w:t xml:space="preserve">he </w:t>
      </w:r>
      <w:r w:rsidR="00B758AC">
        <w:t xml:space="preserve">2017 </w:t>
      </w:r>
      <w:r w:rsidR="00221D9E">
        <w:t xml:space="preserve">Regulations </w:t>
      </w:r>
      <w:r w:rsidR="00E50043">
        <w:t xml:space="preserve">also </w:t>
      </w:r>
      <w:r w:rsidR="00221D9E">
        <w:t xml:space="preserve">do not meet </w:t>
      </w:r>
      <w:r w:rsidR="006A45B4">
        <w:t xml:space="preserve">the </w:t>
      </w:r>
      <w:r w:rsidR="00221D9E">
        <w:t xml:space="preserve">requirements of fairness, </w:t>
      </w:r>
      <w:r w:rsidR="00D4663D">
        <w:t xml:space="preserve">competitiveness </w:t>
      </w:r>
      <w:r w:rsidR="00221D9E">
        <w:t xml:space="preserve">and </w:t>
      </w:r>
      <w:r w:rsidR="002E0C0D">
        <w:t>cost-</w:t>
      </w:r>
      <w:r w:rsidR="00221D9E">
        <w:t>effectiveness required in section 217</w:t>
      </w:r>
      <w:r w:rsidR="006A45B4">
        <w:t>(1)</w:t>
      </w:r>
      <w:r w:rsidR="00221D9E">
        <w:t xml:space="preserve"> of the Constitution</w:t>
      </w:r>
      <w:r w:rsidR="00981145">
        <w:t xml:space="preserve"> as the pre-requirement of race in the procurement process distort</w:t>
      </w:r>
      <w:r w:rsidR="00D4663D">
        <w:t>s</w:t>
      </w:r>
      <w:r w:rsidR="00981145">
        <w:t xml:space="preserve"> the </w:t>
      </w:r>
      <w:r w:rsidR="00D4663D">
        <w:t>S</w:t>
      </w:r>
      <w:r w:rsidR="00981145">
        <w:t xml:space="preserve">tate’s ability to determine </w:t>
      </w:r>
      <w:r w:rsidR="006F7C6B">
        <w:t xml:space="preserve">fair </w:t>
      </w:r>
      <w:r w:rsidR="00981145">
        <w:t>market prices</w:t>
      </w:r>
      <w:r w:rsidR="00221D9E">
        <w:t>.</w:t>
      </w:r>
    </w:p>
    <w:p w14:paraId="750A865F" w14:textId="2FD1EF36" w:rsidR="00221D9E" w:rsidRDefault="00221D9E" w:rsidP="0066429F"/>
    <w:p w14:paraId="23D2B878" w14:textId="73D65CE2" w:rsidR="00221D9E" w:rsidRDefault="00D90C01" w:rsidP="0066429F">
      <w:r>
        <w:t>T</w:t>
      </w:r>
      <w:r w:rsidR="00221D9E">
        <w:t>he E</w:t>
      </w:r>
      <w:r w:rsidR="00594D72">
        <w:t xml:space="preserve">conomic </w:t>
      </w:r>
      <w:r w:rsidR="00221D9E">
        <w:t>F</w:t>
      </w:r>
      <w:r w:rsidR="00594D72">
        <w:t xml:space="preserve">reedom </w:t>
      </w:r>
      <w:r w:rsidR="00221D9E">
        <w:t>F</w:t>
      </w:r>
      <w:r w:rsidR="00594D72">
        <w:t>ighters</w:t>
      </w:r>
      <w:r w:rsidR="00221D9E">
        <w:t xml:space="preserve"> argue</w:t>
      </w:r>
      <w:r w:rsidR="00776435">
        <w:t xml:space="preserve"> </w:t>
      </w:r>
      <w:r w:rsidR="00221D9E">
        <w:t xml:space="preserve">that the </w:t>
      </w:r>
      <w:r w:rsidR="00403C2D">
        <w:t xml:space="preserve">2017 </w:t>
      </w:r>
      <w:r w:rsidR="00B758AC">
        <w:t>R</w:t>
      </w:r>
      <w:r w:rsidR="00221D9E">
        <w:t>egulation</w:t>
      </w:r>
      <w:r w:rsidR="00076ADF">
        <w:t>s are</w:t>
      </w:r>
      <w:r w:rsidR="00221D9E">
        <w:t xml:space="preserve"> both rational and lawful when </w:t>
      </w:r>
      <w:r w:rsidR="00B758AC">
        <w:t>assessed</w:t>
      </w:r>
      <w:r w:rsidR="00221D9E">
        <w:t xml:space="preserve"> against the relevant policy considerations.  In this</w:t>
      </w:r>
      <w:r w:rsidR="00CE7CB6">
        <w:t xml:space="preserve"> regard, </w:t>
      </w:r>
      <w:r w:rsidR="00776435">
        <w:t>they</w:t>
      </w:r>
      <w:r w:rsidR="00CE7CB6">
        <w:t xml:space="preserve"> submit that the main purpose of the </w:t>
      </w:r>
      <w:r w:rsidR="00B758AC">
        <w:t xml:space="preserve">2017 </w:t>
      </w:r>
      <w:r w:rsidR="00CE7CB6">
        <w:t xml:space="preserve">Regulations </w:t>
      </w:r>
      <w:r w:rsidR="00B758AC">
        <w:t xml:space="preserve">is </w:t>
      </w:r>
      <w:r w:rsidR="00CE7CB6">
        <w:t>to give effect to the purposes in section 217</w:t>
      </w:r>
      <w:r w:rsidR="00A90BF1">
        <w:t>(2)</w:t>
      </w:r>
      <w:r w:rsidR="00CE7CB6">
        <w:t xml:space="preserve"> of the Constitution.  This is because, generally, there is already an approach in favour of preferential procurement.  In terms of the Act</w:t>
      </w:r>
      <w:r w:rsidR="00076ADF">
        <w:t xml:space="preserve"> and section 217</w:t>
      </w:r>
      <w:r w:rsidR="00594D72">
        <w:t xml:space="preserve"> (2)</w:t>
      </w:r>
      <w:r w:rsidR="00076ADF">
        <w:t xml:space="preserve"> of the Constitution</w:t>
      </w:r>
      <w:r w:rsidR="00403C2D">
        <w:t>,</w:t>
      </w:r>
      <w:r w:rsidR="00CE7CB6">
        <w:t xml:space="preserve"> nothing prohibits the inclusion of pre-qualifying criteria for tendering.  Thus, the </w:t>
      </w:r>
      <w:r w:rsidR="008D31FE">
        <w:t xml:space="preserve">Minister </w:t>
      </w:r>
      <w:r w:rsidR="00CE7CB6">
        <w:t xml:space="preserve">did not act outside the scope of his powers.  </w:t>
      </w:r>
      <w:r w:rsidR="007F489D">
        <w:t>They contend that the Act does permit preliminary disqualification in that the organ of state may</w:t>
      </w:r>
      <w:r w:rsidR="006F7C6B">
        <w:t>,</w:t>
      </w:r>
      <w:r w:rsidR="007F489D">
        <w:t xml:space="preserve"> as a starting point</w:t>
      </w:r>
      <w:r w:rsidR="006F7C6B">
        <w:t>,</w:t>
      </w:r>
      <w:r w:rsidR="007F489D">
        <w:t xml:space="preserve"> determine its own pre-qualification criteria and the</w:t>
      </w:r>
      <w:r w:rsidR="000D3623">
        <w:t>reafter</w:t>
      </w:r>
      <w:r w:rsidR="007F489D">
        <w:t xml:space="preserve"> implement it</w:t>
      </w:r>
      <w:r w:rsidR="000D3623">
        <w:t xml:space="preserve"> in terms of the point-scoring system</w:t>
      </w:r>
      <w:r w:rsidR="007F489D">
        <w:t>, and this may legitimately disqualify some tenderers from tendering.</w:t>
      </w:r>
    </w:p>
    <w:p w14:paraId="05058C15" w14:textId="40DBC00B" w:rsidR="00D641FB" w:rsidRDefault="00D641FB" w:rsidP="0066429F"/>
    <w:p w14:paraId="49634B99" w14:textId="01B632C8" w:rsidR="00D641FB" w:rsidRPr="00C02F7D" w:rsidRDefault="00D641FB" w:rsidP="0066429F">
      <w:r w:rsidRPr="00D641FB">
        <w:t xml:space="preserve">Fidelity Services Group and the South African National Security Employers Association have applied for leave to intervene and to be joined as respondents in the main application. </w:t>
      </w:r>
      <w:r>
        <w:t xml:space="preserve"> </w:t>
      </w:r>
      <w:r w:rsidR="00180FDE">
        <w:t xml:space="preserve">They submit that the application of the </w:t>
      </w:r>
      <w:r w:rsidR="006F7C6B">
        <w:t>2017 R</w:t>
      </w:r>
      <w:r w:rsidR="00180FDE">
        <w:t>egulations has caused them significant financial loss and this has led to numerous job losses</w:t>
      </w:r>
      <w:r w:rsidR="00180FDE" w:rsidRPr="00D641FB">
        <w:t xml:space="preserve">.  </w:t>
      </w:r>
      <w:r w:rsidRPr="00D641FB">
        <w:t xml:space="preserve">In </w:t>
      </w:r>
      <w:r w:rsidR="00C41DFE" w:rsidRPr="00D641FB">
        <w:t>additi</w:t>
      </w:r>
      <w:r w:rsidR="00C41DFE">
        <w:t>on,</w:t>
      </w:r>
      <w:r w:rsidRPr="00D641FB">
        <w:t xml:space="preserve"> </w:t>
      </w:r>
      <w:r w:rsidR="00D90C01">
        <w:t>they</w:t>
      </w:r>
      <w:r w:rsidRPr="00D641FB">
        <w:t xml:space="preserve"> also seek direct access in respect of separate </w:t>
      </w:r>
      <w:r w:rsidR="00CB2782">
        <w:t xml:space="preserve">interdictory </w:t>
      </w:r>
      <w:r w:rsidRPr="00D641FB">
        <w:t>relief</w:t>
      </w:r>
      <w:r w:rsidR="00180FDE">
        <w:t xml:space="preserve"> to prevent further implementation of the regulations pending the outcome of this matter</w:t>
      </w:r>
      <w:r w:rsidR="00F36C06">
        <w:t xml:space="preserve">.  </w:t>
      </w:r>
      <w:r w:rsidR="00180FDE">
        <w:t xml:space="preserve">Both applications are opposed by the Minister.  </w:t>
      </w:r>
      <w:r>
        <w:t>The</w:t>
      </w:r>
      <w:r w:rsidR="00180FDE">
        <w:t>se</w:t>
      </w:r>
      <w:r>
        <w:t xml:space="preserve"> </w:t>
      </w:r>
      <w:r w:rsidR="00076ADF">
        <w:t xml:space="preserve">will </w:t>
      </w:r>
      <w:r w:rsidRPr="00D641FB">
        <w:t>be heard together with the main application.</w:t>
      </w:r>
    </w:p>
    <w:sectPr w:rsidR="00D641FB" w:rsidRPr="00C02F7D"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1B1A58" w14:textId="77777777" w:rsidR="00AF3DC5" w:rsidRDefault="00AF3DC5" w:rsidP="00043CE5">
      <w:r>
        <w:separator/>
      </w:r>
    </w:p>
  </w:endnote>
  <w:endnote w:type="continuationSeparator" w:id="0">
    <w:p w14:paraId="363A13D7" w14:textId="77777777" w:rsidR="00AF3DC5" w:rsidRDefault="00AF3DC5" w:rsidP="00043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112BF9" w14:textId="77777777" w:rsidR="00AF3DC5" w:rsidRDefault="00AF3DC5" w:rsidP="00043CE5">
      <w:r>
        <w:separator/>
      </w:r>
    </w:p>
  </w:footnote>
  <w:footnote w:type="continuationSeparator" w:id="0">
    <w:p w14:paraId="0E735B81" w14:textId="77777777" w:rsidR="00AF3DC5" w:rsidRDefault="00AF3DC5" w:rsidP="00043C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A7A26"/>
    <w:multiLevelType w:val="hybridMultilevel"/>
    <w:tmpl w:val="B7A83C40"/>
    <w:lvl w:ilvl="0" w:tplc="7550E36E">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53AA1980">
      <w:start w:val="1"/>
      <w:numFmt w:val="lowerLetter"/>
      <w:lvlText w:val="%2."/>
      <w:lvlJc w:val="left"/>
      <w:pPr>
        <w:ind w:left="1440" w:hanging="360"/>
      </w:pPr>
      <w:rPr>
        <w:rFonts w:hint="default"/>
        <w:i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FB35992"/>
    <w:multiLevelType w:val="hybridMultilevel"/>
    <w:tmpl w:val="D91C9FB0"/>
    <w:lvl w:ilvl="0" w:tplc="4B16F632">
      <w:start w:val="2"/>
      <w:numFmt w:val="lowerLetter"/>
      <w:lvlText w:val="(%1)"/>
      <w:lvlJc w:val="left"/>
      <w:pPr>
        <w:ind w:left="234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2"/>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trackRevisions/>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MwtTS3MDE1MjM3NzdU0lEKTi0uzszPAykwrgUAuLp17iwAAAA="/>
  </w:docVars>
  <w:rsids>
    <w:rsidRoot w:val="00904B1D"/>
    <w:rsid w:val="00005947"/>
    <w:rsid w:val="00006455"/>
    <w:rsid w:val="000166E4"/>
    <w:rsid w:val="00016E33"/>
    <w:rsid w:val="00017302"/>
    <w:rsid w:val="00023037"/>
    <w:rsid w:val="00023FA7"/>
    <w:rsid w:val="00025388"/>
    <w:rsid w:val="0002719B"/>
    <w:rsid w:val="00027F40"/>
    <w:rsid w:val="0003383F"/>
    <w:rsid w:val="00034880"/>
    <w:rsid w:val="00036D6D"/>
    <w:rsid w:val="00040E76"/>
    <w:rsid w:val="00043CE5"/>
    <w:rsid w:val="00044771"/>
    <w:rsid w:val="00044EBF"/>
    <w:rsid w:val="000548D7"/>
    <w:rsid w:val="0005538C"/>
    <w:rsid w:val="00055B29"/>
    <w:rsid w:val="000654B1"/>
    <w:rsid w:val="0006681C"/>
    <w:rsid w:val="0006798E"/>
    <w:rsid w:val="0007028D"/>
    <w:rsid w:val="00070E99"/>
    <w:rsid w:val="000713E8"/>
    <w:rsid w:val="000759EE"/>
    <w:rsid w:val="00075A9B"/>
    <w:rsid w:val="00076ADF"/>
    <w:rsid w:val="000806AE"/>
    <w:rsid w:val="00081FE2"/>
    <w:rsid w:val="000855D6"/>
    <w:rsid w:val="00091F8C"/>
    <w:rsid w:val="000935F7"/>
    <w:rsid w:val="00093BEE"/>
    <w:rsid w:val="00093E39"/>
    <w:rsid w:val="00094E7C"/>
    <w:rsid w:val="00096E4E"/>
    <w:rsid w:val="00097CF2"/>
    <w:rsid w:val="000A36D1"/>
    <w:rsid w:val="000A36F3"/>
    <w:rsid w:val="000C1C30"/>
    <w:rsid w:val="000D07C6"/>
    <w:rsid w:val="000D09EA"/>
    <w:rsid w:val="000D35AE"/>
    <w:rsid w:val="000D3623"/>
    <w:rsid w:val="000D46B7"/>
    <w:rsid w:val="000D5991"/>
    <w:rsid w:val="000E0551"/>
    <w:rsid w:val="000E19F3"/>
    <w:rsid w:val="000E34BF"/>
    <w:rsid w:val="000E3BAB"/>
    <w:rsid w:val="000E576E"/>
    <w:rsid w:val="000E5FAD"/>
    <w:rsid w:val="000F5453"/>
    <w:rsid w:val="000F69B0"/>
    <w:rsid w:val="00100894"/>
    <w:rsid w:val="00102E14"/>
    <w:rsid w:val="00103F1C"/>
    <w:rsid w:val="00106259"/>
    <w:rsid w:val="00110B32"/>
    <w:rsid w:val="00111200"/>
    <w:rsid w:val="0011156D"/>
    <w:rsid w:val="00113454"/>
    <w:rsid w:val="00114B1F"/>
    <w:rsid w:val="00116BF1"/>
    <w:rsid w:val="001173F2"/>
    <w:rsid w:val="00117D6B"/>
    <w:rsid w:val="00122E3D"/>
    <w:rsid w:val="00123E41"/>
    <w:rsid w:val="00125BE8"/>
    <w:rsid w:val="001273FB"/>
    <w:rsid w:val="00127606"/>
    <w:rsid w:val="001432AE"/>
    <w:rsid w:val="00150423"/>
    <w:rsid w:val="0015307D"/>
    <w:rsid w:val="001542B6"/>
    <w:rsid w:val="00164AB6"/>
    <w:rsid w:val="001661D6"/>
    <w:rsid w:val="001661E8"/>
    <w:rsid w:val="00166C91"/>
    <w:rsid w:val="001716FE"/>
    <w:rsid w:val="00172A2C"/>
    <w:rsid w:val="001779A5"/>
    <w:rsid w:val="00180FDE"/>
    <w:rsid w:val="0019154E"/>
    <w:rsid w:val="001A24C8"/>
    <w:rsid w:val="001A5BF3"/>
    <w:rsid w:val="001C09A9"/>
    <w:rsid w:val="001C138B"/>
    <w:rsid w:val="001C2121"/>
    <w:rsid w:val="001D2F82"/>
    <w:rsid w:val="001D7542"/>
    <w:rsid w:val="001E236C"/>
    <w:rsid w:val="001E31D8"/>
    <w:rsid w:val="001E363A"/>
    <w:rsid w:val="001E57F4"/>
    <w:rsid w:val="001E5F5A"/>
    <w:rsid w:val="001E7604"/>
    <w:rsid w:val="001F2D27"/>
    <w:rsid w:val="001F580A"/>
    <w:rsid w:val="001F6D23"/>
    <w:rsid w:val="0020067E"/>
    <w:rsid w:val="00200AB8"/>
    <w:rsid w:val="00204608"/>
    <w:rsid w:val="00210621"/>
    <w:rsid w:val="002147C7"/>
    <w:rsid w:val="00215823"/>
    <w:rsid w:val="00216A0A"/>
    <w:rsid w:val="00216C46"/>
    <w:rsid w:val="00217E96"/>
    <w:rsid w:val="00221D9E"/>
    <w:rsid w:val="00222015"/>
    <w:rsid w:val="00232AFD"/>
    <w:rsid w:val="00232FE7"/>
    <w:rsid w:val="002348C0"/>
    <w:rsid w:val="00234BC7"/>
    <w:rsid w:val="00241182"/>
    <w:rsid w:val="002435AB"/>
    <w:rsid w:val="00250C27"/>
    <w:rsid w:val="00251C23"/>
    <w:rsid w:val="00253986"/>
    <w:rsid w:val="00254F90"/>
    <w:rsid w:val="002569D4"/>
    <w:rsid w:val="00256F59"/>
    <w:rsid w:val="00257D30"/>
    <w:rsid w:val="00257E0A"/>
    <w:rsid w:val="002609E0"/>
    <w:rsid w:val="00264BB5"/>
    <w:rsid w:val="002669F8"/>
    <w:rsid w:val="002705A8"/>
    <w:rsid w:val="0027251B"/>
    <w:rsid w:val="00275FB8"/>
    <w:rsid w:val="00283A3C"/>
    <w:rsid w:val="00284C35"/>
    <w:rsid w:val="002864BF"/>
    <w:rsid w:val="00287208"/>
    <w:rsid w:val="00290FF3"/>
    <w:rsid w:val="00291E9D"/>
    <w:rsid w:val="00292D49"/>
    <w:rsid w:val="0029468D"/>
    <w:rsid w:val="00294D57"/>
    <w:rsid w:val="002A61C3"/>
    <w:rsid w:val="002A7EBC"/>
    <w:rsid w:val="002B300E"/>
    <w:rsid w:val="002B3968"/>
    <w:rsid w:val="002B5B6A"/>
    <w:rsid w:val="002B6096"/>
    <w:rsid w:val="002B6C44"/>
    <w:rsid w:val="002C20C7"/>
    <w:rsid w:val="002C29D3"/>
    <w:rsid w:val="002C7EB6"/>
    <w:rsid w:val="002D184B"/>
    <w:rsid w:val="002D6DE1"/>
    <w:rsid w:val="002D7025"/>
    <w:rsid w:val="002D7582"/>
    <w:rsid w:val="002E096B"/>
    <w:rsid w:val="002E0C0D"/>
    <w:rsid w:val="002E23F9"/>
    <w:rsid w:val="002E6B4F"/>
    <w:rsid w:val="002E73EB"/>
    <w:rsid w:val="002F3000"/>
    <w:rsid w:val="002F4FAF"/>
    <w:rsid w:val="00300B42"/>
    <w:rsid w:val="00303976"/>
    <w:rsid w:val="00304F5E"/>
    <w:rsid w:val="00305423"/>
    <w:rsid w:val="0030652D"/>
    <w:rsid w:val="00307D2B"/>
    <w:rsid w:val="003110D3"/>
    <w:rsid w:val="00313B61"/>
    <w:rsid w:val="00314A4A"/>
    <w:rsid w:val="0031792A"/>
    <w:rsid w:val="003179BC"/>
    <w:rsid w:val="0032096D"/>
    <w:rsid w:val="0032278D"/>
    <w:rsid w:val="00323149"/>
    <w:rsid w:val="00325557"/>
    <w:rsid w:val="003255EA"/>
    <w:rsid w:val="0032682A"/>
    <w:rsid w:val="00332D86"/>
    <w:rsid w:val="00334E0F"/>
    <w:rsid w:val="00354558"/>
    <w:rsid w:val="003545AA"/>
    <w:rsid w:val="00356BE0"/>
    <w:rsid w:val="00357788"/>
    <w:rsid w:val="00360BEF"/>
    <w:rsid w:val="00367018"/>
    <w:rsid w:val="00374689"/>
    <w:rsid w:val="0037720A"/>
    <w:rsid w:val="003807A5"/>
    <w:rsid w:val="003823CE"/>
    <w:rsid w:val="003845A8"/>
    <w:rsid w:val="003845C4"/>
    <w:rsid w:val="00384612"/>
    <w:rsid w:val="003850ED"/>
    <w:rsid w:val="00386254"/>
    <w:rsid w:val="00396E5F"/>
    <w:rsid w:val="003A116C"/>
    <w:rsid w:val="003A2DDB"/>
    <w:rsid w:val="003A34AA"/>
    <w:rsid w:val="003A60FD"/>
    <w:rsid w:val="003B4484"/>
    <w:rsid w:val="003C40ED"/>
    <w:rsid w:val="003D072C"/>
    <w:rsid w:val="003D0E7E"/>
    <w:rsid w:val="003D1CF1"/>
    <w:rsid w:val="003D1EB8"/>
    <w:rsid w:val="003D3B7D"/>
    <w:rsid w:val="003D5AD9"/>
    <w:rsid w:val="003E3103"/>
    <w:rsid w:val="003F0347"/>
    <w:rsid w:val="003F1959"/>
    <w:rsid w:val="003F3E2F"/>
    <w:rsid w:val="003F4187"/>
    <w:rsid w:val="003F6E95"/>
    <w:rsid w:val="00400A98"/>
    <w:rsid w:val="00400F35"/>
    <w:rsid w:val="004036FB"/>
    <w:rsid w:val="00403C2D"/>
    <w:rsid w:val="0040648D"/>
    <w:rsid w:val="004065B7"/>
    <w:rsid w:val="00410075"/>
    <w:rsid w:val="00424420"/>
    <w:rsid w:val="0042627D"/>
    <w:rsid w:val="0043009D"/>
    <w:rsid w:val="004302FD"/>
    <w:rsid w:val="00430C6F"/>
    <w:rsid w:val="00435854"/>
    <w:rsid w:val="00437516"/>
    <w:rsid w:val="004426F8"/>
    <w:rsid w:val="0044503E"/>
    <w:rsid w:val="00445780"/>
    <w:rsid w:val="004635A5"/>
    <w:rsid w:val="0047225F"/>
    <w:rsid w:val="004753AE"/>
    <w:rsid w:val="00480224"/>
    <w:rsid w:val="00482003"/>
    <w:rsid w:val="00483D9C"/>
    <w:rsid w:val="00490E05"/>
    <w:rsid w:val="00490F2C"/>
    <w:rsid w:val="00494B8C"/>
    <w:rsid w:val="004A07C0"/>
    <w:rsid w:val="004A1AEE"/>
    <w:rsid w:val="004A24B2"/>
    <w:rsid w:val="004B311C"/>
    <w:rsid w:val="004B6BDD"/>
    <w:rsid w:val="004C2DC5"/>
    <w:rsid w:val="004C437A"/>
    <w:rsid w:val="004C5567"/>
    <w:rsid w:val="004C5AD8"/>
    <w:rsid w:val="004C7C2A"/>
    <w:rsid w:val="004C7EF7"/>
    <w:rsid w:val="004D716D"/>
    <w:rsid w:val="004D7AB5"/>
    <w:rsid w:val="004E34B8"/>
    <w:rsid w:val="004E7513"/>
    <w:rsid w:val="004F47CF"/>
    <w:rsid w:val="005023D3"/>
    <w:rsid w:val="00502EEE"/>
    <w:rsid w:val="005038A1"/>
    <w:rsid w:val="00507F42"/>
    <w:rsid w:val="00515082"/>
    <w:rsid w:val="00521DCA"/>
    <w:rsid w:val="00524F3A"/>
    <w:rsid w:val="005257B9"/>
    <w:rsid w:val="00526226"/>
    <w:rsid w:val="005307A5"/>
    <w:rsid w:val="00530AB3"/>
    <w:rsid w:val="00532B39"/>
    <w:rsid w:val="005349F4"/>
    <w:rsid w:val="0053527E"/>
    <w:rsid w:val="00535E07"/>
    <w:rsid w:val="005374FB"/>
    <w:rsid w:val="005404B6"/>
    <w:rsid w:val="005444C2"/>
    <w:rsid w:val="00551B0B"/>
    <w:rsid w:val="00555414"/>
    <w:rsid w:val="00556E6F"/>
    <w:rsid w:val="00567573"/>
    <w:rsid w:val="00570CC5"/>
    <w:rsid w:val="00571CD9"/>
    <w:rsid w:val="00573AEA"/>
    <w:rsid w:val="00580262"/>
    <w:rsid w:val="00581473"/>
    <w:rsid w:val="00585C55"/>
    <w:rsid w:val="00587A53"/>
    <w:rsid w:val="00587CDF"/>
    <w:rsid w:val="00592B80"/>
    <w:rsid w:val="00594B56"/>
    <w:rsid w:val="00594D72"/>
    <w:rsid w:val="005965F6"/>
    <w:rsid w:val="005B2F2F"/>
    <w:rsid w:val="005B51EB"/>
    <w:rsid w:val="005B7D37"/>
    <w:rsid w:val="005C0B8F"/>
    <w:rsid w:val="005D1CB7"/>
    <w:rsid w:val="005D5788"/>
    <w:rsid w:val="005E52AC"/>
    <w:rsid w:val="005E557D"/>
    <w:rsid w:val="005F1781"/>
    <w:rsid w:val="005F322E"/>
    <w:rsid w:val="005F7E2C"/>
    <w:rsid w:val="005F7F8E"/>
    <w:rsid w:val="00602FAF"/>
    <w:rsid w:val="00611351"/>
    <w:rsid w:val="00612C80"/>
    <w:rsid w:val="00616848"/>
    <w:rsid w:val="00624DD5"/>
    <w:rsid w:val="00624FFE"/>
    <w:rsid w:val="00630AA9"/>
    <w:rsid w:val="00631A41"/>
    <w:rsid w:val="00633636"/>
    <w:rsid w:val="00635D03"/>
    <w:rsid w:val="0063667F"/>
    <w:rsid w:val="00642528"/>
    <w:rsid w:val="00642816"/>
    <w:rsid w:val="006441D3"/>
    <w:rsid w:val="00645B6F"/>
    <w:rsid w:val="006474CE"/>
    <w:rsid w:val="00647BF9"/>
    <w:rsid w:val="006524D4"/>
    <w:rsid w:val="006538DD"/>
    <w:rsid w:val="006543E3"/>
    <w:rsid w:val="00656375"/>
    <w:rsid w:val="00660BBA"/>
    <w:rsid w:val="0066429F"/>
    <w:rsid w:val="006669CB"/>
    <w:rsid w:val="006735C9"/>
    <w:rsid w:val="00674452"/>
    <w:rsid w:val="006749D6"/>
    <w:rsid w:val="00676CFE"/>
    <w:rsid w:val="00677F27"/>
    <w:rsid w:val="00685316"/>
    <w:rsid w:val="00685B49"/>
    <w:rsid w:val="00685C91"/>
    <w:rsid w:val="006879F3"/>
    <w:rsid w:val="00694175"/>
    <w:rsid w:val="00694930"/>
    <w:rsid w:val="006966FC"/>
    <w:rsid w:val="00697D9B"/>
    <w:rsid w:val="006A2039"/>
    <w:rsid w:val="006A45B4"/>
    <w:rsid w:val="006B10A5"/>
    <w:rsid w:val="006B1595"/>
    <w:rsid w:val="006B23C9"/>
    <w:rsid w:val="006B34EE"/>
    <w:rsid w:val="006B64EF"/>
    <w:rsid w:val="006B72E9"/>
    <w:rsid w:val="006C610F"/>
    <w:rsid w:val="006D0437"/>
    <w:rsid w:val="006D136C"/>
    <w:rsid w:val="006D1CAE"/>
    <w:rsid w:val="006D2C62"/>
    <w:rsid w:val="006D503E"/>
    <w:rsid w:val="006E316F"/>
    <w:rsid w:val="006E427B"/>
    <w:rsid w:val="006E6A2F"/>
    <w:rsid w:val="006F7C6B"/>
    <w:rsid w:val="00700B32"/>
    <w:rsid w:val="00702537"/>
    <w:rsid w:val="0070497F"/>
    <w:rsid w:val="007106E2"/>
    <w:rsid w:val="007110BE"/>
    <w:rsid w:val="00712458"/>
    <w:rsid w:val="00713037"/>
    <w:rsid w:val="00716FAA"/>
    <w:rsid w:val="00720036"/>
    <w:rsid w:val="00720ACA"/>
    <w:rsid w:val="007239F5"/>
    <w:rsid w:val="00726092"/>
    <w:rsid w:val="00734B24"/>
    <w:rsid w:val="00737EE6"/>
    <w:rsid w:val="00743BDA"/>
    <w:rsid w:val="007501E3"/>
    <w:rsid w:val="00750F83"/>
    <w:rsid w:val="00751B2C"/>
    <w:rsid w:val="00752C8F"/>
    <w:rsid w:val="00753EA8"/>
    <w:rsid w:val="00754C42"/>
    <w:rsid w:val="00761F49"/>
    <w:rsid w:val="00762738"/>
    <w:rsid w:val="00762DD9"/>
    <w:rsid w:val="007659FF"/>
    <w:rsid w:val="0077002B"/>
    <w:rsid w:val="00771DE8"/>
    <w:rsid w:val="007746CE"/>
    <w:rsid w:val="00774A89"/>
    <w:rsid w:val="00775169"/>
    <w:rsid w:val="00776435"/>
    <w:rsid w:val="00780874"/>
    <w:rsid w:val="0078535D"/>
    <w:rsid w:val="00785DA6"/>
    <w:rsid w:val="00792350"/>
    <w:rsid w:val="007965E3"/>
    <w:rsid w:val="00797B64"/>
    <w:rsid w:val="007A0995"/>
    <w:rsid w:val="007A0D45"/>
    <w:rsid w:val="007B23F0"/>
    <w:rsid w:val="007B271F"/>
    <w:rsid w:val="007B2E95"/>
    <w:rsid w:val="007B494C"/>
    <w:rsid w:val="007C2310"/>
    <w:rsid w:val="007C4027"/>
    <w:rsid w:val="007C5A4E"/>
    <w:rsid w:val="007C65D9"/>
    <w:rsid w:val="007D6DF5"/>
    <w:rsid w:val="007E5F8B"/>
    <w:rsid w:val="007F0EF4"/>
    <w:rsid w:val="007F43B0"/>
    <w:rsid w:val="007F489D"/>
    <w:rsid w:val="007F4E65"/>
    <w:rsid w:val="007F7DCD"/>
    <w:rsid w:val="00800881"/>
    <w:rsid w:val="00801124"/>
    <w:rsid w:val="0080259A"/>
    <w:rsid w:val="00802ADF"/>
    <w:rsid w:val="00813393"/>
    <w:rsid w:val="00815791"/>
    <w:rsid w:val="00817044"/>
    <w:rsid w:val="0081741F"/>
    <w:rsid w:val="00820F81"/>
    <w:rsid w:val="00823B02"/>
    <w:rsid w:val="008313E1"/>
    <w:rsid w:val="0083215D"/>
    <w:rsid w:val="00834D25"/>
    <w:rsid w:val="008351C8"/>
    <w:rsid w:val="008353D8"/>
    <w:rsid w:val="00835B31"/>
    <w:rsid w:val="00836D56"/>
    <w:rsid w:val="0084056E"/>
    <w:rsid w:val="008408F1"/>
    <w:rsid w:val="0084138E"/>
    <w:rsid w:val="008417C2"/>
    <w:rsid w:val="00841DC4"/>
    <w:rsid w:val="00843C38"/>
    <w:rsid w:val="00844CB8"/>
    <w:rsid w:val="00845D83"/>
    <w:rsid w:val="00846D77"/>
    <w:rsid w:val="0086048D"/>
    <w:rsid w:val="00860BEA"/>
    <w:rsid w:val="00862D60"/>
    <w:rsid w:val="00865FBB"/>
    <w:rsid w:val="00866508"/>
    <w:rsid w:val="00867767"/>
    <w:rsid w:val="0087005B"/>
    <w:rsid w:val="00872E3F"/>
    <w:rsid w:val="00881D33"/>
    <w:rsid w:val="00882096"/>
    <w:rsid w:val="00883D6C"/>
    <w:rsid w:val="00884C68"/>
    <w:rsid w:val="00887895"/>
    <w:rsid w:val="008943E7"/>
    <w:rsid w:val="0089707F"/>
    <w:rsid w:val="008A4FC5"/>
    <w:rsid w:val="008A5FDC"/>
    <w:rsid w:val="008B1777"/>
    <w:rsid w:val="008B532D"/>
    <w:rsid w:val="008B63C1"/>
    <w:rsid w:val="008C3682"/>
    <w:rsid w:val="008D240D"/>
    <w:rsid w:val="008D24BC"/>
    <w:rsid w:val="008D31FE"/>
    <w:rsid w:val="008D3D39"/>
    <w:rsid w:val="008D716F"/>
    <w:rsid w:val="008E46D6"/>
    <w:rsid w:val="008E54C8"/>
    <w:rsid w:val="008F4B8F"/>
    <w:rsid w:val="008F633C"/>
    <w:rsid w:val="009000D1"/>
    <w:rsid w:val="00904B1D"/>
    <w:rsid w:val="0090690C"/>
    <w:rsid w:val="00910F26"/>
    <w:rsid w:val="00911DB9"/>
    <w:rsid w:val="009169E2"/>
    <w:rsid w:val="00922385"/>
    <w:rsid w:val="00923E05"/>
    <w:rsid w:val="00927F53"/>
    <w:rsid w:val="009414B2"/>
    <w:rsid w:val="0094164D"/>
    <w:rsid w:val="00942E8C"/>
    <w:rsid w:val="00952244"/>
    <w:rsid w:val="0095323C"/>
    <w:rsid w:val="0095407B"/>
    <w:rsid w:val="0095467B"/>
    <w:rsid w:val="0096072E"/>
    <w:rsid w:val="009642D7"/>
    <w:rsid w:val="0096788C"/>
    <w:rsid w:val="00976049"/>
    <w:rsid w:val="00981145"/>
    <w:rsid w:val="0098588F"/>
    <w:rsid w:val="00986940"/>
    <w:rsid w:val="00986C13"/>
    <w:rsid w:val="00990778"/>
    <w:rsid w:val="009909BB"/>
    <w:rsid w:val="00992CAE"/>
    <w:rsid w:val="00997600"/>
    <w:rsid w:val="009A1CDA"/>
    <w:rsid w:val="009A25A1"/>
    <w:rsid w:val="009B05CF"/>
    <w:rsid w:val="009B4A54"/>
    <w:rsid w:val="009B7D1B"/>
    <w:rsid w:val="009C2D24"/>
    <w:rsid w:val="009C5DBC"/>
    <w:rsid w:val="009C76EC"/>
    <w:rsid w:val="009C77E6"/>
    <w:rsid w:val="009E1EF0"/>
    <w:rsid w:val="009E5B01"/>
    <w:rsid w:val="009E7D9D"/>
    <w:rsid w:val="00A00CC1"/>
    <w:rsid w:val="00A0140F"/>
    <w:rsid w:val="00A12C57"/>
    <w:rsid w:val="00A13D2B"/>
    <w:rsid w:val="00A142B7"/>
    <w:rsid w:val="00A14F99"/>
    <w:rsid w:val="00A16E79"/>
    <w:rsid w:val="00A200DB"/>
    <w:rsid w:val="00A23C41"/>
    <w:rsid w:val="00A320B7"/>
    <w:rsid w:val="00A36068"/>
    <w:rsid w:val="00A369B3"/>
    <w:rsid w:val="00A37027"/>
    <w:rsid w:val="00A37C2E"/>
    <w:rsid w:val="00A45DA2"/>
    <w:rsid w:val="00A46342"/>
    <w:rsid w:val="00A4761B"/>
    <w:rsid w:val="00A47D4A"/>
    <w:rsid w:val="00A51C04"/>
    <w:rsid w:val="00A55876"/>
    <w:rsid w:val="00A55B9B"/>
    <w:rsid w:val="00A57E8E"/>
    <w:rsid w:val="00A61E14"/>
    <w:rsid w:val="00A648FD"/>
    <w:rsid w:val="00A64CCE"/>
    <w:rsid w:val="00A7154F"/>
    <w:rsid w:val="00A73214"/>
    <w:rsid w:val="00A737F8"/>
    <w:rsid w:val="00A73C74"/>
    <w:rsid w:val="00A741C9"/>
    <w:rsid w:val="00A809DD"/>
    <w:rsid w:val="00A81378"/>
    <w:rsid w:val="00A86595"/>
    <w:rsid w:val="00A90BF1"/>
    <w:rsid w:val="00A967FA"/>
    <w:rsid w:val="00A978A1"/>
    <w:rsid w:val="00AA0915"/>
    <w:rsid w:val="00AA17C0"/>
    <w:rsid w:val="00AA1DA3"/>
    <w:rsid w:val="00AA3378"/>
    <w:rsid w:val="00AA4828"/>
    <w:rsid w:val="00AB1A3B"/>
    <w:rsid w:val="00AB71FC"/>
    <w:rsid w:val="00AC3859"/>
    <w:rsid w:val="00AC49C0"/>
    <w:rsid w:val="00AC5170"/>
    <w:rsid w:val="00AC5654"/>
    <w:rsid w:val="00AC57B4"/>
    <w:rsid w:val="00AC799A"/>
    <w:rsid w:val="00AD14A5"/>
    <w:rsid w:val="00AD1C22"/>
    <w:rsid w:val="00AD6FD4"/>
    <w:rsid w:val="00AE4640"/>
    <w:rsid w:val="00AF0A36"/>
    <w:rsid w:val="00AF24E4"/>
    <w:rsid w:val="00AF345B"/>
    <w:rsid w:val="00AF3DC5"/>
    <w:rsid w:val="00AF419D"/>
    <w:rsid w:val="00AF67D4"/>
    <w:rsid w:val="00AF78AE"/>
    <w:rsid w:val="00B02E5E"/>
    <w:rsid w:val="00B07E63"/>
    <w:rsid w:val="00B15339"/>
    <w:rsid w:val="00B162B6"/>
    <w:rsid w:val="00B20958"/>
    <w:rsid w:val="00B3177F"/>
    <w:rsid w:val="00B31B92"/>
    <w:rsid w:val="00B33E12"/>
    <w:rsid w:val="00B3499F"/>
    <w:rsid w:val="00B36F54"/>
    <w:rsid w:val="00B428BE"/>
    <w:rsid w:val="00B4658E"/>
    <w:rsid w:val="00B53C4A"/>
    <w:rsid w:val="00B5478F"/>
    <w:rsid w:val="00B57E5A"/>
    <w:rsid w:val="00B61C1D"/>
    <w:rsid w:val="00B630F2"/>
    <w:rsid w:val="00B64893"/>
    <w:rsid w:val="00B7301F"/>
    <w:rsid w:val="00B74526"/>
    <w:rsid w:val="00B75813"/>
    <w:rsid w:val="00B758AC"/>
    <w:rsid w:val="00B761D3"/>
    <w:rsid w:val="00B8081B"/>
    <w:rsid w:val="00B80F33"/>
    <w:rsid w:val="00B8149B"/>
    <w:rsid w:val="00B87271"/>
    <w:rsid w:val="00BB2D56"/>
    <w:rsid w:val="00BB3706"/>
    <w:rsid w:val="00BB449B"/>
    <w:rsid w:val="00BB5421"/>
    <w:rsid w:val="00BB62B9"/>
    <w:rsid w:val="00BD377D"/>
    <w:rsid w:val="00BD6D1E"/>
    <w:rsid w:val="00BE4E36"/>
    <w:rsid w:val="00BE6FBD"/>
    <w:rsid w:val="00BF1097"/>
    <w:rsid w:val="00BF39C6"/>
    <w:rsid w:val="00BF4B38"/>
    <w:rsid w:val="00BF7B13"/>
    <w:rsid w:val="00C02F7D"/>
    <w:rsid w:val="00C07768"/>
    <w:rsid w:val="00C14B23"/>
    <w:rsid w:val="00C14E9E"/>
    <w:rsid w:val="00C15790"/>
    <w:rsid w:val="00C17A84"/>
    <w:rsid w:val="00C21692"/>
    <w:rsid w:val="00C22AEB"/>
    <w:rsid w:val="00C25868"/>
    <w:rsid w:val="00C3327B"/>
    <w:rsid w:val="00C40A52"/>
    <w:rsid w:val="00C41DFE"/>
    <w:rsid w:val="00C43D8A"/>
    <w:rsid w:val="00C43E99"/>
    <w:rsid w:val="00C44D82"/>
    <w:rsid w:val="00C45BE1"/>
    <w:rsid w:val="00C45F8A"/>
    <w:rsid w:val="00C47720"/>
    <w:rsid w:val="00C47F29"/>
    <w:rsid w:val="00C506AF"/>
    <w:rsid w:val="00C50B29"/>
    <w:rsid w:val="00C51AFC"/>
    <w:rsid w:val="00C536E8"/>
    <w:rsid w:val="00C55A66"/>
    <w:rsid w:val="00C5642C"/>
    <w:rsid w:val="00C57EE9"/>
    <w:rsid w:val="00C615E0"/>
    <w:rsid w:val="00C616DF"/>
    <w:rsid w:val="00C66922"/>
    <w:rsid w:val="00C70B69"/>
    <w:rsid w:val="00C71188"/>
    <w:rsid w:val="00C734E7"/>
    <w:rsid w:val="00C75B25"/>
    <w:rsid w:val="00C837E0"/>
    <w:rsid w:val="00C85429"/>
    <w:rsid w:val="00C96321"/>
    <w:rsid w:val="00C96CB0"/>
    <w:rsid w:val="00CA21ED"/>
    <w:rsid w:val="00CA458C"/>
    <w:rsid w:val="00CB01CC"/>
    <w:rsid w:val="00CB2782"/>
    <w:rsid w:val="00CB2E3D"/>
    <w:rsid w:val="00CB7506"/>
    <w:rsid w:val="00CB7674"/>
    <w:rsid w:val="00CC06D0"/>
    <w:rsid w:val="00CD49B7"/>
    <w:rsid w:val="00CD4CB5"/>
    <w:rsid w:val="00CE51A0"/>
    <w:rsid w:val="00CE7CB6"/>
    <w:rsid w:val="00CF1773"/>
    <w:rsid w:val="00CF5796"/>
    <w:rsid w:val="00CF5C44"/>
    <w:rsid w:val="00D02329"/>
    <w:rsid w:val="00D12501"/>
    <w:rsid w:val="00D13936"/>
    <w:rsid w:val="00D13FCA"/>
    <w:rsid w:val="00D1520D"/>
    <w:rsid w:val="00D1528E"/>
    <w:rsid w:val="00D1785A"/>
    <w:rsid w:val="00D200E8"/>
    <w:rsid w:val="00D23266"/>
    <w:rsid w:val="00D3299D"/>
    <w:rsid w:val="00D356A3"/>
    <w:rsid w:val="00D40819"/>
    <w:rsid w:val="00D4663D"/>
    <w:rsid w:val="00D57927"/>
    <w:rsid w:val="00D625F4"/>
    <w:rsid w:val="00D62945"/>
    <w:rsid w:val="00D641FB"/>
    <w:rsid w:val="00D64E65"/>
    <w:rsid w:val="00D659C5"/>
    <w:rsid w:val="00D7238F"/>
    <w:rsid w:val="00D75A41"/>
    <w:rsid w:val="00D77ADE"/>
    <w:rsid w:val="00D81F8F"/>
    <w:rsid w:val="00D82559"/>
    <w:rsid w:val="00D86239"/>
    <w:rsid w:val="00D90C01"/>
    <w:rsid w:val="00D91AD2"/>
    <w:rsid w:val="00D92E44"/>
    <w:rsid w:val="00D95375"/>
    <w:rsid w:val="00DB011F"/>
    <w:rsid w:val="00DB09DC"/>
    <w:rsid w:val="00DB12FA"/>
    <w:rsid w:val="00DB1A44"/>
    <w:rsid w:val="00DB3CEE"/>
    <w:rsid w:val="00DC2CD7"/>
    <w:rsid w:val="00DC6B8C"/>
    <w:rsid w:val="00DD2D1E"/>
    <w:rsid w:val="00DD5682"/>
    <w:rsid w:val="00DD5817"/>
    <w:rsid w:val="00DD5936"/>
    <w:rsid w:val="00DD60AF"/>
    <w:rsid w:val="00DE5133"/>
    <w:rsid w:val="00DE6CE6"/>
    <w:rsid w:val="00DE7A9A"/>
    <w:rsid w:val="00DE7B41"/>
    <w:rsid w:val="00DF1901"/>
    <w:rsid w:val="00DF6177"/>
    <w:rsid w:val="00DF633F"/>
    <w:rsid w:val="00E05534"/>
    <w:rsid w:val="00E067A7"/>
    <w:rsid w:val="00E07942"/>
    <w:rsid w:val="00E07A31"/>
    <w:rsid w:val="00E15523"/>
    <w:rsid w:val="00E15E43"/>
    <w:rsid w:val="00E21F89"/>
    <w:rsid w:val="00E25A72"/>
    <w:rsid w:val="00E27310"/>
    <w:rsid w:val="00E31835"/>
    <w:rsid w:val="00E47980"/>
    <w:rsid w:val="00E50043"/>
    <w:rsid w:val="00E545EA"/>
    <w:rsid w:val="00E567DD"/>
    <w:rsid w:val="00E661EE"/>
    <w:rsid w:val="00E70C85"/>
    <w:rsid w:val="00E70D77"/>
    <w:rsid w:val="00E736CB"/>
    <w:rsid w:val="00E81771"/>
    <w:rsid w:val="00E8342B"/>
    <w:rsid w:val="00E92373"/>
    <w:rsid w:val="00E93F86"/>
    <w:rsid w:val="00EA113C"/>
    <w:rsid w:val="00EA1F2A"/>
    <w:rsid w:val="00EB2599"/>
    <w:rsid w:val="00EC02FC"/>
    <w:rsid w:val="00EC18BA"/>
    <w:rsid w:val="00EC30F9"/>
    <w:rsid w:val="00EC3C7D"/>
    <w:rsid w:val="00EC3DF4"/>
    <w:rsid w:val="00EC5FE3"/>
    <w:rsid w:val="00ED5B69"/>
    <w:rsid w:val="00EE0D92"/>
    <w:rsid w:val="00EE10EC"/>
    <w:rsid w:val="00EE7EF0"/>
    <w:rsid w:val="00EF2E42"/>
    <w:rsid w:val="00EF320B"/>
    <w:rsid w:val="00F04568"/>
    <w:rsid w:val="00F05138"/>
    <w:rsid w:val="00F10B24"/>
    <w:rsid w:val="00F11A4D"/>
    <w:rsid w:val="00F178C4"/>
    <w:rsid w:val="00F2667B"/>
    <w:rsid w:val="00F266ED"/>
    <w:rsid w:val="00F34C1D"/>
    <w:rsid w:val="00F36C06"/>
    <w:rsid w:val="00F41435"/>
    <w:rsid w:val="00F43565"/>
    <w:rsid w:val="00F43ADD"/>
    <w:rsid w:val="00F46E10"/>
    <w:rsid w:val="00F47A8D"/>
    <w:rsid w:val="00F50679"/>
    <w:rsid w:val="00F5283F"/>
    <w:rsid w:val="00F55040"/>
    <w:rsid w:val="00F5751E"/>
    <w:rsid w:val="00F62563"/>
    <w:rsid w:val="00F67800"/>
    <w:rsid w:val="00F70E31"/>
    <w:rsid w:val="00F71927"/>
    <w:rsid w:val="00F74A3C"/>
    <w:rsid w:val="00F7600A"/>
    <w:rsid w:val="00F77A10"/>
    <w:rsid w:val="00F81D62"/>
    <w:rsid w:val="00F82DA3"/>
    <w:rsid w:val="00F86E5A"/>
    <w:rsid w:val="00F91C22"/>
    <w:rsid w:val="00F91FAC"/>
    <w:rsid w:val="00F94604"/>
    <w:rsid w:val="00F95BDE"/>
    <w:rsid w:val="00F95FBC"/>
    <w:rsid w:val="00FA0916"/>
    <w:rsid w:val="00FB2AFF"/>
    <w:rsid w:val="00FB43E0"/>
    <w:rsid w:val="00FB66A7"/>
    <w:rsid w:val="00FB6CDD"/>
    <w:rsid w:val="00FC2754"/>
    <w:rsid w:val="00FC33E8"/>
    <w:rsid w:val="00FD0FEB"/>
    <w:rsid w:val="00FD2D52"/>
    <w:rsid w:val="00FD6212"/>
    <w:rsid w:val="00FE00A5"/>
    <w:rsid w:val="00FE233A"/>
    <w:rsid w:val="00FE3C54"/>
    <w:rsid w:val="00FE62FF"/>
    <w:rsid w:val="00FF1DF6"/>
    <w:rsid w:val="00FF2119"/>
    <w:rsid w:val="00FF568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EF52C0"/>
  <w15:docId w15:val="{604A3236-91DF-41E2-A2DE-A9B9D8DC3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Normal"/>
    <w:link w:val="FootnoteTextChar"/>
    <w:uiPriority w:val="99"/>
    <w:unhideWhenUsed/>
    <w:qFormat/>
    <w:rsid w:val="00043CE5"/>
    <w:rPr>
      <w:sz w:val="20"/>
      <w:szCs w:val="20"/>
    </w:rPr>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uiPriority w:val="99"/>
    <w:rsid w:val="00043CE5"/>
    <w:rPr>
      <w:lang w:eastAsia="en-US"/>
    </w:rPr>
  </w:style>
  <w:style w:type="character" w:styleId="FootnoteReference">
    <w:name w:val="footnote reference"/>
    <w:aliases w:val="(NECG) Footnote Reference,Footnotes refss,Appel note de bas de page,Ref,de nota al pie,註腳內容,Footnote Reference + Superscript,fr,Footnote symbol,Footnote,Style 4,-E Fußnotenzeichen,16 Point,Superscript 6 Point,Heading 6 Char1,Style 12"/>
    <w:basedOn w:val="DefaultParagraphFont"/>
    <w:uiPriority w:val="99"/>
    <w:unhideWhenUsed/>
    <w:qFormat/>
    <w:rsid w:val="00043CE5"/>
    <w:rPr>
      <w:vertAlign w:val="superscript"/>
    </w:rPr>
  </w:style>
  <w:style w:type="paragraph" w:customStyle="1" w:styleId="JUDGMENTNUMBERED">
    <w:name w:val="JUDGMENT NUMBERED"/>
    <w:basedOn w:val="Normal"/>
    <w:next w:val="Normal"/>
    <w:link w:val="JUDGMENTNUMBEREDChar"/>
    <w:qFormat/>
    <w:rsid w:val="00034880"/>
    <w:pPr>
      <w:numPr>
        <w:numId w:val="2"/>
      </w:numPr>
      <w:spacing w:line="360" w:lineRule="auto"/>
      <w:ind w:left="0" w:firstLine="0"/>
    </w:pPr>
    <w:rPr>
      <w:rFonts w:eastAsia="Calibri"/>
      <w:sz w:val="26"/>
      <w:szCs w:val="22"/>
    </w:rPr>
  </w:style>
  <w:style w:type="paragraph" w:customStyle="1" w:styleId="QUOTEINFOOTNOTE">
    <w:name w:val="QUOTE IN FOOTNOTE"/>
    <w:basedOn w:val="Normal"/>
    <w:next w:val="Normal"/>
    <w:qFormat/>
    <w:rsid w:val="006B34EE"/>
    <w:pPr>
      <w:spacing w:after="120"/>
      <w:ind w:left="720" w:right="720"/>
    </w:pPr>
    <w:rPr>
      <w:rFonts w:eastAsia="Calibri"/>
      <w:sz w:val="20"/>
      <w:szCs w:val="22"/>
    </w:rPr>
  </w:style>
  <w:style w:type="paragraph" w:customStyle="1" w:styleId="JUDGMENTCONTINUED">
    <w:name w:val="JUDGMENT CONTINUED"/>
    <w:basedOn w:val="JUDGMENTNUMBERED"/>
    <w:next w:val="JUDGMENTNUMBERED"/>
    <w:qFormat/>
    <w:rsid w:val="00B20958"/>
    <w:pPr>
      <w:numPr>
        <w:numId w:val="0"/>
      </w:numPr>
    </w:pPr>
  </w:style>
  <w:style w:type="paragraph" w:styleId="ListParagraph">
    <w:name w:val="List Paragraph"/>
    <w:basedOn w:val="Normal"/>
    <w:uiPriority w:val="34"/>
    <w:qFormat/>
    <w:rsid w:val="00B20958"/>
    <w:pPr>
      <w:spacing w:line="480" w:lineRule="auto"/>
      <w:ind w:left="720"/>
      <w:contextualSpacing/>
    </w:pPr>
    <w:rPr>
      <w:rFonts w:eastAsia="Calibri"/>
      <w:sz w:val="26"/>
      <w:szCs w:val="22"/>
    </w:rPr>
  </w:style>
  <w:style w:type="paragraph" w:customStyle="1" w:styleId="HEADING">
    <w:name w:val="HEADING"/>
    <w:basedOn w:val="JUDGMENTNUMBERED"/>
    <w:next w:val="JUDGMENTNUMBERED"/>
    <w:link w:val="HEADINGChar"/>
    <w:qFormat/>
    <w:rsid w:val="00B20958"/>
    <w:pPr>
      <w:keepNext/>
      <w:numPr>
        <w:numId w:val="0"/>
      </w:numPr>
      <w:spacing w:after="120"/>
    </w:pPr>
    <w:rPr>
      <w:i/>
    </w:rPr>
  </w:style>
  <w:style w:type="character" w:customStyle="1" w:styleId="JUDGMENTNUMBEREDChar">
    <w:name w:val="JUDGMENT NUMBERED Char"/>
    <w:basedOn w:val="DefaultParagraphFont"/>
    <w:link w:val="JUDGMENTNUMBERED"/>
    <w:rsid w:val="00B20958"/>
    <w:rPr>
      <w:rFonts w:eastAsia="Calibri"/>
      <w:sz w:val="26"/>
      <w:szCs w:val="22"/>
      <w:lang w:eastAsia="en-US"/>
    </w:rPr>
  </w:style>
  <w:style w:type="character" w:customStyle="1" w:styleId="HEADINGChar">
    <w:name w:val="HEADING Char"/>
    <w:basedOn w:val="JUDGMENTNUMBEREDChar"/>
    <w:link w:val="HEADING"/>
    <w:rsid w:val="00B20958"/>
    <w:rPr>
      <w:rFonts w:eastAsia="Calibri"/>
      <w:i/>
      <w:sz w:val="26"/>
      <w:szCs w:val="22"/>
      <w:lang w:eastAsia="en-US"/>
    </w:rPr>
  </w:style>
  <w:style w:type="paragraph" w:customStyle="1" w:styleId="QUOTATION">
    <w:name w:val="QUOTATION"/>
    <w:basedOn w:val="Normal"/>
    <w:next w:val="JUDGMENTCONTINUED"/>
    <w:qFormat/>
    <w:rsid w:val="00241182"/>
    <w:pPr>
      <w:spacing w:line="360" w:lineRule="auto"/>
      <w:ind w:left="720" w:right="720"/>
    </w:pPr>
    <w:rPr>
      <w:rFonts w:eastAsia="Calibri"/>
      <w:sz w:val="22"/>
      <w:szCs w:val="22"/>
    </w:rPr>
  </w:style>
  <w:style w:type="paragraph" w:styleId="NormalWeb">
    <w:name w:val="Normal (Web)"/>
    <w:basedOn w:val="Normal"/>
    <w:uiPriority w:val="99"/>
    <w:semiHidden/>
    <w:unhideWhenUsed/>
    <w:rsid w:val="00400F35"/>
    <w:pPr>
      <w:spacing w:before="100" w:beforeAutospacing="1" w:after="100" w:afterAutospacing="1"/>
      <w:jc w:val="left"/>
    </w:pPr>
    <w:rPr>
      <w:lang w:eastAsia="en-ZA"/>
    </w:rPr>
  </w:style>
  <w:style w:type="character" w:styleId="Hyperlink">
    <w:name w:val="Hyperlink"/>
    <w:basedOn w:val="DefaultParagraphFont"/>
    <w:uiPriority w:val="99"/>
    <w:semiHidden/>
    <w:unhideWhenUsed/>
    <w:rsid w:val="00400F35"/>
    <w:rPr>
      <w:color w:val="0000FF"/>
      <w:u w:val="single"/>
    </w:rPr>
  </w:style>
  <w:style w:type="paragraph" w:styleId="Revision">
    <w:name w:val="Revision"/>
    <w:hidden/>
    <w:uiPriority w:val="99"/>
    <w:semiHidden/>
    <w:rsid w:val="001C138B"/>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2111508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Committees\Media%20Committee\PRE-HEARING%20MEDIA%20SUMMAR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A859C7-1E40-40FE-A1CF-E5A165069E08}">
  <ds:schemaRefs>
    <ds:schemaRef ds:uri="http://schemas.openxmlformats.org/officeDocument/2006/bibliography"/>
  </ds:schemaRefs>
</ds:datastoreItem>
</file>

<file path=customXml/itemProps2.xml><?xml version="1.0" encoding="utf-8"?>
<ds:datastoreItem xmlns:ds="http://schemas.openxmlformats.org/officeDocument/2006/customXml" ds:itemID="{8C18052C-C1F1-4FD0-9B07-C549FADEA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PRE-HEARING MEDIA SUMMARY TEMPLATE</Template>
  <TotalTime>1</TotalTime>
  <Pages>3</Pages>
  <Words>1419</Words>
  <Characters>8092</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9493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Tshepiso Scott</dc:creator>
  <cp:lastModifiedBy>Author</cp:lastModifiedBy>
  <cp:revision>2</cp:revision>
  <cp:lastPrinted>2021-05-24T10:26:00Z</cp:lastPrinted>
  <dcterms:created xsi:type="dcterms:W3CDTF">2021-05-24T11:54:00Z</dcterms:created>
  <dcterms:modified xsi:type="dcterms:W3CDTF">2021-05-24T11:54:00Z</dcterms:modified>
</cp:coreProperties>
</file>