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extensions/taskpanes.xml" ContentType="application/vnd.ms-office.webextensiontaskpan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Override PartName="/word/commentsExtensible.xml" ContentType="application/vnd.openxmlformats-officedocument.wordprocessingml.commentsExtensible+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11/relationships/webextensiontaskpanes" Target="word/webextensions/taskpanes.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5C886A" w14:textId="77777777" w:rsidR="00F5283F" w:rsidRPr="001B228E" w:rsidRDefault="00CA458C" w:rsidP="00720ACA">
      <w:pPr>
        <w:jc w:val="center"/>
      </w:pPr>
      <w:r w:rsidRPr="001B228E">
        <w:rPr>
          <w:noProof/>
          <w:lang w:eastAsia="en-ZA"/>
        </w:rPr>
        <w:drawing>
          <wp:inline distT="0" distB="0" distL="0" distR="0" wp14:anchorId="5FC14B89" wp14:editId="157BAA81">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10" r:link="rId11"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17EA0807" w14:textId="77777777" w:rsidR="00F5283F" w:rsidRPr="001B228E" w:rsidRDefault="00F5283F" w:rsidP="00720ACA">
      <w:pPr>
        <w:jc w:val="center"/>
      </w:pPr>
    </w:p>
    <w:p w14:paraId="0842ACE5" w14:textId="77777777" w:rsidR="001E5F5A" w:rsidRPr="001B228E" w:rsidRDefault="001E5F5A" w:rsidP="00720ACA">
      <w:pPr>
        <w:jc w:val="center"/>
        <w:rPr>
          <w:b/>
        </w:rPr>
      </w:pPr>
      <w:r w:rsidRPr="001B228E">
        <w:rPr>
          <w:b/>
        </w:rPr>
        <w:t>CONSTIT</w:t>
      </w:r>
      <w:r w:rsidR="00676CFE" w:rsidRPr="001B228E">
        <w:rPr>
          <w:b/>
        </w:rPr>
        <w:t>UT</w:t>
      </w:r>
      <w:r w:rsidRPr="001B228E">
        <w:rPr>
          <w:b/>
        </w:rPr>
        <w:t>IONAL COURT OF SOUTH AFRICA</w:t>
      </w:r>
    </w:p>
    <w:p w14:paraId="00EF7116" w14:textId="77777777" w:rsidR="001E5F5A" w:rsidRPr="001B228E" w:rsidRDefault="001E5F5A" w:rsidP="00AE4640"/>
    <w:p w14:paraId="7CD20CB0" w14:textId="77777777" w:rsidR="006966FC" w:rsidRPr="001B228E" w:rsidRDefault="000812DB" w:rsidP="007F7F5C">
      <w:pPr>
        <w:jc w:val="center"/>
        <w:rPr>
          <w:b/>
          <w:bCs/>
        </w:rPr>
      </w:pPr>
      <w:r>
        <w:rPr>
          <w:b/>
          <w:bCs/>
        </w:rPr>
        <w:t>Association of Mineworkers and Construction Union and Others v Anglo Gold Ashanti Limited and Others</w:t>
      </w:r>
    </w:p>
    <w:p w14:paraId="213DC8E2" w14:textId="77777777" w:rsidR="006966FC" w:rsidRPr="001B228E" w:rsidRDefault="006966FC" w:rsidP="005F467F">
      <w:pPr>
        <w:tabs>
          <w:tab w:val="right" w:pos="9360"/>
        </w:tabs>
        <w:ind w:right="284"/>
        <w:rPr>
          <w:bCs/>
          <w:sz w:val="26"/>
          <w:szCs w:val="26"/>
        </w:rPr>
      </w:pPr>
    </w:p>
    <w:p w14:paraId="5A503861" w14:textId="77777777" w:rsidR="00E07942" w:rsidRPr="001B228E" w:rsidRDefault="00D40819" w:rsidP="00720ACA">
      <w:pPr>
        <w:jc w:val="right"/>
        <w:rPr>
          <w:b/>
        </w:rPr>
      </w:pPr>
      <w:r w:rsidRPr="001B228E">
        <w:rPr>
          <w:b/>
        </w:rPr>
        <w:t>CCT</w:t>
      </w:r>
      <w:r w:rsidR="00720ACA" w:rsidRPr="001B228E">
        <w:rPr>
          <w:b/>
        </w:rPr>
        <w:t xml:space="preserve"> </w:t>
      </w:r>
      <w:r w:rsidR="000812DB">
        <w:rPr>
          <w:b/>
        </w:rPr>
        <w:t>233</w:t>
      </w:r>
      <w:r w:rsidR="007F7F5C">
        <w:rPr>
          <w:b/>
        </w:rPr>
        <w:t>/20</w:t>
      </w:r>
    </w:p>
    <w:p w14:paraId="528FB682" w14:textId="77777777" w:rsidR="00D40819" w:rsidRPr="001B228E" w:rsidRDefault="00D40819" w:rsidP="00720ACA">
      <w:pPr>
        <w:jc w:val="right"/>
        <w:rPr>
          <w:b/>
        </w:rPr>
      </w:pPr>
    </w:p>
    <w:p w14:paraId="6E5967D3" w14:textId="77777777" w:rsidR="00E07942" w:rsidRPr="001B228E" w:rsidRDefault="00E07942" w:rsidP="00720ACA">
      <w:pPr>
        <w:jc w:val="right"/>
        <w:rPr>
          <w:b/>
        </w:rPr>
      </w:pPr>
      <w:r w:rsidRPr="001B228E">
        <w:rPr>
          <w:b/>
        </w:rPr>
        <w:t xml:space="preserve">Date of hearing: </w:t>
      </w:r>
      <w:r w:rsidR="000812DB">
        <w:rPr>
          <w:b/>
        </w:rPr>
        <w:t>6</w:t>
      </w:r>
      <w:r w:rsidR="004358E5" w:rsidRPr="001B228E">
        <w:rPr>
          <w:b/>
        </w:rPr>
        <w:t xml:space="preserve"> </w:t>
      </w:r>
      <w:r w:rsidR="000812DB">
        <w:rPr>
          <w:b/>
        </w:rPr>
        <w:t>May</w:t>
      </w:r>
      <w:r w:rsidR="00DF2C1F" w:rsidRPr="001B228E">
        <w:rPr>
          <w:b/>
        </w:rPr>
        <w:t xml:space="preserve"> </w:t>
      </w:r>
      <w:r w:rsidR="008376A5" w:rsidRPr="001B228E">
        <w:rPr>
          <w:b/>
        </w:rPr>
        <w:t>20</w:t>
      </w:r>
      <w:r w:rsidR="00DF2C1F" w:rsidRPr="001B228E">
        <w:rPr>
          <w:b/>
        </w:rPr>
        <w:t>2</w:t>
      </w:r>
      <w:r w:rsidR="000812DB">
        <w:rPr>
          <w:b/>
        </w:rPr>
        <w:t>1</w:t>
      </w:r>
    </w:p>
    <w:p w14:paraId="76F0F83E" w14:textId="77777777" w:rsidR="00823B02" w:rsidRPr="001B228E" w:rsidRDefault="00823B02" w:rsidP="00AE4640"/>
    <w:p w14:paraId="157066A0" w14:textId="77777777" w:rsidR="001E5F5A" w:rsidRPr="001B228E" w:rsidRDefault="00526226" w:rsidP="00AE4640">
      <w:r w:rsidRPr="001B228E">
        <w:t>________________________________________________________________________</w:t>
      </w:r>
    </w:p>
    <w:p w14:paraId="141DC498" w14:textId="77777777" w:rsidR="00526226" w:rsidRPr="001B228E" w:rsidRDefault="00526226" w:rsidP="00526226">
      <w:pPr>
        <w:jc w:val="center"/>
        <w:rPr>
          <w:b/>
        </w:rPr>
      </w:pPr>
    </w:p>
    <w:p w14:paraId="550BC519" w14:textId="77777777" w:rsidR="00526226" w:rsidRPr="001B228E" w:rsidRDefault="001E5F5A" w:rsidP="00526226">
      <w:pPr>
        <w:jc w:val="center"/>
        <w:rPr>
          <w:b/>
        </w:rPr>
      </w:pPr>
      <w:r w:rsidRPr="001B228E">
        <w:rPr>
          <w:b/>
        </w:rPr>
        <w:t>MEDIA SUMMARY</w:t>
      </w:r>
    </w:p>
    <w:p w14:paraId="3F952DAB" w14:textId="77777777" w:rsidR="00526226" w:rsidRPr="00445910" w:rsidRDefault="00526226" w:rsidP="00526226">
      <w:pPr>
        <w:jc w:val="center"/>
      </w:pPr>
      <w:r w:rsidRPr="00445910">
        <w:t>________________________________________________________________________</w:t>
      </w:r>
    </w:p>
    <w:p w14:paraId="5905CDF0" w14:textId="77777777" w:rsidR="001E5F5A" w:rsidRPr="00445910" w:rsidRDefault="001E5F5A" w:rsidP="008B532D">
      <w:pPr>
        <w:spacing w:line="360" w:lineRule="auto"/>
        <w:jc w:val="left"/>
      </w:pPr>
    </w:p>
    <w:p w14:paraId="4EBA61B4" w14:textId="77777777" w:rsidR="001E5F5A" w:rsidRPr="001B228E" w:rsidRDefault="001E5F5A" w:rsidP="006474CE">
      <w:pPr>
        <w:rPr>
          <w:i/>
        </w:rPr>
      </w:pPr>
      <w:r w:rsidRPr="001B228E">
        <w:rPr>
          <w:i/>
        </w:rPr>
        <w:t xml:space="preserve">The following </w:t>
      </w:r>
      <w:r w:rsidR="008C3682" w:rsidRPr="001B228E">
        <w:rPr>
          <w:i/>
        </w:rPr>
        <w:t xml:space="preserve">explanatory note </w:t>
      </w:r>
      <w:r w:rsidRPr="001B228E">
        <w:rPr>
          <w:i/>
        </w:rPr>
        <w:t>is provided to assist the media in reporting this case and is not binding on the Constitutional Court or any member of the Court.</w:t>
      </w:r>
    </w:p>
    <w:p w14:paraId="5F431759" w14:textId="77777777" w:rsidR="00AB06B4" w:rsidRPr="001B228E" w:rsidRDefault="00AB06B4" w:rsidP="00DE5133"/>
    <w:p w14:paraId="2BE38CD2" w14:textId="6FD7FAF4" w:rsidR="00955231" w:rsidRPr="000542E9" w:rsidRDefault="006474CE" w:rsidP="00DE5133">
      <w:r w:rsidRPr="001B228E">
        <w:t xml:space="preserve">On </w:t>
      </w:r>
      <w:r w:rsidR="000812DB">
        <w:t>Thurs</w:t>
      </w:r>
      <w:r w:rsidR="001E5236">
        <w:t>day</w:t>
      </w:r>
      <w:r w:rsidR="006F1942">
        <w:t>,</w:t>
      </w:r>
      <w:r w:rsidR="001E5236">
        <w:t xml:space="preserve"> </w:t>
      </w:r>
      <w:r w:rsidR="000812DB">
        <w:t>6</w:t>
      </w:r>
      <w:r w:rsidR="005F66A5" w:rsidRPr="001B228E">
        <w:t xml:space="preserve"> </w:t>
      </w:r>
      <w:r w:rsidR="000812DB">
        <w:t>May 2021</w:t>
      </w:r>
      <w:r w:rsidR="008376A5" w:rsidRPr="001B228E">
        <w:t xml:space="preserve"> </w:t>
      </w:r>
      <w:r w:rsidR="00AC799A" w:rsidRPr="001B228E">
        <w:t xml:space="preserve">at </w:t>
      </w:r>
      <w:r w:rsidR="0007028D" w:rsidRPr="001B228E">
        <w:t>10</w:t>
      </w:r>
      <w:r w:rsidR="00AC799A" w:rsidRPr="001B228E">
        <w:t>h00</w:t>
      </w:r>
      <w:r w:rsidR="00023AEF" w:rsidRPr="001B228E">
        <w:t>,</w:t>
      </w:r>
      <w:r w:rsidR="00AC799A" w:rsidRPr="001B228E">
        <w:t xml:space="preserve"> </w:t>
      </w:r>
      <w:r w:rsidR="000D35AE" w:rsidRPr="001B228E">
        <w:t xml:space="preserve">the </w:t>
      </w:r>
      <w:r w:rsidR="008C3682" w:rsidRPr="001B228E">
        <w:t xml:space="preserve">Constitutional Court </w:t>
      </w:r>
      <w:r w:rsidR="000D35AE" w:rsidRPr="001B228E">
        <w:t xml:space="preserve">will hear </w:t>
      </w:r>
      <w:r w:rsidR="008376A5" w:rsidRPr="001B228E">
        <w:t xml:space="preserve">an </w:t>
      </w:r>
      <w:r w:rsidR="003320EC" w:rsidRPr="003320EC">
        <w:t xml:space="preserve">application for leave to appeal </w:t>
      </w:r>
      <w:r w:rsidR="000812DB" w:rsidRPr="000812DB">
        <w:t xml:space="preserve">against the whole judgement and order of the </w:t>
      </w:r>
      <w:r w:rsidR="000812DB">
        <w:t>Labour Court.  The Labou</w:t>
      </w:r>
      <w:r w:rsidR="007C3735">
        <w:t>r </w:t>
      </w:r>
      <w:r w:rsidR="000812DB">
        <w:t>Court</w:t>
      </w:r>
      <w:r w:rsidR="007C3735">
        <w:t xml:space="preserve"> </w:t>
      </w:r>
      <w:r w:rsidR="00F704D3">
        <w:t>found</w:t>
      </w:r>
      <w:r w:rsidR="000812DB">
        <w:t xml:space="preserve"> a number </w:t>
      </w:r>
      <w:r w:rsidR="000812DB" w:rsidRPr="000812DB">
        <w:t>of intended secondary strikes</w:t>
      </w:r>
      <w:r w:rsidR="00F704D3">
        <w:t xml:space="preserve"> by members of the first applicant</w:t>
      </w:r>
      <w:r w:rsidR="007C3735">
        <w:t xml:space="preserve"> (AMCU)</w:t>
      </w:r>
      <w:r w:rsidR="000812DB" w:rsidRPr="000812DB">
        <w:t xml:space="preserve">, in support of a primary strike at Sibanye Gold Limited </w:t>
      </w:r>
      <w:r w:rsidR="00F704D3">
        <w:t xml:space="preserve">(Sibanye), </w:t>
      </w:r>
      <w:r w:rsidR="000812DB" w:rsidRPr="000812DB">
        <w:t>to be unprotected.</w:t>
      </w:r>
      <w:r w:rsidR="003320EC" w:rsidRPr="003320EC">
        <w:t xml:space="preserve">  </w:t>
      </w:r>
      <w:r w:rsidR="007D742B">
        <w:t>This</w:t>
      </w:r>
      <w:r w:rsidR="007C3735">
        <w:t xml:space="preserve"> </w:t>
      </w:r>
      <w:r w:rsidR="007D742B">
        <w:t xml:space="preserve">decision was appealed before the </w:t>
      </w:r>
      <w:r w:rsidR="007C3735">
        <w:t>Labour Appeal Court</w:t>
      </w:r>
      <w:r w:rsidR="007D742B">
        <w:t xml:space="preserve"> which dismissed the application</w:t>
      </w:r>
      <w:r w:rsidR="00F91E9E">
        <w:t>, holding instead that the matter was</w:t>
      </w:r>
      <w:r w:rsidR="007D742B">
        <w:t xml:space="preserve"> moot.  </w:t>
      </w:r>
      <w:r w:rsidR="00F704D3" w:rsidRPr="00F704D3">
        <w:t>While the dispute is no longer live and the</w:t>
      </w:r>
      <w:r w:rsidR="009215E5">
        <w:t xml:space="preserve"> </w:t>
      </w:r>
      <w:r w:rsidR="00F704D3" w:rsidRPr="00F704D3">
        <w:t>primary strike ha</w:t>
      </w:r>
      <w:r w:rsidR="006322C6">
        <w:t>s</w:t>
      </w:r>
      <w:r w:rsidR="00F704D3" w:rsidRPr="00F704D3">
        <w:t xml:space="preserve"> </w:t>
      </w:r>
      <w:r w:rsidR="00F7794D">
        <w:t>ceased</w:t>
      </w:r>
      <w:r w:rsidR="00F704D3" w:rsidRPr="00F704D3">
        <w:t>, t</w:t>
      </w:r>
      <w:r w:rsidR="00F704D3">
        <w:t xml:space="preserve">his matter comes before </w:t>
      </w:r>
      <w:r w:rsidR="009215E5">
        <w:t xml:space="preserve">this </w:t>
      </w:r>
      <w:r w:rsidR="00F704D3">
        <w:t>Court a</w:t>
      </w:r>
      <w:r w:rsidR="00F91E9E">
        <w:t>s a</w:t>
      </w:r>
      <w:r w:rsidR="00F704D3">
        <w:t xml:space="preserve"> dispute regarding</w:t>
      </w:r>
      <w:r w:rsidR="00F704D3" w:rsidRPr="00F704D3">
        <w:t xml:space="preserve"> </w:t>
      </w:r>
      <w:r w:rsidR="00F91E9E">
        <w:t>the</w:t>
      </w:r>
      <w:r w:rsidR="006322C6">
        <w:t xml:space="preserve"> proper</w:t>
      </w:r>
      <w:r w:rsidR="00F91E9E">
        <w:t xml:space="preserve"> interpretation </w:t>
      </w:r>
      <w:r w:rsidR="00F91E9E">
        <w:t xml:space="preserve">of </w:t>
      </w:r>
      <w:r w:rsidR="00F704D3" w:rsidRPr="00F704D3">
        <w:t>section 66(2</w:t>
      </w:r>
      <w:proofErr w:type="gramStart"/>
      <w:r w:rsidR="00F704D3" w:rsidRPr="00F704D3">
        <w:t>)(</w:t>
      </w:r>
      <w:proofErr w:type="gramEnd"/>
      <w:r w:rsidR="00F704D3" w:rsidRPr="00F704D3">
        <w:t>c) of the Labour Relations Act</w:t>
      </w:r>
      <w:r w:rsidR="006322C6">
        <w:t xml:space="preserve"> 66 of 1995</w:t>
      </w:r>
      <w:bookmarkStart w:id="0" w:name="_GoBack"/>
      <w:bookmarkEnd w:id="0"/>
      <w:r w:rsidR="00F704D3" w:rsidRPr="00F704D3">
        <w:t xml:space="preserve"> (LRA)</w:t>
      </w:r>
      <w:r w:rsidR="003320EC">
        <w:t>.</w:t>
      </w:r>
    </w:p>
    <w:p w14:paraId="539E25CF" w14:textId="77777777" w:rsidR="008D2F22" w:rsidRDefault="008D2F22" w:rsidP="00DE5133"/>
    <w:p w14:paraId="751D6803" w14:textId="2E4C641B" w:rsidR="003320EC" w:rsidRPr="003320EC" w:rsidRDefault="00F704D3" w:rsidP="003320EC">
      <w:r>
        <w:t xml:space="preserve">On 21 November 2018, </w:t>
      </w:r>
      <w:r w:rsidR="007C3735">
        <w:t xml:space="preserve">AMCU commenced a wage strike against </w:t>
      </w:r>
      <w:proofErr w:type="spellStart"/>
      <w:r w:rsidR="007C3735">
        <w:t>Sibyane</w:t>
      </w:r>
      <w:proofErr w:type="spellEnd"/>
      <w:r w:rsidR="007C3735">
        <w:t xml:space="preserve"> which persisted for </w:t>
      </w:r>
      <w:r w:rsidR="007D742B">
        <w:t xml:space="preserve">a number of </w:t>
      </w:r>
      <w:r w:rsidR="007C3735">
        <w:t xml:space="preserve">months (primary strike).  </w:t>
      </w:r>
      <w:r w:rsidR="007C3735" w:rsidRPr="007C3735">
        <w:t>On 20</w:t>
      </w:r>
      <w:r w:rsidR="007C3735">
        <w:t xml:space="preserve"> and 21</w:t>
      </w:r>
      <w:r w:rsidR="007C3735" w:rsidRPr="007C3735">
        <w:t xml:space="preserve"> February 2019, with the primary strike ongoing, </w:t>
      </w:r>
      <w:r w:rsidR="007C3735">
        <w:t xml:space="preserve">AMCU </w:t>
      </w:r>
      <w:r w:rsidR="007C3735" w:rsidRPr="007C3735">
        <w:t>served its notice of a secondary strike on the respondents</w:t>
      </w:r>
      <w:r w:rsidR="007C3735">
        <w:t xml:space="preserve">, which are mining </w:t>
      </w:r>
      <w:r w:rsidR="007C3735">
        <w:t>companies</w:t>
      </w:r>
      <w:r w:rsidR="006322C6">
        <w:t xml:space="preserve"> operating</w:t>
      </w:r>
      <w:r w:rsidR="007C3735">
        <w:t xml:space="preserve"> in </w:t>
      </w:r>
      <w:r w:rsidR="007C3735">
        <w:t xml:space="preserve">different </w:t>
      </w:r>
      <w:r w:rsidR="00F7794D">
        <w:t xml:space="preserve">mineral </w:t>
      </w:r>
      <w:r w:rsidR="007C3735">
        <w:t>sectors</w:t>
      </w:r>
      <w:r w:rsidR="007C3735" w:rsidRPr="007C3735">
        <w:t xml:space="preserve">.  The notice provided for the secondary strike to commence on the </w:t>
      </w:r>
      <w:r w:rsidR="007C3735" w:rsidRPr="007C3735">
        <w:t>night</w:t>
      </w:r>
      <w:r w:rsidR="009215E5">
        <w:t xml:space="preserve"> </w:t>
      </w:r>
      <w:r w:rsidR="007C3735" w:rsidRPr="007C3735">
        <w:t xml:space="preserve">shift </w:t>
      </w:r>
      <w:r w:rsidR="007C3735" w:rsidRPr="007C3735">
        <w:t>of 28 February 2019</w:t>
      </w:r>
      <w:r w:rsidR="00BB534D">
        <w:t>,</w:t>
      </w:r>
      <w:r w:rsidR="007C3735" w:rsidRPr="007C3735">
        <w:t xml:space="preserve"> and to continue during all other shifts until 7 March 2019.  It would involve all AMCU members employed by the respondents.</w:t>
      </w:r>
      <w:r w:rsidR="007C3735">
        <w:t xml:space="preserve"> </w:t>
      </w:r>
    </w:p>
    <w:p w14:paraId="042C37ED" w14:textId="77777777" w:rsidR="003320EC" w:rsidRPr="003320EC" w:rsidRDefault="003320EC" w:rsidP="003320EC"/>
    <w:p w14:paraId="2F6A23E4" w14:textId="1A75DBAC" w:rsidR="0043615B" w:rsidRDefault="007C3735" w:rsidP="00BF6296">
      <w:r w:rsidRPr="007C3735">
        <w:t xml:space="preserve">Objecting to the anticipated secondary strike, the respondents </w:t>
      </w:r>
      <w:r>
        <w:t>launched separate urgent applications before the Labour Co</w:t>
      </w:r>
      <w:r w:rsidRPr="007C3735">
        <w:t>urt in terms of section 66(3) of the LRA.  The Labour Court consolidated the applications in the gold sector, and the applications in the platinum sector, with the respective sectors being heard separately but ruled on collectively.</w:t>
      </w:r>
      <w:r w:rsidR="007D742B">
        <w:t xml:space="preserve">  </w:t>
      </w:r>
      <w:r w:rsidR="004312B4">
        <w:t xml:space="preserve">All of the respondents argued that the secondary strike would have no direct </w:t>
      </w:r>
      <w:r w:rsidR="004312B4">
        <w:lastRenderedPageBreak/>
        <w:t xml:space="preserve">or indirect impact on the business of the primary employer, Sibanye.  Instead they, as the secondary employers, with no power to influence </w:t>
      </w:r>
      <w:proofErr w:type="spellStart"/>
      <w:r w:rsidR="004312B4">
        <w:t>Sibyane’s</w:t>
      </w:r>
      <w:proofErr w:type="spellEnd"/>
      <w:r w:rsidR="004312B4">
        <w:t xml:space="preserve"> decision to accede to AMCU’s demands, would suffer significant financial harm.  </w:t>
      </w:r>
      <w:r w:rsidR="009F39D7">
        <w:t xml:space="preserve">Thus the secondary strikes could not be considered to be reasonable.  </w:t>
      </w:r>
      <w:r w:rsidR="004312B4">
        <w:t>AMCU</w:t>
      </w:r>
      <w:r w:rsidR="009F39D7">
        <w:t xml:space="preserve">, on the other hand, argued that the secondary strikes were reasonable because the respondents and </w:t>
      </w:r>
      <w:proofErr w:type="spellStart"/>
      <w:r w:rsidR="009F39D7">
        <w:t>Sibyane</w:t>
      </w:r>
      <w:proofErr w:type="spellEnd"/>
      <w:r w:rsidR="009F39D7">
        <w:t xml:space="preserve"> were all members of the Minerals Council and therefore </w:t>
      </w:r>
      <w:r w:rsidR="0043615B">
        <w:t xml:space="preserve">had the ability to </w:t>
      </w:r>
      <w:r w:rsidR="00752DA2">
        <w:t xml:space="preserve">place </w:t>
      </w:r>
      <w:r w:rsidR="0043615B">
        <w:t xml:space="preserve">pressure </w:t>
      </w:r>
      <w:r w:rsidR="00752DA2">
        <w:t xml:space="preserve">on </w:t>
      </w:r>
      <w:r w:rsidR="009F39D7">
        <w:t>fellow member</w:t>
      </w:r>
      <w:r w:rsidR="0043615B">
        <w:t>s</w:t>
      </w:r>
      <w:r w:rsidR="009F39D7">
        <w:t xml:space="preserve"> in the collective bargaining process.</w:t>
      </w:r>
      <w:r w:rsidR="0043615B">
        <w:t xml:space="preserve">  The respondents refuted that claim on the basis that membership wa</w:t>
      </w:r>
      <w:r w:rsidR="00396855">
        <w:t>s voluntary and that they</w:t>
      </w:r>
      <w:r w:rsidR="0043615B">
        <w:t xml:space="preserve"> conclude</w:t>
      </w:r>
      <w:r w:rsidR="00396855">
        <w:t>d</w:t>
      </w:r>
      <w:r w:rsidR="0043615B">
        <w:t xml:space="preserve"> separate wage agreements to one another.</w:t>
      </w:r>
      <w:r w:rsidR="009F39D7">
        <w:t xml:space="preserve"> </w:t>
      </w:r>
    </w:p>
    <w:p w14:paraId="15EF9C6D" w14:textId="77777777" w:rsidR="0043615B" w:rsidRDefault="0043615B" w:rsidP="00BF6296"/>
    <w:p w14:paraId="2450B6B9" w14:textId="77777777" w:rsidR="008D47E4" w:rsidRDefault="009F39D7" w:rsidP="00BF6296">
      <w:r w:rsidRPr="009F39D7">
        <w:t xml:space="preserve">The Labour Court accepted that the procedural requirements </w:t>
      </w:r>
      <w:r w:rsidR="0043615B">
        <w:t xml:space="preserve">in section 66(2)(a) and (b) of the LRA </w:t>
      </w:r>
      <w:r w:rsidRPr="009F39D7">
        <w:t>had been fulfilled</w:t>
      </w:r>
      <w:r w:rsidR="0043615B">
        <w:t>.</w:t>
      </w:r>
      <w:r w:rsidRPr="009F39D7">
        <w:t xml:space="preserve"> </w:t>
      </w:r>
      <w:r w:rsidR="00740B17">
        <w:t xml:space="preserve"> </w:t>
      </w:r>
      <w:r w:rsidR="0043615B">
        <w:t>T</w:t>
      </w:r>
      <w:r w:rsidRPr="009F39D7">
        <w:t xml:space="preserve">he application to declare the strike unprotected </w:t>
      </w:r>
      <w:r w:rsidR="0043615B">
        <w:t xml:space="preserve">therefore </w:t>
      </w:r>
      <w:r w:rsidRPr="009F39D7">
        <w:t>turned on the requirement of reasonableness</w:t>
      </w:r>
      <w:r w:rsidR="0043615B">
        <w:t xml:space="preserve"> in section 66(2)(c) of the LRA</w:t>
      </w:r>
      <w:r w:rsidRPr="009F39D7">
        <w:t>.</w:t>
      </w:r>
      <w:r w:rsidR="0043615B">
        <w:t xml:space="preserve">  The Labour Court</w:t>
      </w:r>
      <w:r w:rsidR="00E4175B">
        <w:t xml:space="preserve"> </w:t>
      </w:r>
      <w:r w:rsidR="0043615B">
        <w:t xml:space="preserve">held that </w:t>
      </w:r>
      <w:r w:rsidR="0043615B" w:rsidRPr="0043615B">
        <w:t>t</w:t>
      </w:r>
      <w:r w:rsidR="0043615B">
        <w:t>he test for reasonableness</w:t>
      </w:r>
      <w:r w:rsidR="0043615B" w:rsidRPr="0043615B">
        <w:t xml:space="preserve"> was ultimately a proportionality assessment to determine whether the harm caused by the secondary strike to the secondary employer was proportional to the impact on the busi</w:t>
      </w:r>
      <w:r w:rsidR="0043615B">
        <w:t>ness of the primary employer.  In this case, the Labour Court</w:t>
      </w:r>
      <w:r w:rsidR="00383A32">
        <w:t xml:space="preserve">, citing </w:t>
      </w:r>
      <w:r w:rsidR="00383A32" w:rsidRPr="00E4175B">
        <w:rPr>
          <w:i/>
        </w:rPr>
        <w:t>SALGA v SAMWU</w:t>
      </w:r>
      <w:r w:rsidR="00383A32" w:rsidRPr="00E4175B">
        <w:t xml:space="preserve"> </w:t>
      </w:r>
      <w:r w:rsidR="00383A32">
        <w:t xml:space="preserve">[2007] JOL 20251 </w:t>
      </w:r>
      <w:r w:rsidR="00383A32" w:rsidRPr="00E4175B">
        <w:t>(LC)</w:t>
      </w:r>
      <w:r w:rsidR="00383A32">
        <w:t xml:space="preserve"> and</w:t>
      </w:r>
      <w:r w:rsidR="00383A32" w:rsidRPr="00E4175B">
        <w:t xml:space="preserve"> </w:t>
      </w:r>
      <w:r w:rsidR="00383A32" w:rsidRPr="00E4175B">
        <w:rPr>
          <w:i/>
        </w:rPr>
        <w:t>SALGA v SAMWU</w:t>
      </w:r>
      <w:r w:rsidR="00383A32" w:rsidRPr="00E4175B">
        <w:t xml:space="preserve"> </w:t>
      </w:r>
      <w:r w:rsidR="00383A32">
        <w:t>[2011]</w:t>
      </w:r>
      <w:r w:rsidR="00383A32" w:rsidRPr="00E4175B">
        <w:t xml:space="preserve"> </w:t>
      </w:r>
      <w:r w:rsidR="00383A32">
        <w:t>JOL 27055</w:t>
      </w:r>
      <w:r w:rsidR="00383A32" w:rsidRPr="00E4175B">
        <w:t xml:space="preserve"> (LAC)</w:t>
      </w:r>
      <w:r w:rsidR="00383A32">
        <w:t>,</w:t>
      </w:r>
      <w:r w:rsidR="0043615B">
        <w:t xml:space="preserve"> held that the harm was not proportional and declared all of the secondary strikes unprotected.</w:t>
      </w:r>
    </w:p>
    <w:p w14:paraId="477EA8BB" w14:textId="77777777" w:rsidR="007C3735" w:rsidRDefault="007C3735" w:rsidP="00BF6296"/>
    <w:p w14:paraId="611BD962" w14:textId="18FE23C3" w:rsidR="00187DF2" w:rsidRDefault="0043615B" w:rsidP="004E211F">
      <w:r>
        <w:t>Aggrieved, AMCU approached the Labour Appeal Court</w:t>
      </w:r>
      <w:r w:rsidR="004E211F" w:rsidRPr="004E211F">
        <w:t>.</w:t>
      </w:r>
      <w:r>
        <w:t xml:space="preserve">  However, by then the primary strike had </w:t>
      </w:r>
      <w:r w:rsidR="00396855">
        <w:t>already been resolved.  Despite</w:t>
      </w:r>
      <w:r>
        <w:t xml:space="preserve"> AMCU</w:t>
      </w:r>
      <w:r w:rsidR="00396855">
        <w:t xml:space="preserve">’s argument that </w:t>
      </w:r>
      <w:r>
        <w:t>exceptional circumstances</w:t>
      </w:r>
      <w:r w:rsidR="00396855">
        <w:t xml:space="preserve"> existed for the</w:t>
      </w:r>
      <w:r>
        <w:t xml:space="preserve"> hear</w:t>
      </w:r>
      <w:r w:rsidR="00396855">
        <w:t>ing of</w:t>
      </w:r>
      <w:r>
        <w:t xml:space="preserve"> the matter </w:t>
      </w:r>
      <w:r w:rsidR="00396855">
        <w:t xml:space="preserve">based </w:t>
      </w:r>
      <w:r>
        <w:t>on a significant point of law, being the interpretation of section 66(2)(c) of the LRA,</w:t>
      </w:r>
      <w:r w:rsidR="00396855">
        <w:t xml:space="preserve"> the Labour Appeal Court held that t</w:t>
      </w:r>
      <w:r w:rsidR="00740B17">
        <w:t>he interpretation was already settled in</w:t>
      </w:r>
      <w:r w:rsidR="00396855">
        <w:t xml:space="preserve"> law, and </w:t>
      </w:r>
      <w:r w:rsidR="00740B17">
        <w:t xml:space="preserve">proceeded to </w:t>
      </w:r>
      <w:r w:rsidR="00396855">
        <w:t xml:space="preserve">dismiss the appeal </w:t>
      </w:r>
      <w:r w:rsidR="00F91E9E">
        <w:t>on account of its</w:t>
      </w:r>
      <w:r w:rsidR="00396855">
        <w:t xml:space="preserve"> mootness. </w:t>
      </w:r>
      <w:r w:rsidR="004E211F" w:rsidRPr="004E211F">
        <w:t xml:space="preserve">  </w:t>
      </w:r>
    </w:p>
    <w:p w14:paraId="046F8170" w14:textId="77777777" w:rsidR="00187DF2" w:rsidRDefault="00187DF2" w:rsidP="004E211F"/>
    <w:p w14:paraId="44C54A54" w14:textId="43A932FB" w:rsidR="00396855" w:rsidRPr="00517586" w:rsidRDefault="00396855" w:rsidP="004E211F">
      <w:r>
        <w:t xml:space="preserve">Before the Constitutional Court, AMCU submits that </w:t>
      </w:r>
      <w:r w:rsidR="00517586">
        <w:t>mootness is not an absolute bar to the hearing of this matter.  The core of AMCU’s submissions is that the interpretation of section 66(2)(c) of the LRA</w:t>
      </w:r>
      <w:r w:rsidR="00BB534D">
        <w:t xml:space="preserve"> by the Labour Courts</w:t>
      </w:r>
      <w:r w:rsidR="00517586">
        <w:t>, which imputes a proportionality assessment that takes into account the harm suffered by secondary employers, does not accord with th</w:t>
      </w:r>
      <w:r w:rsidR="00BB534D">
        <w:t>e language of the provision.  AMCU</w:t>
      </w:r>
      <w:r w:rsidR="00517586">
        <w:t xml:space="preserve"> promotes the interpretation applied in </w:t>
      </w:r>
      <w:r w:rsidR="00517586" w:rsidRPr="00517586">
        <w:rPr>
          <w:i/>
        </w:rPr>
        <w:t>Billiton Aluminium SA Ltd v National Union of Metalworkers of SA</w:t>
      </w:r>
      <w:r w:rsidR="00517586">
        <w:t xml:space="preserve"> (2001) 22 ILJ 2434 (LC) and </w:t>
      </w:r>
      <w:proofErr w:type="spellStart"/>
      <w:r w:rsidR="00517586" w:rsidRPr="00517586">
        <w:rPr>
          <w:i/>
        </w:rPr>
        <w:t>Hextex</w:t>
      </w:r>
      <w:proofErr w:type="spellEnd"/>
      <w:r w:rsidR="00517586" w:rsidRPr="00517586">
        <w:rPr>
          <w:i/>
        </w:rPr>
        <w:t xml:space="preserve"> v SA Clothing and Textile Workers Union </w:t>
      </w:r>
      <w:r w:rsidR="00517586" w:rsidRPr="00517586">
        <w:t>(2002) 23 ILJ 2267 (LC)</w:t>
      </w:r>
      <w:r w:rsidR="00F7794D">
        <w:t>, which does not consider the harm to the secondary employer</w:t>
      </w:r>
      <w:r w:rsidR="00517586">
        <w:t>.</w:t>
      </w:r>
      <w:r w:rsidR="00E4175B">
        <w:t xml:space="preserve">  The second respondent, in essence, submits that to </w:t>
      </w:r>
      <w:r w:rsidR="00F7794D">
        <w:t>exclude</w:t>
      </w:r>
      <w:r w:rsidR="00E4175B">
        <w:t xml:space="preserve"> </w:t>
      </w:r>
      <w:r w:rsidR="00E4175B">
        <w:t>the proportionality assessment would ignore the distinction created by the LRA between a primary and secondary strike.</w:t>
      </w:r>
      <w:r w:rsidR="00383A32">
        <w:t xml:space="preserve">  The third, fourth, sixth, seventh, eighth and tenth respondents submit that AMCU’s interpretation would deprive the secondary employer, an innocent bystander, of the protections </w:t>
      </w:r>
      <w:r w:rsidR="00740B17">
        <w:t>accorded</w:t>
      </w:r>
      <w:r w:rsidR="00BB534D">
        <w:t xml:space="preserve"> to it</w:t>
      </w:r>
      <w:r w:rsidR="00383A32">
        <w:t xml:space="preserve"> by the LRA.  They also argue that AMCU appealed against the incorrect judgement – that </w:t>
      </w:r>
      <w:r w:rsidR="00BB534D">
        <w:t>the appeal</w:t>
      </w:r>
      <w:r w:rsidR="00383A32">
        <w:t xml:space="preserve"> should have been against the Labour Appeal Court’s decision – and that </w:t>
      </w:r>
      <w:r w:rsidR="00383A32">
        <w:t xml:space="preserve">otherwise the </w:t>
      </w:r>
      <w:r w:rsidR="00BB534D">
        <w:t xml:space="preserve">current </w:t>
      </w:r>
      <w:r w:rsidR="00383A32">
        <w:t xml:space="preserve">appeal against the Labour Court’s decision </w:t>
      </w:r>
      <w:r w:rsidR="00BB534D">
        <w:t>is</w:t>
      </w:r>
      <w:r w:rsidR="00383A32">
        <w:t xml:space="preserve"> in any event o</w:t>
      </w:r>
      <w:r w:rsidR="00383A32">
        <w:t>ut of time.</w:t>
      </w:r>
    </w:p>
    <w:sectPr w:rsidR="00396855" w:rsidRPr="00517586" w:rsidSect="00883D6C">
      <w:pgSz w:w="12240" w:h="15840"/>
      <w:pgMar w:top="1440" w:right="1800" w:bottom="1440" w:left="180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21B352CA" w15:done="0"/>
  <w15:commentEx w15:paraId="18600F38" w15:done="0"/>
  <w15:commentEx w15:paraId="6B4BF29B" w15:done="0"/>
  <w15:commentEx w15:paraId="403A951D" w15:done="0"/>
  <w15:commentEx w15:paraId="574ADD00" w15:done="0"/>
  <w15:commentEx w15:paraId="0F39FEA5" w15:done="0"/>
  <w15:commentEx w15:paraId="59025C23" w15:done="0"/>
  <w15:commentEx w15:paraId="2C85426A"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3AF30A" w16cex:dateUtc="2021-05-03T20:09:00Z"/>
  <w16cex:commentExtensible w16cex:durableId="243AF067" w16cex:dateUtc="2021-05-03T19:57:00Z"/>
  <w16cex:commentExtensible w16cex:durableId="243AF481" w16cex:dateUtc="2021-05-03T20:15:00Z"/>
  <w16cex:commentExtensible w16cex:durableId="243AF076" w16cex:dateUtc="2021-05-03T19:58:00Z"/>
  <w16cex:commentExtensible w16cex:durableId="243AF52D" w16cex:dateUtc="2021-05-03T20:18:00Z"/>
  <w16cex:commentExtensible w16cex:durableId="243AF0CD" w16cex:dateUtc="2021-05-03T19:59:00Z"/>
  <w16cex:commentExtensible w16cex:durableId="243AF847" w16cex:dateUtc="2021-05-03T20:31:00Z"/>
  <w16cex:commentExtensible w16cex:durableId="243AF89E" w16cex:dateUtc="2021-05-03T20:3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1B352CA" w16cid:durableId="243AF30A"/>
  <w16cid:commentId w16cid:paraId="18600F38" w16cid:durableId="243AF067"/>
  <w16cid:commentId w16cid:paraId="6B4BF29B" w16cid:durableId="243AF481"/>
  <w16cid:commentId w16cid:paraId="403A951D" w16cid:durableId="243AF076"/>
  <w16cid:commentId w16cid:paraId="574ADD00" w16cid:durableId="243AF52D"/>
  <w16cid:commentId w16cid:paraId="0F39FEA5" w16cid:durableId="243AF0CD"/>
  <w16cid:commentId w16cid:paraId="59025C23" w16cid:durableId="243AF847"/>
  <w16cid:commentId w16cid:paraId="2C85426A" w16cid:durableId="243AF89E"/>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2A4204" w14:textId="77777777" w:rsidR="00B653A8" w:rsidRDefault="00B653A8" w:rsidP="004A5089">
      <w:r>
        <w:separator/>
      </w:r>
    </w:p>
  </w:endnote>
  <w:endnote w:type="continuationSeparator" w:id="0">
    <w:p w14:paraId="3F20F68C" w14:textId="77777777" w:rsidR="00B653A8" w:rsidRDefault="00B653A8"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8CF5ED" w14:textId="77777777" w:rsidR="00B653A8" w:rsidRDefault="00B653A8" w:rsidP="004A5089">
      <w:r>
        <w:separator/>
      </w:r>
    </w:p>
  </w:footnote>
  <w:footnote w:type="continuationSeparator" w:id="0">
    <w:p w14:paraId="24FE7BCB" w14:textId="77777777" w:rsidR="00B653A8" w:rsidRDefault="00B653A8" w:rsidP="004A508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0F1212A"/>
    <w:multiLevelType w:val="hybridMultilevel"/>
    <w:tmpl w:val="527AA4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2"/>
  </w:num>
  <w:num w:numId="2">
    <w:abstractNumId w:val="0"/>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Natasha Dusabe">
    <w15:presenceInfo w15:providerId="Windows Live" w15:userId="712f51a2f9d88e4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5F5A"/>
    <w:rsid w:val="00001A3B"/>
    <w:rsid w:val="0000487F"/>
    <w:rsid w:val="00017302"/>
    <w:rsid w:val="00023AEF"/>
    <w:rsid w:val="00023FA7"/>
    <w:rsid w:val="0003383F"/>
    <w:rsid w:val="000403F2"/>
    <w:rsid w:val="00044771"/>
    <w:rsid w:val="000542E9"/>
    <w:rsid w:val="000548D7"/>
    <w:rsid w:val="00055B29"/>
    <w:rsid w:val="000654B1"/>
    <w:rsid w:val="00067DC0"/>
    <w:rsid w:val="0007028D"/>
    <w:rsid w:val="0007029A"/>
    <w:rsid w:val="00070E99"/>
    <w:rsid w:val="00077B38"/>
    <w:rsid w:val="000806AE"/>
    <w:rsid w:val="000812DB"/>
    <w:rsid w:val="00082372"/>
    <w:rsid w:val="00090A9D"/>
    <w:rsid w:val="00091F8C"/>
    <w:rsid w:val="00093BE5"/>
    <w:rsid w:val="00093E39"/>
    <w:rsid w:val="00094557"/>
    <w:rsid w:val="00094E7C"/>
    <w:rsid w:val="000A36D1"/>
    <w:rsid w:val="000A36F3"/>
    <w:rsid w:val="000A5084"/>
    <w:rsid w:val="000B3828"/>
    <w:rsid w:val="000C55C6"/>
    <w:rsid w:val="000C74C7"/>
    <w:rsid w:val="000D09EA"/>
    <w:rsid w:val="000D13B1"/>
    <w:rsid w:val="000D35AE"/>
    <w:rsid w:val="000D6A5F"/>
    <w:rsid w:val="000E4D76"/>
    <w:rsid w:val="00100027"/>
    <w:rsid w:val="00100894"/>
    <w:rsid w:val="001028EC"/>
    <w:rsid w:val="00104D42"/>
    <w:rsid w:val="001106DD"/>
    <w:rsid w:val="00113454"/>
    <w:rsid w:val="00117D6B"/>
    <w:rsid w:val="00122E3D"/>
    <w:rsid w:val="00125BE8"/>
    <w:rsid w:val="001372A6"/>
    <w:rsid w:val="00140430"/>
    <w:rsid w:val="00143D66"/>
    <w:rsid w:val="00143FA1"/>
    <w:rsid w:val="0015307D"/>
    <w:rsid w:val="00163D85"/>
    <w:rsid w:val="00171115"/>
    <w:rsid w:val="00172A2C"/>
    <w:rsid w:val="00172AC1"/>
    <w:rsid w:val="00185D4F"/>
    <w:rsid w:val="00187DF2"/>
    <w:rsid w:val="001A2269"/>
    <w:rsid w:val="001A24C8"/>
    <w:rsid w:val="001B141E"/>
    <w:rsid w:val="001B228E"/>
    <w:rsid w:val="001C4F6D"/>
    <w:rsid w:val="001E31D8"/>
    <w:rsid w:val="001E5236"/>
    <w:rsid w:val="001E57F4"/>
    <w:rsid w:val="001E5F5A"/>
    <w:rsid w:val="001E7604"/>
    <w:rsid w:val="00200AB8"/>
    <w:rsid w:val="00203A1D"/>
    <w:rsid w:val="00205B76"/>
    <w:rsid w:val="00215823"/>
    <w:rsid w:val="00223A97"/>
    <w:rsid w:val="0023026D"/>
    <w:rsid w:val="002348C0"/>
    <w:rsid w:val="00242206"/>
    <w:rsid w:val="002435AB"/>
    <w:rsid w:val="00243F11"/>
    <w:rsid w:val="00250C27"/>
    <w:rsid w:val="00253986"/>
    <w:rsid w:val="002617B3"/>
    <w:rsid w:val="002705A8"/>
    <w:rsid w:val="0027251B"/>
    <w:rsid w:val="0027353F"/>
    <w:rsid w:val="002755AD"/>
    <w:rsid w:val="00296D02"/>
    <w:rsid w:val="002A095E"/>
    <w:rsid w:val="002A0A35"/>
    <w:rsid w:val="002C6CF8"/>
    <w:rsid w:val="002D184B"/>
    <w:rsid w:val="002D7582"/>
    <w:rsid w:val="002E16CF"/>
    <w:rsid w:val="00304532"/>
    <w:rsid w:val="00305423"/>
    <w:rsid w:val="00314919"/>
    <w:rsid w:val="0031792A"/>
    <w:rsid w:val="00322C64"/>
    <w:rsid w:val="00323149"/>
    <w:rsid w:val="003255EA"/>
    <w:rsid w:val="0032682A"/>
    <w:rsid w:val="003320EC"/>
    <w:rsid w:val="00332695"/>
    <w:rsid w:val="00334E0F"/>
    <w:rsid w:val="003430F2"/>
    <w:rsid w:val="00346B1E"/>
    <w:rsid w:val="00357788"/>
    <w:rsid w:val="00360CA5"/>
    <w:rsid w:val="00365E45"/>
    <w:rsid w:val="003705E7"/>
    <w:rsid w:val="0037720A"/>
    <w:rsid w:val="003807A5"/>
    <w:rsid w:val="00383A32"/>
    <w:rsid w:val="003845A8"/>
    <w:rsid w:val="00385062"/>
    <w:rsid w:val="003850ED"/>
    <w:rsid w:val="00386254"/>
    <w:rsid w:val="00396855"/>
    <w:rsid w:val="003B4484"/>
    <w:rsid w:val="003C13D6"/>
    <w:rsid w:val="003C2AF7"/>
    <w:rsid w:val="003C40ED"/>
    <w:rsid w:val="003C5D30"/>
    <w:rsid w:val="003D1CF1"/>
    <w:rsid w:val="003D347E"/>
    <w:rsid w:val="003D7359"/>
    <w:rsid w:val="003E3480"/>
    <w:rsid w:val="003E77B2"/>
    <w:rsid w:val="003F0347"/>
    <w:rsid w:val="003F1959"/>
    <w:rsid w:val="003F3E2F"/>
    <w:rsid w:val="004036FB"/>
    <w:rsid w:val="004065B7"/>
    <w:rsid w:val="00410075"/>
    <w:rsid w:val="00420D05"/>
    <w:rsid w:val="004302FD"/>
    <w:rsid w:val="00430C6F"/>
    <w:rsid w:val="004312B4"/>
    <w:rsid w:val="00433FFD"/>
    <w:rsid w:val="004358E5"/>
    <w:rsid w:val="0043615B"/>
    <w:rsid w:val="004426F8"/>
    <w:rsid w:val="00445910"/>
    <w:rsid w:val="00452472"/>
    <w:rsid w:val="00461215"/>
    <w:rsid w:val="00477F40"/>
    <w:rsid w:val="00484B0D"/>
    <w:rsid w:val="00490F2C"/>
    <w:rsid w:val="00493203"/>
    <w:rsid w:val="004A1AEE"/>
    <w:rsid w:val="004A4E97"/>
    <w:rsid w:val="004A5089"/>
    <w:rsid w:val="004B2879"/>
    <w:rsid w:val="004C1C26"/>
    <w:rsid w:val="004C38DE"/>
    <w:rsid w:val="004C5AD8"/>
    <w:rsid w:val="004C7EF7"/>
    <w:rsid w:val="004D0F9C"/>
    <w:rsid w:val="004D716D"/>
    <w:rsid w:val="004E15CD"/>
    <w:rsid w:val="004E211F"/>
    <w:rsid w:val="004F4959"/>
    <w:rsid w:val="005038A1"/>
    <w:rsid w:val="00517586"/>
    <w:rsid w:val="00523D54"/>
    <w:rsid w:val="00524F3A"/>
    <w:rsid w:val="005257B9"/>
    <w:rsid w:val="00526226"/>
    <w:rsid w:val="005307A5"/>
    <w:rsid w:val="00531E6B"/>
    <w:rsid w:val="0053527E"/>
    <w:rsid w:val="005546F3"/>
    <w:rsid w:val="00561A76"/>
    <w:rsid w:val="005637F1"/>
    <w:rsid w:val="00571CD9"/>
    <w:rsid w:val="00573AEA"/>
    <w:rsid w:val="005837DE"/>
    <w:rsid w:val="00587A53"/>
    <w:rsid w:val="00594B56"/>
    <w:rsid w:val="00596826"/>
    <w:rsid w:val="005A0C08"/>
    <w:rsid w:val="005A4B3C"/>
    <w:rsid w:val="005B2F2F"/>
    <w:rsid w:val="005B51EB"/>
    <w:rsid w:val="005C0BB0"/>
    <w:rsid w:val="005C4D4F"/>
    <w:rsid w:val="005D19E5"/>
    <w:rsid w:val="005D4769"/>
    <w:rsid w:val="005D4E13"/>
    <w:rsid w:val="005E255A"/>
    <w:rsid w:val="005E52AC"/>
    <w:rsid w:val="005E557D"/>
    <w:rsid w:val="005E62EB"/>
    <w:rsid w:val="005F2B5C"/>
    <w:rsid w:val="005F322E"/>
    <w:rsid w:val="005F467F"/>
    <w:rsid w:val="005F66A5"/>
    <w:rsid w:val="00605B21"/>
    <w:rsid w:val="006066A6"/>
    <w:rsid w:val="006111ED"/>
    <w:rsid w:val="00613A1A"/>
    <w:rsid w:val="00616848"/>
    <w:rsid w:val="00622A82"/>
    <w:rsid w:val="00624FFE"/>
    <w:rsid w:val="00630A05"/>
    <w:rsid w:val="00630AA9"/>
    <w:rsid w:val="006322C6"/>
    <w:rsid w:val="00637AB0"/>
    <w:rsid w:val="00642076"/>
    <w:rsid w:val="00642528"/>
    <w:rsid w:val="00643F29"/>
    <w:rsid w:val="00647313"/>
    <w:rsid w:val="006474CE"/>
    <w:rsid w:val="006524D4"/>
    <w:rsid w:val="0065361F"/>
    <w:rsid w:val="006543E3"/>
    <w:rsid w:val="00667AA8"/>
    <w:rsid w:val="006735C9"/>
    <w:rsid w:val="00674452"/>
    <w:rsid w:val="006749D6"/>
    <w:rsid w:val="00676BB6"/>
    <w:rsid w:val="00676CFE"/>
    <w:rsid w:val="0067796E"/>
    <w:rsid w:val="00685C91"/>
    <w:rsid w:val="006879F3"/>
    <w:rsid w:val="00694175"/>
    <w:rsid w:val="006966FC"/>
    <w:rsid w:val="006A4E57"/>
    <w:rsid w:val="006C19F4"/>
    <w:rsid w:val="006D2417"/>
    <w:rsid w:val="006D24C1"/>
    <w:rsid w:val="006E5C73"/>
    <w:rsid w:val="006E6A2F"/>
    <w:rsid w:val="006E70B2"/>
    <w:rsid w:val="006F0C81"/>
    <w:rsid w:val="006F0E95"/>
    <w:rsid w:val="006F13A3"/>
    <w:rsid w:val="006F1942"/>
    <w:rsid w:val="00700B9E"/>
    <w:rsid w:val="007106E2"/>
    <w:rsid w:val="00712458"/>
    <w:rsid w:val="00716FAA"/>
    <w:rsid w:val="00720ACA"/>
    <w:rsid w:val="00723FF7"/>
    <w:rsid w:val="00740B17"/>
    <w:rsid w:val="00743BEB"/>
    <w:rsid w:val="00743F9F"/>
    <w:rsid w:val="007468AD"/>
    <w:rsid w:val="00750F83"/>
    <w:rsid w:val="00752C8F"/>
    <w:rsid w:val="00752DA2"/>
    <w:rsid w:val="007623CD"/>
    <w:rsid w:val="00762738"/>
    <w:rsid w:val="00762775"/>
    <w:rsid w:val="007659FF"/>
    <w:rsid w:val="00772FD1"/>
    <w:rsid w:val="007746CE"/>
    <w:rsid w:val="0077498F"/>
    <w:rsid w:val="00775169"/>
    <w:rsid w:val="00780874"/>
    <w:rsid w:val="00782ED5"/>
    <w:rsid w:val="0078535D"/>
    <w:rsid w:val="007A7ECE"/>
    <w:rsid w:val="007B20E4"/>
    <w:rsid w:val="007B6FDD"/>
    <w:rsid w:val="007C3735"/>
    <w:rsid w:val="007C65D9"/>
    <w:rsid w:val="007D6DF5"/>
    <w:rsid w:val="007D742B"/>
    <w:rsid w:val="007E6C84"/>
    <w:rsid w:val="007F0EF4"/>
    <w:rsid w:val="007F7DCD"/>
    <w:rsid w:val="007F7F5C"/>
    <w:rsid w:val="00801124"/>
    <w:rsid w:val="00815B0C"/>
    <w:rsid w:val="0081741F"/>
    <w:rsid w:val="008209C7"/>
    <w:rsid w:val="00823B02"/>
    <w:rsid w:val="0083215D"/>
    <w:rsid w:val="00834D25"/>
    <w:rsid w:val="008351C8"/>
    <w:rsid w:val="008376A5"/>
    <w:rsid w:val="00845AC3"/>
    <w:rsid w:val="0086048D"/>
    <w:rsid w:val="00866508"/>
    <w:rsid w:val="00867767"/>
    <w:rsid w:val="0087005B"/>
    <w:rsid w:val="00881D33"/>
    <w:rsid w:val="00882096"/>
    <w:rsid w:val="00883D6C"/>
    <w:rsid w:val="00885E37"/>
    <w:rsid w:val="008943E7"/>
    <w:rsid w:val="008969B4"/>
    <w:rsid w:val="008A5FDC"/>
    <w:rsid w:val="008B1777"/>
    <w:rsid w:val="008B182D"/>
    <w:rsid w:val="008B1AAD"/>
    <w:rsid w:val="008B3843"/>
    <w:rsid w:val="008B532D"/>
    <w:rsid w:val="008C3682"/>
    <w:rsid w:val="008D24BC"/>
    <w:rsid w:val="008D2F22"/>
    <w:rsid w:val="008D3221"/>
    <w:rsid w:val="008D3D39"/>
    <w:rsid w:val="008D47E4"/>
    <w:rsid w:val="008D66B8"/>
    <w:rsid w:val="008E0DA3"/>
    <w:rsid w:val="008E3622"/>
    <w:rsid w:val="008E54C8"/>
    <w:rsid w:val="008F4B8F"/>
    <w:rsid w:val="009029A5"/>
    <w:rsid w:val="0090690C"/>
    <w:rsid w:val="00910F26"/>
    <w:rsid w:val="00911DB9"/>
    <w:rsid w:val="00913F21"/>
    <w:rsid w:val="009215E5"/>
    <w:rsid w:val="009216C9"/>
    <w:rsid w:val="00940994"/>
    <w:rsid w:val="00955231"/>
    <w:rsid w:val="0096072E"/>
    <w:rsid w:val="00963C6F"/>
    <w:rsid w:val="009642D7"/>
    <w:rsid w:val="00973CC7"/>
    <w:rsid w:val="009836C8"/>
    <w:rsid w:val="009838A9"/>
    <w:rsid w:val="00984691"/>
    <w:rsid w:val="00985E10"/>
    <w:rsid w:val="00992CAE"/>
    <w:rsid w:val="009B073D"/>
    <w:rsid w:val="009B7449"/>
    <w:rsid w:val="009B7D1B"/>
    <w:rsid w:val="009C2960"/>
    <w:rsid w:val="009C5FF7"/>
    <w:rsid w:val="009D59D3"/>
    <w:rsid w:val="009E7D9D"/>
    <w:rsid w:val="009F39D7"/>
    <w:rsid w:val="009F7370"/>
    <w:rsid w:val="00A0140F"/>
    <w:rsid w:val="00A142B7"/>
    <w:rsid w:val="00A221FA"/>
    <w:rsid w:val="00A27998"/>
    <w:rsid w:val="00A33BB5"/>
    <w:rsid w:val="00A37027"/>
    <w:rsid w:val="00A3792E"/>
    <w:rsid w:val="00A47D4A"/>
    <w:rsid w:val="00A51C04"/>
    <w:rsid w:val="00A55B9B"/>
    <w:rsid w:val="00A61B29"/>
    <w:rsid w:val="00A626D2"/>
    <w:rsid w:val="00A81378"/>
    <w:rsid w:val="00A85AE1"/>
    <w:rsid w:val="00A92EFA"/>
    <w:rsid w:val="00A97D49"/>
    <w:rsid w:val="00AA17C0"/>
    <w:rsid w:val="00AA3378"/>
    <w:rsid w:val="00AA37B5"/>
    <w:rsid w:val="00AA5C3B"/>
    <w:rsid w:val="00AB06B4"/>
    <w:rsid w:val="00AC1B85"/>
    <w:rsid w:val="00AC5170"/>
    <w:rsid w:val="00AC6283"/>
    <w:rsid w:val="00AC799A"/>
    <w:rsid w:val="00AD14A5"/>
    <w:rsid w:val="00AD1739"/>
    <w:rsid w:val="00AD3E2C"/>
    <w:rsid w:val="00AE4640"/>
    <w:rsid w:val="00AE61F5"/>
    <w:rsid w:val="00AF0A36"/>
    <w:rsid w:val="00AF5717"/>
    <w:rsid w:val="00AF67D4"/>
    <w:rsid w:val="00AF6BB4"/>
    <w:rsid w:val="00AF7027"/>
    <w:rsid w:val="00B023BC"/>
    <w:rsid w:val="00B05E36"/>
    <w:rsid w:val="00B11984"/>
    <w:rsid w:val="00B1468C"/>
    <w:rsid w:val="00B30523"/>
    <w:rsid w:val="00B3177F"/>
    <w:rsid w:val="00B31B92"/>
    <w:rsid w:val="00B36F54"/>
    <w:rsid w:val="00B428BE"/>
    <w:rsid w:val="00B44207"/>
    <w:rsid w:val="00B4658E"/>
    <w:rsid w:val="00B56EAA"/>
    <w:rsid w:val="00B630F2"/>
    <w:rsid w:val="00B653A8"/>
    <w:rsid w:val="00B70AA8"/>
    <w:rsid w:val="00B71544"/>
    <w:rsid w:val="00B71EAA"/>
    <w:rsid w:val="00B75813"/>
    <w:rsid w:val="00B80F33"/>
    <w:rsid w:val="00B83DA0"/>
    <w:rsid w:val="00BB3AE7"/>
    <w:rsid w:val="00BB534D"/>
    <w:rsid w:val="00BC597D"/>
    <w:rsid w:val="00BC6DF8"/>
    <w:rsid w:val="00BD2342"/>
    <w:rsid w:val="00BD56D1"/>
    <w:rsid w:val="00BE3DBD"/>
    <w:rsid w:val="00BE6FBD"/>
    <w:rsid w:val="00BF6296"/>
    <w:rsid w:val="00C14E9E"/>
    <w:rsid w:val="00C15790"/>
    <w:rsid w:val="00C33C1F"/>
    <w:rsid w:val="00C34ECB"/>
    <w:rsid w:val="00C429EA"/>
    <w:rsid w:val="00C43D8A"/>
    <w:rsid w:val="00C44D82"/>
    <w:rsid w:val="00C45F8A"/>
    <w:rsid w:val="00C47F29"/>
    <w:rsid w:val="00C51943"/>
    <w:rsid w:val="00C51AFC"/>
    <w:rsid w:val="00C536E8"/>
    <w:rsid w:val="00C55A66"/>
    <w:rsid w:val="00C61194"/>
    <w:rsid w:val="00C616DF"/>
    <w:rsid w:val="00C658CA"/>
    <w:rsid w:val="00C70B69"/>
    <w:rsid w:val="00C85082"/>
    <w:rsid w:val="00C85429"/>
    <w:rsid w:val="00C96321"/>
    <w:rsid w:val="00CA21ED"/>
    <w:rsid w:val="00CA25C7"/>
    <w:rsid w:val="00CA458C"/>
    <w:rsid w:val="00CB2E3D"/>
    <w:rsid w:val="00CB408D"/>
    <w:rsid w:val="00CC3931"/>
    <w:rsid w:val="00CE2785"/>
    <w:rsid w:val="00CE2A14"/>
    <w:rsid w:val="00CE51A0"/>
    <w:rsid w:val="00CF15E8"/>
    <w:rsid w:val="00CF4940"/>
    <w:rsid w:val="00D02C36"/>
    <w:rsid w:val="00D12501"/>
    <w:rsid w:val="00D15172"/>
    <w:rsid w:val="00D16A7A"/>
    <w:rsid w:val="00D200E8"/>
    <w:rsid w:val="00D204ED"/>
    <w:rsid w:val="00D35311"/>
    <w:rsid w:val="00D356A3"/>
    <w:rsid w:val="00D3622B"/>
    <w:rsid w:val="00D37331"/>
    <w:rsid w:val="00D40819"/>
    <w:rsid w:val="00D40F17"/>
    <w:rsid w:val="00D41C9A"/>
    <w:rsid w:val="00D444F3"/>
    <w:rsid w:val="00D52A9A"/>
    <w:rsid w:val="00D53D96"/>
    <w:rsid w:val="00D54256"/>
    <w:rsid w:val="00D64E65"/>
    <w:rsid w:val="00D659C5"/>
    <w:rsid w:val="00D65A5E"/>
    <w:rsid w:val="00D66AA4"/>
    <w:rsid w:val="00D67EFF"/>
    <w:rsid w:val="00D81365"/>
    <w:rsid w:val="00D81F8F"/>
    <w:rsid w:val="00D86239"/>
    <w:rsid w:val="00D86F66"/>
    <w:rsid w:val="00D870FF"/>
    <w:rsid w:val="00D87346"/>
    <w:rsid w:val="00D93295"/>
    <w:rsid w:val="00DB011F"/>
    <w:rsid w:val="00DB12FA"/>
    <w:rsid w:val="00DB1A44"/>
    <w:rsid w:val="00DC7DB8"/>
    <w:rsid w:val="00DD5682"/>
    <w:rsid w:val="00DE3453"/>
    <w:rsid w:val="00DE3CBC"/>
    <w:rsid w:val="00DE5133"/>
    <w:rsid w:val="00DE7B41"/>
    <w:rsid w:val="00DF0FFE"/>
    <w:rsid w:val="00DF2C1F"/>
    <w:rsid w:val="00E0085A"/>
    <w:rsid w:val="00E07942"/>
    <w:rsid w:val="00E10B83"/>
    <w:rsid w:val="00E27310"/>
    <w:rsid w:val="00E4175B"/>
    <w:rsid w:val="00E545EA"/>
    <w:rsid w:val="00E661EE"/>
    <w:rsid w:val="00E736CB"/>
    <w:rsid w:val="00E76074"/>
    <w:rsid w:val="00E82253"/>
    <w:rsid w:val="00E8342B"/>
    <w:rsid w:val="00E93F86"/>
    <w:rsid w:val="00EA113C"/>
    <w:rsid w:val="00EA25AB"/>
    <w:rsid w:val="00EA3C3D"/>
    <w:rsid w:val="00EA46B2"/>
    <w:rsid w:val="00EA535F"/>
    <w:rsid w:val="00EA7EC1"/>
    <w:rsid w:val="00EB2E4A"/>
    <w:rsid w:val="00EB471B"/>
    <w:rsid w:val="00EB65A0"/>
    <w:rsid w:val="00EB75D9"/>
    <w:rsid w:val="00EC2630"/>
    <w:rsid w:val="00EC30F9"/>
    <w:rsid w:val="00EC3DF4"/>
    <w:rsid w:val="00ED5B69"/>
    <w:rsid w:val="00EE10EC"/>
    <w:rsid w:val="00EE753A"/>
    <w:rsid w:val="00EE7EF0"/>
    <w:rsid w:val="00EF0028"/>
    <w:rsid w:val="00F04568"/>
    <w:rsid w:val="00F10BF0"/>
    <w:rsid w:val="00F1448F"/>
    <w:rsid w:val="00F37F27"/>
    <w:rsid w:val="00F43565"/>
    <w:rsid w:val="00F43ADD"/>
    <w:rsid w:val="00F44727"/>
    <w:rsid w:val="00F47240"/>
    <w:rsid w:val="00F50679"/>
    <w:rsid w:val="00F5283F"/>
    <w:rsid w:val="00F603F8"/>
    <w:rsid w:val="00F60DC6"/>
    <w:rsid w:val="00F70265"/>
    <w:rsid w:val="00F704D3"/>
    <w:rsid w:val="00F70E31"/>
    <w:rsid w:val="00F74A3C"/>
    <w:rsid w:val="00F7794D"/>
    <w:rsid w:val="00F77A10"/>
    <w:rsid w:val="00F82FBC"/>
    <w:rsid w:val="00F84E1D"/>
    <w:rsid w:val="00F91C22"/>
    <w:rsid w:val="00F91E9E"/>
    <w:rsid w:val="00FA1E6C"/>
    <w:rsid w:val="00FA3A94"/>
    <w:rsid w:val="00FA4DA4"/>
    <w:rsid w:val="00FB2AFF"/>
    <w:rsid w:val="00FB43E0"/>
    <w:rsid w:val="00FC2754"/>
    <w:rsid w:val="00FC3EEF"/>
    <w:rsid w:val="00FC48B0"/>
    <w:rsid w:val="00FD2D52"/>
    <w:rsid w:val="00FD475C"/>
    <w:rsid w:val="00FE00A5"/>
    <w:rsid w:val="00FF1812"/>
    <w:rsid w:val="00FF6F6A"/>
  </w:rsids>
  <m:mathPr>
    <m:mathFont m:val="Cambria Math"/>
    <m:brkBin m:val="before"/>
    <m:brkBinSub m:val="--"/>
    <m:smallFrac m:val="0"/>
    <m:dispDef/>
    <m:lMargin m:val="0"/>
    <m:rMargin m:val="0"/>
    <m:defJc m:val="centerGroup"/>
    <m:wrapIndent m:val="1440"/>
    <m:intLim m:val="subSup"/>
    <m:naryLim m:val="undOvr"/>
  </m:mathPr>
  <w:themeFontLang w:val="en-ZA" w:eastAsia="ja-JP"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6C28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paragraph" w:styleId="Heading3">
    <w:name w:val="heading 3"/>
    <w:basedOn w:val="Normal"/>
    <w:link w:val="Heading3Char"/>
    <w:uiPriority w:val="9"/>
    <w:qFormat/>
    <w:rsid w:val="009215E5"/>
    <w:pPr>
      <w:spacing w:before="100" w:beforeAutospacing="1" w:after="100" w:afterAutospacing="1"/>
      <w:jc w:val="left"/>
      <w:outlineLvl w:val="2"/>
    </w:pPr>
    <w:rPr>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basedOn w:val="DefaultParagraphFont"/>
    <w:uiPriority w:val="99"/>
    <w:unhideWhenUsed/>
    <w:rsid w:val="004A5089"/>
    <w:rPr>
      <w:vertAlign w:val="superscript"/>
    </w:rPr>
  </w:style>
  <w:style w:type="paragraph" w:customStyle="1" w:styleId="JUDGMENTNUMBERED">
    <w:name w:val="JUDGMENT NUMBERED"/>
    <w:basedOn w:val="Normal"/>
    <w:next w:val="Normal"/>
    <w:qFormat/>
    <w:rsid w:val="003320EC"/>
    <w:pPr>
      <w:numPr>
        <w:numId w:val="2"/>
      </w:numPr>
      <w:spacing w:line="360" w:lineRule="auto"/>
      <w:ind w:left="0" w:firstLine="0"/>
    </w:pPr>
    <w:rPr>
      <w:rFonts w:eastAsia="Calibri"/>
      <w:sz w:val="26"/>
      <w:szCs w:val="22"/>
    </w:rPr>
  </w:style>
  <w:style w:type="character" w:customStyle="1" w:styleId="Heading3Char">
    <w:name w:val="Heading 3 Char"/>
    <w:basedOn w:val="DefaultParagraphFont"/>
    <w:link w:val="Heading3"/>
    <w:uiPriority w:val="9"/>
    <w:rsid w:val="009215E5"/>
    <w:rPr>
      <w:b/>
      <w:bCs/>
      <w:sz w:val="27"/>
      <w:szCs w:val="27"/>
      <w:lang w:eastAsia="en-GB"/>
    </w:rPr>
  </w:style>
  <w:style w:type="character" w:styleId="Hyperlink">
    <w:name w:val="Hyperlink"/>
    <w:basedOn w:val="DefaultParagraphFont"/>
    <w:uiPriority w:val="99"/>
    <w:unhideWhenUsed/>
    <w:rsid w:val="009215E5"/>
    <w:rPr>
      <w:color w:val="0000FF"/>
      <w:u w:val="single"/>
    </w:rPr>
  </w:style>
  <w:style w:type="character" w:styleId="HTMLCite">
    <w:name w:val="HTML Cite"/>
    <w:basedOn w:val="DefaultParagraphFont"/>
    <w:uiPriority w:val="99"/>
    <w:semiHidden/>
    <w:unhideWhenUsed/>
    <w:rsid w:val="009215E5"/>
    <w:rPr>
      <w:i/>
      <w:iCs/>
    </w:rPr>
  </w:style>
  <w:style w:type="character" w:customStyle="1" w:styleId="dyjrff">
    <w:name w:val="dyjrff"/>
    <w:basedOn w:val="DefaultParagraphFont"/>
    <w:rsid w:val="009215E5"/>
  </w:style>
  <w:style w:type="character" w:customStyle="1" w:styleId="UnresolvedMention">
    <w:name w:val="Unresolved Mention"/>
    <w:basedOn w:val="DefaultParagraphFont"/>
    <w:uiPriority w:val="99"/>
    <w:semiHidden/>
    <w:unhideWhenUsed/>
    <w:rsid w:val="009215E5"/>
    <w:rPr>
      <w:color w:val="605E5C"/>
      <w:shd w:val="clear" w:color="auto" w:fill="E1DFDD"/>
    </w:rPr>
  </w:style>
  <w:style w:type="character" w:styleId="FollowedHyperlink">
    <w:name w:val="FollowedHyperlink"/>
    <w:basedOn w:val="DefaultParagraphFont"/>
    <w:semiHidden/>
    <w:unhideWhenUsed/>
    <w:rsid w:val="009215E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ZA" w:eastAsia="en-Z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qFormat="1"/>
    <w:lsdException w:name="caption" w:qFormat="1"/>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HTML Cite"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4640"/>
    <w:pPr>
      <w:jc w:val="both"/>
    </w:pPr>
    <w:rPr>
      <w:sz w:val="24"/>
      <w:szCs w:val="24"/>
      <w:lang w:eastAsia="en-US"/>
    </w:rPr>
  </w:style>
  <w:style w:type="paragraph" w:styleId="Heading3">
    <w:name w:val="heading 3"/>
    <w:basedOn w:val="Normal"/>
    <w:link w:val="Heading3Char"/>
    <w:uiPriority w:val="9"/>
    <w:qFormat/>
    <w:rsid w:val="009215E5"/>
    <w:pPr>
      <w:spacing w:before="100" w:beforeAutospacing="1" w:after="100" w:afterAutospacing="1"/>
      <w:jc w:val="left"/>
      <w:outlineLvl w:val="2"/>
    </w:pPr>
    <w:rPr>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basedOn w:val="DefaultParagraphFont"/>
    <w:uiPriority w:val="99"/>
    <w:unhideWhenUsed/>
    <w:rsid w:val="004A5089"/>
    <w:rPr>
      <w:vertAlign w:val="superscript"/>
    </w:rPr>
  </w:style>
  <w:style w:type="paragraph" w:customStyle="1" w:styleId="JUDGMENTNUMBERED">
    <w:name w:val="JUDGMENT NUMBERED"/>
    <w:basedOn w:val="Normal"/>
    <w:next w:val="Normal"/>
    <w:qFormat/>
    <w:rsid w:val="003320EC"/>
    <w:pPr>
      <w:numPr>
        <w:numId w:val="2"/>
      </w:numPr>
      <w:spacing w:line="360" w:lineRule="auto"/>
      <w:ind w:left="0" w:firstLine="0"/>
    </w:pPr>
    <w:rPr>
      <w:rFonts w:eastAsia="Calibri"/>
      <w:sz w:val="26"/>
      <w:szCs w:val="22"/>
    </w:rPr>
  </w:style>
  <w:style w:type="character" w:customStyle="1" w:styleId="Heading3Char">
    <w:name w:val="Heading 3 Char"/>
    <w:basedOn w:val="DefaultParagraphFont"/>
    <w:link w:val="Heading3"/>
    <w:uiPriority w:val="9"/>
    <w:rsid w:val="009215E5"/>
    <w:rPr>
      <w:b/>
      <w:bCs/>
      <w:sz w:val="27"/>
      <w:szCs w:val="27"/>
      <w:lang w:eastAsia="en-GB"/>
    </w:rPr>
  </w:style>
  <w:style w:type="character" w:styleId="Hyperlink">
    <w:name w:val="Hyperlink"/>
    <w:basedOn w:val="DefaultParagraphFont"/>
    <w:uiPriority w:val="99"/>
    <w:unhideWhenUsed/>
    <w:rsid w:val="009215E5"/>
    <w:rPr>
      <w:color w:val="0000FF"/>
      <w:u w:val="single"/>
    </w:rPr>
  </w:style>
  <w:style w:type="character" w:styleId="HTMLCite">
    <w:name w:val="HTML Cite"/>
    <w:basedOn w:val="DefaultParagraphFont"/>
    <w:uiPriority w:val="99"/>
    <w:semiHidden/>
    <w:unhideWhenUsed/>
    <w:rsid w:val="009215E5"/>
    <w:rPr>
      <w:i/>
      <w:iCs/>
    </w:rPr>
  </w:style>
  <w:style w:type="character" w:customStyle="1" w:styleId="dyjrff">
    <w:name w:val="dyjrff"/>
    <w:basedOn w:val="DefaultParagraphFont"/>
    <w:rsid w:val="009215E5"/>
  </w:style>
  <w:style w:type="character" w:customStyle="1" w:styleId="UnresolvedMention">
    <w:name w:val="Unresolved Mention"/>
    <w:basedOn w:val="DefaultParagraphFont"/>
    <w:uiPriority w:val="99"/>
    <w:semiHidden/>
    <w:unhideWhenUsed/>
    <w:rsid w:val="009215E5"/>
    <w:rPr>
      <w:color w:val="605E5C"/>
      <w:shd w:val="clear" w:color="auto" w:fill="E1DFDD"/>
    </w:rPr>
  </w:style>
  <w:style w:type="character" w:styleId="FollowedHyperlink">
    <w:name w:val="FollowedHyperlink"/>
    <w:basedOn w:val="DefaultParagraphFont"/>
    <w:semiHidden/>
    <w:unhideWhenUsed/>
    <w:rsid w:val="009215E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953635228">
      <w:bodyDiv w:val="1"/>
      <w:marLeft w:val="0"/>
      <w:marRight w:val="0"/>
      <w:marTop w:val="0"/>
      <w:marBottom w:val="0"/>
      <w:divBdr>
        <w:top w:val="none" w:sz="0" w:space="0" w:color="auto"/>
        <w:left w:val="none" w:sz="0" w:space="0" w:color="auto"/>
        <w:bottom w:val="none" w:sz="0" w:space="0" w:color="auto"/>
        <w:right w:val="none" w:sz="0" w:space="0" w:color="auto"/>
      </w:divBdr>
      <w:divsChild>
        <w:div w:id="1355763939">
          <w:marLeft w:val="0"/>
          <w:marRight w:val="0"/>
          <w:marTop w:val="0"/>
          <w:marBottom w:val="0"/>
          <w:divBdr>
            <w:top w:val="none" w:sz="0" w:space="0" w:color="auto"/>
            <w:left w:val="none" w:sz="0" w:space="0" w:color="auto"/>
            <w:bottom w:val="none" w:sz="0" w:space="0" w:color="auto"/>
            <w:right w:val="none" w:sz="0" w:space="0" w:color="auto"/>
          </w:divBdr>
        </w:div>
      </w:divsChild>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 w:id="2063866652">
      <w:bodyDiv w:val="1"/>
      <w:marLeft w:val="0"/>
      <w:marRight w:val="0"/>
      <w:marTop w:val="0"/>
      <w:marBottom w:val="0"/>
      <w:divBdr>
        <w:top w:val="none" w:sz="0" w:space="0" w:color="auto"/>
        <w:left w:val="none" w:sz="0" w:space="0" w:color="auto"/>
        <w:bottom w:val="none" w:sz="0" w:space="0" w:color="auto"/>
        <w:right w:val="none" w:sz="0" w:space="0" w:color="auto"/>
      </w:divBdr>
      <w:divsChild>
        <w:div w:id="19562133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17" Type="http://schemas.microsoft.com/office/2018/08/relationships/commentsExtensible" Target="commentsExtensible.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cid:image001.png@01CF121A.2263A8C0" TargetMode="External"/><Relationship Id="rId5" Type="http://schemas.microsoft.com/office/2007/relationships/stylesWithEffects" Target="stylesWithEffects.xml"/><Relationship Id="rId15" Type="http://schemas.microsoft.com/office/2011/relationships/commentsExtended" Target="commentsExtended.xml"/><Relationship Id="rId10" Type="http://schemas.openxmlformats.org/officeDocument/2006/relationships/image" Target="media/image1.png"/><Relationship Id="rId4" Type="http://schemas.openxmlformats.org/officeDocument/2006/relationships/styles" Target="styles.xml"/><Relationship Id="rId9" Type="http://schemas.openxmlformats.org/officeDocument/2006/relationships/endnotes" Target="endnotes.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A7A80AD-C71D-4946-A4FA-B8FC9C40E15D}">
  <we:reference id="wa200001011" version="1.1.0.0" store="en-GB" storeType="OMEX"/>
  <we:alternateReferences>
    <we:reference id="wa200001011" version="1.1.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AF5BF4-7CDD-4D2C-A7D4-126B4AA6F24F}">
  <ds:schemaRefs>
    <ds:schemaRef ds:uri="http://schemas.openxmlformats.org/officeDocument/2006/bibliography"/>
  </ds:schemaRefs>
</ds:datastoreItem>
</file>

<file path=customXml/itemProps2.xml><?xml version="1.0" encoding="utf-8"?>
<ds:datastoreItem xmlns:ds="http://schemas.openxmlformats.org/officeDocument/2006/customXml" ds:itemID="{0626C8C7-DE04-4D84-8581-CD843785B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801</Words>
  <Characters>4566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CONSTITIONAL COURT OF SOUTH AFRICA</vt:lpstr>
    </vt:vector>
  </TitlesOfParts>
  <Company>Court</Company>
  <LinksUpToDate>false</LinksUpToDate>
  <CharactersWithSpaces>5357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CONSTITIONAL COURT OF SOUTH AFRICA</dc:title>
  <dc:creator>Dasantha Pillay</dc:creator>
  <cp:lastModifiedBy>Lee-Anne Germanos</cp:lastModifiedBy>
  <cp:revision>2</cp:revision>
  <cp:lastPrinted>2020-11-02T07:44:00Z</cp:lastPrinted>
  <dcterms:created xsi:type="dcterms:W3CDTF">2021-05-04T06:41:00Z</dcterms:created>
  <dcterms:modified xsi:type="dcterms:W3CDTF">2021-05-04T06:41:00Z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documentId_8702</vt:lpwstr>
  </property>
  <property fmtid="{D5CDD505-2E9C-101B-9397-08002B2CF9AE}" pid="3" name="grammarly_documentContext">
    <vt:lpwstr>{"goals":[],"domain":"general","emotions":[],"dialect":"british"}</vt:lpwstr>
  </property>
</Properties>
</file>