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7AE83" w14:textId="77777777" w:rsidR="004A0D9D" w:rsidRDefault="004A0D9D" w:rsidP="004A0D9D">
      <w:pPr>
        <w:jc w:val="center"/>
      </w:pPr>
      <w:r w:rsidRPr="00CA458C">
        <w:rPr>
          <w:noProof/>
          <w:lang w:eastAsia="en-ZA"/>
        </w:rPr>
        <w:drawing>
          <wp:inline distT="0" distB="0" distL="0" distR="0" wp14:anchorId="1D002670" wp14:editId="29CF4C7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CEE19B" w14:textId="77777777" w:rsidR="004A0D9D" w:rsidRDefault="004A0D9D" w:rsidP="004A0D9D">
      <w:pPr>
        <w:jc w:val="center"/>
      </w:pPr>
    </w:p>
    <w:p w14:paraId="58B1E7A0" w14:textId="77777777" w:rsidR="004A0D9D" w:rsidRPr="00100894" w:rsidRDefault="004A0D9D" w:rsidP="004A0D9D">
      <w:pPr>
        <w:jc w:val="center"/>
        <w:rPr>
          <w:b/>
        </w:rPr>
      </w:pPr>
      <w:r w:rsidRPr="00100894">
        <w:rPr>
          <w:b/>
        </w:rPr>
        <w:t>CONSTITUTIONAL COURT OF SOUTH AFRICA</w:t>
      </w:r>
    </w:p>
    <w:p w14:paraId="3C0FC9AE" w14:textId="77777777" w:rsidR="004A0D9D" w:rsidRPr="00100894" w:rsidRDefault="004A0D9D" w:rsidP="004A0D9D"/>
    <w:p w14:paraId="44B8E8E9" w14:textId="2C4A9169" w:rsidR="004A0D9D" w:rsidRPr="0007028D" w:rsidRDefault="00CA2A66" w:rsidP="004A0D9D">
      <w:pPr>
        <w:jc w:val="right"/>
      </w:pPr>
      <w:r>
        <w:rPr>
          <w:b/>
        </w:rPr>
        <w:t xml:space="preserve">MEC for Department Cooperative Governance </w:t>
      </w:r>
      <w:r w:rsidR="00696F92">
        <w:rPr>
          <w:b/>
        </w:rPr>
        <w:t>v</w:t>
      </w:r>
      <w:r>
        <w:rPr>
          <w:b/>
        </w:rPr>
        <w:t xml:space="preserve"> Nkandla Municipality and Others</w:t>
      </w:r>
      <w:r w:rsidR="004A0D9D">
        <w:rPr>
          <w:b/>
        </w:rPr>
        <w:t xml:space="preserve"> </w:t>
      </w:r>
    </w:p>
    <w:p w14:paraId="04CBFE2D" w14:textId="77777777" w:rsidR="004A0D9D" w:rsidRDefault="004A0D9D" w:rsidP="004A0D9D">
      <w:pPr>
        <w:tabs>
          <w:tab w:val="right" w:pos="9360"/>
        </w:tabs>
        <w:ind w:right="284"/>
        <w:rPr>
          <w:bCs/>
          <w:sz w:val="26"/>
          <w:szCs w:val="26"/>
          <w:lang w:val="en-GB"/>
        </w:rPr>
      </w:pPr>
    </w:p>
    <w:p w14:paraId="20E2BB6C" w14:textId="15085AFD" w:rsidR="004A0D9D" w:rsidRPr="00100894" w:rsidRDefault="004A0D9D" w:rsidP="004A0D9D">
      <w:pPr>
        <w:jc w:val="right"/>
        <w:rPr>
          <w:b/>
        </w:rPr>
      </w:pPr>
      <w:r w:rsidRPr="00100894">
        <w:rPr>
          <w:b/>
        </w:rPr>
        <w:t xml:space="preserve">CCT </w:t>
      </w:r>
      <w:r w:rsidR="006F3BB4">
        <w:rPr>
          <w:b/>
        </w:rPr>
        <w:t>3</w:t>
      </w:r>
      <w:r w:rsidR="00F0390D">
        <w:rPr>
          <w:b/>
        </w:rPr>
        <w:t>0</w:t>
      </w:r>
      <w:r w:rsidR="006F3BB4">
        <w:rPr>
          <w:b/>
        </w:rPr>
        <w:t>4</w:t>
      </w:r>
      <w:r>
        <w:rPr>
          <w:b/>
        </w:rPr>
        <w:t>/20</w:t>
      </w:r>
    </w:p>
    <w:p w14:paraId="353CE51E" w14:textId="77777777" w:rsidR="004A0D9D" w:rsidRPr="00100894" w:rsidRDefault="004A0D9D" w:rsidP="004A0D9D">
      <w:pPr>
        <w:jc w:val="right"/>
        <w:rPr>
          <w:b/>
        </w:rPr>
      </w:pPr>
    </w:p>
    <w:p w14:paraId="7C2E834A" w14:textId="2918CDF1" w:rsidR="004A0D9D" w:rsidRPr="00100894" w:rsidRDefault="004A0D9D" w:rsidP="004A0D9D">
      <w:pPr>
        <w:jc w:val="right"/>
        <w:rPr>
          <w:b/>
        </w:rPr>
      </w:pPr>
      <w:r w:rsidRPr="00100894">
        <w:rPr>
          <w:b/>
        </w:rPr>
        <w:t xml:space="preserve">Date of hearing: </w:t>
      </w:r>
      <w:r w:rsidR="00F0390D">
        <w:rPr>
          <w:b/>
        </w:rPr>
        <w:t>11 May</w:t>
      </w:r>
      <w:r w:rsidR="006F3BB4">
        <w:rPr>
          <w:b/>
        </w:rPr>
        <w:t xml:space="preserve"> 2021</w:t>
      </w:r>
    </w:p>
    <w:p w14:paraId="1F6FB475" w14:textId="77777777" w:rsidR="004A0D9D" w:rsidRPr="00100894" w:rsidRDefault="004A0D9D" w:rsidP="004A0D9D"/>
    <w:p w14:paraId="1B6AA8AD" w14:textId="77777777" w:rsidR="004A0D9D" w:rsidRPr="00100894" w:rsidRDefault="004A0D9D" w:rsidP="004A0D9D">
      <w:r w:rsidRPr="00100894">
        <w:t>________________________________________________________________________</w:t>
      </w:r>
    </w:p>
    <w:p w14:paraId="65D5A2DA" w14:textId="77777777" w:rsidR="004A0D9D" w:rsidRPr="00100894" w:rsidRDefault="004A0D9D" w:rsidP="004A0D9D">
      <w:pPr>
        <w:jc w:val="center"/>
        <w:rPr>
          <w:b/>
        </w:rPr>
      </w:pPr>
    </w:p>
    <w:p w14:paraId="4FD57344" w14:textId="77777777" w:rsidR="004A0D9D" w:rsidRPr="00100894" w:rsidRDefault="004A0D9D" w:rsidP="004A0D9D">
      <w:pPr>
        <w:jc w:val="center"/>
        <w:rPr>
          <w:b/>
        </w:rPr>
      </w:pPr>
      <w:r w:rsidRPr="00100894">
        <w:rPr>
          <w:b/>
        </w:rPr>
        <w:t>MEDIA SUMMARY</w:t>
      </w:r>
    </w:p>
    <w:p w14:paraId="4AB3CB06" w14:textId="77777777" w:rsidR="004A0D9D" w:rsidRPr="00100894" w:rsidRDefault="004A0D9D" w:rsidP="004A0D9D">
      <w:pPr>
        <w:jc w:val="center"/>
      </w:pPr>
      <w:r w:rsidRPr="00100894">
        <w:t>________________________________________________________________________</w:t>
      </w:r>
    </w:p>
    <w:p w14:paraId="6E807E6B" w14:textId="77777777" w:rsidR="004A0D9D" w:rsidRPr="00100894" w:rsidRDefault="004A0D9D" w:rsidP="004A0D9D">
      <w:pPr>
        <w:spacing w:line="360" w:lineRule="auto"/>
        <w:jc w:val="left"/>
      </w:pPr>
    </w:p>
    <w:p w14:paraId="527EB586" w14:textId="77777777" w:rsidR="004A0D9D" w:rsidRPr="00100894" w:rsidRDefault="004A0D9D" w:rsidP="004A0D9D">
      <w:pPr>
        <w:rPr>
          <w:i/>
        </w:rPr>
      </w:pPr>
      <w:r w:rsidRPr="00100894">
        <w:rPr>
          <w:i/>
        </w:rPr>
        <w:t>The following explanatory note is provided to assist the media in reporting this case and is not binding on the Constitutional Court or any member of the Court.</w:t>
      </w:r>
    </w:p>
    <w:p w14:paraId="6206A9D3" w14:textId="77777777" w:rsidR="004A0D9D" w:rsidRPr="00100894" w:rsidRDefault="004A0D9D" w:rsidP="004A0D9D">
      <w:pPr>
        <w:rPr>
          <w:sz w:val="28"/>
          <w:szCs w:val="28"/>
        </w:rPr>
      </w:pPr>
    </w:p>
    <w:p w14:paraId="4A779566" w14:textId="101DDEC0" w:rsidR="00592752" w:rsidRDefault="00F0390D" w:rsidP="004A0D9D">
      <w:r>
        <w:t>On 11 May</w:t>
      </w:r>
      <w:r w:rsidR="006F3BB4">
        <w:t xml:space="preserve"> 2021</w:t>
      </w:r>
      <w:r w:rsidR="004A0D9D">
        <w:t xml:space="preserve"> at </w:t>
      </w:r>
      <w:r w:rsidR="004A0D9D" w:rsidRPr="00E17A92">
        <w:t>10h00</w:t>
      </w:r>
      <w:r w:rsidR="004A0D9D">
        <w:t xml:space="preserve">, </w:t>
      </w:r>
      <w:r w:rsidR="004A0D9D" w:rsidRPr="00100894">
        <w:t xml:space="preserve">the Constitutional Court will hear </w:t>
      </w:r>
      <w:r w:rsidR="004A0D9D" w:rsidRPr="00E17A92">
        <w:t xml:space="preserve">an application </w:t>
      </w:r>
      <w:r w:rsidR="004F75F0" w:rsidRPr="004F75F0">
        <w:t>for leave to appeal against</w:t>
      </w:r>
      <w:r w:rsidR="000E58DA">
        <w:t xml:space="preserve"> the</w:t>
      </w:r>
      <w:r w:rsidR="004F75F0" w:rsidRPr="004F75F0">
        <w:t xml:space="preserve"> judgment and order of the Supreme Court of Appeal (“SCA”)</w:t>
      </w:r>
      <w:r w:rsidR="004A0D9D">
        <w:t xml:space="preserve">.  </w:t>
      </w:r>
      <w:r w:rsidR="004F75F0">
        <w:t>Leave is sought</w:t>
      </w:r>
      <w:r w:rsidR="00906248">
        <w:t xml:space="preserve"> against the SCA’s decision that set-aside the High Court’s order to the effect t</w:t>
      </w:r>
      <w:r>
        <w:t xml:space="preserve">hat the appointment of Messrs Jili and Sibiya as </w:t>
      </w:r>
      <w:r w:rsidR="0083428F">
        <w:t>Municipal Manager</w:t>
      </w:r>
      <w:r>
        <w:t xml:space="preserve">s of the respective municipalities was unlawful and accordingly set aside. </w:t>
      </w:r>
      <w:r w:rsidR="000E58DA">
        <w:t xml:space="preserve"> </w:t>
      </w:r>
      <w:r w:rsidR="00592752">
        <w:t xml:space="preserve">The facts of this matter are briefly set out below. </w:t>
      </w:r>
    </w:p>
    <w:p w14:paraId="7B904066" w14:textId="6803733A" w:rsidR="004F75F0" w:rsidRDefault="004F75F0" w:rsidP="004A0D9D"/>
    <w:p w14:paraId="7D191769" w14:textId="34881804" w:rsidR="008F0302" w:rsidRPr="001B205E" w:rsidRDefault="003E0868">
      <w:pPr>
        <w:rPr>
          <w:i/>
        </w:rPr>
      </w:pPr>
      <w:r w:rsidRPr="001B205E">
        <w:rPr>
          <w:i/>
        </w:rPr>
        <w:t>Nkandla Municipality</w:t>
      </w:r>
    </w:p>
    <w:p w14:paraId="2C2FE7BC" w14:textId="77777777" w:rsidR="0082647A" w:rsidRPr="0082647A" w:rsidRDefault="0082647A">
      <w:pPr>
        <w:rPr>
          <w:sz w:val="12"/>
        </w:rPr>
      </w:pPr>
    </w:p>
    <w:p w14:paraId="2F757EB2" w14:textId="2DB59C87" w:rsidR="00FF3724" w:rsidRDefault="0082647A" w:rsidP="00FF3724">
      <w:r w:rsidRPr="0082647A">
        <w:t xml:space="preserve">On 24 January 2017, </w:t>
      </w:r>
      <w:r w:rsidR="0083428F">
        <w:t>pursuan</w:t>
      </w:r>
      <w:r>
        <w:t>t to a valid interview process, Nkandla Municipal</w:t>
      </w:r>
      <w:r w:rsidRPr="0082647A">
        <w:t xml:space="preserve"> Council resolved to appoint Mr </w:t>
      </w:r>
      <w:r>
        <w:t xml:space="preserve">Lawelihle </w:t>
      </w:r>
      <w:r w:rsidRPr="0082647A">
        <w:t xml:space="preserve">Jili </w:t>
      </w:r>
      <w:r>
        <w:t xml:space="preserve">as the </w:t>
      </w:r>
      <w:r w:rsidR="0083428F">
        <w:t>Municipal Manager</w:t>
      </w:r>
      <w:r w:rsidRPr="0082647A">
        <w:t xml:space="preserve"> of Nkandla Municipality. On 26 January 2017, the Municipality notified the MEC </w:t>
      </w:r>
      <w:r w:rsidR="00FF3724">
        <w:t>for Cooperative Governance</w:t>
      </w:r>
      <w:r w:rsidR="002F3D8C">
        <w:t xml:space="preserve"> and Traditional Affairs</w:t>
      </w:r>
      <w:r w:rsidR="00FF3724">
        <w:t xml:space="preserve"> about the</w:t>
      </w:r>
      <w:r w:rsidRPr="0082647A">
        <w:t xml:space="preserve"> decision to appoint Mr Jili</w:t>
      </w:r>
      <w:r>
        <w:t>.</w:t>
      </w:r>
      <w:r w:rsidR="00696F92">
        <w:t xml:space="preserve"> </w:t>
      </w:r>
      <w:r w:rsidR="00FF3724">
        <w:t xml:space="preserve"> </w:t>
      </w:r>
      <w:r w:rsidR="00FF3724" w:rsidRPr="00FF3724">
        <w:t xml:space="preserve">On 13 February 2017, the MEC wrote to the Mayor of Nkandla Municipality requesting certain information and documentation pertaining to Mr Jili’s experience. On 7 March 2017, the MEC wrote to the Mayor and advised that according to her assessment, Mr Jili’s appointment was not in compliance with the legislative requirements as he appeared not to have a minimum of five years’ experience at senior management level. </w:t>
      </w:r>
      <w:r w:rsidR="00696F92">
        <w:t xml:space="preserve"> </w:t>
      </w:r>
      <w:r w:rsidR="00FF3724" w:rsidRPr="00FF3724">
        <w:t xml:space="preserve">The MEC called upon the Municipality to take remedial action to address the issue. No further steps were taken by the MEC. In the intervening period, Mr Jili assumed his position as </w:t>
      </w:r>
      <w:r w:rsidR="0083428F">
        <w:t>Municipal Manager</w:t>
      </w:r>
      <w:r w:rsidR="00FF3724" w:rsidRPr="00FF3724">
        <w:t xml:space="preserve"> in February 2017.</w:t>
      </w:r>
    </w:p>
    <w:p w14:paraId="4C93D836" w14:textId="77777777" w:rsidR="00FF3724" w:rsidRDefault="00FF3724" w:rsidP="00FF3724"/>
    <w:p w14:paraId="2A8BE8F1" w14:textId="3AA3B323" w:rsidR="00592752" w:rsidRDefault="00592752" w:rsidP="00FF3724">
      <w:r w:rsidRPr="00592752">
        <w:t xml:space="preserve">On 23 May 2017, the Municipality wrote to the Minister of Co-operative Governance and Traditional Affairs (National Minister) requesting him to waive the relevant experience requirement related to the post of </w:t>
      </w:r>
      <w:r w:rsidR="0083428F">
        <w:t>Municipal Manager</w:t>
      </w:r>
      <w:r w:rsidRPr="00592752">
        <w:t xml:space="preserve">, as contemplated in section 54A(10) </w:t>
      </w:r>
      <w:r w:rsidR="00316564">
        <w:lastRenderedPageBreak/>
        <w:t>of the</w:t>
      </w:r>
      <w:r w:rsidR="00512C0D" w:rsidRPr="00512C0D">
        <w:t xml:space="preserve"> Municipal Systems Act 32 of 2000 (“the Systems Act”)</w:t>
      </w:r>
      <w:r w:rsidRPr="00592752">
        <w:t>. Although the municipality stated in the letter that Mr Jili met all the requiremen</w:t>
      </w:r>
      <w:r w:rsidRPr="00F56FEA">
        <w:t>t</w:t>
      </w:r>
      <w:r w:rsidR="0083428F" w:rsidRPr="00F56FEA">
        <w:t>s</w:t>
      </w:r>
      <w:r w:rsidRPr="00F56FEA">
        <w:t xml:space="preserve"> </w:t>
      </w:r>
      <w:r w:rsidRPr="00592752">
        <w:t>except for the number of years in senior management, the same letter stated that Mr Jili had ten years’ experience in the M</w:t>
      </w:r>
      <w:r w:rsidR="0083428F">
        <w:t>unicipality, ‘most of which’ w</w:t>
      </w:r>
      <w:r w:rsidR="0083428F" w:rsidRPr="00F56FEA">
        <w:t>ere</w:t>
      </w:r>
      <w:r w:rsidRPr="00592752">
        <w:t xml:space="preserve"> served in a senior management position. </w:t>
      </w:r>
      <w:r w:rsidR="00696F92">
        <w:t xml:space="preserve"> </w:t>
      </w:r>
      <w:r w:rsidRPr="00592752">
        <w:t xml:space="preserve">On 14 September 2017, the Minister informed the Municipality that its request for waiver had been declined. </w:t>
      </w:r>
      <w:r w:rsidR="00696F92">
        <w:t xml:space="preserve"> </w:t>
      </w:r>
      <w:r w:rsidRPr="00592752">
        <w:t>On 10 November 2017, an official from the MEC’s Department wrote to the Municipality demanding that it take remedial action</w:t>
      </w:r>
      <w:r w:rsidR="002F3D8C">
        <w:t xml:space="preserve"> which it never did. </w:t>
      </w:r>
      <w:r w:rsidR="00696F92">
        <w:t xml:space="preserve"> </w:t>
      </w:r>
    </w:p>
    <w:p w14:paraId="6DC7972C" w14:textId="77777777" w:rsidR="00982D7E" w:rsidRDefault="00982D7E" w:rsidP="00FF3724"/>
    <w:p w14:paraId="54742850" w14:textId="1B760D45" w:rsidR="00592752" w:rsidRPr="001B205E" w:rsidRDefault="00592752" w:rsidP="00FF3724">
      <w:pPr>
        <w:rPr>
          <w:i/>
        </w:rPr>
      </w:pPr>
      <w:r w:rsidRPr="001B205E">
        <w:rPr>
          <w:i/>
        </w:rPr>
        <w:t>Mthonjaneni Municipality</w:t>
      </w:r>
    </w:p>
    <w:p w14:paraId="10D36DD9" w14:textId="77777777" w:rsidR="00592752" w:rsidRPr="00592752" w:rsidRDefault="00592752" w:rsidP="00FF3724">
      <w:pPr>
        <w:rPr>
          <w:sz w:val="16"/>
        </w:rPr>
      </w:pPr>
    </w:p>
    <w:p w14:paraId="339D8203" w14:textId="11B16ABF" w:rsidR="00592752" w:rsidRDefault="00592752" w:rsidP="00592752">
      <w:r w:rsidRPr="00592752">
        <w:t>On 19 December 2016, the Municipal Council of Mthonjaneni Municipality resolved to appoint Mr</w:t>
      </w:r>
      <w:r>
        <w:t xml:space="preserve"> Philani</w:t>
      </w:r>
      <w:r w:rsidRPr="00592752">
        <w:t xml:space="preserve"> Sibiya</w:t>
      </w:r>
      <w:r w:rsidR="0083428F">
        <w:t xml:space="preserve"> as its </w:t>
      </w:r>
      <w:r w:rsidR="0083428F" w:rsidRPr="00F56FEA">
        <w:t>Municipal Manager</w:t>
      </w:r>
      <w:r w:rsidRPr="00592752">
        <w:t xml:space="preserve">. </w:t>
      </w:r>
      <w:r w:rsidR="00696F92">
        <w:t xml:space="preserve"> </w:t>
      </w:r>
      <w:r>
        <w:t>On 20 December 2016, the M</w:t>
      </w:r>
      <w:r w:rsidRPr="00592752">
        <w:t>unicipality in</w:t>
      </w:r>
      <w:r>
        <w:t>formed the MEC of the</w:t>
      </w:r>
      <w:r w:rsidRPr="00592752">
        <w:t xml:space="preserve"> decision to appoint</w:t>
      </w:r>
      <w:r>
        <w:t xml:space="preserve"> </w:t>
      </w:r>
      <w:r w:rsidRPr="00592752">
        <w:t>Mr Sibiya.</w:t>
      </w:r>
      <w:r w:rsidR="00696F92">
        <w:t xml:space="preserve"> </w:t>
      </w:r>
      <w:r w:rsidRPr="00592752">
        <w:t xml:space="preserve"> On 20 January 2017, the MEC informed the Mayor and the Minister that she was of the view that Mr Sibiya did not </w:t>
      </w:r>
      <w:r w:rsidR="00696F92">
        <w:t xml:space="preserve">have the </w:t>
      </w:r>
      <w:r w:rsidRPr="00592752">
        <w:t>requi</w:t>
      </w:r>
      <w:r w:rsidR="00696F92">
        <w:t>red</w:t>
      </w:r>
      <w:r w:rsidRPr="00592752">
        <w:t xml:space="preserve"> experience and requested th</w:t>
      </w:r>
      <w:r w:rsidR="00696F92">
        <w:t>at the</w:t>
      </w:r>
      <w:r w:rsidRPr="00592752">
        <w:t xml:space="preserve"> Municipality take remedial action </w:t>
      </w:r>
      <w:r w:rsidR="00696F92">
        <w:t>to remedy the alleged irregularity.  However, M</w:t>
      </w:r>
      <w:r w:rsidRPr="00592752">
        <w:t xml:space="preserve">r </w:t>
      </w:r>
      <w:r w:rsidR="00772613">
        <w:t xml:space="preserve">Sibiya assumed the position of </w:t>
      </w:r>
      <w:r w:rsidR="0083428F">
        <w:t>Municipal Manager</w:t>
      </w:r>
      <w:r w:rsidRPr="00592752">
        <w:t xml:space="preserve"> in the same month. </w:t>
      </w:r>
      <w:r w:rsidR="00696F92">
        <w:t xml:space="preserve"> </w:t>
      </w:r>
      <w:r w:rsidRPr="00592752">
        <w:t xml:space="preserve">In July 2017, the Mayor informed the MEC that the Council has sought legal opinion on the validity of Mr Sibiya’s appointment. </w:t>
      </w:r>
      <w:r w:rsidR="00696F92">
        <w:t xml:space="preserve"> </w:t>
      </w:r>
      <w:r w:rsidRPr="00592752">
        <w:t xml:space="preserve">On 24 January 2018, the MEC wrote a letter to the Mayor expressing disappointment in the fact that an application for waiver to the Minister had not yet been made. </w:t>
      </w:r>
      <w:r w:rsidR="00696F92">
        <w:t xml:space="preserve"> </w:t>
      </w:r>
      <w:r w:rsidR="00772613">
        <w:t>Consequently, o</w:t>
      </w:r>
      <w:r w:rsidRPr="00592752">
        <w:t>n</w:t>
      </w:r>
      <w:r w:rsidR="00982D7E" w:rsidRPr="00982D7E">
        <w:t xml:space="preserve"> 11 May 2018</w:t>
      </w:r>
      <w:r w:rsidR="00982D7E">
        <w:t xml:space="preserve"> and </w:t>
      </w:r>
      <w:r w:rsidRPr="00592752">
        <w:t xml:space="preserve">28 </w:t>
      </w:r>
      <w:r w:rsidR="00982D7E">
        <w:t>June 2018, the MEC launched two</w:t>
      </w:r>
      <w:r w:rsidR="00772613">
        <w:t xml:space="preserve"> review</w:t>
      </w:r>
      <w:r w:rsidRPr="00592752">
        <w:t xml:space="preserve"> application</w:t>
      </w:r>
      <w:r w:rsidR="00982D7E">
        <w:t>s</w:t>
      </w:r>
      <w:r w:rsidRPr="00592752">
        <w:t xml:space="preserve"> in the Pietermaritzburg High Court </w:t>
      </w:r>
      <w:r w:rsidR="00772613">
        <w:t>seeking to set aside M</w:t>
      </w:r>
      <w:r w:rsidR="00982D7E">
        <w:t>ess</w:t>
      </w:r>
      <w:r w:rsidR="00772613">
        <w:t>r</w:t>
      </w:r>
      <w:r w:rsidR="00982D7E">
        <w:t xml:space="preserve">s Jili’s and Sibiya’s appointment as </w:t>
      </w:r>
      <w:r w:rsidR="0083428F">
        <w:t>Municipal Manager</w:t>
      </w:r>
      <w:r w:rsidR="00982D7E">
        <w:t>s for the respective municipalities</w:t>
      </w:r>
      <w:r w:rsidR="00772613">
        <w:t>.</w:t>
      </w:r>
    </w:p>
    <w:p w14:paraId="5E0E4EE1" w14:textId="77777777" w:rsidR="00772613" w:rsidRDefault="00772613" w:rsidP="00592752"/>
    <w:p w14:paraId="3C6E3623" w14:textId="51AA14D5" w:rsidR="00B30FA9" w:rsidRPr="00B30FA9" w:rsidRDefault="00772613" w:rsidP="00B30FA9">
      <w:r w:rsidRPr="00772613">
        <w:t>The applications were heard on 26 November 2018 and 7 Februa</w:t>
      </w:r>
      <w:r>
        <w:t xml:space="preserve">ry 2019, respectively. </w:t>
      </w:r>
      <w:r w:rsidR="00BB2680">
        <w:t xml:space="preserve"> </w:t>
      </w:r>
      <w:r>
        <w:t>T</w:t>
      </w:r>
      <w:r w:rsidRPr="00772613">
        <w:t>he High Court</w:t>
      </w:r>
      <w:r w:rsidR="00432020">
        <w:t xml:space="preserve">, however, </w:t>
      </w:r>
      <w:r w:rsidRPr="00772613">
        <w:t>deal</w:t>
      </w:r>
      <w:r w:rsidR="00696F92">
        <w:t>t</w:t>
      </w:r>
      <w:r w:rsidRPr="00772613">
        <w:t xml:space="preserve"> with both applications in one judgment </w:t>
      </w:r>
      <w:r w:rsidR="00696F92">
        <w:t>because the issues and the relief sought were similar</w:t>
      </w:r>
      <w:r w:rsidRPr="00772613">
        <w:t>.</w:t>
      </w:r>
      <w:r>
        <w:t xml:space="preserve"> </w:t>
      </w:r>
      <w:r w:rsidR="00696F92">
        <w:t xml:space="preserve"> </w:t>
      </w:r>
      <w:r w:rsidR="00B30FA9">
        <w:t>It noted, i</w:t>
      </w:r>
      <w:r w:rsidR="00B30FA9" w:rsidRPr="00B30FA9">
        <w:t xml:space="preserve">n each instance </w:t>
      </w:r>
      <w:r w:rsidR="00B30FA9">
        <w:t xml:space="preserve">that </w:t>
      </w:r>
      <w:r w:rsidR="00B30FA9" w:rsidRPr="00B30FA9">
        <w:t xml:space="preserve">the MEC relied on the provisions of section 54A(8) of the Systems Act in applying to have the </w:t>
      </w:r>
      <w:r w:rsidR="00696F92">
        <w:t>Messrs Jili</w:t>
      </w:r>
      <w:r w:rsidR="00432020">
        <w:t>’s</w:t>
      </w:r>
      <w:r w:rsidR="00696F92">
        <w:t xml:space="preserve"> and Sibiya’s </w:t>
      </w:r>
      <w:r w:rsidR="00B30FA9" w:rsidRPr="00B30FA9">
        <w:t>appointments declared invalid and set aside.  T</w:t>
      </w:r>
      <w:r w:rsidR="00B30FA9">
        <w:t xml:space="preserve">he </w:t>
      </w:r>
      <w:r w:rsidR="00696F92">
        <w:t xml:space="preserve">reason </w:t>
      </w:r>
      <w:r w:rsidR="00B30FA9">
        <w:t>for such relief was that both municipalities</w:t>
      </w:r>
      <w:r w:rsidR="00B30FA9" w:rsidRPr="00B30FA9">
        <w:t xml:space="preserve"> exceeded</w:t>
      </w:r>
      <w:r w:rsidR="00FB756F">
        <w:t xml:space="preserve"> their powers in appointing</w:t>
      </w:r>
      <w:r w:rsidR="00B30FA9" w:rsidRPr="00B30FA9">
        <w:t xml:space="preserve"> </w:t>
      </w:r>
      <w:r w:rsidR="00696F92">
        <w:t xml:space="preserve">Messrs </w:t>
      </w:r>
      <w:r w:rsidR="00996525">
        <w:t xml:space="preserve">Jili and Sibiya </w:t>
      </w:r>
      <w:r w:rsidR="00FB756F">
        <w:t xml:space="preserve">who </w:t>
      </w:r>
      <w:r w:rsidR="00B30FA9" w:rsidRPr="00B30FA9">
        <w:t xml:space="preserve">did not </w:t>
      </w:r>
      <w:r w:rsidR="00B30FA9">
        <w:t xml:space="preserve">have </w:t>
      </w:r>
      <w:r w:rsidR="00B30FA9" w:rsidRPr="00B30FA9">
        <w:t xml:space="preserve">the prescribed five </w:t>
      </w:r>
      <w:r w:rsidR="00696F92" w:rsidRPr="00B30FA9">
        <w:t>years’ experience</w:t>
      </w:r>
      <w:r w:rsidR="00B30FA9" w:rsidRPr="00B30FA9">
        <w:t xml:space="preserve"> at senior management level</w:t>
      </w:r>
      <w:r w:rsidR="00696F92">
        <w:t xml:space="preserve"> as</w:t>
      </w:r>
      <w:r w:rsidR="00B30FA9" w:rsidRPr="00B30FA9">
        <w:t xml:space="preserve"> specified by item 2 of Annexure B to the 2014 regulations to the Systems Act.</w:t>
      </w:r>
      <w:r w:rsidR="00B30FA9">
        <w:t xml:space="preserve"> </w:t>
      </w:r>
      <w:r w:rsidR="002271DE">
        <w:t xml:space="preserve"> </w:t>
      </w:r>
      <w:r w:rsidR="00B30FA9" w:rsidRPr="00B30FA9">
        <w:t>The High Court found in favour of the MEC</w:t>
      </w:r>
      <w:r w:rsidR="00B30FA9">
        <w:t xml:space="preserve">. </w:t>
      </w:r>
      <w:r w:rsidR="002271DE">
        <w:t xml:space="preserve"> </w:t>
      </w:r>
      <w:r w:rsidR="00B30FA9">
        <w:t>It</w:t>
      </w:r>
      <w:r w:rsidR="00B30FA9" w:rsidRPr="00B30FA9">
        <w:t xml:space="preserve"> </w:t>
      </w:r>
      <w:r w:rsidR="00B30FA9">
        <w:t xml:space="preserve">declared </w:t>
      </w:r>
      <w:r w:rsidR="00B30FA9" w:rsidRPr="00B30FA9">
        <w:t xml:space="preserve">the appointment of Messrs Jili and Sibiya </w:t>
      </w:r>
      <w:r w:rsidR="00B30FA9">
        <w:t xml:space="preserve">invalid and unlawful, and </w:t>
      </w:r>
      <w:r w:rsidR="00B30FA9" w:rsidRPr="00B30FA9">
        <w:t>set</w:t>
      </w:r>
      <w:r w:rsidR="00B30FA9">
        <w:t xml:space="preserve"> them</w:t>
      </w:r>
      <w:r w:rsidR="00B30FA9" w:rsidRPr="00B30FA9">
        <w:t xml:space="preserve"> aside from the date of its order.</w:t>
      </w:r>
      <w:r w:rsidR="0050003A">
        <w:t xml:space="preserve"> </w:t>
      </w:r>
      <w:r w:rsidR="002271DE">
        <w:t xml:space="preserve"> </w:t>
      </w:r>
      <w:r w:rsidR="0050003A">
        <w:t xml:space="preserve">The High Court granted leave to appeal to the SCA against its decision. </w:t>
      </w:r>
    </w:p>
    <w:p w14:paraId="65F4EB9F" w14:textId="6EDA013B" w:rsidR="00772613" w:rsidRDefault="00772613" w:rsidP="00592752"/>
    <w:p w14:paraId="0F0289D6" w14:textId="6F5DFA4C" w:rsidR="005D3B4C" w:rsidRDefault="005D3B4C" w:rsidP="00592752">
      <w:r>
        <w:t>Before the SCA</w:t>
      </w:r>
      <w:r w:rsidR="009E6ACE">
        <w:t xml:space="preserve">, </w:t>
      </w:r>
      <w:r w:rsidR="009E6ACE" w:rsidRPr="009E6ACE">
        <w:t>four questions arose for determination</w:t>
      </w:r>
      <w:r w:rsidR="009E6ACE">
        <w:t>.</w:t>
      </w:r>
      <w:r w:rsidR="000B0F9D">
        <w:t xml:space="preserve"> </w:t>
      </w:r>
      <w:r w:rsidR="002271DE">
        <w:t xml:space="preserve"> However, </w:t>
      </w:r>
      <w:r w:rsidR="000B0F9D">
        <w:t>the appeal turned primarily on</w:t>
      </w:r>
      <w:r w:rsidR="00FB756F">
        <w:t xml:space="preserve"> the</w:t>
      </w:r>
      <w:r w:rsidR="000B0F9D">
        <w:t xml:space="preserve"> issue of delay by the MEC in taking the steps envisioned in section 54A(8) of the Systems Act and </w:t>
      </w:r>
      <w:r w:rsidR="0083428F" w:rsidRPr="00F56FEA">
        <w:t>in</w:t>
      </w:r>
      <w:r w:rsidR="0083428F">
        <w:t xml:space="preserve"> </w:t>
      </w:r>
      <w:r w:rsidR="000B0F9D">
        <w:t xml:space="preserve">launching the review proceedings. </w:t>
      </w:r>
      <w:r w:rsidR="00432020">
        <w:t xml:space="preserve"> T</w:t>
      </w:r>
      <w:r w:rsidR="000B0F9D">
        <w:t xml:space="preserve">he SCA found the delay to be unreasonable </w:t>
      </w:r>
      <w:r w:rsidR="00F87971">
        <w:t>on account of no explanation for the delay.  I</w:t>
      </w:r>
      <w:r w:rsidR="000B0F9D">
        <w:t xml:space="preserve">t </w:t>
      </w:r>
      <w:r w:rsidR="00F87971">
        <w:t xml:space="preserve">held that the delay </w:t>
      </w:r>
      <w:r w:rsidR="000B0F9D">
        <w:t>could not be condoned.</w:t>
      </w:r>
      <w:r w:rsidR="002271DE">
        <w:t xml:space="preserve"> </w:t>
      </w:r>
      <w:r w:rsidR="00F87971">
        <w:t xml:space="preserve"> It </w:t>
      </w:r>
      <w:r w:rsidR="000B0F9D">
        <w:t xml:space="preserve">also </w:t>
      </w:r>
      <w:r w:rsidR="00FA2019">
        <w:t xml:space="preserve">held that the MEC had failed </w:t>
      </w:r>
      <w:r w:rsidR="000B0F9D">
        <w:t xml:space="preserve">on the facts to establish the illegality of the decision to appoint Mr Jili as a </w:t>
      </w:r>
      <w:r w:rsidR="0083428F">
        <w:t>Municipal Manager</w:t>
      </w:r>
      <w:r w:rsidR="000B0F9D">
        <w:t xml:space="preserve"> of Nkandla Municipality. </w:t>
      </w:r>
      <w:r w:rsidR="002271DE">
        <w:t xml:space="preserve"> </w:t>
      </w:r>
      <w:r w:rsidR="00814ECF">
        <w:t xml:space="preserve">It accordingly upheld the appeal and overturned the High Court’s decision setting aside the appointments of Messrs Jili and Sibiya as </w:t>
      </w:r>
      <w:r w:rsidR="0083428F">
        <w:t>Municipal Manager</w:t>
      </w:r>
      <w:r w:rsidR="00814ECF">
        <w:t xml:space="preserve">s. </w:t>
      </w:r>
      <w:r w:rsidR="002271DE">
        <w:t xml:space="preserve"> </w:t>
      </w:r>
      <w:r w:rsidR="00701135">
        <w:t xml:space="preserve">The minority judgment penned by Ponnan J and concurred by Zondi J, agreed with the High Court’s finding that the delay was not unreasonable. </w:t>
      </w:r>
      <w:r w:rsidR="002271DE">
        <w:t xml:space="preserve"> </w:t>
      </w:r>
      <w:r w:rsidR="00033E1F">
        <w:t>But accepted that it would be just and equitable to allow Messrs Jili and Sibiya to remain in office until the expiry of their 5 year fixed term contract.</w:t>
      </w:r>
    </w:p>
    <w:p w14:paraId="317FE0BE" w14:textId="77777777" w:rsidR="00563EE2" w:rsidRDefault="00563EE2" w:rsidP="00592752"/>
    <w:p w14:paraId="3CC1F495" w14:textId="03ADC05E" w:rsidR="00EC6393" w:rsidRDefault="00EC6393" w:rsidP="00EC6393">
      <w:r>
        <w:t>The MEC seeks leave</w:t>
      </w:r>
      <w:r w:rsidR="00CF3E09">
        <w:t xml:space="preserve"> from this Court on the basis that the SCA erred in its finding that the delay was unreasonable.</w:t>
      </w:r>
      <w:r w:rsidR="002271DE">
        <w:t xml:space="preserve"> </w:t>
      </w:r>
      <w:r w:rsidR="00CF3E09">
        <w:t xml:space="preserve"> </w:t>
      </w:r>
      <w:r w:rsidR="00CF3E09" w:rsidRPr="00CF3E09">
        <w:t>In essence, the MEC supports the judgm</w:t>
      </w:r>
      <w:r w:rsidR="00CF3E09">
        <w:t xml:space="preserve">ent of the High Court in all respects. </w:t>
      </w:r>
      <w:r w:rsidR="002271DE">
        <w:t xml:space="preserve"> </w:t>
      </w:r>
      <w:r w:rsidR="00CF3E09">
        <w:rPr>
          <w:vertAlign w:val="superscript"/>
        </w:rPr>
        <w:t xml:space="preserve"> </w:t>
      </w:r>
      <w:r w:rsidR="00CF3E09" w:rsidRPr="00CF3E09">
        <w:t xml:space="preserve">She also supports the </w:t>
      </w:r>
      <w:r w:rsidR="00F230A4">
        <w:t xml:space="preserve">SCA’s </w:t>
      </w:r>
      <w:r w:rsidR="00CF3E09" w:rsidRPr="00CF3E09">
        <w:t xml:space="preserve">minority judgment except for the alteration of the High Court’s order in relation to the setting aside of the appointments of the </w:t>
      </w:r>
      <w:r w:rsidR="0083428F">
        <w:t>Municipal Manager</w:t>
      </w:r>
      <w:r w:rsidR="00CF3E09" w:rsidRPr="00CF3E09">
        <w:t>s.</w:t>
      </w:r>
      <w:r>
        <w:t xml:space="preserve"> </w:t>
      </w:r>
      <w:r w:rsidR="002271DE">
        <w:t xml:space="preserve"> </w:t>
      </w:r>
      <w:r w:rsidRPr="00EC6393">
        <w:t>The MEC submit</w:t>
      </w:r>
      <w:r>
        <w:t>s</w:t>
      </w:r>
      <w:r w:rsidRPr="00EC6393">
        <w:t xml:space="preserve"> that the appointment of Messrs Jili and Sibiya are null and void in terms of section 54A(3) and that the correct cause of action is to seek  a declaratory order declaring the appointments </w:t>
      </w:r>
      <w:r w:rsidR="002271DE">
        <w:t xml:space="preserve">invalid </w:t>
      </w:r>
      <w:r w:rsidRPr="00EC6393">
        <w:t xml:space="preserve">under the principle of legality. </w:t>
      </w:r>
      <w:r w:rsidR="002271DE">
        <w:t xml:space="preserve"> </w:t>
      </w:r>
      <w:r w:rsidRPr="00EC6393">
        <w:t xml:space="preserve">She </w:t>
      </w:r>
      <w:r>
        <w:t xml:space="preserve">further </w:t>
      </w:r>
      <w:r w:rsidRPr="00EC6393">
        <w:t>submits that these findings exclude the operation of P</w:t>
      </w:r>
      <w:r w:rsidR="00F230A4">
        <w:t>romotion of Administrative Justice Act 3 of 2000 (P</w:t>
      </w:r>
      <w:r w:rsidRPr="00EC6393">
        <w:t>AJA</w:t>
      </w:r>
      <w:r w:rsidR="00F230A4">
        <w:t>)</w:t>
      </w:r>
      <w:r w:rsidRPr="00EC6393">
        <w:t xml:space="preserve"> and determine that the High Court </w:t>
      </w:r>
      <w:r>
        <w:t xml:space="preserve">had </w:t>
      </w:r>
      <w:r w:rsidRPr="00EC6393">
        <w:t xml:space="preserve">jurisdiction. </w:t>
      </w:r>
      <w:r w:rsidR="002271DE">
        <w:t xml:space="preserve"> </w:t>
      </w:r>
      <w:r w:rsidRPr="00EC6393">
        <w:t xml:space="preserve">She further submits that the High Court assessed the delay factually and legally in terms of the law. </w:t>
      </w:r>
      <w:r>
        <w:t>Thus</w:t>
      </w:r>
      <w:r w:rsidR="008379A2">
        <w:t>, it</w:t>
      </w:r>
      <w:r w:rsidRPr="00EC6393">
        <w:t xml:space="preserve"> was correct in declaring the appointments null and void, and setting them aside.</w:t>
      </w:r>
      <w:r w:rsidR="008379A2" w:rsidRPr="008379A2">
        <w:t xml:space="preserve"> </w:t>
      </w:r>
      <w:r w:rsidR="002271DE">
        <w:t xml:space="preserve"> </w:t>
      </w:r>
      <w:r w:rsidR="008379A2">
        <w:t>T</w:t>
      </w:r>
      <w:r w:rsidR="008379A2" w:rsidRPr="008379A2">
        <w:t>his discretionary decision</w:t>
      </w:r>
      <w:r w:rsidR="008379A2">
        <w:t>, the MEC submits,</w:t>
      </w:r>
      <w:r w:rsidR="008379A2" w:rsidRPr="008379A2">
        <w:t xml:space="preserve"> should not be interfered with.</w:t>
      </w:r>
    </w:p>
    <w:p w14:paraId="6D7EC074" w14:textId="77777777" w:rsidR="004D2EBB" w:rsidRDefault="004D2EBB" w:rsidP="00EC6393"/>
    <w:p w14:paraId="75A10C2A" w14:textId="1E6F943B" w:rsidR="00AD3900" w:rsidRPr="00AD3900" w:rsidRDefault="006321AD" w:rsidP="00AD3900">
      <w:r>
        <w:t>The respondents</w:t>
      </w:r>
      <w:r w:rsidR="00AD3900">
        <w:t>, on the other hand, argue</w:t>
      </w:r>
      <w:r>
        <w:t xml:space="preserve"> </w:t>
      </w:r>
      <w:r w:rsidR="00AD3900" w:rsidRPr="00AD3900">
        <w:t>that the issues raised</w:t>
      </w:r>
      <w:r w:rsidR="00FE28F8">
        <w:t xml:space="preserve"> by the MEC are moot</w:t>
      </w:r>
      <w:r w:rsidR="00F20743">
        <w:t xml:space="preserve"> because </w:t>
      </w:r>
      <w:r w:rsidR="00AD3900" w:rsidRPr="00AD3900">
        <w:t>section 54A</w:t>
      </w:r>
      <w:r w:rsidR="00F230A4">
        <w:t xml:space="preserve"> of the Systems Act</w:t>
      </w:r>
      <w:r w:rsidR="00AD3900" w:rsidRPr="00AD3900">
        <w:t xml:space="preserve"> which the MEC seek to enforce </w:t>
      </w:r>
      <w:r w:rsidR="00F20743">
        <w:t xml:space="preserve">was declared </w:t>
      </w:r>
      <w:r w:rsidR="00AD3900" w:rsidRPr="00AD3900">
        <w:t xml:space="preserve">unconstitutional by this Court in </w:t>
      </w:r>
      <w:r w:rsidR="00AD3900" w:rsidRPr="00AD3900">
        <w:rPr>
          <w:i/>
        </w:rPr>
        <w:t>SAMWU</w:t>
      </w:r>
      <w:r w:rsidR="00AD3900" w:rsidRPr="00AD3900">
        <w:t xml:space="preserve">. </w:t>
      </w:r>
      <w:r w:rsidR="002271DE">
        <w:t xml:space="preserve"> </w:t>
      </w:r>
      <w:r w:rsidR="00574768">
        <w:t xml:space="preserve">They therefore argue that </w:t>
      </w:r>
      <w:r w:rsidR="00AD3900" w:rsidRPr="00AD3900">
        <w:t xml:space="preserve">the MEC’s case is built entirely on </w:t>
      </w:r>
      <w:r w:rsidR="002271DE">
        <w:t xml:space="preserve">a </w:t>
      </w:r>
      <w:r w:rsidR="00AD3900" w:rsidRPr="00AD3900">
        <w:t xml:space="preserve">repealed section </w:t>
      </w:r>
      <w:r w:rsidR="002271DE">
        <w:t xml:space="preserve">which is </w:t>
      </w:r>
      <w:r w:rsidR="00AD3900" w:rsidRPr="00AD3900">
        <w:t xml:space="preserve">no longer a mechanism through </w:t>
      </w:r>
      <w:r w:rsidR="00AD3900">
        <w:t xml:space="preserve">which </w:t>
      </w:r>
      <w:r w:rsidR="00AD3900" w:rsidRPr="00AD3900">
        <w:t>the MEC discharges her constitutional obligations.</w:t>
      </w:r>
      <w:r w:rsidR="002271DE">
        <w:t xml:space="preserve"> </w:t>
      </w:r>
      <w:r w:rsidR="00AD3900" w:rsidRPr="00AD3900">
        <w:t xml:space="preserve"> On this ground alone, </w:t>
      </w:r>
      <w:r w:rsidR="00574768">
        <w:t>they</w:t>
      </w:r>
      <w:r w:rsidR="00AD3900">
        <w:t xml:space="preserve"> argue that </w:t>
      </w:r>
      <w:r w:rsidR="00AD3900" w:rsidRPr="00AD3900">
        <w:t>the application falls to be dismissed as it is not in the interest of justice for this Court to pronounce upon iss</w:t>
      </w:r>
      <w:r w:rsidR="00AD3900">
        <w:t>ues which pertain to the section</w:t>
      </w:r>
      <w:r w:rsidR="00AD3900" w:rsidRPr="00AD3900">
        <w:t xml:space="preserve"> that has been repealed and where the issues are moot. </w:t>
      </w:r>
    </w:p>
    <w:p w14:paraId="32AA0FC3" w14:textId="19627BE3" w:rsidR="004D2EBB" w:rsidRDefault="004D2EBB" w:rsidP="00EC6393"/>
    <w:p w14:paraId="638EA855" w14:textId="42ECEEE7" w:rsidR="00AD3900" w:rsidRDefault="00AD3900" w:rsidP="00AD3900">
      <w:r w:rsidRPr="00AD3900">
        <w:t xml:space="preserve">The respondents </w:t>
      </w:r>
      <w:r w:rsidR="00574768">
        <w:t>argue that it is clear</w:t>
      </w:r>
      <w:r w:rsidR="0083428F">
        <w:t xml:space="preserve"> on the facts </w:t>
      </w:r>
      <w:r w:rsidR="0083428F" w:rsidRPr="00F56FEA">
        <w:t>of</w:t>
      </w:r>
      <w:r w:rsidRPr="00AD3900">
        <w:t xml:space="preserve"> this case that the MEC failed to take any steps within the 14-day period in either municipality</w:t>
      </w:r>
      <w:r w:rsidR="00574768">
        <w:t xml:space="preserve">, which means </w:t>
      </w:r>
      <w:r w:rsidRPr="00AD3900">
        <w:t xml:space="preserve">she cannot rely directly on section 54A(8) as she did in this case </w:t>
      </w:r>
      <w:r w:rsidR="00FE28F8">
        <w:t xml:space="preserve">– those powers only endure </w:t>
      </w:r>
      <w:r w:rsidRPr="00AD3900">
        <w:t>for 14 days.</w:t>
      </w:r>
      <w:r w:rsidR="002271DE">
        <w:t xml:space="preserve"> </w:t>
      </w:r>
      <w:r w:rsidRPr="00AD3900">
        <w:t xml:space="preserve"> </w:t>
      </w:r>
      <w:r w:rsidR="00574768">
        <w:t>They further argue</w:t>
      </w:r>
      <w:r w:rsidRPr="00AD3900">
        <w:t xml:space="preserve"> </w:t>
      </w:r>
      <w:r w:rsidR="008E40D4">
        <w:t xml:space="preserve">that </w:t>
      </w:r>
      <w:r w:rsidRPr="00AD3900">
        <w:t>the delay in launching the application</w:t>
      </w:r>
      <w:r w:rsidR="00574768">
        <w:t>s for review wa</w:t>
      </w:r>
      <w:r w:rsidRPr="00AD3900">
        <w:t xml:space="preserve">s unreasonable. </w:t>
      </w:r>
      <w:r w:rsidR="00BB2680">
        <w:t xml:space="preserve"> </w:t>
      </w:r>
      <w:r w:rsidRPr="00AD3900">
        <w:t xml:space="preserve">This, the respondents submit, is exacerbated by the fact that the MEC did not even provide an explanation for </w:t>
      </w:r>
      <w:r w:rsidR="007A0840">
        <w:t xml:space="preserve">the delay or seek condonation. </w:t>
      </w:r>
      <w:r w:rsidR="00BB2680">
        <w:t xml:space="preserve"> </w:t>
      </w:r>
      <w:r w:rsidR="007A0840">
        <w:t>They</w:t>
      </w:r>
      <w:r w:rsidR="00347FAB">
        <w:t xml:space="preserve"> therefore support the SCA’s findings on this aspect. </w:t>
      </w:r>
      <w:r w:rsidRPr="00AD3900">
        <w:t xml:space="preserve"> </w:t>
      </w:r>
      <w:r w:rsidR="00347FAB">
        <w:t xml:space="preserve">And submit that </w:t>
      </w:r>
      <w:r w:rsidRPr="00AD3900">
        <w:t>the</w:t>
      </w:r>
      <w:r w:rsidR="00347FAB">
        <w:t>re are no</w:t>
      </w:r>
      <w:r w:rsidRPr="00AD3900">
        <w:t xml:space="preserve"> prospect</w:t>
      </w:r>
      <w:r w:rsidR="00BB2680">
        <w:t>s</w:t>
      </w:r>
      <w:r w:rsidR="00347FAB">
        <w:t xml:space="preserve"> that this Court will find differently</w:t>
      </w:r>
      <w:r w:rsidRPr="00AD3900">
        <w:t xml:space="preserve">. </w:t>
      </w:r>
      <w:r w:rsidR="00BB2680">
        <w:t xml:space="preserve"> </w:t>
      </w:r>
    </w:p>
    <w:p w14:paraId="15539BD2" w14:textId="77777777" w:rsidR="00AD3900" w:rsidRDefault="00AD3900" w:rsidP="00AD3900"/>
    <w:p w14:paraId="64E9A0D3" w14:textId="5F67331B" w:rsidR="00B7620B" w:rsidRPr="00B7620B" w:rsidRDefault="00B7620B" w:rsidP="00B7620B">
      <w:r>
        <w:t>Moreover, the respondents</w:t>
      </w:r>
      <w:r w:rsidR="00E644CC">
        <w:t xml:space="preserve"> </w:t>
      </w:r>
      <w:r w:rsidR="00AD3900" w:rsidRPr="00AD3900">
        <w:t>submit that there is a material dispute of fac</w:t>
      </w:r>
      <w:r>
        <w:t>t as to whether or not</w:t>
      </w:r>
      <w:r w:rsidR="007A0840">
        <w:t xml:space="preserve"> Messrs Jili and Sibiya</w:t>
      </w:r>
      <w:r>
        <w:t xml:space="preserve"> met</w:t>
      </w:r>
      <w:r w:rsidR="00AD3900" w:rsidRPr="00AD3900">
        <w:t xml:space="preserve"> the</w:t>
      </w:r>
      <w:r w:rsidR="007A0840">
        <w:t xml:space="preserve"> </w:t>
      </w:r>
      <w:r w:rsidR="00AD3900" w:rsidRPr="00AD3900">
        <w:t>m</w:t>
      </w:r>
      <w:r w:rsidR="00AD3900">
        <w:t xml:space="preserve">inimum requirement of </w:t>
      </w:r>
      <w:r w:rsidR="00AD3900" w:rsidRPr="00F56FEA">
        <w:t>five years</w:t>
      </w:r>
      <w:r w:rsidR="0083428F" w:rsidRPr="00F56FEA">
        <w:t>’</w:t>
      </w:r>
      <w:r w:rsidR="007A0840">
        <w:t xml:space="preserve"> relevant experience</w:t>
      </w:r>
      <w:r w:rsidR="00AD3900">
        <w:t>.</w:t>
      </w:r>
      <w:r w:rsidRPr="00B7620B">
        <w:t xml:space="preserve"> In the absence of any record of decision filed by the MEC, the respondents submit that this issue falls to </w:t>
      </w:r>
      <w:r>
        <w:t xml:space="preserve">be determined on their </w:t>
      </w:r>
      <w:r w:rsidRPr="00B7620B">
        <w:t>version.</w:t>
      </w:r>
      <w:r w:rsidR="00E052C0">
        <w:t xml:space="preserve"> </w:t>
      </w:r>
      <w:bookmarkStart w:id="0" w:name="_GoBack"/>
      <w:bookmarkEnd w:id="0"/>
    </w:p>
    <w:p w14:paraId="438D972A" w14:textId="557FC196" w:rsidR="00AD3900" w:rsidRPr="00B7620B" w:rsidRDefault="00AD3900" w:rsidP="00AD3900">
      <w:pPr>
        <w:rPr>
          <w:sz w:val="12"/>
        </w:rPr>
      </w:pPr>
      <w:r w:rsidRPr="00AD3900">
        <w:t xml:space="preserve"> </w:t>
      </w:r>
      <w:r w:rsidR="00BB2680">
        <w:t xml:space="preserve"> </w:t>
      </w:r>
    </w:p>
    <w:p w14:paraId="115E8411" w14:textId="77777777" w:rsidR="00AD3900" w:rsidRDefault="00AD3900" w:rsidP="00AD3900"/>
    <w:p w14:paraId="016C8081" w14:textId="5ED645EE" w:rsidR="00860345" w:rsidRPr="00860345" w:rsidRDefault="00E644CC" w:rsidP="00860345">
      <w:r>
        <w:t xml:space="preserve">In addition, the </w:t>
      </w:r>
      <w:r w:rsidR="00AD3900" w:rsidRPr="00AD3900">
        <w:t xml:space="preserve">respondents submit that the SCA erred in finding that the High Court had jurisdiction to entertain this matter. </w:t>
      </w:r>
      <w:r w:rsidR="00BB2680">
        <w:t xml:space="preserve"> T</w:t>
      </w:r>
      <w:r w:rsidR="00BB2680" w:rsidRPr="00AD3900">
        <w:t xml:space="preserve">hey </w:t>
      </w:r>
      <w:r w:rsidR="00AD3900" w:rsidRPr="00AD3900">
        <w:t>submit that the issues at stake in this application are quintessentially labour employment issues under the L</w:t>
      </w:r>
      <w:r w:rsidR="00860345">
        <w:t xml:space="preserve">abour </w:t>
      </w:r>
      <w:r w:rsidR="00AD3900" w:rsidRPr="00AD3900">
        <w:t>R</w:t>
      </w:r>
      <w:r w:rsidR="00860345">
        <w:t xml:space="preserve">elations </w:t>
      </w:r>
      <w:r w:rsidR="00AD3900" w:rsidRPr="00AD3900">
        <w:t>A</w:t>
      </w:r>
      <w:r w:rsidR="00860345">
        <w:t>ct</w:t>
      </w:r>
      <w:r w:rsidR="00512C0D" w:rsidRPr="00512C0D">
        <w:t xml:space="preserve"> </w:t>
      </w:r>
      <w:r w:rsidR="00860345">
        <w:t xml:space="preserve">(LRA) </w:t>
      </w:r>
      <w:r w:rsidR="00AD3900" w:rsidRPr="00AD3900">
        <w:t xml:space="preserve">and fall within the exclusive jurisdiction of the Labour Court. </w:t>
      </w:r>
      <w:r w:rsidR="00BB2680">
        <w:t xml:space="preserve"> </w:t>
      </w:r>
      <w:r w:rsidR="00AD3900" w:rsidRPr="00AD3900">
        <w:t>This is so because, the respondents submit, in substance and in effect, the MEC seeks to terminate the existing employment relationshi</w:t>
      </w:r>
      <w:r w:rsidR="00AD3900">
        <w:t xml:space="preserve">p </w:t>
      </w:r>
      <w:r w:rsidR="00860345">
        <w:t>between Messrs Jili an</w:t>
      </w:r>
      <w:r w:rsidR="0083428F">
        <w:t>d Sibiya, and their respective</w:t>
      </w:r>
      <w:r w:rsidR="00BE10E0">
        <w:t xml:space="preserve"> M</w:t>
      </w:r>
      <w:r w:rsidR="00860345">
        <w:t xml:space="preserve">unicipalities. </w:t>
      </w:r>
      <w:r w:rsidR="00BB2680">
        <w:t xml:space="preserve"> </w:t>
      </w:r>
      <w:r w:rsidR="002224DA">
        <w:t xml:space="preserve">According to the respondents, this would amount to a dismissal which is a matter </w:t>
      </w:r>
      <w:r w:rsidR="00860345" w:rsidRPr="00860345">
        <w:t xml:space="preserve">to be dealt with in terms of </w:t>
      </w:r>
      <w:r w:rsidR="00860345">
        <w:t>the LRA</w:t>
      </w:r>
      <w:r w:rsidR="002224DA">
        <w:t>, and thus</w:t>
      </w:r>
      <w:r w:rsidR="00860345" w:rsidRPr="00860345">
        <w:t xml:space="preserve"> falls within the exclusive jurisdiction of the Labour Court. </w:t>
      </w:r>
    </w:p>
    <w:p w14:paraId="71FD2FD4" w14:textId="21013BFC" w:rsidR="00AD3900" w:rsidRDefault="00AD3900" w:rsidP="00AD3900"/>
    <w:p w14:paraId="4B9FDBB5" w14:textId="57299913" w:rsidR="00AD3900" w:rsidRPr="00AD3900" w:rsidRDefault="00AD3900" w:rsidP="00AD3900">
      <w:r>
        <w:t>Finally, t</w:t>
      </w:r>
      <w:r w:rsidRPr="00AD3900">
        <w:t>he respondents submit that even if the appointment</w:t>
      </w:r>
      <w:r w:rsidR="00BB2680">
        <w:t>s</w:t>
      </w:r>
      <w:r w:rsidRPr="00AD3900">
        <w:t xml:space="preserve"> were unlawful, justice and equity demands that the</w:t>
      </w:r>
      <w:r w:rsidR="00BB2680">
        <w:t xml:space="preserve"> said</w:t>
      </w:r>
      <w:r w:rsidRPr="00AD3900">
        <w:t xml:space="preserve"> </w:t>
      </w:r>
      <w:r w:rsidR="0083428F">
        <w:t>Municipal Manager</w:t>
      </w:r>
      <w:r w:rsidRPr="00AD3900">
        <w:t xml:space="preserve">s </w:t>
      </w:r>
      <w:r w:rsidR="00BB2680">
        <w:t>should</w:t>
      </w:r>
      <w:r w:rsidRPr="00AD3900">
        <w:t xml:space="preserve"> not </w:t>
      </w:r>
      <w:r w:rsidR="00BB2680">
        <w:t xml:space="preserve">be </w:t>
      </w:r>
      <w:r w:rsidRPr="00AD3900">
        <w:t>removed from their posts.</w:t>
      </w:r>
    </w:p>
    <w:p w14:paraId="267E0559" w14:textId="77777777" w:rsidR="00AD3900" w:rsidRPr="00AD3900" w:rsidRDefault="00AD3900" w:rsidP="00AD3900"/>
    <w:sectPr w:rsidR="00AD3900" w:rsidRPr="00AD3900"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1DD5EA" w14:textId="77777777" w:rsidR="00B517F5" w:rsidRDefault="00B517F5" w:rsidP="001C1F8A">
      <w:r>
        <w:separator/>
      </w:r>
    </w:p>
  </w:endnote>
  <w:endnote w:type="continuationSeparator" w:id="0">
    <w:p w14:paraId="3D6947BD" w14:textId="77777777" w:rsidR="00B517F5" w:rsidRDefault="00B517F5" w:rsidP="001C1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169181" w14:textId="77777777" w:rsidR="00B517F5" w:rsidRDefault="00B517F5" w:rsidP="001C1F8A">
      <w:r>
        <w:separator/>
      </w:r>
    </w:p>
  </w:footnote>
  <w:footnote w:type="continuationSeparator" w:id="0">
    <w:p w14:paraId="506E7A31" w14:textId="77777777" w:rsidR="00B517F5" w:rsidRDefault="00B517F5" w:rsidP="001C1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D9D"/>
    <w:rsid w:val="00027A43"/>
    <w:rsid w:val="0003074D"/>
    <w:rsid w:val="00033E1F"/>
    <w:rsid w:val="000717E0"/>
    <w:rsid w:val="000843F3"/>
    <w:rsid w:val="000B0F9D"/>
    <w:rsid w:val="000E58DA"/>
    <w:rsid w:val="000F47C0"/>
    <w:rsid w:val="00123FF4"/>
    <w:rsid w:val="00136296"/>
    <w:rsid w:val="00146A46"/>
    <w:rsid w:val="001A7C4D"/>
    <w:rsid w:val="001B205E"/>
    <w:rsid w:val="001C1F8A"/>
    <w:rsid w:val="002224DA"/>
    <w:rsid w:val="002271DE"/>
    <w:rsid w:val="002533D2"/>
    <w:rsid w:val="00295D22"/>
    <w:rsid w:val="002A197D"/>
    <w:rsid w:val="002F3D8C"/>
    <w:rsid w:val="00316564"/>
    <w:rsid w:val="00321757"/>
    <w:rsid w:val="00343F86"/>
    <w:rsid w:val="00346E54"/>
    <w:rsid w:val="00347FAB"/>
    <w:rsid w:val="003E0868"/>
    <w:rsid w:val="003E4F20"/>
    <w:rsid w:val="003F40FF"/>
    <w:rsid w:val="00405BFE"/>
    <w:rsid w:val="004163E8"/>
    <w:rsid w:val="00432020"/>
    <w:rsid w:val="00467BFD"/>
    <w:rsid w:val="004A0D9D"/>
    <w:rsid w:val="004D2EBB"/>
    <w:rsid w:val="004E01A6"/>
    <w:rsid w:val="004F4A8B"/>
    <w:rsid w:val="004F75F0"/>
    <w:rsid w:val="0050003A"/>
    <w:rsid w:val="00512C0D"/>
    <w:rsid w:val="00516AE4"/>
    <w:rsid w:val="00563EE2"/>
    <w:rsid w:val="00574768"/>
    <w:rsid w:val="00580D03"/>
    <w:rsid w:val="00592752"/>
    <w:rsid w:val="00595028"/>
    <w:rsid w:val="005A5DC4"/>
    <w:rsid w:val="005D3B4C"/>
    <w:rsid w:val="0063068B"/>
    <w:rsid w:val="006321AD"/>
    <w:rsid w:val="00644C25"/>
    <w:rsid w:val="00662B28"/>
    <w:rsid w:val="00696F92"/>
    <w:rsid w:val="006C2B63"/>
    <w:rsid w:val="006D3E75"/>
    <w:rsid w:val="006F3BB4"/>
    <w:rsid w:val="00701135"/>
    <w:rsid w:val="0074155D"/>
    <w:rsid w:val="007566BB"/>
    <w:rsid w:val="00772613"/>
    <w:rsid w:val="007734A1"/>
    <w:rsid w:val="00783060"/>
    <w:rsid w:val="007A0840"/>
    <w:rsid w:val="00814ECF"/>
    <w:rsid w:val="0082647A"/>
    <w:rsid w:val="0083428F"/>
    <w:rsid w:val="008379A2"/>
    <w:rsid w:val="00860345"/>
    <w:rsid w:val="00865228"/>
    <w:rsid w:val="008813A6"/>
    <w:rsid w:val="0088404A"/>
    <w:rsid w:val="0089423C"/>
    <w:rsid w:val="008A5D10"/>
    <w:rsid w:val="008C599A"/>
    <w:rsid w:val="008E40D4"/>
    <w:rsid w:val="008F0302"/>
    <w:rsid w:val="00906248"/>
    <w:rsid w:val="009122CB"/>
    <w:rsid w:val="00964BFA"/>
    <w:rsid w:val="009764E4"/>
    <w:rsid w:val="00982D7E"/>
    <w:rsid w:val="00996525"/>
    <w:rsid w:val="009A6378"/>
    <w:rsid w:val="009B214D"/>
    <w:rsid w:val="009E6118"/>
    <w:rsid w:val="009E6ACE"/>
    <w:rsid w:val="00A84385"/>
    <w:rsid w:val="00A93F0B"/>
    <w:rsid w:val="00AA06F3"/>
    <w:rsid w:val="00AD3900"/>
    <w:rsid w:val="00AD51BC"/>
    <w:rsid w:val="00B07652"/>
    <w:rsid w:val="00B30FA9"/>
    <w:rsid w:val="00B47131"/>
    <w:rsid w:val="00B517F5"/>
    <w:rsid w:val="00B7620B"/>
    <w:rsid w:val="00B90A3B"/>
    <w:rsid w:val="00BB2680"/>
    <w:rsid w:val="00BD2578"/>
    <w:rsid w:val="00BE028F"/>
    <w:rsid w:val="00BE10E0"/>
    <w:rsid w:val="00BF609D"/>
    <w:rsid w:val="00CA2A66"/>
    <w:rsid w:val="00CA7DF5"/>
    <w:rsid w:val="00CD3238"/>
    <w:rsid w:val="00CF3E09"/>
    <w:rsid w:val="00D86DBC"/>
    <w:rsid w:val="00DB5296"/>
    <w:rsid w:val="00DD2E5C"/>
    <w:rsid w:val="00E02273"/>
    <w:rsid w:val="00E052C0"/>
    <w:rsid w:val="00E44218"/>
    <w:rsid w:val="00E644CC"/>
    <w:rsid w:val="00E83E43"/>
    <w:rsid w:val="00E9078A"/>
    <w:rsid w:val="00EC6393"/>
    <w:rsid w:val="00F0174F"/>
    <w:rsid w:val="00F0390D"/>
    <w:rsid w:val="00F15E7D"/>
    <w:rsid w:val="00F20743"/>
    <w:rsid w:val="00F230A4"/>
    <w:rsid w:val="00F56FEA"/>
    <w:rsid w:val="00F71795"/>
    <w:rsid w:val="00F87971"/>
    <w:rsid w:val="00FA2019"/>
    <w:rsid w:val="00FB756F"/>
    <w:rsid w:val="00FD6E36"/>
    <w:rsid w:val="00FE28F8"/>
    <w:rsid w:val="00FF06AC"/>
    <w:rsid w:val="00FF37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841E"/>
  <w15:chartTrackingRefBased/>
  <w15:docId w15:val="{F6C21C2A-F4BC-4B44-8587-A8DF9363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D9D"/>
    <w:pPr>
      <w:jc w:val="both"/>
    </w:pPr>
    <w:rPr>
      <w:rFonts w:ascii="Times New Roman" w:eastAsia="Times New Roman" w:hAnsi="Times New Roman" w:cs="Times New Roman"/>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1C1F8A"/>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1C1F8A"/>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1C1F8A"/>
    <w:rPr>
      <w:vertAlign w:val="superscript"/>
    </w:rPr>
  </w:style>
  <w:style w:type="character" w:styleId="CommentReference">
    <w:name w:val="annotation reference"/>
    <w:basedOn w:val="DefaultParagraphFont"/>
    <w:uiPriority w:val="99"/>
    <w:semiHidden/>
    <w:unhideWhenUsed/>
    <w:rsid w:val="00D86DBC"/>
    <w:rPr>
      <w:sz w:val="16"/>
      <w:szCs w:val="16"/>
    </w:rPr>
  </w:style>
  <w:style w:type="paragraph" w:styleId="CommentText">
    <w:name w:val="annotation text"/>
    <w:basedOn w:val="Normal"/>
    <w:link w:val="CommentTextChar"/>
    <w:uiPriority w:val="99"/>
    <w:semiHidden/>
    <w:unhideWhenUsed/>
    <w:rsid w:val="00D86DBC"/>
    <w:rPr>
      <w:sz w:val="20"/>
      <w:szCs w:val="20"/>
    </w:rPr>
  </w:style>
  <w:style w:type="character" w:customStyle="1" w:styleId="CommentTextChar">
    <w:name w:val="Comment Text Char"/>
    <w:basedOn w:val="DefaultParagraphFont"/>
    <w:link w:val="CommentText"/>
    <w:uiPriority w:val="99"/>
    <w:semiHidden/>
    <w:rsid w:val="00D86DBC"/>
    <w:rPr>
      <w:rFonts w:ascii="Times New Roman" w:eastAsia="Times New Roman"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D86DBC"/>
    <w:rPr>
      <w:b/>
      <w:bCs/>
    </w:rPr>
  </w:style>
  <w:style w:type="character" w:customStyle="1" w:styleId="CommentSubjectChar">
    <w:name w:val="Comment Subject Char"/>
    <w:basedOn w:val="CommentTextChar"/>
    <w:link w:val="CommentSubject"/>
    <w:uiPriority w:val="99"/>
    <w:semiHidden/>
    <w:rsid w:val="00D86DBC"/>
    <w:rPr>
      <w:rFonts w:ascii="Times New Roman" w:eastAsia="Times New Roman" w:hAnsi="Times New Roman" w:cs="Times New Roman"/>
      <w:b/>
      <w:bCs/>
      <w:sz w:val="20"/>
      <w:szCs w:val="20"/>
      <w:lang w:val="en-ZA"/>
    </w:rPr>
  </w:style>
  <w:style w:type="paragraph" w:styleId="BalloonText">
    <w:name w:val="Balloon Text"/>
    <w:basedOn w:val="Normal"/>
    <w:link w:val="BalloonTextChar"/>
    <w:uiPriority w:val="99"/>
    <w:semiHidden/>
    <w:unhideWhenUsed/>
    <w:rsid w:val="00D86D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6DBC"/>
    <w:rPr>
      <w:rFonts w:ascii="Segoe UI" w:eastAsia="Times New Roman" w:hAnsi="Segoe UI" w:cs="Segoe UI"/>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411F8C-7C8D-2340-AF6F-9488B4C09801}">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B0429E-9E9B-4419-8C3E-E9371CBDE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738</TotalTime>
  <Pages>4</Pages>
  <Words>1400</Words>
  <Characters>7985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H Perez B</dc:creator>
  <cp:keywords/>
  <dc:description/>
  <cp:lastModifiedBy>Sipho Mzakwe</cp:lastModifiedBy>
  <cp:revision>62</cp:revision>
  <dcterms:created xsi:type="dcterms:W3CDTF">2021-05-02T10:50:00Z</dcterms:created>
  <dcterms:modified xsi:type="dcterms:W3CDTF">2021-05-10T07:57:00Z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documentId_3269</vt:lpwstr>
  </property>
  <property fmtid="{D5CDD505-2E9C-101B-9397-08002B2CF9AE}" pid="3" name="grammarly_documentContext">
    <vt:lpwstr>{"goals":[],"domain":"general","emotions":[],"dialect":"british"}</vt:lpwstr>
  </property>
  <property fmtid="{D5CDD505-2E9C-101B-9397-08002B2CF9AE}" pid="4" name="_AdHocReviewCycleID">
    <vt:i4>276272814</vt:i4>
  </property>
  <property fmtid="{D5CDD505-2E9C-101B-9397-08002B2CF9AE}" pid="5" name="_NewReviewCycle">
    <vt:lpwstr/>
  </property>
  <property fmtid="{D5CDD505-2E9C-101B-9397-08002B2CF9AE}" pid="6" name="_EmailSubject">
    <vt:lpwstr>[Pre-hearing Media Summary] CCT 304-20 MEC FOR DEPARTMENT OF COOPERATIVE GOVERNANCE AND TRADITIONAL AFFAIRS V NKANDLA LOCA L MUICIPALITY AND OTHERS</vt:lpwstr>
  </property>
  <property fmtid="{D5CDD505-2E9C-101B-9397-08002B2CF9AE}" pid="7" name="_AuthorEmail">
    <vt:lpwstr>Ngobeni@concourt.org.za</vt:lpwstr>
  </property>
  <property fmtid="{D5CDD505-2E9C-101B-9397-08002B2CF9AE}" pid="8" name="_AuthorEmailDisplayName">
    <vt:lpwstr>Mmabatho Ngobeni</vt:lpwstr>
  </property>
</Properties>
</file>