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4232585" w14:textId="77777777" w:rsidR="00104943" w:rsidRDefault="00104943" w:rsidP="00104943">
      <w:pPr>
        <w:jc w:val="center"/>
      </w:pPr>
      <w:r w:rsidRPr="00CA458C">
        <w:rPr>
          <w:noProof/>
          <w:lang w:eastAsia="en-ZA"/>
        </w:rPr>
        <w:drawing>
          <wp:inline distT="0" distB="0" distL="0" distR="0" wp14:anchorId="1AFEE9FB" wp14:editId="406305EB">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9" r:link="rId10"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1363308B" w14:textId="77777777" w:rsidR="00104943" w:rsidRDefault="00104943" w:rsidP="00104943">
      <w:pPr>
        <w:jc w:val="center"/>
      </w:pPr>
    </w:p>
    <w:p w14:paraId="5F49F413" w14:textId="77777777" w:rsidR="00104943" w:rsidRPr="00100894" w:rsidRDefault="00104943" w:rsidP="00104943">
      <w:pPr>
        <w:jc w:val="center"/>
        <w:rPr>
          <w:b/>
        </w:rPr>
      </w:pPr>
      <w:r w:rsidRPr="00100894">
        <w:rPr>
          <w:b/>
        </w:rPr>
        <w:t>CONSTITUTIONAL COURT OF SOUTH AFRICA</w:t>
      </w:r>
    </w:p>
    <w:p w14:paraId="332563DB" w14:textId="77777777" w:rsidR="00104943" w:rsidRPr="00100894" w:rsidRDefault="00104943" w:rsidP="00104943"/>
    <w:p w14:paraId="3C749210" w14:textId="16EECA96" w:rsidR="00104943" w:rsidRPr="0007028D" w:rsidRDefault="00D52ABD" w:rsidP="00104943">
      <w:pPr>
        <w:jc w:val="center"/>
      </w:pPr>
      <w:r>
        <w:rPr>
          <w:b/>
        </w:rPr>
        <w:t>National Union of Metalworkers of South Africa</w:t>
      </w:r>
      <w:r w:rsidR="00104943" w:rsidRPr="00E17A92">
        <w:rPr>
          <w:b/>
        </w:rPr>
        <w:t xml:space="preserve"> v </w:t>
      </w:r>
      <w:r>
        <w:rPr>
          <w:b/>
        </w:rPr>
        <w:t>Commissioner for Conciliation, Med</w:t>
      </w:r>
      <w:r w:rsidR="001D184C">
        <w:rPr>
          <w:b/>
        </w:rPr>
        <w:t>iation and Arbitration and Others</w:t>
      </w:r>
    </w:p>
    <w:p w14:paraId="5F1450EB" w14:textId="77777777" w:rsidR="00104943" w:rsidRDefault="00104943" w:rsidP="00104943">
      <w:pPr>
        <w:tabs>
          <w:tab w:val="right" w:pos="9360"/>
        </w:tabs>
        <w:ind w:right="284"/>
        <w:rPr>
          <w:bCs/>
          <w:sz w:val="26"/>
          <w:szCs w:val="26"/>
          <w:lang w:val="en-GB"/>
        </w:rPr>
      </w:pPr>
    </w:p>
    <w:p w14:paraId="297130CC" w14:textId="3C02E944" w:rsidR="00104943" w:rsidRPr="00100894" w:rsidRDefault="00104943" w:rsidP="00104943">
      <w:pPr>
        <w:jc w:val="right"/>
        <w:rPr>
          <w:b/>
        </w:rPr>
      </w:pPr>
      <w:proofErr w:type="spellStart"/>
      <w:r w:rsidRPr="00100894">
        <w:rPr>
          <w:b/>
        </w:rPr>
        <w:t>CCT</w:t>
      </w:r>
      <w:proofErr w:type="spellEnd"/>
      <w:r w:rsidRPr="00100894">
        <w:rPr>
          <w:b/>
        </w:rPr>
        <w:t xml:space="preserve"> </w:t>
      </w:r>
      <w:r w:rsidR="00465304">
        <w:rPr>
          <w:b/>
        </w:rPr>
        <w:t>4</w:t>
      </w:r>
      <w:r w:rsidR="00D52ABD">
        <w:rPr>
          <w:b/>
        </w:rPr>
        <w:t>9</w:t>
      </w:r>
      <w:r>
        <w:rPr>
          <w:b/>
        </w:rPr>
        <w:t>/20</w:t>
      </w:r>
    </w:p>
    <w:p w14:paraId="7669CB63" w14:textId="77777777" w:rsidR="00104943" w:rsidRPr="00100894" w:rsidRDefault="00104943" w:rsidP="00104943">
      <w:pPr>
        <w:jc w:val="right"/>
        <w:rPr>
          <w:b/>
        </w:rPr>
      </w:pPr>
    </w:p>
    <w:p w14:paraId="53AC8788" w14:textId="0AF1969B" w:rsidR="00104943" w:rsidRPr="00100894" w:rsidRDefault="00104943" w:rsidP="00104943">
      <w:pPr>
        <w:jc w:val="right"/>
        <w:rPr>
          <w:b/>
        </w:rPr>
      </w:pPr>
      <w:r w:rsidRPr="00100894">
        <w:rPr>
          <w:b/>
        </w:rPr>
        <w:t xml:space="preserve">Date of hearing: </w:t>
      </w:r>
      <w:r w:rsidR="00D52ABD">
        <w:rPr>
          <w:b/>
        </w:rPr>
        <w:t>4 May</w:t>
      </w:r>
      <w:r>
        <w:rPr>
          <w:b/>
        </w:rPr>
        <w:t xml:space="preserve"> 2021</w:t>
      </w:r>
    </w:p>
    <w:p w14:paraId="1CD83BE8" w14:textId="77777777" w:rsidR="00104943" w:rsidRPr="00100894" w:rsidRDefault="00104943" w:rsidP="00104943"/>
    <w:p w14:paraId="2E7F0268" w14:textId="77777777" w:rsidR="00104943" w:rsidRPr="00100894" w:rsidRDefault="00104943" w:rsidP="00104943">
      <w:r w:rsidRPr="00100894">
        <w:t>________________________________________________________________________</w:t>
      </w:r>
    </w:p>
    <w:p w14:paraId="598C226D" w14:textId="77777777" w:rsidR="00104943" w:rsidRPr="00100894" w:rsidRDefault="00104943" w:rsidP="00104943">
      <w:pPr>
        <w:jc w:val="center"/>
        <w:rPr>
          <w:b/>
        </w:rPr>
      </w:pPr>
    </w:p>
    <w:p w14:paraId="701196D9" w14:textId="77777777" w:rsidR="00104943" w:rsidRPr="00100894" w:rsidRDefault="00104943" w:rsidP="00104943">
      <w:pPr>
        <w:jc w:val="center"/>
        <w:rPr>
          <w:b/>
        </w:rPr>
      </w:pPr>
      <w:r w:rsidRPr="00100894">
        <w:rPr>
          <w:b/>
        </w:rPr>
        <w:t>MEDIA SUMMARY</w:t>
      </w:r>
    </w:p>
    <w:p w14:paraId="6DD4E835" w14:textId="77777777" w:rsidR="00104943" w:rsidRPr="00100894" w:rsidRDefault="00104943" w:rsidP="00104943">
      <w:pPr>
        <w:jc w:val="center"/>
      </w:pPr>
      <w:r w:rsidRPr="00100894">
        <w:t>________________________________________________________________________</w:t>
      </w:r>
    </w:p>
    <w:p w14:paraId="1BDD3051" w14:textId="77777777" w:rsidR="00104943" w:rsidRPr="00100894" w:rsidRDefault="00104943" w:rsidP="00104943">
      <w:pPr>
        <w:spacing w:line="360" w:lineRule="auto"/>
        <w:jc w:val="left"/>
      </w:pPr>
    </w:p>
    <w:p w14:paraId="0F935F08" w14:textId="77777777" w:rsidR="00104943" w:rsidRPr="00100894" w:rsidRDefault="00104943" w:rsidP="00104943">
      <w:pPr>
        <w:rPr>
          <w:i/>
        </w:rPr>
      </w:pPr>
      <w:r w:rsidRPr="00100894">
        <w:rPr>
          <w:i/>
        </w:rPr>
        <w:t>The following explanatory note is provided to assist the media in reporting this case and is not binding on the Constitutional Court or any member of the Court.</w:t>
      </w:r>
    </w:p>
    <w:p w14:paraId="23B173F3" w14:textId="77777777" w:rsidR="00104943" w:rsidRPr="00100894" w:rsidRDefault="00104943" w:rsidP="00104943">
      <w:pPr>
        <w:rPr>
          <w:sz w:val="28"/>
          <w:szCs w:val="28"/>
        </w:rPr>
      </w:pPr>
    </w:p>
    <w:p w14:paraId="5A2D992A" w14:textId="44FEAC03" w:rsidR="00D52ABD" w:rsidRPr="001D184C" w:rsidRDefault="00D52ABD" w:rsidP="00D52ABD">
      <w:r w:rsidRPr="001D184C">
        <w:t xml:space="preserve">On Tuesday, 4 May 2021 at </w:t>
      </w:r>
      <w:proofErr w:type="spellStart"/>
      <w:r w:rsidRPr="001D184C">
        <w:t>10h00</w:t>
      </w:r>
      <w:proofErr w:type="spellEnd"/>
      <w:r w:rsidRPr="001D184C">
        <w:t>, the Constitutional Court will hear an application for leave to appeal against the whole judgment and order of the Labour Appeal Court.  The Labour Appeal Court confirmed the order of the Labour Court which set aside and substituted the decision of the Commission for Conciliation,</w:t>
      </w:r>
      <w:r w:rsidR="001D184C">
        <w:t xml:space="preserve"> </w:t>
      </w:r>
      <w:r w:rsidRPr="001D184C">
        <w:t>Mediation</w:t>
      </w:r>
      <w:r w:rsidR="001D184C">
        <w:t xml:space="preserve"> and </w:t>
      </w:r>
      <w:r w:rsidR="001D184C" w:rsidRPr="001D184C">
        <w:t xml:space="preserve">Arbitration </w:t>
      </w:r>
      <w:r w:rsidR="001F44A9" w:rsidRPr="001D184C">
        <w:t>(CCMA)</w:t>
      </w:r>
      <w:r w:rsidRPr="001D184C">
        <w:t xml:space="preserve">.  The Labour Appeal Court held </w:t>
      </w:r>
      <w:r w:rsidR="00E8725F" w:rsidRPr="001D184C">
        <w:t>that the</w:t>
      </w:r>
      <w:r w:rsidRPr="001D184C">
        <w:t xml:space="preserve"> respondent</w:t>
      </w:r>
      <w:r w:rsidR="00E8725F" w:rsidRPr="001D184C">
        <w:t xml:space="preserve"> employers</w:t>
      </w:r>
      <w:r w:rsidRPr="001D184C">
        <w:t xml:space="preserve"> fell within the scope and registration of the </w:t>
      </w:r>
      <w:r w:rsidRPr="001D184C">
        <w:rPr>
          <w:lang w:val="en-US"/>
        </w:rPr>
        <w:t>Motor Industry Bargaining Council (MIBCO).</w:t>
      </w:r>
    </w:p>
    <w:p w14:paraId="2259C078" w14:textId="77777777" w:rsidR="00D52ABD" w:rsidRPr="001D184C" w:rsidRDefault="00D52ABD" w:rsidP="00D52ABD"/>
    <w:p w14:paraId="683977C2" w14:textId="05660B90" w:rsidR="00D52ABD" w:rsidRPr="001D184C" w:rsidRDefault="00D52ABD" w:rsidP="00D52ABD">
      <w:r w:rsidRPr="001D184C">
        <w:t>Th</w:t>
      </w:r>
      <w:r w:rsidR="00C15678">
        <w:t>is matter arises from a</w:t>
      </w:r>
      <w:r w:rsidRPr="001D184C">
        <w:t xml:space="preserve"> demarcation dispute in terms of section 62 of the Labour</w:t>
      </w:r>
      <w:r w:rsidR="0022732E">
        <w:t> </w:t>
      </w:r>
      <w:r w:rsidRPr="001D184C">
        <w:t>Relations Act</w:t>
      </w:r>
      <w:r w:rsidR="001F44A9" w:rsidRPr="001D184C">
        <w:t xml:space="preserve"> (</w:t>
      </w:r>
      <w:proofErr w:type="spellStart"/>
      <w:r w:rsidR="001F44A9" w:rsidRPr="001D184C">
        <w:t>LRA</w:t>
      </w:r>
      <w:proofErr w:type="spellEnd"/>
      <w:r w:rsidR="001F44A9" w:rsidRPr="001D184C">
        <w:t>)</w:t>
      </w:r>
      <w:r w:rsidR="003C160D">
        <w:t>.</w:t>
      </w:r>
      <w:r w:rsidRPr="001D184C">
        <w:t xml:space="preserve"> </w:t>
      </w:r>
      <w:r w:rsidR="00016B25">
        <w:t xml:space="preserve"> </w:t>
      </w:r>
      <w:r w:rsidR="00501E96" w:rsidRPr="00501E96">
        <w:rPr>
          <w:lang w:val="en-US"/>
        </w:rPr>
        <w:t>In 1962, the minister published a demarcation determination (the 1962 determination) in terms of section 76 of the 1956 LRA.  According to the 1962 determination, the respondent</w:t>
      </w:r>
      <w:r w:rsidR="00016B25">
        <w:rPr>
          <w:lang w:val="en-US"/>
        </w:rPr>
        <w:t xml:space="preserve"> employers</w:t>
      </w:r>
      <w:r w:rsidR="00501E96" w:rsidRPr="00501E96">
        <w:rPr>
          <w:lang w:val="en-US"/>
        </w:rPr>
        <w:t xml:space="preserve"> fell within the scope and registration of the MEIBC. </w:t>
      </w:r>
      <w:r w:rsidR="00016B25">
        <w:rPr>
          <w:lang w:val="en-US"/>
        </w:rPr>
        <w:t xml:space="preserve"> </w:t>
      </w:r>
      <w:r w:rsidR="003C160D">
        <w:t>T</w:t>
      </w:r>
      <w:r w:rsidRPr="001D184C">
        <w:t xml:space="preserve">he purpose of the dispute was to </w:t>
      </w:r>
      <w:r w:rsidR="003C160D">
        <w:t>determine</w:t>
      </w:r>
      <w:r w:rsidRPr="001D184C">
        <w:t xml:space="preserve"> whether</w:t>
      </w:r>
      <w:r w:rsidR="00403CFF">
        <w:t xml:space="preserve"> </w:t>
      </w:r>
      <w:r w:rsidR="00E8725F" w:rsidRPr="001D184C">
        <w:t xml:space="preserve">the respondent employers </w:t>
      </w:r>
      <w:r w:rsidR="00403CFF">
        <w:t>should</w:t>
      </w:r>
      <w:r w:rsidRPr="001D184C">
        <w:t xml:space="preserve"> remain within the scope and </w:t>
      </w:r>
      <w:r w:rsidR="00B02DEE" w:rsidRPr="001D184C">
        <w:t xml:space="preserve">registration </w:t>
      </w:r>
      <w:r w:rsidRPr="001D184C">
        <w:t xml:space="preserve">of the </w:t>
      </w:r>
      <w:r w:rsidRPr="001D184C">
        <w:rPr>
          <w:lang w:val="en-US"/>
        </w:rPr>
        <w:t>Metal and Engineering Industries Bargaining Council (</w:t>
      </w:r>
      <w:r w:rsidRPr="001D184C">
        <w:t>MEIBC)</w:t>
      </w:r>
      <w:r w:rsidR="002C27F9">
        <w:t xml:space="preserve"> based</w:t>
      </w:r>
      <w:r w:rsidR="005A3C44">
        <w:t xml:space="preserve"> on the 1962 determination </w:t>
      </w:r>
      <w:r w:rsidR="002C27F9">
        <w:t xml:space="preserve">or whether should </w:t>
      </w:r>
      <w:r w:rsidR="00D63EFE">
        <w:t xml:space="preserve">they </w:t>
      </w:r>
      <w:r w:rsidR="00E8555C">
        <w:t>be re-assigned to</w:t>
      </w:r>
      <w:r w:rsidRPr="001D184C">
        <w:t xml:space="preserve"> MIBCO.</w:t>
      </w:r>
    </w:p>
    <w:p w14:paraId="7FB44835" w14:textId="77777777" w:rsidR="00D52ABD" w:rsidRPr="001D184C" w:rsidRDefault="00D52ABD" w:rsidP="00D52ABD"/>
    <w:p w14:paraId="42430753" w14:textId="248ABF39" w:rsidR="00D52ABD" w:rsidRPr="001D184C" w:rsidRDefault="00B02DEE" w:rsidP="00D52ABD">
      <w:r w:rsidRPr="001D184C">
        <w:t>At the CCMA</w:t>
      </w:r>
      <w:r w:rsidR="001515AD">
        <w:t>,</w:t>
      </w:r>
      <w:r w:rsidRPr="001D184C">
        <w:t xml:space="preserve"> the</w:t>
      </w:r>
      <w:r w:rsidR="0022732E">
        <w:t xml:space="preserve"> </w:t>
      </w:r>
      <w:r w:rsidRPr="001D184C">
        <w:t>respondent</w:t>
      </w:r>
      <w:r w:rsidR="0022732E">
        <w:t xml:space="preserve"> employers</w:t>
      </w:r>
      <w:r w:rsidRPr="001D184C">
        <w:t xml:space="preserve"> </w:t>
      </w:r>
      <w:r w:rsidR="00D52ABD" w:rsidRPr="001D184C">
        <w:t xml:space="preserve">contended that they fell within the </w:t>
      </w:r>
      <w:r w:rsidR="001D184C">
        <w:t xml:space="preserve">scope </w:t>
      </w:r>
      <w:r w:rsidR="00D52ABD" w:rsidRPr="001D184C">
        <w:t>of MIBCO</w:t>
      </w:r>
      <w:r w:rsidR="001515AD">
        <w:t>,</w:t>
      </w:r>
      <w:r w:rsidR="00D52ABD" w:rsidRPr="001D184C">
        <w:t xml:space="preserve"> while MEIBC</w:t>
      </w:r>
      <w:r w:rsidR="001515AD">
        <w:t>,</w:t>
      </w:r>
      <w:r w:rsidR="00D52ABD" w:rsidRPr="001D184C">
        <w:t xml:space="preserve"> as supported by </w:t>
      </w:r>
      <w:r w:rsidR="00C93DC0">
        <w:t xml:space="preserve">the National </w:t>
      </w:r>
      <w:r w:rsidR="004D10FF" w:rsidRPr="004D10FF">
        <w:t xml:space="preserve">Union of Metalworkers of South Africa </w:t>
      </w:r>
      <w:r w:rsidR="004D10FF">
        <w:t>(</w:t>
      </w:r>
      <w:r w:rsidR="00D52ABD" w:rsidRPr="001D184C">
        <w:t>NUMSA</w:t>
      </w:r>
      <w:r w:rsidR="004D10FF">
        <w:t>)</w:t>
      </w:r>
      <w:r w:rsidR="006E7603">
        <w:t>,</w:t>
      </w:r>
      <w:r w:rsidR="00D52ABD" w:rsidRPr="001D184C">
        <w:t xml:space="preserve"> contended that they fell within its jurisdiction.  The Commissioner held that to determine the scope and registration of a bargaining council one needs to look at the history of the collective bargaining in either of the bargaining councils as well as the determinati</w:t>
      </w:r>
      <w:r w:rsidRPr="001D184C">
        <w:t xml:space="preserve">ons that have already been made.  </w:t>
      </w:r>
      <w:r w:rsidR="006E7603">
        <w:t xml:space="preserve">To this end, the Commissioner </w:t>
      </w:r>
      <w:r w:rsidR="00245E5C">
        <w:t xml:space="preserve">held that </w:t>
      </w:r>
      <w:r w:rsidR="00D52ABD" w:rsidRPr="001D184C">
        <w:t xml:space="preserve">the 1962 determination </w:t>
      </w:r>
      <w:r w:rsidR="00245E5C">
        <w:t xml:space="preserve">was </w:t>
      </w:r>
      <w:r w:rsidR="00D52ABD" w:rsidRPr="001D184C">
        <w:t xml:space="preserve">binding.  </w:t>
      </w:r>
      <w:r w:rsidR="00245E5C">
        <w:t xml:space="preserve">He </w:t>
      </w:r>
      <w:r w:rsidR="00D52ABD" w:rsidRPr="001D184C">
        <w:t xml:space="preserve">held further that the demarcation enquiry should focus on the nature of the enterprise as determined by the process by which an end product </w:t>
      </w:r>
      <w:r w:rsidR="00D52ABD" w:rsidRPr="001D184C">
        <w:lastRenderedPageBreak/>
        <w:t xml:space="preserve">is made.  The Commissioner consequently found </w:t>
      </w:r>
      <w:r w:rsidR="00D52ABD" w:rsidRPr="00016B25">
        <w:t>that ten</w:t>
      </w:r>
      <w:r w:rsidRPr="00016B25">
        <w:t xml:space="preserve"> of the employers</w:t>
      </w:r>
      <w:r w:rsidRPr="001D184C">
        <w:t xml:space="preserve"> fell within the scope and registration of the MEIBC and six </w:t>
      </w:r>
      <w:r w:rsidR="006F539E">
        <w:t xml:space="preserve">of the </w:t>
      </w:r>
      <w:r w:rsidRPr="001D184C">
        <w:t xml:space="preserve">employers </w:t>
      </w:r>
      <w:r w:rsidR="00A47CC0">
        <w:t xml:space="preserve">fell </w:t>
      </w:r>
      <w:r w:rsidRPr="001D184C">
        <w:t>within the scope and registration of</w:t>
      </w:r>
      <w:r w:rsidR="00D52ABD" w:rsidRPr="001D184C">
        <w:t xml:space="preserve"> MIBCO.</w:t>
      </w:r>
    </w:p>
    <w:p w14:paraId="207CCE8D" w14:textId="77777777" w:rsidR="00D52ABD" w:rsidRPr="001D184C" w:rsidRDefault="00D52ABD" w:rsidP="00D52ABD"/>
    <w:p w14:paraId="6F0CB111" w14:textId="0DB7475E" w:rsidR="00D52ABD" w:rsidRPr="001D184C" w:rsidRDefault="00D52ABD" w:rsidP="00D52ABD">
      <w:r w:rsidRPr="00CF65FA">
        <w:t xml:space="preserve">The Labour Court heard a consolidated application to review and set aside and/or correct the decision that the </w:t>
      </w:r>
      <w:r w:rsidR="00CF65FA" w:rsidRPr="00CF65FA">
        <w:t xml:space="preserve">fourteenth to twenty-fifth </w:t>
      </w:r>
      <w:r w:rsidRPr="00CF65FA">
        <w:t>respondent</w:t>
      </w:r>
      <w:r w:rsidR="00DC7DDA" w:rsidRPr="00CF65FA">
        <w:t>s</w:t>
      </w:r>
      <w:r w:rsidR="00016B25" w:rsidRPr="00CF65FA">
        <w:t xml:space="preserve"> </w:t>
      </w:r>
      <w:r w:rsidR="00CF65FA" w:rsidRPr="00CF65FA">
        <w:t xml:space="preserve">(in this appeal) </w:t>
      </w:r>
      <w:r w:rsidRPr="00CF65FA">
        <w:t>fell within the scope of M</w:t>
      </w:r>
      <w:r w:rsidR="00CF65FA" w:rsidRPr="00CF65FA">
        <w:t>EIBC</w:t>
      </w:r>
      <w:r w:rsidRPr="00CF65FA">
        <w:t xml:space="preserve">; the </w:t>
      </w:r>
      <w:r w:rsidR="00CF65FA" w:rsidRPr="00CF65FA">
        <w:t xml:space="preserve">eighth to thirteenth </w:t>
      </w:r>
      <w:r w:rsidRPr="00CF65FA">
        <w:t>respondent</w:t>
      </w:r>
      <w:r w:rsidR="00DC7DDA" w:rsidRPr="00CF65FA">
        <w:t>s</w:t>
      </w:r>
      <w:r w:rsidR="00016B25" w:rsidRPr="00CF65FA">
        <w:t xml:space="preserve"> </w:t>
      </w:r>
      <w:r w:rsidR="00386978" w:rsidRPr="00CF65FA">
        <w:t xml:space="preserve">(in this appeal) </w:t>
      </w:r>
      <w:r w:rsidRPr="00CF65FA">
        <w:t xml:space="preserve">fell within the </w:t>
      </w:r>
      <w:r w:rsidR="00213507">
        <w:t>scope</w:t>
      </w:r>
      <w:r w:rsidRPr="00CF65FA">
        <w:t xml:space="preserve"> of the M</w:t>
      </w:r>
      <w:r w:rsidR="00CF65FA" w:rsidRPr="00CF65FA">
        <w:t>IB</w:t>
      </w:r>
      <w:r w:rsidRPr="00CF65FA">
        <w:t>C</w:t>
      </w:r>
      <w:r w:rsidR="00CF65FA" w:rsidRPr="00CF65FA">
        <w:t>O</w:t>
      </w:r>
      <w:r w:rsidRPr="00CF65FA">
        <w:t>; and a conditi</w:t>
      </w:r>
      <w:r w:rsidR="004D10FF" w:rsidRPr="00CF65FA">
        <w:t xml:space="preserve">onal cross review to consider </w:t>
      </w:r>
      <w:r w:rsidRPr="00CF65FA">
        <w:t>the fourteenth to twenty-fifth respondent</w:t>
      </w:r>
      <w:r w:rsidR="00A47CC0" w:rsidRPr="00CF65FA">
        <w:t>s</w:t>
      </w:r>
      <w:r w:rsidR="00016B25" w:rsidRPr="00CF65FA">
        <w:t xml:space="preserve"> </w:t>
      </w:r>
      <w:r w:rsidR="00CF65FA" w:rsidRPr="00CF65FA">
        <w:t xml:space="preserve">(in this appeal) </w:t>
      </w:r>
      <w:r w:rsidRPr="00CF65FA">
        <w:t>as employers within the scope of the MEIBC.</w:t>
      </w:r>
    </w:p>
    <w:p w14:paraId="54F1BBB5" w14:textId="77777777" w:rsidR="00D52ABD" w:rsidRPr="001D184C" w:rsidRDefault="00D52ABD" w:rsidP="00D52ABD"/>
    <w:p w14:paraId="53F85023" w14:textId="7C27DF9F" w:rsidR="005A7AEF" w:rsidRDefault="00D52ABD" w:rsidP="00D52ABD">
      <w:pPr>
        <w:pStyle w:val="JUDGMENTNUMBERED"/>
        <w:numPr>
          <w:ilvl w:val="0"/>
          <w:numId w:val="0"/>
        </w:numPr>
        <w:spacing w:line="240" w:lineRule="auto"/>
        <w:rPr>
          <w:sz w:val="24"/>
          <w:szCs w:val="24"/>
        </w:rPr>
      </w:pPr>
      <w:r w:rsidRPr="001D184C">
        <w:rPr>
          <w:sz w:val="24"/>
          <w:szCs w:val="24"/>
        </w:rPr>
        <w:t>The Labour Court outlined the main points of contention as: first, the status of the 1962 determination</w:t>
      </w:r>
      <w:r w:rsidR="00A50675">
        <w:rPr>
          <w:sz w:val="24"/>
          <w:szCs w:val="24"/>
        </w:rPr>
        <w:t>; second</w:t>
      </w:r>
      <w:r w:rsidR="00B445C6">
        <w:rPr>
          <w:sz w:val="24"/>
          <w:szCs w:val="24"/>
        </w:rPr>
        <w:t xml:space="preserve">, the </w:t>
      </w:r>
      <w:r w:rsidR="0076712F">
        <w:rPr>
          <w:sz w:val="24"/>
          <w:szCs w:val="24"/>
        </w:rPr>
        <w:t>C</w:t>
      </w:r>
      <w:r w:rsidR="00B445C6">
        <w:rPr>
          <w:sz w:val="24"/>
          <w:szCs w:val="24"/>
        </w:rPr>
        <w:t>ommissioner’s assessment of the collective bargaining history and structures; and third</w:t>
      </w:r>
      <w:r w:rsidR="005A7AEF">
        <w:rPr>
          <w:sz w:val="24"/>
          <w:szCs w:val="24"/>
        </w:rPr>
        <w:t>,</w:t>
      </w:r>
      <w:r w:rsidR="00B445C6">
        <w:rPr>
          <w:sz w:val="24"/>
          <w:szCs w:val="24"/>
        </w:rPr>
        <w:t xml:space="preserve"> the Commissioner’s rejection of the value chain and end-product arguments in respect of the demarcation enquiry.</w:t>
      </w:r>
    </w:p>
    <w:p w14:paraId="14A71A98" w14:textId="77777777" w:rsidR="005A7AEF" w:rsidRDefault="005A7AEF" w:rsidP="00D52ABD">
      <w:pPr>
        <w:pStyle w:val="JUDGMENTNUMBERED"/>
        <w:numPr>
          <w:ilvl w:val="0"/>
          <w:numId w:val="0"/>
        </w:numPr>
        <w:spacing w:line="240" w:lineRule="auto"/>
        <w:rPr>
          <w:sz w:val="24"/>
          <w:szCs w:val="24"/>
        </w:rPr>
      </w:pPr>
    </w:p>
    <w:p w14:paraId="433D2BA2" w14:textId="18785423" w:rsidR="00020357" w:rsidRDefault="00B445C6" w:rsidP="00D52ABD">
      <w:pPr>
        <w:pStyle w:val="JUDGMENTNUMBERED"/>
        <w:numPr>
          <w:ilvl w:val="0"/>
          <w:numId w:val="0"/>
        </w:numPr>
        <w:spacing w:line="240" w:lineRule="auto"/>
        <w:rPr>
          <w:sz w:val="24"/>
          <w:szCs w:val="24"/>
        </w:rPr>
      </w:pPr>
      <w:r>
        <w:rPr>
          <w:sz w:val="24"/>
          <w:szCs w:val="24"/>
        </w:rPr>
        <w:t xml:space="preserve">In regard to the first point of contention, the Labour Court </w:t>
      </w:r>
      <w:r w:rsidR="00D52ABD" w:rsidRPr="001D184C">
        <w:rPr>
          <w:sz w:val="24"/>
          <w:szCs w:val="24"/>
        </w:rPr>
        <w:t>held that in considering the 1962 determination to have a binding effect, the Commissioner committed a</w:t>
      </w:r>
      <w:r w:rsidR="003165EA">
        <w:rPr>
          <w:sz w:val="24"/>
          <w:szCs w:val="24"/>
        </w:rPr>
        <w:t xml:space="preserve"> material error of law and had reached a decision which was unreasonable.</w:t>
      </w:r>
      <w:r w:rsidR="00880D26">
        <w:rPr>
          <w:sz w:val="24"/>
          <w:szCs w:val="24"/>
        </w:rPr>
        <w:t xml:space="preserve"> </w:t>
      </w:r>
      <w:r w:rsidR="00016B25">
        <w:rPr>
          <w:sz w:val="24"/>
          <w:szCs w:val="24"/>
        </w:rPr>
        <w:t xml:space="preserve"> </w:t>
      </w:r>
      <w:r w:rsidR="00880D26">
        <w:rPr>
          <w:sz w:val="24"/>
          <w:szCs w:val="24"/>
        </w:rPr>
        <w:t xml:space="preserve">On this basis alone the award had to be set aside. </w:t>
      </w:r>
      <w:r w:rsidR="00016B25">
        <w:rPr>
          <w:sz w:val="24"/>
          <w:szCs w:val="24"/>
        </w:rPr>
        <w:t xml:space="preserve"> </w:t>
      </w:r>
      <w:r w:rsidR="00880D26">
        <w:rPr>
          <w:sz w:val="24"/>
          <w:szCs w:val="24"/>
        </w:rPr>
        <w:t>The Labour Court proceeded to consider whether the award could be saved on other grounds.</w:t>
      </w:r>
    </w:p>
    <w:p w14:paraId="002D1D61" w14:textId="77777777" w:rsidR="00020357" w:rsidRDefault="00020357" w:rsidP="00D52ABD">
      <w:pPr>
        <w:pStyle w:val="JUDGMENTNUMBERED"/>
        <w:numPr>
          <w:ilvl w:val="0"/>
          <w:numId w:val="0"/>
        </w:numPr>
        <w:spacing w:line="240" w:lineRule="auto"/>
        <w:rPr>
          <w:sz w:val="24"/>
          <w:szCs w:val="24"/>
        </w:rPr>
      </w:pPr>
    </w:p>
    <w:p w14:paraId="58BAE332" w14:textId="54B1E2D8" w:rsidR="00D52ABD" w:rsidRPr="001D184C" w:rsidRDefault="00B57D21" w:rsidP="00D52ABD">
      <w:pPr>
        <w:pStyle w:val="JUDGMENTNUMBERED"/>
        <w:numPr>
          <w:ilvl w:val="0"/>
          <w:numId w:val="0"/>
        </w:numPr>
        <w:spacing w:line="240" w:lineRule="auto"/>
        <w:rPr>
          <w:sz w:val="24"/>
          <w:szCs w:val="24"/>
        </w:rPr>
      </w:pPr>
      <w:r>
        <w:rPr>
          <w:sz w:val="24"/>
          <w:szCs w:val="24"/>
        </w:rPr>
        <w:t xml:space="preserve">In </w:t>
      </w:r>
      <w:r w:rsidR="003165EA">
        <w:rPr>
          <w:sz w:val="24"/>
          <w:szCs w:val="24"/>
        </w:rPr>
        <w:t xml:space="preserve">regard to the second point of contention, </w:t>
      </w:r>
      <w:r>
        <w:rPr>
          <w:sz w:val="24"/>
          <w:szCs w:val="24"/>
        </w:rPr>
        <w:t>the Labour Court</w:t>
      </w:r>
      <w:r w:rsidR="00D52ABD" w:rsidRPr="001D184C">
        <w:rPr>
          <w:sz w:val="24"/>
          <w:szCs w:val="24"/>
        </w:rPr>
        <w:t xml:space="preserve"> held that the fact that the 1962 determination had regulated the industry for over 60 years did not in itself mean it was definitive.  The Labour Court relied on the uncont</w:t>
      </w:r>
      <w:r w:rsidR="004D10FF">
        <w:rPr>
          <w:sz w:val="24"/>
          <w:szCs w:val="24"/>
        </w:rPr>
        <w:t xml:space="preserve">ested evidence of Mr </w:t>
      </w:r>
      <w:r w:rsidR="00D52ABD" w:rsidRPr="001D184C">
        <w:rPr>
          <w:sz w:val="24"/>
          <w:szCs w:val="24"/>
        </w:rPr>
        <w:t>Manners who had explained how the component manufacturing industry had changed considerably over time.</w:t>
      </w:r>
    </w:p>
    <w:p w14:paraId="14AAEA34" w14:textId="77777777" w:rsidR="00D52ABD" w:rsidRPr="001D184C" w:rsidRDefault="00D52ABD" w:rsidP="00D52ABD">
      <w:pPr>
        <w:pStyle w:val="JUDGMENTNUMBERED"/>
        <w:numPr>
          <w:ilvl w:val="0"/>
          <w:numId w:val="0"/>
        </w:numPr>
        <w:spacing w:line="240" w:lineRule="auto"/>
        <w:rPr>
          <w:sz w:val="24"/>
          <w:szCs w:val="24"/>
        </w:rPr>
      </w:pPr>
    </w:p>
    <w:p w14:paraId="7BE79C16" w14:textId="7ED55B70" w:rsidR="00D52ABD" w:rsidRPr="001D184C" w:rsidRDefault="00ED6BE2" w:rsidP="00D52ABD">
      <w:pPr>
        <w:pStyle w:val="JUDGMENTNUMBERED"/>
        <w:numPr>
          <w:ilvl w:val="0"/>
          <w:numId w:val="0"/>
        </w:numPr>
        <w:spacing w:line="240" w:lineRule="auto"/>
        <w:rPr>
          <w:sz w:val="24"/>
          <w:szCs w:val="24"/>
        </w:rPr>
      </w:pPr>
      <w:r>
        <w:rPr>
          <w:sz w:val="24"/>
          <w:szCs w:val="24"/>
        </w:rPr>
        <w:t>In regard to the third point of contention, the Labour Court</w:t>
      </w:r>
      <w:r w:rsidR="00D52ABD" w:rsidRPr="001D184C">
        <w:rPr>
          <w:sz w:val="24"/>
          <w:szCs w:val="24"/>
        </w:rPr>
        <w:t xml:space="preserve"> held that the Commissioner’s approach ignored the plain language of the registered scope of the MIBCO and MEIBC respectively.</w:t>
      </w:r>
      <w:r w:rsidR="004C2365" w:rsidRPr="001D184C">
        <w:rPr>
          <w:sz w:val="24"/>
          <w:szCs w:val="24"/>
        </w:rPr>
        <w:t xml:space="preserve"> </w:t>
      </w:r>
      <w:r w:rsidR="00D52ABD" w:rsidRPr="001D184C">
        <w:rPr>
          <w:sz w:val="24"/>
          <w:szCs w:val="24"/>
        </w:rPr>
        <w:t xml:space="preserve"> In this regard, the Labour Court pointed out that the definitions made no reference to the manufacturing process and were more concerned with the outcomes in terms of products and so on.  The Labour Court pointed out that a high percentage of the work done by most of the employers (ranging from 80% to 90%) indicated that for all intents and purposes their entire businesses were dedicated to the value chain relevant to the motor industry.  The Labour Court held as such that the employers were </w:t>
      </w:r>
      <w:r w:rsidR="00D52ABD" w:rsidRPr="009276B6">
        <w:rPr>
          <w:sz w:val="24"/>
          <w:szCs w:val="24"/>
        </w:rPr>
        <w:t>“an integral link in the chain or value system between the conception and delivery of a motor vehicle.”</w:t>
      </w:r>
      <w:r w:rsidR="00D52ABD" w:rsidRPr="001D184C">
        <w:rPr>
          <w:sz w:val="24"/>
          <w:szCs w:val="24"/>
        </w:rPr>
        <w:t xml:space="preserve">  For all these reasons, the Commissioner’s decision was held to be unreasonable. </w:t>
      </w:r>
      <w:r w:rsidR="00CF65FA">
        <w:rPr>
          <w:sz w:val="24"/>
          <w:szCs w:val="24"/>
        </w:rPr>
        <w:t xml:space="preserve"> </w:t>
      </w:r>
      <w:r w:rsidR="00D52ABD" w:rsidRPr="001D184C">
        <w:rPr>
          <w:sz w:val="24"/>
          <w:szCs w:val="24"/>
        </w:rPr>
        <w:t>NUMSA’s cross-appeal was also dismissed</w:t>
      </w:r>
      <w:r w:rsidR="004C2365" w:rsidRPr="001D184C">
        <w:rPr>
          <w:sz w:val="24"/>
          <w:szCs w:val="24"/>
        </w:rPr>
        <w:t>.</w:t>
      </w:r>
    </w:p>
    <w:p w14:paraId="7F5BF7F7" w14:textId="77777777" w:rsidR="00D52ABD" w:rsidRPr="001D184C" w:rsidRDefault="00D52ABD" w:rsidP="00D52ABD"/>
    <w:p w14:paraId="2FC225D0" w14:textId="0639455B" w:rsidR="00C24AA9" w:rsidRPr="001D184C" w:rsidRDefault="00D52ABD" w:rsidP="00D52ABD">
      <w:r w:rsidRPr="001D184C">
        <w:t>In the Labour Appeal Court</w:t>
      </w:r>
      <w:r w:rsidR="00462B78">
        <w:t xml:space="preserve"> (LAC),</w:t>
      </w:r>
      <w:r w:rsidRPr="001D184C">
        <w:t xml:space="preserve"> </w:t>
      </w:r>
      <w:r w:rsidR="004D10FF">
        <w:t>NUMSA</w:t>
      </w:r>
      <w:r w:rsidRPr="001D184C">
        <w:t xml:space="preserve"> appealed against the decision of the Labour</w:t>
      </w:r>
      <w:r w:rsidR="00CF65FA">
        <w:t> </w:t>
      </w:r>
      <w:r w:rsidRPr="001D184C">
        <w:t xml:space="preserve">Court. </w:t>
      </w:r>
      <w:r w:rsidR="004C2365" w:rsidRPr="001D184C">
        <w:t xml:space="preserve"> </w:t>
      </w:r>
      <w:r w:rsidRPr="001D184C">
        <w:t>The L</w:t>
      </w:r>
      <w:r w:rsidR="00462B78">
        <w:t>AC</w:t>
      </w:r>
      <w:r w:rsidRPr="001D184C">
        <w:t xml:space="preserve"> dismissed the appeal and endorsed the reasoning and approach that was adopted in </w:t>
      </w:r>
      <w:r w:rsidR="004C2365" w:rsidRPr="001D184C">
        <w:t xml:space="preserve">the </w:t>
      </w:r>
      <w:r w:rsidRPr="001D184C">
        <w:t>Labour Court and also came to the co</w:t>
      </w:r>
      <w:r w:rsidR="004D10FF">
        <w:t>nclusion that the employers fell</w:t>
      </w:r>
      <w:r w:rsidRPr="001D184C">
        <w:t xml:space="preserve"> within the scope and registration of MIBCO.</w:t>
      </w:r>
      <w:r w:rsidR="00887528">
        <w:t xml:space="preserve"> </w:t>
      </w:r>
      <w:r w:rsidR="00016B25">
        <w:t xml:space="preserve"> </w:t>
      </w:r>
      <w:r w:rsidR="0098248A">
        <w:t>The L</w:t>
      </w:r>
      <w:r w:rsidR="00462B78">
        <w:t xml:space="preserve">AC </w:t>
      </w:r>
      <w:r w:rsidR="0098248A">
        <w:t xml:space="preserve">reasoned that firstly, on a literal interpretation of the registered scope of the two bargaining councils, the respondent employers fell within the scope of the MIBCO. </w:t>
      </w:r>
      <w:r w:rsidR="00016B25">
        <w:t xml:space="preserve"> </w:t>
      </w:r>
      <w:r w:rsidR="009537DF">
        <w:t xml:space="preserve">The </w:t>
      </w:r>
      <w:r w:rsidR="0076712F">
        <w:t>LAC</w:t>
      </w:r>
      <w:r w:rsidR="009537DF">
        <w:t xml:space="preserve"> reasoned further that the work process approach was inappropriate because </w:t>
      </w:r>
      <w:r w:rsidR="00553624">
        <w:t xml:space="preserve">it disregarded the registered scope of the bargaining councils and </w:t>
      </w:r>
      <w:r w:rsidR="00332B3D">
        <w:t xml:space="preserve">noted that the definition of the motor industry </w:t>
      </w:r>
      <w:r w:rsidR="00224757">
        <w:t xml:space="preserve">relates </w:t>
      </w:r>
      <w:r w:rsidR="00462B78">
        <w:t xml:space="preserve">to </w:t>
      </w:r>
      <w:r w:rsidR="00397E0A">
        <w:t xml:space="preserve">the </w:t>
      </w:r>
      <w:r w:rsidR="00462B78">
        <w:t>end-</w:t>
      </w:r>
      <w:r w:rsidR="00462B78">
        <w:lastRenderedPageBreak/>
        <w:t xml:space="preserve">product as opposed to the manufacturing process. </w:t>
      </w:r>
      <w:r w:rsidR="00016B25">
        <w:t xml:space="preserve"> </w:t>
      </w:r>
      <w:r w:rsidR="00397E0A">
        <w:t>For this reason, the LAC</w:t>
      </w:r>
      <w:r w:rsidR="006B2639">
        <w:t xml:space="preserve"> endorsed the value chain approach because this </w:t>
      </w:r>
      <w:r w:rsidR="00887528">
        <w:t xml:space="preserve">too </w:t>
      </w:r>
      <w:r w:rsidR="006B2639">
        <w:t xml:space="preserve">was consonant with the registered scope of </w:t>
      </w:r>
      <w:r w:rsidR="004A6C00">
        <w:t>the two bargaining councils.</w:t>
      </w:r>
    </w:p>
    <w:p w14:paraId="360C15C7" w14:textId="08AC4ABD" w:rsidR="00D52ABD" w:rsidRPr="001D184C" w:rsidRDefault="00D52ABD" w:rsidP="00D52ABD"/>
    <w:p w14:paraId="7C7B6A1F" w14:textId="1A4C668F" w:rsidR="00D52ABD" w:rsidRPr="001D184C" w:rsidRDefault="00D52ABD" w:rsidP="009276B6">
      <w:r w:rsidRPr="001D184C">
        <w:t>In this Court, the applicant submits that the respondent employers should have remained within the scope of the MEIBC.  The applicant contends that an error of law or fact alone is not sufficient to warrant a setting aside of an award</w:t>
      </w:r>
      <w:r w:rsidR="00891C6B">
        <w:t xml:space="preserve">. </w:t>
      </w:r>
      <w:r w:rsidR="00016B25">
        <w:t xml:space="preserve"> </w:t>
      </w:r>
      <w:r w:rsidR="00891C6B">
        <w:t>To the contrary,</w:t>
      </w:r>
      <w:r w:rsidRPr="001D184C">
        <w:t xml:space="preserve"> one needs to go further and ask if the error renders the decision unreasonable.  The applicant submits that the award was capable of a reasonable justification.</w:t>
      </w:r>
      <w:r w:rsidR="00AE1270">
        <w:t xml:space="preserve"> </w:t>
      </w:r>
      <w:r w:rsidR="00016B25">
        <w:t xml:space="preserve"> </w:t>
      </w:r>
      <w:r w:rsidR="00770694" w:rsidRPr="001D184C">
        <w:t xml:space="preserve">They submit that a demarcation decision involves facts, law and policy considerations and the Labour Court should have considered the latter as of primary importance instead of heavily relying on the councils’ certificates of registration.  They </w:t>
      </w:r>
      <w:r w:rsidR="00A20DE2">
        <w:t>contend</w:t>
      </w:r>
      <w:r w:rsidRPr="001D184C">
        <w:t xml:space="preserve"> that the process and material approach yields a more rational and consistent result in terms of the conditions of employment because it treats metal workers uniformly.  </w:t>
      </w:r>
      <w:r w:rsidR="008A14C4">
        <w:t>As such, t</w:t>
      </w:r>
      <w:r w:rsidRPr="001D184C">
        <w:t xml:space="preserve">he applicant </w:t>
      </w:r>
      <w:r w:rsidR="008A14C4">
        <w:t>is of the view</w:t>
      </w:r>
      <w:r w:rsidRPr="001D184C">
        <w:t xml:space="preserve"> that the reliance on the end product as opposed to material and process does not find support in case law</w:t>
      </w:r>
      <w:r w:rsidR="003E7D22">
        <w:t>.</w:t>
      </w:r>
    </w:p>
    <w:p w14:paraId="25A325F8" w14:textId="77777777" w:rsidR="00D52ABD" w:rsidRPr="001D184C" w:rsidRDefault="00D52ABD" w:rsidP="00D52ABD">
      <w:pPr>
        <w:pStyle w:val="JUDGMENTNUMBERED"/>
        <w:numPr>
          <w:ilvl w:val="0"/>
          <w:numId w:val="0"/>
        </w:numPr>
        <w:spacing w:line="240" w:lineRule="auto"/>
        <w:rPr>
          <w:sz w:val="24"/>
          <w:szCs w:val="24"/>
        </w:rPr>
      </w:pPr>
    </w:p>
    <w:p w14:paraId="7EF4548F" w14:textId="3988C58C" w:rsidR="00D52ABD" w:rsidRPr="001D184C" w:rsidRDefault="00D52ABD" w:rsidP="00D52ABD">
      <w:pPr>
        <w:pStyle w:val="JUDGMENTNUMBERED"/>
        <w:numPr>
          <w:ilvl w:val="0"/>
          <w:numId w:val="0"/>
        </w:numPr>
        <w:spacing w:line="240" w:lineRule="auto"/>
        <w:rPr>
          <w:sz w:val="24"/>
          <w:szCs w:val="24"/>
        </w:rPr>
      </w:pPr>
      <w:r w:rsidRPr="001D184C">
        <w:rPr>
          <w:sz w:val="24"/>
          <w:szCs w:val="24"/>
        </w:rPr>
        <w:t>The applicant submits that there have not been a lot of developments that shifted the boundaries between the industries</w:t>
      </w:r>
      <w:r w:rsidR="003E7D22">
        <w:rPr>
          <w:sz w:val="24"/>
          <w:szCs w:val="24"/>
        </w:rPr>
        <w:t xml:space="preserve"> and as such</w:t>
      </w:r>
      <w:r w:rsidRPr="001D184C">
        <w:rPr>
          <w:sz w:val="24"/>
          <w:szCs w:val="24"/>
        </w:rPr>
        <w:t xml:space="preserve"> the same framework that is applicable to them now remains unchanged since </w:t>
      </w:r>
      <w:r w:rsidR="00880D26">
        <w:rPr>
          <w:sz w:val="24"/>
          <w:szCs w:val="24"/>
        </w:rPr>
        <w:t>1962</w:t>
      </w:r>
      <w:r w:rsidRPr="001D184C">
        <w:rPr>
          <w:sz w:val="24"/>
          <w:szCs w:val="24"/>
        </w:rPr>
        <w:t>.  The applicant therefore submits that the reliance of the arbitrator on material and process instead of the end product was not so unreasonable so as to be subject to review.</w:t>
      </w:r>
    </w:p>
    <w:p w14:paraId="7293F5A9" w14:textId="77777777" w:rsidR="00D52ABD" w:rsidRPr="001D184C" w:rsidRDefault="00D52ABD" w:rsidP="00D52ABD"/>
    <w:p w14:paraId="4B642B9F" w14:textId="0486AB9D" w:rsidR="00D52ABD" w:rsidRPr="001D184C" w:rsidRDefault="00770694" w:rsidP="009276B6">
      <w:r w:rsidRPr="001D184C">
        <w:t>Th</w:t>
      </w:r>
      <w:r w:rsidR="00AD2C09">
        <w:t>e applicant contends</w:t>
      </w:r>
      <w:r w:rsidR="008C7405" w:rsidRPr="001D184C">
        <w:t xml:space="preserve"> that the Labour Court did not have the power to substitute its own decision for that of the CCMA.  </w:t>
      </w:r>
      <w:r w:rsidR="00D52ABD" w:rsidRPr="001D184C">
        <w:t xml:space="preserve">Section 62 of the </w:t>
      </w:r>
      <w:proofErr w:type="spellStart"/>
      <w:r w:rsidR="00D52ABD" w:rsidRPr="001D184C">
        <w:t>LRA</w:t>
      </w:r>
      <w:proofErr w:type="spellEnd"/>
      <w:r w:rsidR="00D52ABD" w:rsidRPr="001D184C">
        <w:t xml:space="preserve"> requires not just an arbitration hearing, </w:t>
      </w:r>
      <w:r w:rsidR="00146E01">
        <w:t>but</w:t>
      </w:r>
      <w:r w:rsidR="00D52ABD" w:rsidRPr="001D184C">
        <w:t xml:space="preserve"> also requires the Commissioner to consult with </w:t>
      </w:r>
      <w:proofErr w:type="spellStart"/>
      <w:r w:rsidR="00D52ABD" w:rsidRPr="001D184C">
        <w:t>NEDLAC</w:t>
      </w:r>
      <w:proofErr w:type="spellEnd"/>
      <w:r w:rsidR="00D52ABD" w:rsidRPr="001D184C">
        <w:t xml:space="preserve"> and consider representations from interested parties before issuing an award.  They submit further that this process is not sui</w:t>
      </w:r>
      <w:r w:rsidR="001A1277">
        <w:t>ted to the substitution of the C</w:t>
      </w:r>
      <w:r w:rsidR="00D52ABD" w:rsidRPr="001D184C">
        <w:t>ommissioner’s decision by the Labour</w:t>
      </w:r>
      <w:r w:rsidR="0076712F">
        <w:t> </w:t>
      </w:r>
      <w:r w:rsidR="00D52ABD" w:rsidRPr="001D184C">
        <w:t>Court.  A demarcation decision involves facts, law and policy considerations</w:t>
      </w:r>
      <w:r w:rsidR="00E02A77">
        <w:t xml:space="preserve"> and</w:t>
      </w:r>
      <w:r w:rsidR="00D52ABD" w:rsidRPr="001D184C">
        <w:t xml:space="preserve"> it is a process that should be exclusively dealt with by specialist tribunals that are knowledgeable on the conditions of a certain sector, and not judges.  </w:t>
      </w:r>
      <w:r w:rsidR="004C4BCE">
        <w:t>Essentially, t</w:t>
      </w:r>
      <w:r w:rsidR="00D52ABD" w:rsidRPr="001D184C">
        <w:t xml:space="preserve">he applicant submits that judges are not experienced and skilled in making decisions on demarcation disputes, </w:t>
      </w:r>
      <w:r w:rsidR="009500E1">
        <w:t xml:space="preserve">and </w:t>
      </w:r>
      <w:r w:rsidR="00D52ABD" w:rsidRPr="001D184C">
        <w:t>furthermore, making policy-laden decisions politicises their role.</w:t>
      </w:r>
      <w:r w:rsidR="008D301B">
        <w:t xml:space="preserve"> </w:t>
      </w:r>
      <w:r w:rsidR="00CF65FA">
        <w:t xml:space="preserve"> </w:t>
      </w:r>
      <w:r w:rsidR="00D52ABD" w:rsidRPr="001D184C">
        <w:t>In light of the section 62 process that the Commissioner has to follow and the various factors that the commissioner must consider, a demarcation decision in this context cannot be a foregone conclusion.</w:t>
      </w:r>
      <w:r w:rsidR="008C7405" w:rsidRPr="001D184C">
        <w:t xml:space="preserve">  </w:t>
      </w:r>
      <w:r w:rsidR="00D52ABD" w:rsidRPr="001D184C">
        <w:t>The applicant submits that the Labour Court did not have the requisite power, skills and knowledge to determine the demarcation dispute itself,</w:t>
      </w:r>
      <w:r w:rsidR="00272DF7">
        <w:t xml:space="preserve"> and therefore</w:t>
      </w:r>
      <w:r w:rsidR="00D52ABD" w:rsidRPr="001D184C">
        <w:t xml:space="preserve"> instead of substituting its own demarcation award, it should have remitted the matter to the CCMA.</w:t>
      </w:r>
    </w:p>
    <w:p w14:paraId="0C3413D8" w14:textId="77777777" w:rsidR="00D52ABD" w:rsidRPr="001D184C" w:rsidRDefault="00D52ABD" w:rsidP="00D52ABD"/>
    <w:p w14:paraId="24666820" w14:textId="7A6D3654" w:rsidR="00D52ABD" w:rsidRPr="001D184C" w:rsidRDefault="00D52ABD" w:rsidP="009276B6">
      <w:r w:rsidRPr="001D184C">
        <w:t>The re</w:t>
      </w:r>
      <w:r w:rsidR="008C7405" w:rsidRPr="001D184C">
        <w:t xml:space="preserve">spondents submit that </w:t>
      </w:r>
      <w:r w:rsidRPr="001D184C">
        <w:t>the Commissioner’s reliance on the 1962 determination was a material error of law and cannot</w:t>
      </w:r>
      <w:r w:rsidR="008C7405" w:rsidRPr="001D184C">
        <w:t xml:space="preserve"> be</w:t>
      </w:r>
      <w:r w:rsidRPr="001D184C">
        <w:t xml:space="preserve"> save</w:t>
      </w:r>
      <w:r w:rsidR="008C7405" w:rsidRPr="001D184C">
        <w:t xml:space="preserve">d </w:t>
      </w:r>
      <w:r w:rsidRPr="001D184C">
        <w:t xml:space="preserve">by arguing that the Commissioner’s decision was one that a reasonable decision maker would reach.  They contend that the Commissioner and applicant’s emphasis on the material and process approach is untenable as it ignores the wording in the </w:t>
      </w:r>
      <w:proofErr w:type="spellStart"/>
      <w:r w:rsidRPr="001D184C">
        <w:t>MEIBC’s</w:t>
      </w:r>
      <w:proofErr w:type="spellEnd"/>
      <w:r w:rsidRPr="001D184C">
        <w:t xml:space="preserve"> registered scope</w:t>
      </w:r>
      <w:r w:rsidR="007F3FD5">
        <w:t xml:space="preserve"> which</w:t>
      </w:r>
      <w:r w:rsidRPr="001D184C">
        <w:t xml:space="preserve"> </w:t>
      </w:r>
      <w:r w:rsidR="00174C55">
        <w:t xml:space="preserve">is a </w:t>
      </w:r>
      <w:r w:rsidRPr="001D184C">
        <w:t xml:space="preserve">relevant </w:t>
      </w:r>
      <w:r w:rsidR="007F3FD5">
        <w:t xml:space="preserve">and </w:t>
      </w:r>
      <w:r w:rsidRPr="001D184C">
        <w:t xml:space="preserve">material factor.  The </w:t>
      </w:r>
      <w:r w:rsidR="004E6ED1">
        <w:t xml:space="preserve">respondents contend that the </w:t>
      </w:r>
      <w:r w:rsidRPr="001D184C">
        <w:t>authorities that the applicant rel</w:t>
      </w:r>
      <w:r w:rsidR="004E6ED1">
        <w:t>y</w:t>
      </w:r>
      <w:r w:rsidRPr="001D184C">
        <w:t xml:space="preserve"> on to support this approach is not authority </w:t>
      </w:r>
      <w:r w:rsidR="00B1219C" w:rsidRPr="001D184C">
        <w:t xml:space="preserve">for the proposition that </w:t>
      </w:r>
      <w:r w:rsidRPr="001D184C">
        <w:t>employers should be demarcated based on</w:t>
      </w:r>
      <w:r w:rsidR="00B1219C" w:rsidRPr="001D184C">
        <w:t xml:space="preserve"> the manufacturing process. </w:t>
      </w:r>
      <w:r w:rsidR="00CF65FA">
        <w:t xml:space="preserve"> </w:t>
      </w:r>
      <w:r w:rsidR="009B2CBD" w:rsidRPr="001D184C">
        <w:t xml:space="preserve">The respondents further submit </w:t>
      </w:r>
      <w:r w:rsidRPr="001D184C">
        <w:t xml:space="preserve">that the focus of the </w:t>
      </w:r>
      <w:r w:rsidRPr="001D184C">
        <w:lastRenderedPageBreak/>
        <w:t>determination is in the present</w:t>
      </w:r>
      <w:r w:rsidR="00596F9A">
        <w:t xml:space="preserve"> and</w:t>
      </w:r>
      <w:r w:rsidRPr="001D184C">
        <w:t xml:space="preserve"> it does not see why a historical connection to a bargaining council should be given any significance.</w:t>
      </w:r>
      <w:r w:rsidR="008D301B">
        <w:t xml:space="preserve"> </w:t>
      </w:r>
      <w:r w:rsidR="00CF65FA">
        <w:t xml:space="preserve"> </w:t>
      </w:r>
      <w:r w:rsidRPr="001D184C">
        <w:t>The respondents submit that</w:t>
      </w:r>
      <w:r w:rsidR="009B2CBD" w:rsidRPr="001D184C">
        <w:t xml:space="preserve"> the failure of the Commissioner to take into account other compelling factors that should have been properly considered </w:t>
      </w:r>
      <w:r w:rsidR="001F4D6C">
        <w:t>rendered</w:t>
      </w:r>
      <w:r w:rsidR="009B2CBD" w:rsidRPr="001D184C">
        <w:t xml:space="preserve"> his decision unreasonable.</w:t>
      </w:r>
    </w:p>
    <w:p w14:paraId="52A80D5D" w14:textId="77777777" w:rsidR="009B2CBD" w:rsidRPr="001D184C" w:rsidRDefault="009B2CBD" w:rsidP="009B2CBD"/>
    <w:p w14:paraId="07B5611B" w14:textId="27FF4CD7" w:rsidR="00D52ABD" w:rsidRPr="001D184C" w:rsidRDefault="00D52ABD" w:rsidP="00D52ABD">
      <w:r w:rsidRPr="001D184C">
        <w:t xml:space="preserve">The respondents submit that the Labour Court has the power to determine a demarcation dispute.  If an arbitration award is set aside, section 145 (4)(a) </w:t>
      </w:r>
      <w:r w:rsidR="00186B67">
        <w:t xml:space="preserve">of the </w:t>
      </w:r>
      <w:proofErr w:type="spellStart"/>
      <w:r w:rsidR="00186B67">
        <w:t>LRA</w:t>
      </w:r>
      <w:proofErr w:type="spellEnd"/>
      <w:r w:rsidR="00186B67">
        <w:t xml:space="preserve">, </w:t>
      </w:r>
      <w:r w:rsidRPr="001D184C">
        <w:t>gives the Labour</w:t>
      </w:r>
      <w:r w:rsidR="00CF65FA">
        <w:t> </w:t>
      </w:r>
      <w:r w:rsidRPr="001D184C">
        <w:t xml:space="preserve">Court the power to determine a dispute in a manner that it considers appropriate including the power to substitute its decision for that of the demarcation commissioner.  They further submit that section 62 of the </w:t>
      </w:r>
      <w:proofErr w:type="spellStart"/>
      <w:r w:rsidRPr="001D184C">
        <w:t>LRA</w:t>
      </w:r>
      <w:proofErr w:type="spellEnd"/>
      <w:r w:rsidRPr="001D184C">
        <w:t xml:space="preserve"> and policy considerations do not prevent the Labour Court</w:t>
      </w:r>
      <w:r w:rsidR="009B2CBD" w:rsidRPr="001D184C">
        <w:t xml:space="preserve"> from exercising this power.</w:t>
      </w:r>
    </w:p>
    <w:p w14:paraId="545AF53D" w14:textId="77777777" w:rsidR="00D52ABD" w:rsidRPr="001D184C" w:rsidRDefault="00D52ABD" w:rsidP="00D52ABD"/>
    <w:p w14:paraId="3732BDF7" w14:textId="3E12D7B6" w:rsidR="00D52ABD" w:rsidRPr="001D184C" w:rsidRDefault="00D768A2" w:rsidP="00D52ABD">
      <w:r>
        <w:t xml:space="preserve">Relying on </w:t>
      </w:r>
      <w:r w:rsidR="00471FC8">
        <w:t xml:space="preserve">the decision in </w:t>
      </w:r>
      <w:proofErr w:type="spellStart"/>
      <w:r w:rsidR="00471FC8" w:rsidRPr="009276B6">
        <w:rPr>
          <w:i/>
          <w:iCs/>
        </w:rPr>
        <w:t>Trencon</w:t>
      </w:r>
      <w:proofErr w:type="spellEnd"/>
      <w:r w:rsidR="00471FC8" w:rsidRPr="009276B6">
        <w:rPr>
          <w:i/>
          <w:iCs/>
        </w:rPr>
        <w:t> Construction (Pty) Limited v Industrial Development Corporation of South Africa Limited</w:t>
      </w:r>
      <w:r w:rsidR="00471FC8">
        <w:t>, t</w:t>
      </w:r>
      <w:r w:rsidR="000119DA">
        <w:t xml:space="preserve">he respondents submit that </w:t>
      </w:r>
      <w:r w:rsidR="001E16BC">
        <w:t>s</w:t>
      </w:r>
      <w:r w:rsidR="00D52ABD" w:rsidRPr="001D184C">
        <w:t>ubstitution is applicable in exceptional circumstances</w:t>
      </w:r>
      <w:r w:rsidR="00C21DB1">
        <w:t xml:space="preserve"> and must be determine</w:t>
      </w:r>
      <w:r w:rsidR="00881649">
        <w:t>d</w:t>
      </w:r>
      <w:r w:rsidR="00C21DB1">
        <w:t xml:space="preserve"> by whether the Court </w:t>
      </w:r>
      <w:r w:rsidR="00C305F3">
        <w:t xml:space="preserve">is </w:t>
      </w:r>
      <w:r w:rsidR="00D52ABD" w:rsidRPr="001D184C">
        <w:rPr>
          <w:lang w:val="en-US"/>
        </w:rPr>
        <w:t xml:space="preserve">in </w:t>
      </w:r>
      <w:r w:rsidR="001E16BC">
        <w:rPr>
          <w:lang w:val="en-US"/>
        </w:rPr>
        <w:t xml:space="preserve">as </w:t>
      </w:r>
      <w:r w:rsidR="00D52ABD" w:rsidRPr="001D184C">
        <w:rPr>
          <w:lang w:val="en-US"/>
        </w:rPr>
        <w:t xml:space="preserve">good </w:t>
      </w:r>
      <w:r w:rsidR="001E16BC">
        <w:rPr>
          <w:lang w:val="en-US"/>
        </w:rPr>
        <w:t xml:space="preserve">a </w:t>
      </w:r>
      <w:r w:rsidR="00D52ABD" w:rsidRPr="001D184C">
        <w:rPr>
          <w:lang w:val="en-US"/>
        </w:rPr>
        <w:t xml:space="preserve">position as the administrator to make the </w:t>
      </w:r>
      <w:r w:rsidR="00881649">
        <w:rPr>
          <w:lang w:val="en-US"/>
        </w:rPr>
        <w:t>decision</w:t>
      </w:r>
      <w:r w:rsidR="00C305F3">
        <w:rPr>
          <w:lang w:val="en-US"/>
        </w:rPr>
        <w:t xml:space="preserve">, </w:t>
      </w:r>
      <w:r w:rsidR="00881649">
        <w:rPr>
          <w:lang w:val="en-US"/>
        </w:rPr>
        <w:t xml:space="preserve">whether </w:t>
      </w:r>
      <w:r w:rsidR="00D52ABD" w:rsidRPr="001D184C">
        <w:rPr>
          <w:lang w:val="en-US"/>
        </w:rPr>
        <w:t>that decisio</w:t>
      </w:r>
      <w:r w:rsidR="00881649">
        <w:rPr>
          <w:lang w:val="en-US"/>
        </w:rPr>
        <w:t>n is a</w:t>
      </w:r>
      <w:r w:rsidR="00D52ABD" w:rsidRPr="001D184C">
        <w:rPr>
          <w:lang w:val="en-US"/>
        </w:rPr>
        <w:t xml:space="preserve"> foregone conclusion</w:t>
      </w:r>
      <w:r w:rsidR="00B528C9">
        <w:rPr>
          <w:lang w:val="en-US"/>
        </w:rPr>
        <w:t xml:space="preserve"> </w:t>
      </w:r>
      <w:r>
        <w:rPr>
          <w:lang w:val="en-US"/>
        </w:rPr>
        <w:t xml:space="preserve">and </w:t>
      </w:r>
      <w:r w:rsidR="00D52ABD" w:rsidRPr="001D184C">
        <w:rPr>
          <w:lang w:val="en-US"/>
        </w:rPr>
        <w:t>other relevant factors</w:t>
      </w:r>
      <w:r w:rsidR="000119DA">
        <w:rPr>
          <w:lang w:val="en-US"/>
        </w:rPr>
        <w:t>.</w:t>
      </w:r>
      <w:r w:rsidR="00D52ABD" w:rsidRPr="001D184C">
        <w:rPr>
          <w:lang w:val="en-US"/>
        </w:rPr>
        <w:t xml:space="preserve"> </w:t>
      </w:r>
      <w:r w:rsidR="00CF65FA">
        <w:rPr>
          <w:lang w:val="en-US"/>
        </w:rPr>
        <w:t xml:space="preserve"> </w:t>
      </w:r>
      <w:r w:rsidR="001A1277">
        <w:rPr>
          <w:lang w:val="en-US"/>
        </w:rPr>
        <w:t>The respondents submit that i</w:t>
      </w:r>
      <w:r w:rsidR="00D52ABD" w:rsidRPr="001D184C">
        <w:rPr>
          <w:lang w:val="en-US"/>
        </w:rPr>
        <w:t xml:space="preserve">n this case, </w:t>
      </w:r>
      <w:r w:rsidR="00D52ABD" w:rsidRPr="001D184C">
        <w:t xml:space="preserve">those </w:t>
      </w:r>
      <w:r w:rsidR="00B04F9A">
        <w:t>requirements</w:t>
      </w:r>
      <w:r w:rsidR="00D52ABD" w:rsidRPr="001D184C">
        <w:t xml:space="preserve"> </w:t>
      </w:r>
      <w:r w:rsidR="009B2CBD" w:rsidRPr="001D184C">
        <w:t xml:space="preserve">were </w:t>
      </w:r>
      <w:r w:rsidR="00B04F9A">
        <w:t>met</w:t>
      </w:r>
      <w:r w:rsidR="00B528C9">
        <w:t xml:space="preserve">. </w:t>
      </w:r>
      <w:r w:rsidR="00CF65FA">
        <w:t xml:space="preserve"> </w:t>
      </w:r>
      <w:r w:rsidR="00B528C9">
        <w:t>As such</w:t>
      </w:r>
      <w:r w:rsidR="00C305F3">
        <w:t>,</w:t>
      </w:r>
      <w:r w:rsidR="00D52ABD" w:rsidRPr="001D184C">
        <w:t xml:space="preserve"> substitution should have been awarded as an appropriate remedy.  </w:t>
      </w:r>
      <w:r w:rsidR="009B67BC">
        <w:t>In addition, t</w:t>
      </w:r>
      <w:r w:rsidR="0053661E">
        <w:t>he</w:t>
      </w:r>
      <w:r w:rsidR="00B528C9">
        <w:t xml:space="preserve"> respondents submit that</w:t>
      </w:r>
      <w:r w:rsidR="00D52ABD" w:rsidRPr="001D184C">
        <w:t xml:space="preserve"> substitution serves the </w:t>
      </w:r>
      <w:proofErr w:type="spellStart"/>
      <w:r w:rsidR="00D52ABD" w:rsidRPr="001D184C">
        <w:t>LRA’s</w:t>
      </w:r>
      <w:proofErr w:type="spellEnd"/>
      <w:r w:rsidR="00D52ABD" w:rsidRPr="001D184C">
        <w:t xml:space="preserve"> primary objectives which are to </w:t>
      </w:r>
      <w:r w:rsidR="009B3D61">
        <w:t>enable</w:t>
      </w:r>
      <w:r w:rsidR="00D52ABD" w:rsidRPr="001D184C">
        <w:t xml:space="preserve"> finality and to resolve dispute</w:t>
      </w:r>
      <w:r w:rsidR="009B3D61">
        <w:t>s</w:t>
      </w:r>
      <w:r w:rsidR="00D52ABD" w:rsidRPr="001D184C">
        <w:t xml:space="preserve"> expeditiously.  A remittal would cause a further delay and the prospects of a further delay weigh in favour of substitution.</w:t>
      </w:r>
      <w:r w:rsidR="009B2CBD" w:rsidRPr="001D184C">
        <w:t xml:space="preserve">  </w:t>
      </w:r>
      <w:r w:rsidR="0053661E">
        <w:t>In sum, t</w:t>
      </w:r>
      <w:r w:rsidR="00B1219C" w:rsidRPr="001D184C">
        <w:t>hey submit that the respondent</w:t>
      </w:r>
      <w:r w:rsidR="009B2CBD" w:rsidRPr="001D184C">
        <w:t xml:space="preserve"> </w:t>
      </w:r>
      <w:r w:rsidR="00B1219C" w:rsidRPr="001D184C">
        <w:t xml:space="preserve">employers were correctly demarcated within the scope </w:t>
      </w:r>
      <w:r w:rsidR="009B3D61">
        <w:t xml:space="preserve">of the </w:t>
      </w:r>
      <w:r w:rsidR="00B1219C" w:rsidRPr="001D184C">
        <w:t>MIBCO.</w:t>
      </w:r>
    </w:p>
    <w:p w14:paraId="30AE909C" w14:textId="77777777" w:rsidR="00D52ABD" w:rsidRPr="001D184C" w:rsidRDefault="00D52ABD" w:rsidP="00D52ABD"/>
    <w:sectPr w:rsidR="00D52ABD" w:rsidRPr="001D184C" w:rsidSect="009F0F46">
      <w:pgSz w:w="12240" w:h="15840"/>
      <w:pgMar w:top="1440" w:right="1800" w:bottom="1276"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C5DEFC8" w14:textId="77777777" w:rsidR="00511111" w:rsidRDefault="00511111" w:rsidP="00B32119">
      <w:r>
        <w:separator/>
      </w:r>
    </w:p>
  </w:endnote>
  <w:endnote w:type="continuationSeparator" w:id="0">
    <w:p w14:paraId="1607DFB6" w14:textId="77777777" w:rsidR="00511111" w:rsidRDefault="00511111" w:rsidP="00B321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altName w:val="Times New Roman PSMT"/>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altName w:val="Calibri"/>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A983D26" w14:textId="77777777" w:rsidR="00511111" w:rsidRDefault="00511111" w:rsidP="00B32119">
      <w:r>
        <w:separator/>
      </w:r>
    </w:p>
  </w:footnote>
  <w:footnote w:type="continuationSeparator" w:id="0">
    <w:p w14:paraId="3FC9596D" w14:textId="77777777" w:rsidR="00511111" w:rsidRDefault="00511111" w:rsidP="00B3211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5A7A26"/>
    <w:multiLevelType w:val="hybridMultilevel"/>
    <w:tmpl w:val="D46CB7F8"/>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5CAEF33A">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01"/>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TU3MzIzNjM2NjS0sDRU0lEKTi0uzszPAykwrAUAXx/XbiwAAAA="/>
  </w:docVars>
  <w:rsids>
    <w:rsidRoot w:val="009342A7"/>
    <w:rsid w:val="00006DE8"/>
    <w:rsid w:val="0001092A"/>
    <w:rsid w:val="000119DA"/>
    <w:rsid w:val="00012C72"/>
    <w:rsid w:val="000152DC"/>
    <w:rsid w:val="00015637"/>
    <w:rsid w:val="00016B25"/>
    <w:rsid w:val="00017302"/>
    <w:rsid w:val="00020357"/>
    <w:rsid w:val="000220FD"/>
    <w:rsid w:val="00023E98"/>
    <w:rsid w:val="00023FA7"/>
    <w:rsid w:val="00030CC1"/>
    <w:rsid w:val="0003383F"/>
    <w:rsid w:val="00042529"/>
    <w:rsid w:val="00044771"/>
    <w:rsid w:val="000548D7"/>
    <w:rsid w:val="00055B29"/>
    <w:rsid w:val="00062A56"/>
    <w:rsid w:val="00063D7D"/>
    <w:rsid w:val="000654B1"/>
    <w:rsid w:val="0007028D"/>
    <w:rsid w:val="00070E99"/>
    <w:rsid w:val="000806AE"/>
    <w:rsid w:val="0009089C"/>
    <w:rsid w:val="00091F8C"/>
    <w:rsid w:val="00093CD0"/>
    <w:rsid w:val="00093E39"/>
    <w:rsid w:val="00094E7C"/>
    <w:rsid w:val="00095EF3"/>
    <w:rsid w:val="000965AF"/>
    <w:rsid w:val="000A36D1"/>
    <w:rsid w:val="000A36F3"/>
    <w:rsid w:val="000A3E78"/>
    <w:rsid w:val="000B1629"/>
    <w:rsid w:val="000D0467"/>
    <w:rsid w:val="000D09EA"/>
    <w:rsid w:val="000D35AE"/>
    <w:rsid w:val="000E2D16"/>
    <w:rsid w:val="000E5D1B"/>
    <w:rsid w:val="000F505F"/>
    <w:rsid w:val="00100894"/>
    <w:rsid w:val="00100B8E"/>
    <w:rsid w:val="00104943"/>
    <w:rsid w:val="00110C58"/>
    <w:rsid w:val="00113454"/>
    <w:rsid w:val="00117D6B"/>
    <w:rsid w:val="00122E3D"/>
    <w:rsid w:val="00125BE8"/>
    <w:rsid w:val="001364FD"/>
    <w:rsid w:val="00142258"/>
    <w:rsid w:val="00143037"/>
    <w:rsid w:val="00145795"/>
    <w:rsid w:val="00146E01"/>
    <w:rsid w:val="001515AD"/>
    <w:rsid w:val="0015307D"/>
    <w:rsid w:val="00172A2C"/>
    <w:rsid w:val="00174C55"/>
    <w:rsid w:val="00177687"/>
    <w:rsid w:val="00181DF6"/>
    <w:rsid w:val="0018233B"/>
    <w:rsid w:val="00182534"/>
    <w:rsid w:val="00186B67"/>
    <w:rsid w:val="00194E27"/>
    <w:rsid w:val="001A1277"/>
    <w:rsid w:val="001A204B"/>
    <w:rsid w:val="001A24C8"/>
    <w:rsid w:val="001D184C"/>
    <w:rsid w:val="001E16BC"/>
    <w:rsid w:val="001E31D8"/>
    <w:rsid w:val="001E57F4"/>
    <w:rsid w:val="001E5F5A"/>
    <w:rsid w:val="001E7604"/>
    <w:rsid w:val="001F44A9"/>
    <w:rsid w:val="001F4D6C"/>
    <w:rsid w:val="00200AB8"/>
    <w:rsid w:val="00213507"/>
    <w:rsid w:val="00215823"/>
    <w:rsid w:val="0022139C"/>
    <w:rsid w:val="00224757"/>
    <w:rsid w:val="0022481B"/>
    <w:rsid w:val="00225092"/>
    <w:rsid w:val="0022732E"/>
    <w:rsid w:val="00232B28"/>
    <w:rsid w:val="002348C0"/>
    <w:rsid w:val="00234A3B"/>
    <w:rsid w:val="0023777A"/>
    <w:rsid w:val="002411B9"/>
    <w:rsid w:val="002435AB"/>
    <w:rsid w:val="00245E5C"/>
    <w:rsid w:val="00250C27"/>
    <w:rsid w:val="00253986"/>
    <w:rsid w:val="00253F18"/>
    <w:rsid w:val="00261907"/>
    <w:rsid w:val="002705A8"/>
    <w:rsid w:val="00270EFA"/>
    <w:rsid w:val="002715F6"/>
    <w:rsid w:val="0027251B"/>
    <w:rsid w:val="00272DF7"/>
    <w:rsid w:val="002B3E1A"/>
    <w:rsid w:val="002C27F9"/>
    <w:rsid w:val="002D184B"/>
    <w:rsid w:val="002D7582"/>
    <w:rsid w:val="002E3C4F"/>
    <w:rsid w:val="002F0409"/>
    <w:rsid w:val="00305423"/>
    <w:rsid w:val="003123B8"/>
    <w:rsid w:val="003165EA"/>
    <w:rsid w:val="0031792A"/>
    <w:rsid w:val="00323149"/>
    <w:rsid w:val="00323F9B"/>
    <w:rsid w:val="003255EA"/>
    <w:rsid w:val="0032682A"/>
    <w:rsid w:val="00331205"/>
    <w:rsid w:val="003313F6"/>
    <w:rsid w:val="00332B3D"/>
    <w:rsid w:val="00334E0F"/>
    <w:rsid w:val="0034274C"/>
    <w:rsid w:val="00357788"/>
    <w:rsid w:val="00365A5E"/>
    <w:rsid w:val="0037027B"/>
    <w:rsid w:val="003706CA"/>
    <w:rsid w:val="0037720A"/>
    <w:rsid w:val="003807A5"/>
    <w:rsid w:val="003845A8"/>
    <w:rsid w:val="003850ED"/>
    <w:rsid w:val="00386254"/>
    <w:rsid w:val="00386978"/>
    <w:rsid w:val="003954AD"/>
    <w:rsid w:val="00397E0A"/>
    <w:rsid w:val="003A3174"/>
    <w:rsid w:val="003A58BE"/>
    <w:rsid w:val="003B2DF5"/>
    <w:rsid w:val="003B4484"/>
    <w:rsid w:val="003B73B4"/>
    <w:rsid w:val="003C160D"/>
    <w:rsid w:val="003C40ED"/>
    <w:rsid w:val="003C47FD"/>
    <w:rsid w:val="003C5C34"/>
    <w:rsid w:val="003D1CF1"/>
    <w:rsid w:val="003D3E79"/>
    <w:rsid w:val="003E7D22"/>
    <w:rsid w:val="003F0347"/>
    <w:rsid w:val="003F1959"/>
    <w:rsid w:val="003F3E2F"/>
    <w:rsid w:val="004036FB"/>
    <w:rsid w:val="00403CFF"/>
    <w:rsid w:val="004065B7"/>
    <w:rsid w:val="00410075"/>
    <w:rsid w:val="00415D78"/>
    <w:rsid w:val="004173B2"/>
    <w:rsid w:val="00420491"/>
    <w:rsid w:val="004209BD"/>
    <w:rsid w:val="004262C2"/>
    <w:rsid w:val="00426812"/>
    <w:rsid w:val="004302FD"/>
    <w:rsid w:val="00430A5A"/>
    <w:rsid w:val="00430C6F"/>
    <w:rsid w:val="00435F85"/>
    <w:rsid w:val="004426F8"/>
    <w:rsid w:val="00443E51"/>
    <w:rsid w:val="00450ABB"/>
    <w:rsid w:val="00455279"/>
    <w:rsid w:val="00456688"/>
    <w:rsid w:val="00462B78"/>
    <w:rsid w:val="00465304"/>
    <w:rsid w:val="00465BDB"/>
    <w:rsid w:val="00470831"/>
    <w:rsid w:val="00471FC8"/>
    <w:rsid w:val="004830F1"/>
    <w:rsid w:val="00484B2C"/>
    <w:rsid w:val="00490008"/>
    <w:rsid w:val="00490F2C"/>
    <w:rsid w:val="004937E5"/>
    <w:rsid w:val="004A1AEE"/>
    <w:rsid w:val="004A3AF5"/>
    <w:rsid w:val="004A6C00"/>
    <w:rsid w:val="004A745C"/>
    <w:rsid w:val="004A7EFF"/>
    <w:rsid w:val="004B0252"/>
    <w:rsid w:val="004C0584"/>
    <w:rsid w:val="004C2365"/>
    <w:rsid w:val="004C4BCE"/>
    <w:rsid w:val="004C5AD8"/>
    <w:rsid w:val="004C7EF7"/>
    <w:rsid w:val="004D10FF"/>
    <w:rsid w:val="004D716D"/>
    <w:rsid w:val="004E6ED1"/>
    <w:rsid w:val="004F5485"/>
    <w:rsid w:val="00501E96"/>
    <w:rsid w:val="005038A1"/>
    <w:rsid w:val="00511111"/>
    <w:rsid w:val="00511769"/>
    <w:rsid w:val="00524F3A"/>
    <w:rsid w:val="005257B9"/>
    <w:rsid w:val="00526226"/>
    <w:rsid w:val="005275CE"/>
    <w:rsid w:val="005307A5"/>
    <w:rsid w:val="005318A0"/>
    <w:rsid w:val="00532739"/>
    <w:rsid w:val="0053527E"/>
    <w:rsid w:val="0053661E"/>
    <w:rsid w:val="00537D15"/>
    <w:rsid w:val="00542C96"/>
    <w:rsid w:val="00553624"/>
    <w:rsid w:val="00556C67"/>
    <w:rsid w:val="005572C8"/>
    <w:rsid w:val="005705CE"/>
    <w:rsid w:val="00571CD9"/>
    <w:rsid w:val="00573AEA"/>
    <w:rsid w:val="00575456"/>
    <w:rsid w:val="005851AB"/>
    <w:rsid w:val="0058759D"/>
    <w:rsid w:val="00587A53"/>
    <w:rsid w:val="0059171C"/>
    <w:rsid w:val="00594B56"/>
    <w:rsid w:val="00596F9A"/>
    <w:rsid w:val="005A3C44"/>
    <w:rsid w:val="005A5A38"/>
    <w:rsid w:val="005A6719"/>
    <w:rsid w:val="005A7AEF"/>
    <w:rsid w:val="005B2F2F"/>
    <w:rsid w:val="005B51EB"/>
    <w:rsid w:val="005C0624"/>
    <w:rsid w:val="005C7764"/>
    <w:rsid w:val="005D1333"/>
    <w:rsid w:val="005D26E3"/>
    <w:rsid w:val="005D724E"/>
    <w:rsid w:val="005E52AC"/>
    <w:rsid w:val="005E557D"/>
    <w:rsid w:val="005F322E"/>
    <w:rsid w:val="005F66C7"/>
    <w:rsid w:val="00602EE5"/>
    <w:rsid w:val="00603036"/>
    <w:rsid w:val="00611DC5"/>
    <w:rsid w:val="00612268"/>
    <w:rsid w:val="00616848"/>
    <w:rsid w:val="006242C5"/>
    <w:rsid w:val="00624FFE"/>
    <w:rsid w:val="006262B2"/>
    <w:rsid w:val="00626FA6"/>
    <w:rsid w:val="00630AA9"/>
    <w:rsid w:val="00631927"/>
    <w:rsid w:val="00634AF1"/>
    <w:rsid w:val="00642528"/>
    <w:rsid w:val="006474CE"/>
    <w:rsid w:val="006524D4"/>
    <w:rsid w:val="006543E3"/>
    <w:rsid w:val="00660637"/>
    <w:rsid w:val="00672DA7"/>
    <w:rsid w:val="006735C9"/>
    <w:rsid w:val="00674452"/>
    <w:rsid w:val="006749D6"/>
    <w:rsid w:val="00676CFE"/>
    <w:rsid w:val="00685C91"/>
    <w:rsid w:val="006879F3"/>
    <w:rsid w:val="00694175"/>
    <w:rsid w:val="006966FC"/>
    <w:rsid w:val="006A0AF7"/>
    <w:rsid w:val="006A7FB5"/>
    <w:rsid w:val="006B2639"/>
    <w:rsid w:val="006B623D"/>
    <w:rsid w:val="006C2FE7"/>
    <w:rsid w:val="006E31E6"/>
    <w:rsid w:val="006E6A2F"/>
    <w:rsid w:val="006E7603"/>
    <w:rsid w:val="006F29BF"/>
    <w:rsid w:val="006F539E"/>
    <w:rsid w:val="006F5920"/>
    <w:rsid w:val="00702C32"/>
    <w:rsid w:val="007106E2"/>
    <w:rsid w:val="00712458"/>
    <w:rsid w:val="00716FAA"/>
    <w:rsid w:val="00720ACA"/>
    <w:rsid w:val="00722A4D"/>
    <w:rsid w:val="007311A7"/>
    <w:rsid w:val="007330CA"/>
    <w:rsid w:val="00746B37"/>
    <w:rsid w:val="00747234"/>
    <w:rsid w:val="00750F83"/>
    <w:rsid w:val="00752C8F"/>
    <w:rsid w:val="00754D6F"/>
    <w:rsid w:val="00762738"/>
    <w:rsid w:val="007659FF"/>
    <w:rsid w:val="0076712F"/>
    <w:rsid w:val="00770694"/>
    <w:rsid w:val="007746CE"/>
    <w:rsid w:val="00775169"/>
    <w:rsid w:val="00776783"/>
    <w:rsid w:val="00776DFE"/>
    <w:rsid w:val="00780477"/>
    <w:rsid w:val="00780874"/>
    <w:rsid w:val="0078535D"/>
    <w:rsid w:val="0079771F"/>
    <w:rsid w:val="00797F90"/>
    <w:rsid w:val="007B7B41"/>
    <w:rsid w:val="007C18A4"/>
    <w:rsid w:val="007C65D9"/>
    <w:rsid w:val="007D003C"/>
    <w:rsid w:val="007D37A2"/>
    <w:rsid w:val="007D6DF5"/>
    <w:rsid w:val="007E3BAE"/>
    <w:rsid w:val="007E61FC"/>
    <w:rsid w:val="007F09E8"/>
    <w:rsid w:val="007F0EF4"/>
    <w:rsid w:val="007F3FD5"/>
    <w:rsid w:val="007F7DCD"/>
    <w:rsid w:val="00801124"/>
    <w:rsid w:val="0081741F"/>
    <w:rsid w:val="00822044"/>
    <w:rsid w:val="00823B02"/>
    <w:rsid w:val="00823BEA"/>
    <w:rsid w:val="0083215D"/>
    <w:rsid w:val="00834D25"/>
    <w:rsid w:val="008351C8"/>
    <w:rsid w:val="0084198C"/>
    <w:rsid w:val="008546B4"/>
    <w:rsid w:val="0085755F"/>
    <w:rsid w:val="0086048D"/>
    <w:rsid w:val="008639AE"/>
    <w:rsid w:val="00866508"/>
    <w:rsid w:val="00866B6B"/>
    <w:rsid w:val="00867767"/>
    <w:rsid w:val="0087005B"/>
    <w:rsid w:val="00880D26"/>
    <w:rsid w:val="00881649"/>
    <w:rsid w:val="00881D33"/>
    <w:rsid w:val="00882096"/>
    <w:rsid w:val="008839E8"/>
    <w:rsid w:val="00883D6C"/>
    <w:rsid w:val="00887528"/>
    <w:rsid w:val="00891C6B"/>
    <w:rsid w:val="008943E7"/>
    <w:rsid w:val="008A14C4"/>
    <w:rsid w:val="008A5FDC"/>
    <w:rsid w:val="008B1777"/>
    <w:rsid w:val="008B532D"/>
    <w:rsid w:val="008B661D"/>
    <w:rsid w:val="008B7AF4"/>
    <w:rsid w:val="008C3682"/>
    <w:rsid w:val="008C7405"/>
    <w:rsid w:val="008D24BC"/>
    <w:rsid w:val="008D301B"/>
    <w:rsid w:val="008D3D39"/>
    <w:rsid w:val="008D425E"/>
    <w:rsid w:val="008E54C8"/>
    <w:rsid w:val="008F4240"/>
    <w:rsid w:val="008F4B8F"/>
    <w:rsid w:val="00902311"/>
    <w:rsid w:val="0090690C"/>
    <w:rsid w:val="00910F26"/>
    <w:rsid w:val="00911DB9"/>
    <w:rsid w:val="00914A5D"/>
    <w:rsid w:val="00916372"/>
    <w:rsid w:val="00922660"/>
    <w:rsid w:val="009276B6"/>
    <w:rsid w:val="00933D59"/>
    <w:rsid w:val="0093415D"/>
    <w:rsid w:val="0093425F"/>
    <w:rsid w:val="009342A7"/>
    <w:rsid w:val="009500E1"/>
    <w:rsid w:val="009537DF"/>
    <w:rsid w:val="009544B2"/>
    <w:rsid w:val="0096072E"/>
    <w:rsid w:val="009642D7"/>
    <w:rsid w:val="00965AF2"/>
    <w:rsid w:val="00970CB9"/>
    <w:rsid w:val="00971D51"/>
    <w:rsid w:val="009754CF"/>
    <w:rsid w:val="0098248A"/>
    <w:rsid w:val="00982E4B"/>
    <w:rsid w:val="0098407E"/>
    <w:rsid w:val="00992CAE"/>
    <w:rsid w:val="009A21E9"/>
    <w:rsid w:val="009B2CBD"/>
    <w:rsid w:val="009B3D61"/>
    <w:rsid w:val="009B4F3C"/>
    <w:rsid w:val="009B57AD"/>
    <w:rsid w:val="009B67BC"/>
    <w:rsid w:val="009B7D1B"/>
    <w:rsid w:val="009C3B50"/>
    <w:rsid w:val="009D17E8"/>
    <w:rsid w:val="009D67E9"/>
    <w:rsid w:val="009E4433"/>
    <w:rsid w:val="009E5C52"/>
    <w:rsid w:val="009E7D9D"/>
    <w:rsid w:val="009F0F46"/>
    <w:rsid w:val="00A0140F"/>
    <w:rsid w:val="00A028DA"/>
    <w:rsid w:val="00A142B7"/>
    <w:rsid w:val="00A16911"/>
    <w:rsid w:val="00A20DE2"/>
    <w:rsid w:val="00A22E04"/>
    <w:rsid w:val="00A32744"/>
    <w:rsid w:val="00A37027"/>
    <w:rsid w:val="00A437AC"/>
    <w:rsid w:val="00A47CC0"/>
    <w:rsid w:val="00A47D4A"/>
    <w:rsid w:val="00A50675"/>
    <w:rsid w:val="00A51C04"/>
    <w:rsid w:val="00A51E59"/>
    <w:rsid w:val="00A5402B"/>
    <w:rsid w:val="00A55B9B"/>
    <w:rsid w:val="00A718F6"/>
    <w:rsid w:val="00A81378"/>
    <w:rsid w:val="00A8571D"/>
    <w:rsid w:val="00A875A1"/>
    <w:rsid w:val="00A909CA"/>
    <w:rsid w:val="00A91AE6"/>
    <w:rsid w:val="00A93911"/>
    <w:rsid w:val="00A946F5"/>
    <w:rsid w:val="00AA0D1D"/>
    <w:rsid w:val="00AA17C0"/>
    <w:rsid w:val="00AA3378"/>
    <w:rsid w:val="00AA517A"/>
    <w:rsid w:val="00AC133D"/>
    <w:rsid w:val="00AC5170"/>
    <w:rsid w:val="00AC799A"/>
    <w:rsid w:val="00AD14A5"/>
    <w:rsid w:val="00AD2C09"/>
    <w:rsid w:val="00AD3D83"/>
    <w:rsid w:val="00AE0966"/>
    <w:rsid w:val="00AE1270"/>
    <w:rsid w:val="00AE4640"/>
    <w:rsid w:val="00AE79D9"/>
    <w:rsid w:val="00AF0A36"/>
    <w:rsid w:val="00AF4708"/>
    <w:rsid w:val="00AF67D4"/>
    <w:rsid w:val="00B01EB4"/>
    <w:rsid w:val="00B02DEE"/>
    <w:rsid w:val="00B04F9A"/>
    <w:rsid w:val="00B113DA"/>
    <w:rsid w:val="00B1219C"/>
    <w:rsid w:val="00B16B75"/>
    <w:rsid w:val="00B2229F"/>
    <w:rsid w:val="00B262CB"/>
    <w:rsid w:val="00B3177F"/>
    <w:rsid w:val="00B31B92"/>
    <w:rsid w:val="00B31E30"/>
    <w:rsid w:val="00B32119"/>
    <w:rsid w:val="00B36CB4"/>
    <w:rsid w:val="00B36F54"/>
    <w:rsid w:val="00B4092A"/>
    <w:rsid w:val="00B428BE"/>
    <w:rsid w:val="00B445C6"/>
    <w:rsid w:val="00B4658E"/>
    <w:rsid w:val="00B528C9"/>
    <w:rsid w:val="00B57D21"/>
    <w:rsid w:val="00B62B8B"/>
    <w:rsid w:val="00B630F2"/>
    <w:rsid w:val="00B667D0"/>
    <w:rsid w:val="00B71B72"/>
    <w:rsid w:val="00B75813"/>
    <w:rsid w:val="00B80F33"/>
    <w:rsid w:val="00B97560"/>
    <w:rsid w:val="00BA4C52"/>
    <w:rsid w:val="00BB1F1E"/>
    <w:rsid w:val="00BB378B"/>
    <w:rsid w:val="00BB7220"/>
    <w:rsid w:val="00BB7490"/>
    <w:rsid w:val="00BC2FB3"/>
    <w:rsid w:val="00BD2999"/>
    <w:rsid w:val="00BD7FCD"/>
    <w:rsid w:val="00BE6FBD"/>
    <w:rsid w:val="00BF0B33"/>
    <w:rsid w:val="00BF7FF2"/>
    <w:rsid w:val="00C12733"/>
    <w:rsid w:val="00C140D4"/>
    <w:rsid w:val="00C14E9E"/>
    <w:rsid w:val="00C15678"/>
    <w:rsid w:val="00C15790"/>
    <w:rsid w:val="00C21DB1"/>
    <w:rsid w:val="00C24AA9"/>
    <w:rsid w:val="00C27574"/>
    <w:rsid w:val="00C305F3"/>
    <w:rsid w:val="00C30D22"/>
    <w:rsid w:val="00C368D9"/>
    <w:rsid w:val="00C43D8A"/>
    <w:rsid w:val="00C44D82"/>
    <w:rsid w:val="00C45556"/>
    <w:rsid w:val="00C45F8A"/>
    <w:rsid w:val="00C47F29"/>
    <w:rsid w:val="00C51AFC"/>
    <w:rsid w:val="00C536E8"/>
    <w:rsid w:val="00C55305"/>
    <w:rsid w:val="00C555FC"/>
    <w:rsid w:val="00C55A66"/>
    <w:rsid w:val="00C616DF"/>
    <w:rsid w:val="00C70B69"/>
    <w:rsid w:val="00C76629"/>
    <w:rsid w:val="00C83020"/>
    <w:rsid w:val="00C85429"/>
    <w:rsid w:val="00C93DC0"/>
    <w:rsid w:val="00C94CD1"/>
    <w:rsid w:val="00C96321"/>
    <w:rsid w:val="00CA21ED"/>
    <w:rsid w:val="00CA458C"/>
    <w:rsid w:val="00CA6BF2"/>
    <w:rsid w:val="00CB2E3D"/>
    <w:rsid w:val="00CB5343"/>
    <w:rsid w:val="00CC7D4D"/>
    <w:rsid w:val="00CD4DBE"/>
    <w:rsid w:val="00CE1309"/>
    <w:rsid w:val="00CE23D4"/>
    <w:rsid w:val="00CE51A0"/>
    <w:rsid w:val="00CF65FA"/>
    <w:rsid w:val="00CF76C9"/>
    <w:rsid w:val="00D03D88"/>
    <w:rsid w:val="00D12501"/>
    <w:rsid w:val="00D200E8"/>
    <w:rsid w:val="00D2249B"/>
    <w:rsid w:val="00D276AF"/>
    <w:rsid w:val="00D356A3"/>
    <w:rsid w:val="00D40819"/>
    <w:rsid w:val="00D46A11"/>
    <w:rsid w:val="00D47EF8"/>
    <w:rsid w:val="00D528F2"/>
    <w:rsid w:val="00D52ABD"/>
    <w:rsid w:val="00D5335F"/>
    <w:rsid w:val="00D553C8"/>
    <w:rsid w:val="00D56F6B"/>
    <w:rsid w:val="00D634EE"/>
    <w:rsid w:val="00D63EFE"/>
    <w:rsid w:val="00D64480"/>
    <w:rsid w:val="00D64E65"/>
    <w:rsid w:val="00D659C5"/>
    <w:rsid w:val="00D670FC"/>
    <w:rsid w:val="00D75BA8"/>
    <w:rsid w:val="00D768A2"/>
    <w:rsid w:val="00D81F8F"/>
    <w:rsid w:val="00D824A4"/>
    <w:rsid w:val="00D86239"/>
    <w:rsid w:val="00DA1235"/>
    <w:rsid w:val="00DB011F"/>
    <w:rsid w:val="00DB12FA"/>
    <w:rsid w:val="00DB1A44"/>
    <w:rsid w:val="00DB677B"/>
    <w:rsid w:val="00DC5CC1"/>
    <w:rsid w:val="00DC7DDA"/>
    <w:rsid w:val="00DD08E3"/>
    <w:rsid w:val="00DD3019"/>
    <w:rsid w:val="00DD4C57"/>
    <w:rsid w:val="00DD5682"/>
    <w:rsid w:val="00DE12D2"/>
    <w:rsid w:val="00DE5133"/>
    <w:rsid w:val="00DE6ECD"/>
    <w:rsid w:val="00DE7B41"/>
    <w:rsid w:val="00DF0C88"/>
    <w:rsid w:val="00DF0EA7"/>
    <w:rsid w:val="00E02A77"/>
    <w:rsid w:val="00E046C8"/>
    <w:rsid w:val="00E04FE7"/>
    <w:rsid w:val="00E07942"/>
    <w:rsid w:val="00E16435"/>
    <w:rsid w:val="00E16EDA"/>
    <w:rsid w:val="00E17A92"/>
    <w:rsid w:val="00E2105F"/>
    <w:rsid w:val="00E27310"/>
    <w:rsid w:val="00E3316F"/>
    <w:rsid w:val="00E52FDA"/>
    <w:rsid w:val="00E53AE0"/>
    <w:rsid w:val="00E545EA"/>
    <w:rsid w:val="00E62F2E"/>
    <w:rsid w:val="00E661EE"/>
    <w:rsid w:val="00E70F05"/>
    <w:rsid w:val="00E71A9E"/>
    <w:rsid w:val="00E736CB"/>
    <w:rsid w:val="00E75952"/>
    <w:rsid w:val="00E8342B"/>
    <w:rsid w:val="00E8555C"/>
    <w:rsid w:val="00E8725F"/>
    <w:rsid w:val="00E905F5"/>
    <w:rsid w:val="00E93F86"/>
    <w:rsid w:val="00E97F73"/>
    <w:rsid w:val="00EA113C"/>
    <w:rsid w:val="00EB0F3B"/>
    <w:rsid w:val="00EB5124"/>
    <w:rsid w:val="00EC30F9"/>
    <w:rsid w:val="00EC3DF4"/>
    <w:rsid w:val="00ED01EC"/>
    <w:rsid w:val="00ED5B69"/>
    <w:rsid w:val="00ED6BE2"/>
    <w:rsid w:val="00EE10EC"/>
    <w:rsid w:val="00EE1F1A"/>
    <w:rsid w:val="00EE5AC0"/>
    <w:rsid w:val="00EE7EF0"/>
    <w:rsid w:val="00F02A0E"/>
    <w:rsid w:val="00F04568"/>
    <w:rsid w:val="00F04EC0"/>
    <w:rsid w:val="00F14D14"/>
    <w:rsid w:val="00F161F9"/>
    <w:rsid w:val="00F43565"/>
    <w:rsid w:val="00F43ADD"/>
    <w:rsid w:val="00F47026"/>
    <w:rsid w:val="00F50679"/>
    <w:rsid w:val="00F5283F"/>
    <w:rsid w:val="00F52D12"/>
    <w:rsid w:val="00F55913"/>
    <w:rsid w:val="00F56833"/>
    <w:rsid w:val="00F61B4A"/>
    <w:rsid w:val="00F70C92"/>
    <w:rsid w:val="00F70E31"/>
    <w:rsid w:val="00F7354E"/>
    <w:rsid w:val="00F74A3C"/>
    <w:rsid w:val="00F77A10"/>
    <w:rsid w:val="00F90AB3"/>
    <w:rsid w:val="00F91C22"/>
    <w:rsid w:val="00FB2AFF"/>
    <w:rsid w:val="00FB3D42"/>
    <w:rsid w:val="00FB43E0"/>
    <w:rsid w:val="00FC212B"/>
    <w:rsid w:val="00FC2754"/>
    <w:rsid w:val="00FC3C42"/>
    <w:rsid w:val="00FD2D52"/>
    <w:rsid w:val="00FD5CE5"/>
    <w:rsid w:val="00FE00A5"/>
    <w:rsid w:val="00FF1E6E"/>
    <w:rsid w:val="00FF4500"/>
  </w:rsids>
  <m:mathPr>
    <m:mathFont m:val="Cambria Math"/>
    <m:brkBin m:val="before"/>
    <m:brkBinSub m:val="--"/>
    <m:smallFrac m:val="0"/>
    <m:dispDef/>
    <m:lMargin m:val="0"/>
    <m:rMargin m:val="0"/>
    <m:defJc m:val="centerGroup"/>
    <m:wrapIndent m:val="1440"/>
    <m:intLim m:val="subSup"/>
    <m:naryLim m:val="undOvr"/>
  </m:mathPr>
  <w:themeFontLang w:val="en-ZA"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DE3E2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4640"/>
    <w:pPr>
      <w:jc w:val="both"/>
    </w:pPr>
    <w:rPr>
      <w:sz w:val="24"/>
      <w:szCs w:val="24"/>
      <w:lang w:eastAsia="en-US"/>
    </w:rPr>
  </w:style>
  <w:style w:type="paragraph" w:styleId="Heading2">
    <w:name w:val="heading 2"/>
    <w:basedOn w:val="Normal"/>
    <w:next w:val="Normal"/>
    <w:link w:val="Heading2Char"/>
    <w:semiHidden/>
    <w:unhideWhenUsed/>
    <w:qFormat/>
    <w:rsid w:val="00471FC8"/>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Header">
    <w:name w:val="header"/>
    <w:basedOn w:val="Normal"/>
    <w:link w:val="HeaderChar"/>
    <w:unhideWhenUsed/>
    <w:rsid w:val="00B32119"/>
    <w:pPr>
      <w:tabs>
        <w:tab w:val="center" w:pos="4680"/>
        <w:tab w:val="right" w:pos="9360"/>
      </w:tabs>
    </w:pPr>
  </w:style>
  <w:style w:type="character" w:customStyle="1" w:styleId="HeaderChar">
    <w:name w:val="Header Char"/>
    <w:basedOn w:val="DefaultParagraphFont"/>
    <w:link w:val="Header"/>
    <w:rsid w:val="00B32119"/>
    <w:rPr>
      <w:sz w:val="24"/>
      <w:szCs w:val="24"/>
      <w:lang w:eastAsia="en-US"/>
    </w:rPr>
  </w:style>
  <w:style w:type="paragraph" w:styleId="Footer">
    <w:name w:val="footer"/>
    <w:basedOn w:val="Normal"/>
    <w:link w:val="FooterChar"/>
    <w:unhideWhenUsed/>
    <w:rsid w:val="00B32119"/>
    <w:pPr>
      <w:tabs>
        <w:tab w:val="center" w:pos="4680"/>
        <w:tab w:val="right" w:pos="9360"/>
      </w:tabs>
    </w:pPr>
  </w:style>
  <w:style w:type="character" w:customStyle="1" w:styleId="FooterChar">
    <w:name w:val="Footer Char"/>
    <w:basedOn w:val="DefaultParagraphFont"/>
    <w:link w:val="Footer"/>
    <w:rsid w:val="00B32119"/>
    <w:rPr>
      <w:sz w:val="24"/>
      <w:szCs w:val="24"/>
      <w:lang w:eastAsia="en-US"/>
    </w:rPr>
  </w:style>
  <w:style w:type="paragraph" w:styleId="FootnoteText">
    <w:name w:val="footnote text"/>
    <w:aliases w:val="Footnote,Footnote Text Char1,Footnote Text Char Char,Footnote Text Char1 Char Char,Footnote Text Char Char Char Char Char,Footnote Text Char Char1 Char Char,(NECG) Footnote Text,ALTS FOOTNOTE,AR Footnote Text,Footnote text Char,Car,Char Ch"/>
    <w:basedOn w:val="Normal"/>
    <w:link w:val="FootnoteTextChar"/>
    <w:unhideWhenUsed/>
    <w:qFormat/>
    <w:rsid w:val="007D003C"/>
    <w:rPr>
      <w:rFonts w:eastAsia="Calibri"/>
      <w:sz w:val="20"/>
      <w:szCs w:val="20"/>
    </w:rPr>
  </w:style>
  <w:style w:type="character" w:customStyle="1" w:styleId="FootnoteTextChar">
    <w:name w:val="Footnote Text Char"/>
    <w:aliases w:val="Footnote Char,Footnote Text Char1 Char,Footnote Text Char Char Char,Footnote Text Char1 Char Char Char,Footnote Text Char Char Char Char Char Char,Footnote Text Char Char1 Char Char Char,(NECG) Footnote Text Char,ALTS FOOTNOTE Char"/>
    <w:basedOn w:val="DefaultParagraphFont"/>
    <w:link w:val="FootnoteText"/>
    <w:rsid w:val="007D003C"/>
    <w:rPr>
      <w:rFonts w:eastAsia="Calibri"/>
      <w:lang w:eastAsia="en-US"/>
    </w:rPr>
  </w:style>
  <w:style w:type="character" w:styleId="FootnoteReference">
    <w:name w:val="footnote reference"/>
    <w:aliases w:val="Ref,de nota al pie,註腳內容,Footnotes refss,Appel note de bas de page,(NECG) Footnote Reference,fr,Footnote symbol,Style 12,Footnote Reference + Superscript,Footnote Reference in text,Footnote Reference Superscript,o,Style 4"/>
    <w:basedOn w:val="DefaultParagraphFont"/>
    <w:unhideWhenUsed/>
    <w:qFormat/>
    <w:rsid w:val="007D003C"/>
    <w:rPr>
      <w:vertAlign w:val="superscript"/>
    </w:rPr>
  </w:style>
  <w:style w:type="paragraph" w:customStyle="1" w:styleId="JUDGMENTNUMBERED">
    <w:name w:val="JUDGMENT NUMBERED"/>
    <w:basedOn w:val="Normal"/>
    <w:next w:val="Normal"/>
    <w:link w:val="JUDGMENTNUMBEREDChar"/>
    <w:qFormat/>
    <w:rsid w:val="00D52ABD"/>
    <w:pPr>
      <w:numPr>
        <w:numId w:val="2"/>
      </w:numPr>
      <w:spacing w:line="360" w:lineRule="auto"/>
      <w:ind w:left="0" w:firstLine="0"/>
    </w:pPr>
    <w:rPr>
      <w:rFonts w:eastAsia="Calibri"/>
      <w:sz w:val="26"/>
      <w:szCs w:val="22"/>
    </w:rPr>
  </w:style>
  <w:style w:type="character" w:customStyle="1" w:styleId="JUDGMENTNUMBEREDChar">
    <w:name w:val="JUDGMENT NUMBERED Char"/>
    <w:basedOn w:val="DefaultParagraphFont"/>
    <w:link w:val="JUDGMENTNUMBERED"/>
    <w:rsid w:val="00D52ABD"/>
    <w:rPr>
      <w:rFonts w:eastAsia="Calibri"/>
      <w:sz w:val="26"/>
      <w:szCs w:val="22"/>
      <w:lang w:eastAsia="en-US"/>
    </w:rPr>
  </w:style>
  <w:style w:type="character" w:customStyle="1" w:styleId="Heading2Char">
    <w:name w:val="Heading 2 Char"/>
    <w:basedOn w:val="DefaultParagraphFont"/>
    <w:link w:val="Heading2"/>
    <w:semiHidden/>
    <w:rsid w:val="00471FC8"/>
    <w:rPr>
      <w:rFonts w:asciiTheme="majorHAnsi" w:eastAsiaTheme="majorEastAsia" w:hAnsiTheme="majorHAnsi" w:cstheme="majorBidi"/>
      <w:color w:val="365F91" w:themeColor="accent1" w:themeShade="BF"/>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96593572">
      <w:bodyDiv w:val="1"/>
      <w:marLeft w:val="0"/>
      <w:marRight w:val="0"/>
      <w:marTop w:val="0"/>
      <w:marBottom w:val="0"/>
      <w:divBdr>
        <w:top w:val="none" w:sz="0" w:space="0" w:color="auto"/>
        <w:left w:val="none" w:sz="0" w:space="0" w:color="auto"/>
        <w:bottom w:val="none" w:sz="0" w:space="0" w:color="auto"/>
        <w:right w:val="none" w:sz="0" w:space="0" w:color="auto"/>
      </w:divBdr>
    </w:div>
    <w:div w:id="607543037">
      <w:bodyDiv w:val="1"/>
      <w:marLeft w:val="0"/>
      <w:marRight w:val="0"/>
      <w:marTop w:val="0"/>
      <w:marBottom w:val="0"/>
      <w:divBdr>
        <w:top w:val="none" w:sz="0" w:space="0" w:color="auto"/>
        <w:left w:val="none" w:sz="0" w:space="0" w:color="auto"/>
        <w:bottom w:val="none" w:sz="0" w:space="0" w:color="auto"/>
        <w:right w:val="none" w:sz="0" w:space="0" w:color="auto"/>
      </w:divBdr>
      <w:divsChild>
        <w:div w:id="751632939">
          <w:marLeft w:val="0"/>
          <w:marRight w:val="0"/>
          <w:marTop w:val="0"/>
          <w:marBottom w:val="0"/>
          <w:divBdr>
            <w:top w:val="none" w:sz="0" w:space="0" w:color="auto"/>
            <w:left w:val="none" w:sz="0" w:space="0" w:color="auto"/>
            <w:bottom w:val="none" w:sz="0" w:space="0" w:color="auto"/>
            <w:right w:val="none" w:sz="0" w:space="0" w:color="auto"/>
          </w:divBdr>
          <w:divsChild>
            <w:div w:id="1526019590">
              <w:marLeft w:val="0"/>
              <w:marRight w:val="0"/>
              <w:marTop w:val="0"/>
              <w:marBottom w:val="0"/>
              <w:divBdr>
                <w:top w:val="none" w:sz="0" w:space="0" w:color="auto"/>
                <w:left w:val="none" w:sz="0" w:space="0" w:color="auto"/>
                <w:bottom w:val="none" w:sz="0" w:space="0" w:color="auto"/>
                <w:right w:val="none" w:sz="0" w:space="0" w:color="auto"/>
              </w:divBdr>
              <w:divsChild>
                <w:div w:id="102355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 w:id="1357734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cid:image001.png@01CF121A.2263A8C0" TargetMode="Externa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 dockstate="right" visibility="0" width="350" row="0">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4A60A608-54F0-5F4E-991B-6DD2646BAB3F}">
  <we:reference id="wa200001011" version="1.1.0.0" store="en-US" storeType="OMEX"/>
  <we:alternateReferences>
    <we:reference id="wa200001011" version="1.1.0.0" store="WA200001011" storeType="OMEX"/>
  </we:alternateReferences>
  <we:properties/>
  <we:bindings/>
  <we:snapshot xmlns:r="http://schemas.openxmlformats.org/officeDocument/2006/relationships"/>
</we:webextension>
</file>

<file path=word/webextensions/webextension2.xml><?xml version="1.0" encoding="utf-8"?>
<we:webextension xmlns:we="http://schemas.microsoft.com/office/webextensions/webextension/2010/11" id="{C075D6CD-8544-0A4B-9CFE-DF54DF7E5FA1}">
  <we:reference id="wa200001011" version="1.1.0.0" store="en-GB" storeType="OMEX"/>
  <we:alternateReferences>
    <we:reference id="WA200001011" version="1.1.0.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7F13116-0C7F-4B2D-AD2A-6A4B366DCFAF}">
  <ds:schemaRefs>
    <ds:schemaRef ds:uri="http://schemas.openxmlformats.org/officeDocument/2006/bibliography"/>
  </ds:schemaRefs>
</ds:datastoreItem>
</file>

<file path=customXml/itemProps2.xml><?xml version="1.0" encoding="utf-8"?>
<ds:datastoreItem xmlns:ds="http://schemas.openxmlformats.org/officeDocument/2006/customXml" ds:itemID="{A500AA7A-EB95-4338-91BE-3D67F3B4CA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1768</Words>
  <Characters>9213</Characters>
  <Application>Microsoft Office Word</Application>
  <DocSecurity>0</DocSecurity>
  <Lines>161</Lines>
  <Paragraphs>30</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10951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2021-05-03T08:50:00Z</dcterms:created>
  <dcterms:modified xsi:type="dcterms:W3CDTF">2021-05-03T10:02:00Z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documentId_5828</vt:lpwstr>
  </property>
  <property fmtid="{D5CDD505-2E9C-101B-9397-08002B2CF9AE}" pid="3" name="grammarly_documentContext">
    <vt:lpwstr>{"goals":[],"domain":"general","emotions":[],"dialect":"british"}</vt:lpwstr>
  </property>
</Properties>
</file>