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04F9FD" w14:textId="77777777" w:rsidR="00F5283F" w:rsidRPr="001B228E" w:rsidRDefault="00CA458C" w:rsidP="00720ACA">
      <w:pPr>
        <w:jc w:val="center"/>
      </w:pPr>
      <w:r w:rsidRPr="001B228E">
        <w:rPr>
          <w:noProof/>
          <w:lang w:val="en-US"/>
        </w:rPr>
        <w:drawing>
          <wp:inline distT="0" distB="0" distL="0" distR="0" wp14:anchorId="45458AE7" wp14:editId="17EE9E2E">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61F72497" w14:textId="77777777" w:rsidR="00F5283F" w:rsidRPr="001B228E" w:rsidRDefault="00F5283F" w:rsidP="00720ACA">
      <w:pPr>
        <w:jc w:val="center"/>
      </w:pPr>
    </w:p>
    <w:p w14:paraId="6143B235" w14:textId="77777777" w:rsidR="001E5F5A" w:rsidRPr="001B228E" w:rsidRDefault="001E5F5A" w:rsidP="00720ACA">
      <w:pPr>
        <w:jc w:val="center"/>
        <w:rPr>
          <w:b/>
        </w:rPr>
      </w:pPr>
      <w:r w:rsidRPr="001B228E">
        <w:rPr>
          <w:b/>
        </w:rPr>
        <w:t>CONSTIT</w:t>
      </w:r>
      <w:r w:rsidR="00676CFE" w:rsidRPr="001B228E">
        <w:rPr>
          <w:b/>
        </w:rPr>
        <w:t>UT</w:t>
      </w:r>
      <w:r w:rsidRPr="001B228E">
        <w:rPr>
          <w:b/>
        </w:rPr>
        <w:t>IONAL COURT OF SOUTH AFRICA</w:t>
      </w:r>
    </w:p>
    <w:p w14:paraId="7D189708" w14:textId="77777777" w:rsidR="001E5F5A" w:rsidRPr="001B228E" w:rsidRDefault="001E5F5A" w:rsidP="00AE4640"/>
    <w:p w14:paraId="336710CF" w14:textId="1DAF583F" w:rsidR="006966FC" w:rsidRPr="001B228E" w:rsidRDefault="00690D08" w:rsidP="002E16CF">
      <w:pPr>
        <w:rPr>
          <w:b/>
          <w:bCs/>
        </w:rPr>
      </w:pPr>
      <w:r>
        <w:rPr>
          <w:b/>
          <w:bCs/>
        </w:rPr>
        <w:t xml:space="preserve">Competition Commission of South Africa v Medicilinic Southern Africa (Pty) Limited and </w:t>
      </w:r>
      <w:r w:rsidR="00D51D1A">
        <w:rPr>
          <w:b/>
          <w:bCs/>
        </w:rPr>
        <w:t>Another</w:t>
      </w:r>
    </w:p>
    <w:p w14:paraId="13FC9544" w14:textId="77777777" w:rsidR="006966FC" w:rsidRPr="001B228E" w:rsidRDefault="006966FC" w:rsidP="005F467F">
      <w:pPr>
        <w:tabs>
          <w:tab w:val="right" w:pos="9360"/>
        </w:tabs>
        <w:ind w:right="284"/>
        <w:rPr>
          <w:bCs/>
          <w:sz w:val="26"/>
          <w:szCs w:val="26"/>
        </w:rPr>
      </w:pPr>
    </w:p>
    <w:p w14:paraId="5BF710CB" w14:textId="3E5401AF" w:rsidR="00E07942" w:rsidRPr="001B228E" w:rsidRDefault="00D40819" w:rsidP="00720ACA">
      <w:pPr>
        <w:jc w:val="right"/>
        <w:rPr>
          <w:b/>
        </w:rPr>
      </w:pPr>
      <w:r w:rsidRPr="001B228E">
        <w:rPr>
          <w:b/>
        </w:rPr>
        <w:t>CCT</w:t>
      </w:r>
      <w:r w:rsidR="00720ACA" w:rsidRPr="001B228E">
        <w:rPr>
          <w:b/>
        </w:rPr>
        <w:t xml:space="preserve"> </w:t>
      </w:r>
      <w:r w:rsidR="00690D08">
        <w:rPr>
          <w:b/>
        </w:rPr>
        <w:t>31/20</w:t>
      </w:r>
    </w:p>
    <w:p w14:paraId="304C1357" w14:textId="77777777" w:rsidR="00D40819" w:rsidRPr="001B228E" w:rsidRDefault="00D40819" w:rsidP="00720ACA">
      <w:pPr>
        <w:jc w:val="right"/>
        <w:rPr>
          <w:b/>
        </w:rPr>
      </w:pPr>
    </w:p>
    <w:p w14:paraId="718EB10B" w14:textId="026E85CC" w:rsidR="00E07942" w:rsidRPr="001B228E" w:rsidRDefault="00E07942" w:rsidP="00720ACA">
      <w:pPr>
        <w:jc w:val="right"/>
        <w:rPr>
          <w:b/>
        </w:rPr>
      </w:pPr>
      <w:r w:rsidRPr="001B228E">
        <w:rPr>
          <w:b/>
        </w:rPr>
        <w:t xml:space="preserve">Date of hearing: </w:t>
      </w:r>
      <w:r w:rsidR="00690D08">
        <w:rPr>
          <w:b/>
        </w:rPr>
        <w:t>11 March 2021</w:t>
      </w:r>
    </w:p>
    <w:p w14:paraId="0A2AD4EE" w14:textId="77777777" w:rsidR="00823B02" w:rsidRPr="001B228E" w:rsidRDefault="00823B02" w:rsidP="00AE4640"/>
    <w:p w14:paraId="28377186" w14:textId="77777777" w:rsidR="001E5F5A" w:rsidRPr="001B228E" w:rsidRDefault="00526226" w:rsidP="00AE4640">
      <w:r w:rsidRPr="001B228E">
        <w:t>________________________________________________________________________</w:t>
      </w:r>
    </w:p>
    <w:p w14:paraId="720AEAF5" w14:textId="77777777" w:rsidR="00526226" w:rsidRPr="001B228E" w:rsidRDefault="00526226" w:rsidP="00526226">
      <w:pPr>
        <w:jc w:val="center"/>
        <w:rPr>
          <w:b/>
        </w:rPr>
      </w:pPr>
    </w:p>
    <w:p w14:paraId="27E4AB92" w14:textId="77777777" w:rsidR="00526226" w:rsidRPr="001B228E" w:rsidRDefault="001E5F5A" w:rsidP="00526226">
      <w:pPr>
        <w:jc w:val="center"/>
        <w:rPr>
          <w:b/>
        </w:rPr>
      </w:pPr>
      <w:r w:rsidRPr="001B228E">
        <w:rPr>
          <w:b/>
        </w:rPr>
        <w:t>MEDIA SUMMARY</w:t>
      </w:r>
    </w:p>
    <w:p w14:paraId="0A96CF8B" w14:textId="77777777" w:rsidR="00526226" w:rsidRPr="001B228E" w:rsidRDefault="00526226" w:rsidP="00526226">
      <w:pPr>
        <w:jc w:val="center"/>
      </w:pPr>
      <w:r w:rsidRPr="001B228E">
        <w:t>________________________________________________________________________</w:t>
      </w:r>
    </w:p>
    <w:p w14:paraId="56A4B042" w14:textId="77777777" w:rsidR="001E5F5A" w:rsidRPr="001B228E" w:rsidRDefault="001E5F5A" w:rsidP="008B532D">
      <w:pPr>
        <w:spacing w:line="360" w:lineRule="auto"/>
        <w:jc w:val="left"/>
      </w:pPr>
    </w:p>
    <w:p w14:paraId="070AA6A0" w14:textId="77777777" w:rsidR="001E5F5A" w:rsidRPr="001B228E" w:rsidRDefault="001E5F5A" w:rsidP="006474CE">
      <w:pPr>
        <w:rPr>
          <w:i/>
        </w:rPr>
      </w:pPr>
      <w:r w:rsidRPr="001B228E">
        <w:rPr>
          <w:i/>
        </w:rPr>
        <w:t xml:space="preserve">The following </w:t>
      </w:r>
      <w:r w:rsidR="008C3682" w:rsidRPr="001B228E">
        <w:rPr>
          <w:i/>
        </w:rPr>
        <w:t xml:space="preserve">explanatory note </w:t>
      </w:r>
      <w:r w:rsidRPr="001B228E">
        <w:rPr>
          <w:i/>
        </w:rPr>
        <w:t>is provided to assist the media in reporting this case and is not binding on the Constitutional Court or any member of the Court.</w:t>
      </w:r>
    </w:p>
    <w:p w14:paraId="3EA70903" w14:textId="77777777" w:rsidR="00AB06B4" w:rsidRPr="001B228E" w:rsidRDefault="00AB06B4" w:rsidP="00DE5133"/>
    <w:p w14:paraId="29119D78" w14:textId="6AD92D98" w:rsidR="00955231" w:rsidRPr="000542E9" w:rsidRDefault="006474CE" w:rsidP="00DE5133">
      <w:r w:rsidRPr="001B228E">
        <w:t xml:space="preserve">On </w:t>
      </w:r>
      <w:r w:rsidR="005F66A5" w:rsidRPr="001B228E">
        <w:t>1</w:t>
      </w:r>
      <w:r w:rsidR="00F016A1">
        <w:t>1 March 2021</w:t>
      </w:r>
      <w:r w:rsidR="008376A5" w:rsidRPr="001B228E">
        <w:t xml:space="preserve"> </w:t>
      </w:r>
      <w:r w:rsidR="00AC799A" w:rsidRPr="001B228E">
        <w:t xml:space="preserve">at </w:t>
      </w:r>
      <w:r w:rsidR="0007028D" w:rsidRPr="001B228E">
        <w:t>10</w:t>
      </w:r>
      <w:r w:rsidR="00AC799A" w:rsidRPr="001B228E">
        <w:t>h00</w:t>
      </w:r>
      <w:r w:rsidR="00023AEF" w:rsidRPr="001B228E">
        <w:t>,</w:t>
      </w:r>
      <w:r w:rsidR="00AC799A" w:rsidRPr="001B228E">
        <w:t xml:space="preserve"> </w:t>
      </w:r>
      <w:r w:rsidR="000D35AE" w:rsidRPr="001B228E">
        <w:t xml:space="preserve">the </w:t>
      </w:r>
      <w:r w:rsidR="008C3682" w:rsidRPr="001B228E">
        <w:t xml:space="preserve">Constitutional Court </w:t>
      </w:r>
      <w:r w:rsidR="000D35AE" w:rsidRPr="001B228E">
        <w:t xml:space="preserve">will hear </w:t>
      </w:r>
      <w:r w:rsidR="008376A5" w:rsidRPr="001B228E">
        <w:t>an application for leave to appeal against the judgment and order of</w:t>
      </w:r>
      <w:r w:rsidR="00985E10">
        <w:t xml:space="preserve"> the</w:t>
      </w:r>
      <w:r w:rsidR="00985E10" w:rsidRPr="00985E10">
        <w:t xml:space="preserve"> </w:t>
      </w:r>
      <w:r w:rsidR="00F016A1">
        <w:t xml:space="preserve">Competition Appeal </w:t>
      </w:r>
      <w:r w:rsidR="001C0752">
        <w:t>Court</w:t>
      </w:r>
      <w:r w:rsidR="00104D42">
        <w:t xml:space="preserve">.  The </w:t>
      </w:r>
      <w:r w:rsidR="00E960C1">
        <w:t>Competition Appeal Court</w:t>
      </w:r>
      <w:r w:rsidR="00C51943" w:rsidRPr="001B228E">
        <w:t xml:space="preserve"> set aside th</w:t>
      </w:r>
      <w:r w:rsidR="00E960C1">
        <w:t>e decision of the Competition Tribunal to prohibit the merger between Medicilinic Southern Africa (Pty) Limited</w:t>
      </w:r>
      <w:r w:rsidR="00CC6A7B">
        <w:t xml:space="preserve"> (Mediclinic)</w:t>
      </w:r>
      <w:r w:rsidR="00E960C1">
        <w:t xml:space="preserve"> and Matlosana Medical Health Services (Pty) Limited</w:t>
      </w:r>
      <w:r w:rsidR="00CC6A7B">
        <w:t xml:space="preserve"> (Matlosana)</w:t>
      </w:r>
      <w:r w:rsidR="001C0752">
        <w:t>.  This</w:t>
      </w:r>
      <w:r w:rsidR="00E960C1">
        <w:t xml:space="preserve"> application concerns the proper interpretation of section 12A</w:t>
      </w:r>
      <w:r w:rsidR="00D018B7">
        <w:t>(1)(b) and (3)</w:t>
      </w:r>
      <w:r w:rsidR="00E960C1">
        <w:t xml:space="preserve"> of the Competition Act 89 of 1998 (the Act)</w:t>
      </w:r>
      <w:r w:rsidR="00D018B7">
        <w:t xml:space="preserve"> which seek</w:t>
      </w:r>
      <w:r w:rsidR="00D51D1A">
        <w:t>s</w:t>
      </w:r>
      <w:r w:rsidR="00D018B7">
        <w:t xml:space="preserve"> to </w:t>
      </w:r>
      <w:r w:rsidR="00CC6A7B">
        <w:t>determine</w:t>
      </w:r>
      <w:r w:rsidR="00D018B7">
        <w:t xml:space="preserve"> whether a merger can be justified on substantial public interest grounds.  </w:t>
      </w:r>
      <w:r w:rsidR="001C0752">
        <w:t>Furthermore,</w:t>
      </w:r>
      <w:r w:rsidR="00CC6A7B">
        <w:t xml:space="preserve"> whether</w:t>
      </w:r>
      <w:r w:rsidR="00D018B7">
        <w:t xml:space="preserve"> the right to access healthcare services in section</w:t>
      </w:r>
      <w:r w:rsidR="001C0752">
        <w:t> </w:t>
      </w:r>
      <w:r w:rsidR="00D018B7">
        <w:t>27 of the Constitution of the Re</w:t>
      </w:r>
      <w:r w:rsidR="001C0752">
        <w:t>public of South Africa, 1996 ought</w:t>
      </w:r>
      <w:r w:rsidR="00D018B7">
        <w:t xml:space="preserve"> to be </w:t>
      </w:r>
      <w:r w:rsidR="00CC6A7B">
        <w:t>considered</w:t>
      </w:r>
      <w:r w:rsidR="00D018B7">
        <w:t xml:space="preserve"> as a “substantial public interest” ground in terms of the Act.</w:t>
      </w:r>
    </w:p>
    <w:p w14:paraId="23D2D538" w14:textId="77777777" w:rsidR="008D2F22" w:rsidRPr="000542E9" w:rsidRDefault="008D2F22" w:rsidP="00DE5133"/>
    <w:p w14:paraId="36FB5823" w14:textId="2FD675EA" w:rsidR="00D16A7A" w:rsidRPr="000542E9" w:rsidRDefault="00CC6A7B" w:rsidP="00DE5133">
      <w:r>
        <w:t>Mediclinic owns and manages 48 multidisciplinary private hospitals around the country whereas Matlosana owns and manages only two such hospitals: Wilmed Park Private Hospital and Sunningdale Hospital</w:t>
      </w:r>
      <w:r w:rsidR="001C0752">
        <w:t xml:space="preserve"> (the target hospitals</w:t>
      </w:r>
      <w:r w:rsidR="00D51D1A">
        <w:t>)</w:t>
      </w:r>
      <w:r w:rsidR="006C7D4E">
        <w:t xml:space="preserve"> in the North West province (the relevant market)</w:t>
      </w:r>
      <w:r w:rsidR="00CF2C5E">
        <w:t>.</w:t>
      </w:r>
      <w:r w:rsidR="006845BA">
        <w:t xml:space="preserve">  </w:t>
      </w:r>
      <w:r w:rsidR="00474547">
        <w:t>Mediclinic and Matlosana seek to merge their respective businesses.  The practical effect of the merger woul</w:t>
      </w:r>
      <w:r w:rsidR="001C0752">
        <w:t>d be that the target hospitals</w:t>
      </w:r>
      <w:r w:rsidR="00474547">
        <w:t xml:space="preserve"> would be</w:t>
      </w:r>
      <w:r w:rsidR="001C0752">
        <w:t xml:space="preserve"> </w:t>
      </w:r>
      <w:r w:rsidR="00474547">
        <w:t>own</w:t>
      </w:r>
      <w:r w:rsidR="00B71D86">
        <w:t>ed</w:t>
      </w:r>
      <w:r w:rsidR="00474547">
        <w:t xml:space="preserve"> and manage</w:t>
      </w:r>
      <w:r w:rsidR="00B71D86">
        <w:t>d by Medicilinic.</w:t>
      </w:r>
    </w:p>
    <w:p w14:paraId="61CE118F" w14:textId="77777777" w:rsidR="00567A34" w:rsidRDefault="00567A34" w:rsidP="00DE5133"/>
    <w:p w14:paraId="64F5BA92" w14:textId="721C803B" w:rsidR="00D16A7A" w:rsidRPr="000542E9" w:rsidRDefault="00DC0A94" w:rsidP="00DE5133">
      <w:r>
        <w:t xml:space="preserve">On 29 September 2016, the merging parties </w:t>
      </w:r>
      <w:r w:rsidR="00474547">
        <w:t xml:space="preserve">notified </w:t>
      </w:r>
      <w:r w:rsidR="001C0752">
        <w:t xml:space="preserve">the </w:t>
      </w:r>
      <w:r w:rsidR="00474547">
        <w:t xml:space="preserve">Competition Commission </w:t>
      </w:r>
      <w:r>
        <w:t>of the</w:t>
      </w:r>
      <w:r w:rsidR="00D6365A">
        <w:t xml:space="preserve"> purported merger.  The Commission investigated </w:t>
      </w:r>
      <w:r w:rsidR="009A048B">
        <w:t>it</w:t>
      </w:r>
      <w:r w:rsidR="00330DE8">
        <w:t xml:space="preserve"> and</w:t>
      </w:r>
      <w:r w:rsidR="00567A34">
        <w:t xml:space="preserve"> on 28 June 2017,</w:t>
      </w:r>
      <w:r w:rsidR="00330DE8">
        <w:t xml:space="preserve"> upon realising</w:t>
      </w:r>
      <w:r w:rsidR="00D6365A">
        <w:t xml:space="preserve"> that it raise</w:t>
      </w:r>
      <w:r w:rsidR="009A048B">
        <w:t>s</w:t>
      </w:r>
      <w:r w:rsidR="00D6365A">
        <w:t xml:space="preserve"> sig</w:t>
      </w:r>
      <w:r w:rsidR="001C0752">
        <w:t>nificant competition concerns</w:t>
      </w:r>
      <w:r w:rsidR="00D51D1A">
        <w:t>,</w:t>
      </w:r>
      <w:r>
        <w:t xml:space="preserve"> recommended</w:t>
      </w:r>
      <w:r w:rsidR="00D6365A">
        <w:t xml:space="preserve"> to the Competition Tribunal that the proposed merger be prohibited because there was a likelihood that </w:t>
      </w:r>
      <w:r w:rsidR="00B74565">
        <w:t xml:space="preserve">it would </w:t>
      </w:r>
      <w:r w:rsidR="00B74565">
        <w:lastRenderedPageBreak/>
        <w:t xml:space="preserve">substantially lessen competition in the private health sector </w:t>
      </w:r>
      <w:r w:rsidR="006845BA">
        <w:t>and result</w:t>
      </w:r>
      <w:r w:rsidR="00B74565">
        <w:t xml:space="preserve"> in increased costs of healthcare for both insured and uninsured patients</w:t>
      </w:r>
      <w:r w:rsidR="00567C7C">
        <w:t>.</w:t>
      </w:r>
    </w:p>
    <w:p w14:paraId="366E85F0" w14:textId="77777777" w:rsidR="00D16A7A" w:rsidRPr="000542E9" w:rsidRDefault="00D16A7A" w:rsidP="00DE5133"/>
    <w:p w14:paraId="65E33C7A" w14:textId="5F74BB9C" w:rsidR="00D16A7A" w:rsidRPr="000542E9" w:rsidRDefault="003E443E" w:rsidP="00D16A7A">
      <w:r>
        <w:t xml:space="preserve">On 22 March 2019, the Tribunal held that </w:t>
      </w:r>
      <w:r w:rsidR="0052128B">
        <w:t xml:space="preserve">the proposed merger </w:t>
      </w:r>
      <w:r w:rsidR="00E561B1">
        <w:t>would</w:t>
      </w:r>
      <w:r w:rsidR="0052128B">
        <w:t xml:space="preserve"> remove the lower tariffs that are available to uninsured patients at the target hospitals and</w:t>
      </w:r>
      <w:r w:rsidR="00567C7C">
        <w:t>,</w:t>
      </w:r>
      <w:r w:rsidR="0052128B">
        <w:t xml:space="preserve"> given the significant differences in the tariffs, </w:t>
      </w:r>
      <w:r w:rsidR="006C7D4E">
        <w:t>it</w:t>
      </w:r>
      <w:r w:rsidR="0052128B">
        <w:t xml:space="preserve"> w</w:t>
      </w:r>
      <w:r w:rsidR="00A34A60">
        <w:t>ould</w:t>
      </w:r>
      <w:r w:rsidR="006C7D4E">
        <w:t xml:space="preserve"> </w:t>
      </w:r>
      <w:r w:rsidR="0052128B">
        <w:t>significantly affect the uninsured patients by limiting their ability to negotiate and switch to cheaper hospitals in the form of target hospitals</w:t>
      </w:r>
      <w:r w:rsidR="00567C7C">
        <w:t>.</w:t>
      </w:r>
      <w:r w:rsidR="00E42017">
        <w:t xml:space="preserve">  A</w:t>
      </w:r>
      <w:r>
        <w:t>s there were no remedies tendered</w:t>
      </w:r>
      <w:r w:rsidR="00E42017">
        <w:t xml:space="preserve"> by the respondents,</w:t>
      </w:r>
      <w:r>
        <w:t xml:space="preserve"> that would effectively address the competition concerns, the proposed transaction was prohibited.</w:t>
      </w:r>
    </w:p>
    <w:p w14:paraId="49151FA1" w14:textId="77777777" w:rsidR="00D16A7A" w:rsidRPr="000542E9" w:rsidRDefault="00D16A7A" w:rsidP="00DE5133"/>
    <w:p w14:paraId="7D7ECDA1" w14:textId="1C4E2A0A" w:rsidR="00A732B8" w:rsidRDefault="00330DE8">
      <w:r>
        <w:t>Aggrieved by th</w:t>
      </w:r>
      <w:r w:rsidR="00E42017">
        <w:t>e Tribunal’s decision</w:t>
      </w:r>
      <w:r>
        <w:t xml:space="preserve">, the </w:t>
      </w:r>
      <w:r w:rsidR="00E42017">
        <w:t>respondents</w:t>
      </w:r>
      <w:r>
        <w:t xml:space="preserve"> appealed to the Competition Appeal Court.</w:t>
      </w:r>
      <w:r w:rsidR="00E42017">
        <w:t xml:space="preserve">  </w:t>
      </w:r>
      <w:r w:rsidR="004A4A23" w:rsidRPr="00A732B8">
        <w:t xml:space="preserve">The majority held </w:t>
      </w:r>
      <w:r w:rsidR="004A4A23" w:rsidRPr="00A732B8">
        <w:rPr>
          <w:rFonts w:eastAsia="Calibri"/>
        </w:rPr>
        <w:t xml:space="preserve">that </w:t>
      </w:r>
      <w:r w:rsidR="00A732B8" w:rsidRPr="00A732B8">
        <w:t xml:space="preserve">in the absence of evidence that substantial harm may eventuate if the merger were to be approved, the prohibition of the proposed merger by the Tribunal </w:t>
      </w:r>
      <w:r w:rsidR="00256F1E">
        <w:t>could not</w:t>
      </w:r>
      <w:r w:rsidR="00256F1E" w:rsidRPr="00A732B8">
        <w:t xml:space="preserve"> </w:t>
      </w:r>
      <w:r w:rsidR="00A732B8" w:rsidRPr="00A732B8">
        <w:t>be justified.  The majority accordingly approved the merger with conditions.</w:t>
      </w:r>
    </w:p>
    <w:p w14:paraId="203BD4F7" w14:textId="3265D79B" w:rsidR="00A732B8" w:rsidRDefault="00A732B8" w:rsidP="00A732B8"/>
    <w:p w14:paraId="17D5792B" w14:textId="7DAF775A" w:rsidR="00A732B8" w:rsidRPr="00A732B8" w:rsidRDefault="00A732B8" w:rsidP="00A732B8">
      <w:r w:rsidRPr="00A732B8">
        <w:t>The minority agreed with the reasoning and conclusion of the Tribunal</w:t>
      </w:r>
      <w:r w:rsidR="00B71D86">
        <w:t xml:space="preserve"> that</w:t>
      </w:r>
      <w:r w:rsidRPr="00A732B8">
        <w:t xml:space="preserve"> it would not be in the public interest to approve the merger as it would undermine rather than advanc</w:t>
      </w:r>
      <w:r w:rsidR="00E518D9">
        <w:t>e</w:t>
      </w:r>
      <w:r w:rsidRPr="00A732B8">
        <w:t xml:space="preserve"> the right to access to healthcare services in the </w:t>
      </w:r>
      <w:r w:rsidR="006C7D4E">
        <w:t xml:space="preserve">relevant </w:t>
      </w:r>
      <w:r w:rsidRPr="00A732B8">
        <w:t>market.</w:t>
      </w:r>
    </w:p>
    <w:p w14:paraId="254F8389" w14:textId="0794ABEE" w:rsidR="0007029A" w:rsidRPr="001B228E" w:rsidRDefault="0007029A" w:rsidP="006474CE"/>
    <w:p w14:paraId="05E43EF6" w14:textId="7841FADA" w:rsidR="00C10F24" w:rsidRPr="00C10F24" w:rsidRDefault="00EB75D9" w:rsidP="00C10F24">
      <w:r>
        <w:t>Aggrieved by th</w:t>
      </w:r>
      <w:r w:rsidR="00AA37B5">
        <w:t>e</w:t>
      </w:r>
      <w:r>
        <w:t xml:space="preserve"> outcome</w:t>
      </w:r>
      <w:r w:rsidR="00C10F24">
        <w:t xml:space="preserve"> of the Competition Appeal Court</w:t>
      </w:r>
      <w:r w:rsidR="0007029A" w:rsidRPr="001B228E">
        <w:t xml:space="preserve">, the </w:t>
      </w:r>
      <w:r w:rsidR="00C10F24">
        <w:t>Commission</w:t>
      </w:r>
      <w:r w:rsidR="00AF4BC8">
        <w:t xml:space="preserve"> applied to </w:t>
      </w:r>
      <w:r w:rsidR="002F519E">
        <w:t>the Constitutional Court</w:t>
      </w:r>
      <w:r w:rsidR="0007029A" w:rsidRPr="001B228E">
        <w:t xml:space="preserve"> </w:t>
      </w:r>
      <w:r w:rsidR="00AF4BC8">
        <w:t>for leave</w:t>
      </w:r>
      <w:r w:rsidR="0000070C">
        <w:t xml:space="preserve"> to</w:t>
      </w:r>
      <w:r w:rsidR="00093BE5" w:rsidRPr="001B228E">
        <w:t xml:space="preserve"> </w:t>
      </w:r>
      <w:r w:rsidR="00C10F24">
        <w:t>appeal</w:t>
      </w:r>
      <w:r w:rsidR="00093BE5" w:rsidRPr="001B228E">
        <w:t xml:space="preserve"> the order</w:t>
      </w:r>
      <w:r w:rsidR="00C10F24">
        <w:t xml:space="preserve"> and judgment of th</w:t>
      </w:r>
      <w:r w:rsidR="0000070C">
        <w:t>e Competition Appeal Court</w:t>
      </w:r>
      <w:r w:rsidR="00093BE5" w:rsidRPr="001B228E">
        <w:t xml:space="preserve">.  </w:t>
      </w:r>
      <w:r w:rsidR="00C10F24" w:rsidRPr="00C10F24">
        <w:t xml:space="preserve">It submits that </w:t>
      </w:r>
      <w:r w:rsidR="00C10F24">
        <w:t>the proper starting point when interpreting the</w:t>
      </w:r>
      <w:r w:rsidR="00C10F24" w:rsidRPr="00C10F24">
        <w:t xml:space="preserve"> provisions of the Competition Act is t</w:t>
      </w:r>
      <w:r w:rsidR="00C10F24">
        <w:t>he Constitution and that the</w:t>
      </w:r>
      <w:r w:rsidR="00B402FE">
        <w:t xml:space="preserve"> Competition</w:t>
      </w:r>
      <w:r w:rsidR="00C10F24">
        <w:t xml:space="preserve"> Appeal Court </w:t>
      </w:r>
      <w:r w:rsidR="00C10F24" w:rsidRPr="00C10F24">
        <w:t>in its interpretation of section</w:t>
      </w:r>
      <w:r w:rsidR="00C10F24">
        <w:t> 12A(1)(a) and (2) of the Act</w:t>
      </w:r>
      <w:r w:rsidR="00C10F24" w:rsidRPr="00C10F24">
        <w:t xml:space="preserve"> ignored sections 7(2) and 39(2) of the Constitution</w:t>
      </w:r>
      <w:r w:rsidR="0000070C">
        <w:t>.</w:t>
      </w:r>
    </w:p>
    <w:p w14:paraId="3BF0E679" w14:textId="3E98FCBE" w:rsidR="00C10F24" w:rsidRPr="00C10F24" w:rsidRDefault="00C10F24" w:rsidP="00C10F24"/>
    <w:p w14:paraId="2A392F00" w14:textId="4F82C0F7" w:rsidR="00C10F24" w:rsidRPr="00C10F24" w:rsidRDefault="00C10F24" w:rsidP="00C10F24">
      <w:r>
        <w:t xml:space="preserve">The </w:t>
      </w:r>
      <w:r w:rsidR="0000070C">
        <w:t xml:space="preserve">applicant </w:t>
      </w:r>
      <w:r>
        <w:t>further</w:t>
      </w:r>
      <w:r w:rsidRPr="00C10F24">
        <w:t xml:space="preserve"> submit</w:t>
      </w:r>
      <w:r w:rsidR="0000070C">
        <w:t>s</w:t>
      </w:r>
      <w:r w:rsidRPr="00C10F24">
        <w:t xml:space="preserve"> that the changes in tariffs at </w:t>
      </w:r>
      <w:r w:rsidR="00393850">
        <w:t>the target hospitals</w:t>
      </w:r>
      <w:r w:rsidRPr="00C10F24">
        <w:t xml:space="preserve"> will </w:t>
      </w:r>
      <w:r w:rsidR="00393850">
        <w:t xml:space="preserve">have an </w:t>
      </w:r>
      <w:r w:rsidRPr="00C10F24">
        <w:t xml:space="preserve">impact on the competitive behaviour of </w:t>
      </w:r>
      <w:r w:rsidR="00393850">
        <w:t>Mediclinic and that this will lessen competition</w:t>
      </w:r>
      <w:r w:rsidRPr="00C10F24">
        <w:t xml:space="preserve"> </w:t>
      </w:r>
      <w:r w:rsidR="00B402FE" w:rsidRPr="00C10F24">
        <w:t>because of</w:t>
      </w:r>
      <w:r w:rsidRPr="00C10F24">
        <w:t xml:space="preserve"> the un</w:t>
      </w:r>
      <w:r w:rsidR="00393850">
        <w:t>ilateral imposition of tariffs.  Furthermore,</w:t>
      </w:r>
      <w:r w:rsidRPr="00C10F24">
        <w:t xml:space="preserve"> the significant tariff increase will have substantial adverse effect</w:t>
      </w:r>
      <w:r w:rsidR="00393850">
        <w:t>s on the affordability and access for</w:t>
      </w:r>
      <w:r w:rsidRPr="00C10F24">
        <w:t xml:space="preserve"> uninsured patients who seek private healthcare services in the Klerks</w:t>
      </w:r>
      <w:r w:rsidR="00393850">
        <w:t>dorp and Potchefstroom regions.  This will frustrate the objects of the Constitution.</w:t>
      </w:r>
    </w:p>
    <w:p w14:paraId="6ECCD71B" w14:textId="77777777" w:rsidR="00C10F24" w:rsidRPr="00C10F24" w:rsidRDefault="00C10F24" w:rsidP="00C10F24"/>
    <w:p w14:paraId="43652B48" w14:textId="66319493" w:rsidR="00C10F24" w:rsidRPr="00C10F24" w:rsidRDefault="00B71D86" w:rsidP="00C10F24">
      <w:r>
        <w:t>T</w:t>
      </w:r>
      <w:r w:rsidR="00C10F24" w:rsidRPr="00C10F24">
        <w:t xml:space="preserve">he </w:t>
      </w:r>
      <w:r w:rsidR="00393850">
        <w:t>Commission</w:t>
      </w:r>
      <w:r w:rsidR="00C10F24" w:rsidRPr="00C10F24">
        <w:t xml:space="preserve"> </w:t>
      </w:r>
      <w:r>
        <w:t xml:space="preserve">also </w:t>
      </w:r>
      <w:r w:rsidR="00C10F24" w:rsidRPr="00C10F24">
        <w:t>submit</w:t>
      </w:r>
      <w:r w:rsidR="00393850">
        <w:t>s</w:t>
      </w:r>
      <w:r w:rsidR="007D353A">
        <w:t xml:space="preserve"> that </w:t>
      </w:r>
      <w:r w:rsidR="00B506BD">
        <w:t>the increase in tariffs for uninsured patients is not trivial</w:t>
      </w:r>
      <w:r w:rsidR="00F84CDC">
        <w:t xml:space="preserve"> and that the onus to justify the </w:t>
      </w:r>
      <w:r w:rsidR="00C32583">
        <w:t>merger rests on the merging parties</w:t>
      </w:r>
      <w:r w:rsidR="008B03FA">
        <w:t xml:space="preserve"> and that the</w:t>
      </w:r>
      <w:r w:rsidR="00B402FE">
        <w:t>y</w:t>
      </w:r>
      <w:r w:rsidR="008B03FA">
        <w:t xml:space="preserve"> bear the onus to show the efficiency and technological gains will outweigh the negative effects on patients.</w:t>
      </w:r>
    </w:p>
    <w:p w14:paraId="0C0C8BDD" w14:textId="746577EF" w:rsidR="00AA37B5" w:rsidRDefault="00AA37B5" w:rsidP="006474CE"/>
    <w:p w14:paraId="5A435D63" w14:textId="406B7B13" w:rsidR="00EB75D9" w:rsidRPr="001B228E" w:rsidRDefault="00393850" w:rsidP="006474CE">
      <w:r>
        <w:t xml:space="preserve">The </w:t>
      </w:r>
      <w:r w:rsidR="00D972AA">
        <w:t>respondents</w:t>
      </w:r>
      <w:r w:rsidRPr="00393850">
        <w:t xml:space="preserve"> submit that this Court has no jurisdiction </w:t>
      </w:r>
      <w:r w:rsidR="009E4650">
        <w:t xml:space="preserve">as the application raises </w:t>
      </w:r>
      <w:r w:rsidR="00E529EB">
        <w:t>no</w:t>
      </w:r>
      <w:r w:rsidRPr="00393850">
        <w:t xml:space="preserve"> constitutional issue</w:t>
      </w:r>
      <w:r w:rsidR="00E529EB">
        <w:t xml:space="preserve"> </w:t>
      </w:r>
      <w:r w:rsidR="00D972AA">
        <w:t>or</w:t>
      </w:r>
      <w:r w:rsidRPr="00393850">
        <w:t xml:space="preserve"> arguable points of law of general public importance that ought to be considered by this Court</w:t>
      </w:r>
      <w:r w:rsidR="00D972AA">
        <w:t xml:space="preserve"> </w:t>
      </w:r>
      <w:r w:rsidRPr="00393850">
        <w:t>and</w:t>
      </w:r>
      <w:r w:rsidR="00B402FE">
        <w:t>,</w:t>
      </w:r>
      <w:r w:rsidRPr="00393850">
        <w:t xml:space="preserve"> as a result, leave to appeal should not be granted</w:t>
      </w:r>
      <w:r w:rsidR="00D972AA">
        <w:t xml:space="preserve">.  </w:t>
      </w:r>
      <w:r w:rsidR="00D02A93" w:rsidRPr="00D02A93">
        <w:t xml:space="preserve">They </w:t>
      </w:r>
      <w:r w:rsidR="00D972AA">
        <w:t>contend</w:t>
      </w:r>
      <w:r w:rsidR="00D02A93" w:rsidRPr="00D02A93">
        <w:t xml:space="preserve"> that there is no basis for the applicant’s contention that the C</w:t>
      </w:r>
      <w:r w:rsidR="00D972AA">
        <w:t xml:space="preserve">ompetition Appeal Court did </w:t>
      </w:r>
      <w:r w:rsidR="00B402FE">
        <w:t xml:space="preserve">not </w:t>
      </w:r>
      <w:r w:rsidR="00D02A93" w:rsidRPr="00D02A93">
        <w:t>consider the constitutional implications of</w:t>
      </w:r>
      <w:r w:rsidR="00D02A93">
        <w:t xml:space="preserve"> the merger</w:t>
      </w:r>
      <w:r w:rsidRPr="00393850">
        <w:t xml:space="preserve">.  </w:t>
      </w:r>
      <w:r w:rsidR="00A34A60">
        <w:t>Finally, they</w:t>
      </w:r>
      <w:r w:rsidR="00853F3E">
        <w:t xml:space="preserve"> submit that the </w:t>
      </w:r>
      <w:r w:rsidR="005A0292">
        <w:t>Competition Appeal Court was correct in approving the merger.</w:t>
      </w:r>
    </w:p>
    <w:sectPr w:rsidR="00EB75D9" w:rsidRPr="001B228E"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9FCC17A" w14:textId="77777777" w:rsidR="00B35369" w:rsidRDefault="00B35369" w:rsidP="004A5089">
      <w:r>
        <w:separator/>
      </w:r>
    </w:p>
  </w:endnote>
  <w:endnote w:type="continuationSeparator" w:id="0">
    <w:p w14:paraId="573EE3F8" w14:textId="77777777" w:rsidR="00B35369" w:rsidRDefault="00B35369" w:rsidP="004A50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59636E9" w14:textId="77777777" w:rsidR="00B35369" w:rsidRDefault="00B35369" w:rsidP="004A5089">
      <w:r>
        <w:separator/>
      </w:r>
    </w:p>
  </w:footnote>
  <w:footnote w:type="continuationSeparator" w:id="0">
    <w:p w14:paraId="425AC382" w14:textId="77777777" w:rsidR="00B35369" w:rsidRDefault="00B35369" w:rsidP="004A508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5F5A"/>
    <w:rsid w:val="0000070C"/>
    <w:rsid w:val="00001A3B"/>
    <w:rsid w:val="00017302"/>
    <w:rsid w:val="00023AEF"/>
    <w:rsid w:val="00023FA7"/>
    <w:rsid w:val="0003383F"/>
    <w:rsid w:val="000403F2"/>
    <w:rsid w:val="00044771"/>
    <w:rsid w:val="000542E9"/>
    <w:rsid w:val="00054891"/>
    <w:rsid w:val="000548D7"/>
    <w:rsid w:val="00055B29"/>
    <w:rsid w:val="000654B1"/>
    <w:rsid w:val="00067DC0"/>
    <w:rsid w:val="0007028D"/>
    <w:rsid w:val="0007029A"/>
    <w:rsid w:val="00070E99"/>
    <w:rsid w:val="00077B38"/>
    <w:rsid w:val="000806AE"/>
    <w:rsid w:val="000810CF"/>
    <w:rsid w:val="00090A9D"/>
    <w:rsid w:val="00091F8C"/>
    <w:rsid w:val="00093BE5"/>
    <w:rsid w:val="00093E39"/>
    <w:rsid w:val="00094E7C"/>
    <w:rsid w:val="000A36D1"/>
    <w:rsid w:val="000A36F3"/>
    <w:rsid w:val="000A5084"/>
    <w:rsid w:val="000C55C6"/>
    <w:rsid w:val="000C74C7"/>
    <w:rsid w:val="000D09EA"/>
    <w:rsid w:val="000D13B1"/>
    <w:rsid w:val="000D35AE"/>
    <w:rsid w:val="000D6A5F"/>
    <w:rsid w:val="000E4D76"/>
    <w:rsid w:val="00100027"/>
    <w:rsid w:val="00100894"/>
    <w:rsid w:val="001028EC"/>
    <w:rsid w:val="001038D8"/>
    <w:rsid w:val="00104D42"/>
    <w:rsid w:val="001106DD"/>
    <w:rsid w:val="00113454"/>
    <w:rsid w:val="00117D6B"/>
    <w:rsid w:val="00122E3D"/>
    <w:rsid w:val="00125BE8"/>
    <w:rsid w:val="001372A6"/>
    <w:rsid w:val="00140430"/>
    <w:rsid w:val="00143D66"/>
    <w:rsid w:val="00143FA1"/>
    <w:rsid w:val="0015307D"/>
    <w:rsid w:val="00163D85"/>
    <w:rsid w:val="00172A2C"/>
    <w:rsid w:val="00185D4F"/>
    <w:rsid w:val="001A24C8"/>
    <w:rsid w:val="001B141E"/>
    <w:rsid w:val="001B228E"/>
    <w:rsid w:val="001C0752"/>
    <w:rsid w:val="001C456E"/>
    <w:rsid w:val="001C4F6D"/>
    <w:rsid w:val="001E31D8"/>
    <w:rsid w:val="001E57F4"/>
    <w:rsid w:val="001E5F5A"/>
    <w:rsid w:val="001E7604"/>
    <w:rsid w:val="001F7703"/>
    <w:rsid w:val="00200AB8"/>
    <w:rsid w:val="00203A1D"/>
    <w:rsid w:val="00215823"/>
    <w:rsid w:val="00223A97"/>
    <w:rsid w:val="0023026D"/>
    <w:rsid w:val="002348C0"/>
    <w:rsid w:val="00242206"/>
    <w:rsid w:val="002435AB"/>
    <w:rsid w:val="00243F11"/>
    <w:rsid w:val="00246599"/>
    <w:rsid w:val="00250C27"/>
    <w:rsid w:val="00253986"/>
    <w:rsid w:val="00256F1E"/>
    <w:rsid w:val="002617B3"/>
    <w:rsid w:val="00263169"/>
    <w:rsid w:val="002705A8"/>
    <w:rsid w:val="0027251B"/>
    <w:rsid w:val="0027353F"/>
    <w:rsid w:val="002755AD"/>
    <w:rsid w:val="0029524C"/>
    <w:rsid w:val="00296390"/>
    <w:rsid w:val="002A095E"/>
    <w:rsid w:val="002A0A35"/>
    <w:rsid w:val="002C6CF8"/>
    <w:rsid w:val="002D184B"/>
    <w:rsid w:val="002D7582"/>
    <w:rsid w:val="002E16CF"/>
    <w:rsid w:val="002F519E"/>
    <w:rsid w:val="00304532"/>
    <w:rsid w:val="00305423"/>
    <w:rsid w:val="00306991"/>
    <w:rsid w:val="00314919"/>
    <w:rsid w:val="0031792A"/>
    <w:rsid w:val="00322C64"/>
    <w:rsid w:val="00323149"/>
    <w:rsid w:val="003255EA"/>
    <w:rsid w:val="0032682A"/>
    <w:rsid w:val="00330DE8"/>
    <w:rsid w:val="00334E0F"/>
    <w:rsid w:val="003430F2"/>
    <w:rsid w:val="00357788"/>
    <w:rsid w:val="00360CA5"/>
    <w:rsid w:val="00365E45"/>
    <w:rsid w:val="0037720A"/>
    <w:rsid w:val="003807A5"/>
    <w:rsid w:val="003845A8"/>
    <w:rsid w:val="00385062"/>
    <w:rsid w:val="003850ED"/>
    <w:rsid w:val="00386254"/>
    <w:rsid w:val="00393850"/>
    <w:rsid w:val="003B4484"/>
    <w:rsid w:val="003C13D6"/>
    <w:rsid w:val="003C2AF7"/>
    <w:rsid w:val="003C40ED"/>
    <w:rsid w:val="003C5D30"/>
    <w:rsid w:val="003D1CF1"/>
    <w:rsid w:val="003D347E"/>
    <w:rsid w:val="003D36A3"/>
    <w:rsid w:val="003D7107"/>
    <w:rsid w:val="003D7359"/>
    <w:rsid w:val="003E3480"/>
    <w:rsid w:val="003E443E"/>
    <w:rsid w:val="003E7334"/>
    <w:rsid w:val="003E77B2"/>
    <w:rsid w:val="003F0347"/>
    <w:rsid w:val="003F1959"/>
    <w:rsid w:val="003F3E2F"/>
    <w:rsid w:val="004036FB"/>
    <w:rsid w:val="004065B7"/>
    <w:rsid w:val="00410075"/>
    <w:rsid w:val="004302FD"/>
    <w:rsid w:val="00430C6F"/>
    <w:rsid w:val="00433FFD"/>
    <w:rsid w:val="004358E5"/>
    <w:rsid w:val="004426F8"/>
    <w:rsid w:val="00452472"/>
    <w:rsid w:val="00474547"/>
    <w:rsid w:val="00477F40"/>
    <w:rsid w:val="00484B0D"/>
    <w:rsid w:val="00490F2C"/>
    <w:rsid w:val="00493203"/>
    <w:rsid w:val="004A1AEE"/>
    <w:rsid w:val="004A4A23"/>
    <w:rsid w:val="004A4E97"/>
    <w:rsid w:val="004A5089"/>
    <w:rsid w:val="004B2879"/>
    <w:rsid w:val="004C1C26"/>
    <w:rsid w:val="004C3774"/>
    <w:rsid w:val="004C5AD8"/>
    <w:rsid w:val="004C7EF7"/>
    <w:rsid w:val="004D0F9C"/>
    <w:rsid w:val="004D716D"/>
    <w:rsid w:val="004E15CD"/>
    <w:rsid w:val="004F4959"/>
    <w:rsid w:val="005038A1"/>
    <w:rsid w:val="0052128B"/>
    <w:rsid w:val="00523D54"/>
    <w:rsid w:val="00524F3A"/>
    <w:rsid w:val="005257B9"/>
    <w:rsid w:val="00526226"/>
    <w:rsid w:val="005307A5"/>
    <w:rsid w:val="00531E6B"/>
    <w:rsid w:val="0053527E"/>
    <w:rsid w:val="00550E39"/>
    <w:rsid w:val="005546F3"/>
    <w:rsid w:val="00561A76"/>
    <w:rsid w:val="00567A34"/>
    <w:rsid w:val="00567C7C"/>
    <w:rsid w:val="00571CD9"/>
    <w:rsid w:val="00573AEA"/>
    <w:rsid w:val="005837DE"/>
    <w:rsid w:val="00587A53"/>
    <w:rsid w:val="00594B56"/>
    <w:rsid w:val="00596826"/>
    <w:rsid w:val="005A0292"/>
    <w:rsid w:val="005A0C08"/>
    <w:rsid w:val="005A4B3C"/>
    <w:rsid w:val="005B2F2F"/>
    <w:rsid w:val="005B51EB"/>
    <w:rsid w:val="005C0BB0"/>
    <w:rsid w:val="005D19E5"/>
    <w:rsid w:val="005D4769"/>
    <w:rsid w:val="005D4E13"/>
    <w:rsid w:val="005E255A"/>
    <w:rsid w:val="005E52AC"/>
    <w:rsid w:val="005E557D"/>
    <w:rsid w:val="005F2B5C"/>
    <w:rsid w:val="005F322E"/>
    <w:rsid w:val="005F467F"/>
    <w:rsid w:val="005F66A5"/>
    <w:rsid w:val="006066A6"/>
    <w:rsid w:val="006111ED"/>
    <w:rsid w:val="00613A1A"/>
    <w:rsid w:val="00616848"/>
    <w:rsid w:val="00624FFE"/>
    <w:rsid w:val="00630A05"/>
    <w:rsid w:val="00630AA9"/>
    <w:rsid w:val="00637AB0"/>
    <w:rsid w:val="00642076"/>
    <w:rsid w:val="00642528"/>
    <w:rsid w:val="006474CE"/>
    <w:rsid w:val="006524D4"/>
    <w:rsid w:val="0065361F"/>
    <w:rsid w:val="006543E3"/>
    <w:rsid w:val="00667AA8"/>
    <w:rsid w:val="006735C9"/>
    <w:rsid w:val="00674452"/>
    <w:rsid w:val="006749D6"/>
    <w:rsid w:val="00676BB6"/>
    <w:rsid w:val="00676CFE"/>
    <w:rsid w:val="0067796E"/>
    <w:rsid w:val="006845BA"/>
    <w:rsid w:val="00685C91"/>
    <w:rsid w:val="006879F3"/>
    <w:rsid w:val="00690D08"/>
    <w:rsid w:val="00694175"/>
    <w:rsid w:val="006966FC"/>
    <w:rsid w:val="006A4E57"/>
    <w:rsid w:val="006C7D4E"/>
    <w:rsid w:val="006D2417"/>
    <w:rsid w:val="006E5C73"/>
    <w:rsid w:val="006E6A2F"/>
    <w:rsid w:val="006F0C81"/>
    <w:rsid w:val="006F0E95"/>
    <w:rsid w:val="006F13A3"/>
    <w:rsid w:val="006F4A34"/>
    <w:rsid w:val="00700B9E"/>
    <w:rsid w:val="007106E2"/>
    <w:rsid w:val="00712458"/>
    <w:rsid w:val="00716FAA"/>
    <w:rsid w:val="00720ACA"/>
    <w:rsid w:val="007468AD"/>
    <w:rsid w:val="00750F83"/>
    <w:rsid w:val="00752C8F"/>
    <w:rsid w:val="007623CD"/>
    <w:rsid w:val="00762738"/>
    <w:rsid w:val="00762E0E"/>
    <w:rsid w:val="007659FF"/>
    <w:rsid w:val="00772FD1"/>
    <w:rsid w:val="007746CE"/>
    <w:rsid w:val="00775169"/>
    <w:rsid w:val="00780874"/>
    <w:rsid w:val="00782ED5"/>
    <w:rsid w:val="0078535D"/>
    <w:rsid w:val="007A26EB"/>
    <w:rsid w:val="007A7ECE"/>
    <w:rsid w:val="007B20E4"/>
    <w:rsid w:val="007B4E06"/>
    <w:rsid w:val="007C1C3B"/>
    <w:rsid w:val="007C65D9"/>
    <w:rsid w:val="007D353A"/>
    <w:rsid w:val="007D6DF5"/>
    <w:rsid w:val="007E6C84"/>
    <w:rsid w:val="007F0EF4"/>
    <w:rsid w:val="007F7DCD"/>
    <w:rsid w:val="00801124"/>
    <w:rsid w:val="00815B0C"/>
    <w:rsid w:val="0081741F"/>
    <w:rsid w:val="008209C7"/>
    <w:rsid w:val="00823B02"/>
    <w:rsid w:val="008276EF"/>
    <w:rsid w:val="0083215D"/>
    <w:rsid w:val="00834D25"/>
    <w:rsid w:val="008351C8"/>
    <w:rsid w:val="008376A5"/>
    <w:rsid w:val="00845AC3"/>
    <w:rsid w:val="00853F3E"/>
    <w:rsid w:val="00856BEE"/>
    <w:rsid w:val="0086048D"/>
    <w:rsid w:val="0086649A"/>
    <w:rsid w:val="00866508"/>
    <w:rsid w:val="00867767"/>
    <w:rsid w:val="0087005B"/>
    <w:rsid w:val="00881D33"/>
    <w:rsid w:val="00882096"/>
    <w:rsid w:val="00883D6C"/>
    <w:rsid w:val="00885E37"/>
    <w:rsid w:val="00892248"/>
    <w:rsid w:val="008943E7"/>
    <w:rsid w:val="008969B4"/>
    <w:rsid w:val="008A5FDC"/>
    <w:rsid w:val="008B03FA"/>
    <w:rsid w:val="008B1777"/>
    <w:rsid w:val="008B532D"/>
    <w:rsid w:val="008C3682"/>
    <w:rsid w:val="008D24BC"/>
    <w:rsid w:val="008D2F22"/>
    <w:rsid w:val="008D3221"/>
    <w:rsid w:val="008D3D39"/>
    <w:rsid w:val="008D66B8"/>
    <w:rsid w:val="008E3622"/>
    <w:rsid w:val="008E54C8"/>
    <w:rsid w:val="008F4B8F"/>
    <w:rsid w:val="0090690C"/>
    <w:rsid w:val="00907A39"/>
    <w:rsid w:val="00910F26"/>
    <w:rsid w:val="00911DB9"/>
    <w:rsid w:val="00913F21"/>
    <w:rsid w:val="009216C9"/>
    <w:rsid w:val="00955231"/>
    <w:rsid w:val="0096072E"/>
    <w:rsid w:val="00963C6F"/>
    <w:rsid w:val="009642D7"/>
    <w:rsid w:val="00973CC7"/>
    <w:rsid w:val="009838A9"/>
    <w:rsid w:val="00985E10"/>
    <w:rsid w:val="00992CAE"/>
    <w:rsid w:val="009A048B"/>
    <w:rsid w:val="009B7449"/>
    <w:rsid w:val="009B7D1B"/>
    <w:rsid w:val="009C2960"/>
    <w:rsid w:val="009D59D3"/>
    <w:rsid w:val="009D7090"/>
    <w:rsid w:val="009E4650"/>
    <w:rsid w:val="009E7D9D"/>
    <w:rsid w:val="00A0140F"/>
    <w:rsid w:val="00A142B7"/>
    <w:rsid w:val="00A221FA"/>
    <w:rsid w:val="00A34A60"/>
    <w:rsid w:val="00A37027"/>
    <w:rsid w:val="00A47D4A"/>
    <w:rsid w:val="00A51C04"/>
    <w:rsid w:val="00A55B9B"/>
    <w:rsid w:val="00A61B29"/>
    <w:rsid w:val="00A626D2"/>
    <w:rsid w:val="00A732B8"/>
    <w:rsid w:val="00A81378"/>
    <w:rsid w:val="00A85AE1"/>
    <w:rsid w:val="00A92EFA"/>
    <w:rsid w:val="00A97D49"/>
    <w:rsid w:val="00AA17C0"/>
    <w:rsid w:val="00AA3378"/>
    <w:rsid w:val="00AA37B5"/>
    <w:rsid w:val="00AB06B4"/>
    <w:rsid w:val="00AC5170"/>
    <w:rsid w:val="00AC6283"/>
    <w:rsid w:val="00AC799A"/>
    <w:rsid w:val="00AD14A5"/>
    <w:rsid w:val="00AD3E2C"/>
    <w:rsid w:val="00AE4640"/>
    <w:rsid w:val="00AE61F5"/>
    <w:rsid w:val="00AF0A36"/>
    <w:rsid w:val="00AF4BC8"/>
    <w:rsid w:val="00AF67D4"/>
    <w:rsid w:val="00AF6BB4"/>
    <w:rsid w:val="00AF7027"/>
    <w:rsid w:val="00B05E36"/>
    <w:rsid w:val="00B1468C"/>
    <w:rsid w:val="00B30523"/>
    <w:rsid w:val="00B3177F"/>
    <w:rsid w:val="00B31B92"/>
    <w:rsid w:val="00B35369"/>
    <w:rsid w:val="00B36F54"/>
    <w:rsid w:val="00B402FE"/>
    <w:rsid w:val="00B428BE"/>
    <w:rsid w:val="00B4658E"/>
    <w:rsid w:val="00B506BD"/>
    <w:rsid w:val="00B56EAA"/>
    <w:rsid w:val="00B630F2"/>
    <w:rsid w:val="00B70AA8"/>
    <w:rsid w:val="00B71544"/>
    <w:rsid w:val="00B71D86"/>
    <w:rsid w:val="00B71EAA"/>
    <w:rsid w:val="00B74565"/>
    <w:rsid w:val="00B75813"/>
    <w:rsid w:val="00B80F33"/>
    <w:rsid w:val="00B83DA0"/>
    <w:rsid w:val="00BA66A9"/>
    <w:rsid w:val="00BB3AE7"/>
    <w:rsid w:val="00BC597D"/>
    <w:rsid w:val="00BD2342"/>
    <w:rsid w:val="00BD56D1"/>
    <w:rsid w:val="00BE6FBD"/>
    <w:rsid w:val="00C10F24"/>
    <w:rsid w:val="00C14E9E"/>
    <w:rsid w:val="00C15790"/>
    <w:rsid w:val="00C32583"/>
    <w:rsid w:val="00C34ECB"/>
    <w:rsid w:val="00C429EA"/>
    <w:rsid w:val="00C43D8A"/>
    <w:rsid w:val="00C44D82"/>
    <w:rsid w:val="00C45F8A"/>
    <w:rsid w:val="00C47F29"/>
    <w:rsid w:val="00C51379"/>
    <w:rsid w:val="00C51943"/>
    <w:rsid w:val="00C51AFC"/>
    <w:rsid w:val="00C536E8"/>
    <w:rsid w:val="00C54053"/>
    <w:rsid w:val="00C55A66"/>
    <w:rsid w:val="00C61194"/>
    <w:rsid w:val="00C616DF"/>
    <w:rsid w:val="00C658CA"/>
    <w:rsid w:val="00C70B69"/>
    <w:rsid w:val="00C85082"/>
    <w:rsid w:val="00C85429"/>
    <w:rsid w:val="00C96321"/>
    <w:rsid w:val="00CA21ED"/>
    <w:rsid w:val="00CA25C7"/>
    <w:rsid w:val="00CA458C"/>
    <w:rsid w:val="00CB2E3D"/>
    <w:rsid w:val="00CC3931"/>
    <w:rsid w:val="00CC6A7B"/>
    <w:rsid w:val="00CE2785"/>
    <w:rsid w:val="00CE2A14"/>
    <w:rsid w:val="00CE51A0"/>
    <w:rsid w:val="00CF15E8"/>
    <w:rsid w:val="00CF2C5E"/>
    <w:rsid w:val="00CF4940"/>
    <w:rsid w:val="00D018B7"/>
    <w:rsid w:val="00D02A93"/>
    <w:rsid w:val="00D02C36"/>
    <w:rsid w:val="00D12501"/>
    <w:rsid w:val="00D16A7A"/>
    <w:rsid w:val="00D200E8"/>
    <w:rsid w:val="00D204ED"/>
    <w:rsid w:val="00D35311"/>
    <w:rsid w:val="00D356A3"/>
    <w:rsid w:val="00D3622B"/>
    <w:rsid w:val="00D37331"/>
    <w:rsid w:val="00D40819"/>
    <w:rsid w:val="00D41C9A"/>
    <w:rsid w:val="00D444F3"/>
    <w:rsid w:val="00D51D1A"/>
    <w:rsid w:val="00D52A9A"/>
    <w:rsid w:val="00D53D96"/>
    <w:rsid w:val="00D54256"/>
    <w:rsid w:val="00D6365A"/>
    <w:rsid w:val="00D64E65"/>
    <w:rsid w:val="00D659C5"/>
    <w:rsid w:val="00D65A5E"/>
    <w:rsid w:val="00D66AA4"/>
    <w:rsid w:val="00D81365"/>
    <w:rsid w:val="00D81F8F"/>
    <w:rsid w:val="00D832B8"/>
    <w:rsid w:val="00D86239"/>
    <w:rsid w:val="00D870FF"/>
    <w:rsid w:val="00D87346"/>
    <w:rsid w:val="00D93295"/>
    <w:rsid w:val="00D972AA"/>
    <w:rsid w:val="00DB011F"/>
    <w:rsid w:val="00DB12FA"/>
    <w:rsid w:val="00DB1A44"/>
    <w:rsid w:val="00DC0A94"/>
    <w:rsid w:val="00DC7DB8"/>
    <w:rsid w:val="00DD5682"/>
    <w:rsid w:val="00DE3453"/>
    <w:rsid w:val="00DE3CBC"/>
    <w:rsid w:val="00DE5133"/>
    <w:rsid w:val="00DE7B41"/>
    <w:rsid w:val="00DF0FFE"/>
    <w:rsid w:val="00DF2C1F"/>
    <w:rsid w:val="00E0085A"/>
    <w:rsid w:val="00E07942"/>
    <w:rsid w:val="00E10B83"/>
    <w:rsid w:val="00E27310"/>
    <w:rsid w:val="00E42017"/>
    <w:rsid w:val="00E45FD9"/>
    <w:rsid w:val="00E518D9"/>
    <w:rsid w:val="00E529EB"/>
    <w:rsid w:val="00E545EA"/>
    <w:rsid w:val="00E561B1"/>
    <w:rsid w:val="00E661EE"/>
    <w:rsid w:val="00E736CB"/>
    <w:rsid w:val="00E76074"/>
    <w:rsid w:val="00E8342B"/>
    <w:rsid w:val="00E93F86"/>
    <w:rsid w:val="00E960C1"/>
    <w:rsid w:val="00EA113C"/>
    <w:rsid w:val="00EA25AB"/>
    <w:rsid w:val="00EA535F"/>
    <w:rsid w:val="00EA7EC1"/>
    <w:rsid w:val="00EB2E4A"/>
    <w:rsid w:val="00EB471B"/>
    <w:rsid w:val="00EB65A0"/>
    <w:rsid w:val="00EB75D9"/>
    <w:rsid w:val="00EC2630"/>
    <w:rsid w:val="00EC30F9"/>
    <w:rsid w:val="00EC3DF4"/>
    <w:rsid w:val="00ED5B69"/>
    <w:rsid w:val="00EE10EC"/>
    <w:rsid w:val="00EE753A"/>
    <w:rsid w:val="00EE7EF0"/>
    <w:rsid w:val="00F016A1"/>
    <w:rsid w:val="00F04568"/>
    <w:rsid w:val="00F43565"/>
    <w:rsid w:val="00F43ADD"/>
    <w:rsid w:val="00F47240"/>
    <w:rsid w:val="00F50679"/>
    <w:rsid w:val="00F5283F"/>
    <w:rsid w:val="00F603F8"/>
    <w:rsid w:val="00F60DC6"/>
    <w:rsid w:val="00F70E31"/>
    <w:rsid w:val="00F74A3C"/>
    <w:rsid w:val="00F77A10"/>
    <w:rsid w:val="00F82FBC"/>
    <w:rsid w:val="00F84CDC"/>
    <w:rsid w:val="00F91C22"/>
    <w:rsid w:val="00F93B18"/>
    <w:rsid w:val="00FA1E6C"/>
    <w:rsid w:val="00FA4DA4"/>
    <w:rsid w:val="00FB2AFF"/>
    <w:rsid w:val="00FB43E0"/>
    <w:rsid w:val="00FC270A"/>
    <w:rsid w:val="00FC2754"/>
    <w:rsid w:val="00FC48B0"/>
    <w:rsid w:val="00FD2D52"/>
    <w:rsid w:val="00FD475C"/>
    <w:rsid w:val="00FE00A5"/>
    <w:rsid w:val="00FF1812"/>
    <w:rsid w:val="00FF6F6A"/>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8A8456C"/>
  <w15:docId w15:val="{9A92D070-81DE-455E-A463-9E7F286AA2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Normal"/>
    <w:link w:val="FootnoteTextChar"/>
    <w:uiPriority w:val="99"/>
    <w:unhideWhenUsed/>
    <w:qFormat/>
    <w:rsid w:val="004A5089"/>
    <w:pPr>
      <w:jc w:val="left"/>
    </w:pPr>
    <w:rPr>
      <w:rFonts w:asciiTheme="minorHAnsi" w:eastAsiaTheme="minorHAnsi" w:hAnsiTheme="minorHAnsi" w:cstheme="minorBidi"/>
      <w:sz w:val="20"/>
      <w:szCs w:val="20"/>
    </w:rPr>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uiPriority w:val="99"/>
    <w:rsid w:val="004A5089"/>
    <w:rPr>
      <w:rFonts w:asciiTheme="minorHAnsi" w:eastAsiaTheme="minorHAnsi" w:hAnsiTheme="minorHAnsi" w:cstheme="minorBidi"/>
      <w:lang w:eastAsia="en-US"/>
    </w:rPr>
  </w:style>
  <w:style w:type="character" w:styleId="FootnoteReference">
    <w:name w:val="footnote reference"/>
    <w:aliases w:val="Footnote Reference + Superscript,Footnotes refss,Appel note de bas de page,Ref,de nota al pie,註腳內容,(NECG) Footnote Reference,fr,Footnote symbol,Style 12,Footnote Reference in text,Footnote Reference Superscript,o,Style 4"/>
    <w:basedOn w:val="DefaultParagraphFont"/>
    <w:unhideWhenUsed/>
    <w:qFormat/>
    <w:rsid w:val="004A508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7464441">
      <w:bodyDiv w:val="1"/>
      <w:marLeft w:val="0"/>
      <w:marRight w:val="0"/>
      <w:marTop w:val="0"/>
      <w:marBottom w:val="0"/>
      <w:divBdr>
        <w:top w:val="none" w:sz="0" w:space="0" w:color="auto"/>
        <w:left w:val="none" w:sz="0" w:space="0" w:color="auto"/>
        <w:bottom w:val="none" w:sz="0" w:space="0" w:color="auto"/>
        <w:right w:val="none" w:sz="0" w:space="0" w:color="auto"/>
      </w:divBdr>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1292980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E864A6-D6C3-41B1-A812-622685690967}">
  <ds:schemaRefs>
    <ds:schemaRef ds:uri="http://schemas.openxmlformats.org/officeDocument/2006/bibliography"/>
  </ds:schemaRefs>
</ds:datastoreItem>
</file>

<file path=customXml/itemProps2.xml><?xml version="1.0" encoding="utf-8"?>
<ds:datastoreItem xmlns:ds="http://schemas.openxmlformats.org/officeDocument/2006/customXml" ds:itemID="{26B55581-C822-4FE8-9CC1-228192F55B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775</Words>
  <Characters>4424</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CONSTITIONAL COURT OF SOUTH AFRICA</vt:lpstr>
    </vt:vector>
  </TitlesOfParts>
  <Company>Court</Company>
  <LinksUpToDate>false</LinksUpToDate>
  <CharactersWithSpaces>5189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CONSTITIONAL COURT OF SOUTH AFRICA</dc:title>
  <dc:creator>Tshepo Skosana</dc:creator>
  <cp:lastModifiedBy>Mary-Ann Gettliffe</cp:lastModifiedBy>
  <cp:revision>4</cp:revision>
  <cp:lastPrinted>2020-03-04T12:31:00Z</cp:lastPrinted>
  <dcterms:created xsi:type="dcterms:W3CDTF">2021-03-03T15:39:00Z</dcterms:created>
  <dcterms:modified xsi:type="dcterms:W3CDTF">2021-03-10T12:25:00Z</dcterms:modified>
</cp:coreProperties>
</file>