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35A4" w:rsidRDefault="002F35A4" w:rsidP="002F35A4">
      <w:pPr>
        <w:jc w:val="center"/>
        <w:rPr>
          <w:b/>
        </w:rPr>
      </w:pPr>
      <w:bookmarkStart w:id="0" w:name="_GoBack"/>
      <w:bookmarkEnd w:id="0"/>
      <w:r>
        <w:rPr>
          <w:b/>
        </w:rPr>
        <w:t>IN THE CONSTITUTIONAL COURT OF SOUTH AFRICA</w:t>
      </w:r>
    </w:p>
    <w:p w:rsidR="00C90EED" w:rsidRDefault="00C90EED" w:rsidP="002F35A4">
      <w:pPr>
        <w:jc w:val="right"/>
        <w:rPr>
          <w:b/>
        </w:rPr>
      </w:pPr>
    </w:p>
    <w:p w:rsidR="002F35A4" w:rsidRDefault="007113AF" w:rsidP="002F35A4">
      <w:pPr>
        <w:jc w:val="right"/>
        <w:rPr>
          <w:b/>
        </w:rPr>
      </w:pPr>
      <w:r>
        <w:rPr>
          <w:b/>
        </w:rPr>
        <w:t>Case No:_____________/2020</w:t>
      </w:r>
    </w:p>
    <w:p w:rsidR="002F35A4" w:rsidRDefault="002F35A4" w:rsidP="002F35A4">
      <w:pPr>
        <w:jc w:val="right"/>
        <w:rPr>
          <w:b/>
        </w:rPr>
      </w:pPr>
    </w:p>
    <w:p w:rsidR="002F35A4" w:rsidRPr="00CC3BE9" w:rsidRDefault="002F35A4" w:rsidP="002F35A4">
      <w:pPr>
        <w:jc w:val="both"/>
      </w:pPr>
      <w:r w:rsidRPr="00CC3BE9">
        <w:t>In the matter between</w:t>
      </w:r>
    </w:p>
    <w:p w:rsidR="002F35A4" w:rsidRDefault="002F35A4" w:rsidP="002F35A4">
      <w:pPr>
        <w:jc w:val="both"/>
        <w:rPr>
          <w:b/>
        </w:rPr>
      </w:pPr>
    </w:p>
    <w:p w:rsidR="002F35A4" w:rsidRDefault="002F35A4" w:rsidP="002F35A4">
      <w:pPr>
        <w:spacing w:after="0" w:line="240" w:lineRule="auto"/>
        <w:jc w:val="both"/>
        <w:rPr>
          <w:b/>
        </w:rPr>
      </w:pPr>
      <w:r>
        <w:rPr>
          <w:b/>
        </w:rPr>
        <w:t>CROMPTON STREET MOTORS CC</w:t>
      </w:r>
    </w:p>
    <w:p w:rsidR="002F35A4" w:rsidRPr="00CC3BE9" w:rsidRDefault="002F35A4" w:rsidP="002F35A4">
      <w:pPr>
        <w:jc w:val="both"/>
      </w:pPr>
      <w:r>
        <w:rPr>
          <w:i/>
        </w:rPr>
        <w:t xml:space="preserve">trading as </w:t>
      </w:r>
      <w:r>
        <w:rPr>
          <w:b/>
        </w:rPr>
        <w:t>WALLERS GARAGE SERVICE STATION</w:t>
      </w:r>
      <w:r>
        <w:rPr>
          <w:b/>
        </w:rPr>
        <w:tab/>
      </w:r>
      <w:r>
        <w:rPr>
          <w:b/>
        </w:rPr>
        <w:tab/>
      </w:r>
      <w:r>
        <w:rPr>
          <w:b/>
        </w:rPr>
        <w:tab/>
      </w:r>
      <w:r>
        <w:rPr>
          <w:b/>
        </w:rPr>
        <w:tab/>
        <w:t xml:space="preserve"> </w:t>
      </w:r>
      <w:r>
        <w:t>Applicant</w:t>
      </w:r>
    </w:p>
    <w:p w:rsidR="002F35A4" w:rsidRDefault="002F35A4" w:rsidP="002F35A4">
      <w:pPr>
        <w:jc w:val="right"/>
        <w:rPr>
          <w:b/>
        </w:rPr>
      </w:pPr>
    </w:p>
    <w:p w:rsidR="002F35A4" w:rsidRDefault="002F35A4" w:rsidP="002F35A4">
      <w:pPr>
        <w:jc w:val="both"/>
        <w:rPr>
          <w:i/>
        </w:rPr>
      </w:pPr>
      <w:r>
        <w:rPr>
          <w:i/>
        </w:rPr>
        <w:t>versus</w:t>
      </w:r>
    </w:p>
    <w:p w:rsidR="002F35A4" w:rsidRDefault="002F35A4" w:rsidP="002F35A4">
      <w:pPr>
        <w:spacing w:after="0" w:line="240" w:lineRule="auto"/>
        <w:jc w:val="both"/>
        <w:rPr>
          <w:b/>
        </w:rPr>
      </w:pPr>
      <w:r>
        <w:rPr>
          <w:b/>
        </w:rPr>
        <w:t>BRIGHT IDEA PROJECTS (66) PTY LTD</w:t>
      </w:r>
    </w:p>
    <w:p w:rsidR="002F35A4" w:rsidRDefault="002F35A4" w:rsidP="002F35A4">
      <w:pPr>
        <w:spacing w:line="240" w:lineRule="auto"/>
        <w:jc w:val="both"/>
      </w:pPr>
      <w:r>
        <w:rPr>
          <w:i/>
        </w:rPr>
        <w:t xml:space="preserve">trading as </w:t>
      </w:r>
      <w:r>
        <w:rPr>
          <w:b/>
        </w:rPr>
        <w:t>ALL FUELS</w:t>
      </w:r>
      <w:r>
        <w:rPr>
          <w:b/>
        </w:rPr>
        <w:tab/>
      </w:r>
      <w:r>
        <w:rPr>
          <w:b/>
        </w:rPr>
        <w:tab/>
      </w:r>
      <w:r>
        <w:rPr>
          <w:b/>
        </w:rPr>
        <w:tab/>
      </w:r>
      <w:r>
        <w:rPr>
          <w:b/>
        </w:rPr>
        <w:tab/>
      </w:r>
      <w:r>
        <w:rPr>
          <w:b/>
        </w:rPr>
        <w:tab/>
      </w:r>
      <w:r>
        <w:rPr>
          <w:b/>
        </w:rPr>
        <w:tab/>
      </w:r>
      <w:r>
        <w:rPr>
          <w:b/>
        </w:rPr>
        <w:tab/>
        <w:t xml:space="preserve">       </w:t>
      </w:r>
      <w:r>
        <w:t>Respondent</w:t>
      </w:r>
    </w:p>
    <w:p w:rsidR="002F35A4" w:rsidRDefault="002F35A4" w:rsidP="002F35A4">
      <w:pPr>
        <w:spacing w:line="240" w:lineRule="auto"/>
        <w:jc w:val="both"/>
      </w:pPr>
    </w:p>
    <w:p w:rsidR="002F35A4" w:rsidRPr="006E5EE5" w:rsidRDefault="002F35A4" w:rsidP="002F35A4">
      <w:pPr>
        <w:spacing w:after="0" w:line="480" w:lineRule="auto"/>
        <w:jc w:val="both"/>
        <w:rPr>
          <w:b/>
        </w:rPr>
      </w:pPr>
      <w:r w:rsidRPr="006E5EE5">
        <w:rPr>
          <w:b/>
        </w:rPr>
        <w:t>___________________________________________________________________</w:t>
      </w:r>
    </w:p>
    <w:p w:rsidR="002F35A4" w:rsidRDefault="002F35A4" w:rsidP="002F35A4">
      <w:pPr>
        <w:pBdr>
          <w:bottom w:val="single" w:sz="12" w:space="1" w:color="auto"/>
        </w:pBdr>
        <w:spacing w:after="0" w:line="240" w:lineRule="auto"/>
        <w:jc w:val="center"/>
        <w:rPr>
          <w:b/>
        </w:rPr>
      </w:pPr>
      <w:r>
        <w:rPr>
          <w:b/>
        </w:rPr>
        <w:t xml:space="preserve">FOUNDING </w:t>
      </w:r>
      <w:r w:rsidRPr="00CC3BE9">
        <w:rPr>
          <w:b/>
        </w:rPr>
        <w:t>AFFIDAV</w:t>
      </w:r>
      <w:r>
        <w:rPr>
          <w:b/>
        </w:rPr>
        <w:t>I</w:t>
      </w:r>
      <w:r w:rsidRPr="00CC3BE9">
        <w:rPr>
          <w:b/>
        </w:rPr>
        <w:t>T</w:t>
      </w:r>
      <w:r>
        <w:rPr>
          <w:b/>
        </w:rPr>
        <w:t xml:space="preserve"> FOR APPLICATION FOR LEAVE TO APPEAL</w:t>
      </w:r>
    </w:p>
    <w:p w:rsidR="002F35A4" w:rsidRPr="006E5EE5" w:rsidRDefault="002F35A4" w:rsidP="002F35A4">
      <w:pPr>
        <w:pBdr>
          <w:bottom w:val="single" w:sz="12" w:space="1" w:color="auto"/>
        </w:pBdr>
        <w:spacing w:after="0" w:line="240" w:lineRule="auto"/>
        <w:jc w:val="center"/>
      </w:pPr>
    </w:p>
    <w:p w:rsidR="002F35A4" w:rsidRPr="006E5EE5" w:rsidRDefault="002F35A4" w:rsidP="002F35A4">
      <w:pPr>
        <w:spacing w:after="0" w:line="480" w:lineRule="auto"/>
      </w:pPr>
    </w:p>
    <w:p w:rsidR="002F35A4" w:rsidRDefault="002F35A4" w:rsidP="002F35A4">
      <w:pPr>
        <w:spacing w:after="0" w:line="480" w:lineRule="auto"/>
      </w:pPr>
      <w:r>
        <w:t>I, the undersigned,</w:t>
      </w:r>
    </w:p>
    <w:p w:rsidR="002F35A4" w:rsidRDefault="002F35A4" w:rsidP="002F35A4">
      <w:pPr>
        <w:spacing w:after="0" w:line="480" w:lineRule="auto"/>
        <w:jc w:val="center"/>
        <w:rPr>
          <w:b/>
        </w:rPr>
      </w:pPr>
      <w:r w:rsidRPr="00CC3BE9">
        <w:rPr>
          <w:b/>
        </w:rPr>
        <w:t>CLAYTON MICHAEL BESTER</w:t>
      </w:r>
    </w:p>
    <w:p w:rsidR="00C90EED" w:rsidRDefault="002F35A4" w:rsidP="002F35A4">
      <w:pPr>
        <w:spacing w:after="0" w:line="480" w:lineRule="auto"/>
        <w:jc w:val="both"/>
      </w:pPr>
      <w:r>
        <w:t>do hereby state under oath that:</w:t>
      </w:r>
    </w:p>
    <w:p w:rsidR="00C90EED" w:rsidRDefault="00C90EED" w:rsidP="002F35A4">
      <w:pPr>
        <w:spacing w:after="0" w:line="480" w:lineRule="auto"/>
        <w:jc w:val="both"/>
      </w:pPr>
    </w:p>
    <w:p w:rsidR="002F35A4" w:rsidRDefault="002F35A4" w:rsidP="002F35A4">
      <w:pPr>
        <w:pStyle w:val="ListParagraph"/>
        <w:numPr>
          <w:ilvl w:val="0"/>
          <w:numId w:val="1"/>
        </w:numPr>
        <w:spacing w:after="0" w:line="480" w:lineRule="auto"/>
        <w:ind w:hanging="567"/>
        <w:jc w:val="both"/>
      </w:pPr>
      <w:r>
        <w:t>I am t</w:t>
      </w:r>
      <w:r w:rsidR="00F51F14">
        <w:t xml:space="preserve">he sole member and owner of the Applicant. </w:t>
      </w:r>
      <w:r>
        <w:t>The Applicant has duly resolved to bring this application. I am duly authorized and empowered to make this Affidaivt and to authorize these proceedings.</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hanging="567"/>
        <w:jc w:val="both"/>
      </w:pPr>
      <w:r>
        <w:t>Facts herein deposed to fall within my personal knowledge and are, to the best of my knowledge and belief true and correct.</w:t>
      </w:r>
    </w:p>
    <w:p w:rsidR="002F35A4" w:rsidRDefault="002F35A4" w:rsidP="002F35A4">
      <w:pPr>
        <w:spacing w:after="0" w:line="480" w:lineRule="auto"/>
        <w:jc w:val="both"/>
      </w:pPr>
    </w:p>
    <w:p w:rsidR="002F35A4" w:rsidRDefault="00F51F14" w:rsidP="002F35A4">
      <w:pPr>
        <w:pStyle w:val="ListParagraph"/>
        <w:numPr>
          <w:ilvl w:val="0"/>
          <w:numId w:val="1"/>
        </w:numPr>
        <w:spacing w:after="0" w:line="480" w:lineRule="auto"/>
        <w:ind w:hanging="567"/>
        <w:jc w:val="both"/>
      </w:pPr>
      <w:r>
        <w:lastRenderedPageBreak/>
        <w:t>I am a lay p</w:t>
      </w:r>
      <w:r w:rsidR="002F35A4">
        <w:t>erson and not conversant with Law or matters of Law. I thus rely entirely on the advice and direction of my legal representatives in this regard.</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left="720" w:hanging="720"/>
        <w:jc w:val="both"/>
      </w:pPr>
      <w:r>
        <w:t xml:space="preserve">This application is for leave to appeal </w:t>
      </w:r>
      <w:r w:rsidR="007113AF">
        <w:t xml:space="preserve">against </w:t>
      </w:r>
      <w:r>
        <w:t>and to set aside the wh</w:t>
      </w:r>
      <w:r w:rsidR="007113AF">
        <w:t>ole of an</w:t>
      </w:r>
      <w:r>
        <w:t xml:space="preserve"> order </w:t>
      </w:r>
      <w:r w:rsidR="00653D81">
        <w:t xml:space="preserve">and judgement </w:t>
      </w:r>
      <w:r>
        <w:t>of the Kwa Zulu-Natal Division (Pietermaritzburg) of the High Court</w:t>
      </w:r>
      <w:r w:rsidR="007113AF">
        <w:rPr>
          <w:rStyle w:val="FootnoteReference"/>
        </w:rPr>
        <w:footnoteReference w:id="1"/>
      </w:r>
      <w:r>
        <w:t xml:space="preserve"> after application</w:t>
      </w:r>
      <w:r w:rsidR="00BC13CF">
        <w:t>s for leave to appeal</w:t>
      </w:r>
      <w:r>
        <w:t xml:space="preserve"> have been refused successively by the High Court, </w:t>
      </w:r>
      <w:r w:rsidR="00BC13CF">
        <w:t xml:space="preserve">then </w:t>
      </w:r>
      <w:r>
        <w:t>the Sup</w:t>
      </w:r>
      <w:r w:rsidR="00BC13CF">
        <w:t xml:space="preserve">reme Court of Appeal (SCA) and then, </w:t>
      </w:r>
      <w:r>
        <w:t>under Section 17(2</w:t>
      </w:r>
      <w:r w:rsidR="00BC13CF">
        <w:t>)</w:t>
      </w:r>
      <w:r w:rsidR="00653D81">
        <w:t>(</w:t>
      </w:r>
      <w:r>
        <w:t>f) of the Superior Courts Ac</w:t>
      </w:r>
      <w:r w:rsidR="007113AF">
        <w:t>t by the President of the SCA. T</w:t>
      </w:r>
      <w:r>
        <w:t xml:space="preserve">he relevant orders and judgments are attached </w:t>
      </w:r>
      <w:r w:rsidR="007113AF">
        <w:t xml:space="preserve">to this affidavit. The very last attachment is, for ease of access, </w:t>
      </w:r>
      <w:r>
        <w:t xml:space="preserve">the judgement of the High Court, per the Honourable Mr Justice Ploos van Amstel </w:t>
      </w:r>
      <w:r w:rsidR="007113AF">
        <w:t>J. The other orders are attached as and when they are dealt with herein.</w:t>
      </w:r>
    </w:p>
    <w:p w:rsidR="002F35A4" w:rsidRPr="007113AF" w:rsidRDefault="002F35A4" w:rsidP="002F35A4">
      <w:pPr>
        <w:pStyle w:val="ListParagraph"/>
      </w:pPr>
    </w:p>
    <w:p w:rsidR="002F35A4" w:rsidRDefault="002F35A4" w:rsidP="002F35A4">
      <w:pPr>
        <w:pStyle w:val="ListParagraph"/>
        <w:numPr>
          <w:ilvl w:val="0"/>
          <w:numId w:val="1"/>
        </w:numPr>
        <w:spacing w:after="0" w:line="480" w:lineRule="auto"/>
        <w:ind w:left="720" w:hanging="720"/>
        <w:jc w:val="both"/>
      </w:pPr>
      <w:r w:rsidRPr="007113AF">
        <w:t xml:space="preserve">I am advised further to point out at the onset that the primary or core constitutional issue </w:t>
      </w:r>
      <w:r>
        <w:t>that this application raises and seeks to table, is that the judgement</w:t>
      </w:r>
      <w:r w:rsidR="00244DC2">
        <w:t>s and orders</w:t>
      </w:r>
      <w:r>
        <w:t xml:space="preserve"> of the High Court </w:t>
      </w:r>
      <w:r w:rsidR="00244DC2">
        <w:t xml:space="preserve">and the SCA </w:t>
      </w:r>
      <w:r>
        <w:t>wrongfull</w:t>
      </w:r>
      <w:r w:rsidR="00244DC2">
        <w:t>y and unconstitutionally refuse</w:t>
      </w:r>
      <w:r>
        <w:t xml:space="preserve"> to follow and apply the ’Law’ as declared and </w:t>
      </w:r>
      <w:r w:rsidR="00244DC2">
        <w:t>set out</w:t>
      </w:r>
      <w:r>
        <w:t xml:space="preserve"> by the Constitutional Court in the case of </w:t>
      </w:r>
      <w:hyperlink r:id="rId8" w:history="1">
        <w:r w:rsidRPr="006C7F6D">
          <w:rPr>
            <w:rStyle w:val="Hyperlink"/>
            <w:i/>
            <w:color w:val="auto"/>
            <w:u w:val="none"/>
          </w:rPr>
          <w:t>Business Zone 1010 CC t/a Emmarentia Convenience Centre v Engen Petroleum Limited and Others</w:t>
        </w:r>
        <w:r w:rsidRPr="006C7F6D">
          <w:rPr>
            <w:rStyle w:val="Hyperlink"/>
            <w:color w:val="auto"/>
            <w:u w:val="none"/>
          </w:rPr>
          <w:t xml:space="preserve"> </w:t>
        </w:r>
        <w:r w:rsidRPr="006C7F6D">
          <w:rPr>
            <w:rStyle w:val="Hyperlink"/>
            <w:b/>
            <w:color w:val="auto"/>
            <w:u w:val="none"/>
          </w:rPr>
          <w:t xml:space="preserve"> [2017] ZACC 2</w:t>
        </w:r>
        <w:r w:rsidRPr="006C7F6D">
          <w:rPr>
            <w:rStyle w:val="Hyperlink"/>
            <w:color w:val="auto"/>
            <w:u w:val="none"/>
          </w:rPr>
          <w:t xml:space="preserve">; </w:t>
        </w:r>
        <w:r w:rsidRPr="006C7F6D">
          <w:rPr>
            <w:rStyle w:val="Hyperlink"/>
            <w:b/>
            <w:color w:val="auto"/>
            <w:u w:val="none"/>
          </w:rPr>
          <w:t>2017 (6) BCLR 773 (CC)</w:t>
        </w:r>
      </w:hyperlink>
      <w:r w:rsidRPr="006C7F6D">
        <w:t xml:space="preserve">, </w:t>
      </w:r>
      <w:r w:rsidRPr="006C7F6D">
        <w:rPr>
          <w:b/>
        </w:rPr>
        <w:t xml:space="preserve">2017 JDR 0259 CC </w:t>
      </w:r>
      <w:r>
        <w:t>(</w:t>
      </w:r>
      <w:r w:rsidRPr="006C7F6D">
        <w:t>in particular</w:t>
      </w:r>
      <w:r>
        <w:rPr>
          <w:b/>
        </w:rPr>
        <w:t xml:space="preserve"> </w:t>
      </w:r>
      <w:r>
        <w:t>para’s [43</w:t>
      </w:r>
      <w:r w:rsidRPr="00466F7C">
        <w:t>]</w:t>
      </w:r>
      <w:r w:rsidRPr="006C7F6D">
        <w:rPr>
          <w:b/>
        </w:rPr>
        <w:t xml:space="preserve"> </w:t>
      </w:r>
      <w:r w:rsidRPr="00466F7C">
        <w:t>–[56]</w:t>
      </w:r>
      <w:r w:rsidR="009A506F">
        <w:t xml:space="preserve"> and [82]</w:t>
      </w:r>
      <w:r>
        <w:t xml:space="preserve">). </w:t>
      </w:r>
      <w:r w:rsidR="00244DC2">
        <w:t xml:space="preserve">I will henceforth refer to this judgement simply as the </w:t>
      </w:r>
      <w:r w:rsidR="00244DC2" w:rsidRPr="00244DC2">
        <w:rPr>
          <w:i/>
        </w:rPr>
        <w:t>Business Zone</w:t>
      </w:r>
      <w:r w:rsidR="00244DC2">
        <w:t xml:space="preserve"> case or </w:t>
      </w:r>
      <w:r w:rsidR="00244DC2" w:rsidRPr="00244DC2">
        <w:rPr>
          <w:i/>
        </w:rPr>
        <w:t>Business Zone</w:t>
      </w:r>
      <w:r w:rsidR="00244DC2">
        <w:t xml:space="preserve"> decision. </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lastRenderedPageBreak/>
        <w:t>Accordingly, it will be soug</w:t>
      </w:r>
      <w:r w:rsidR="00244DC2">
        <w:t>ht herein to fully explain why the aforegoing</w:t>
      </w:r>
      <w:r>
        <w:t xml:space="preserve"> contention is made and why this contention ought, </w:t>
      </w:r>
      <w:r w:rsidR="007113AF">
        <w:t>it is humbly submitted, to</w:t>
      </w:r>
      <w:r>
        <w:t xml:space="preserve"> be upheld.</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Moreover, this affidavit seeks also to explain the submission which I humbly make, that it is in the interest of justice that the Constitutional Court should hear a</w:t>
      </w:r>
      <w:r w:rsidR="00244DC2">
        <w:t>n</w:t>
      </w:r>
      <w:r>
        <w:t>d decide the matter.</w:t>
      </w:r>
      <w:r w:rsidR="00244DC2">
        <w:t xml:space="preserve"> It will be seen I verily believe that it is not only the interests of the Applicant that are affected but those of the entire petroleum retailing and wholesaling industry.</w:t>
      </w:r>
    </w:p>
    <w:p w:rsidR="002F35A4" w:rsidRDefault="002F35A4" w:rsidP="002F35A4"/>
    <w:p w:rsidR="002F35A4" w:rsidRPr="007113AF" w:rsidRDefault="002F35A4" w:rsidP="002F35A4">
      <w:pPr>
        <w:rPr>
          <w:u w:val="single"/>
        </w:rPr>
      </w:pPr>
      <w:r w:rsidRPr="007113AF">
        <w:rPr>
          <w:u w:val="single"/>
        </w:rPr>
        <w:t>Background:</w:t>
      </w:r>
    </w:p>
    <w:p w:rsidR="002F35A4" w:rsidRDefault="002F35A4" w:rsidP="002F35A4"/>
    <w:p w:rsidR="002F35A4" w:rsidRDefault="002F35A4" w:rsidP="002F35A4">
      <w:pPr>
        <w:pStyle w:val="ListParagraph"/>
        <w:numPr>
          <w:ilvl w:val="0"/>
          <w:numId w:val="1"/>
        </w:numPr>
        <w:spacing w:after="0" w:line="480" w:lineRule="auto"/>
        <w:ind w:hanging="567"/>
        <w:jc w:val="both"/>
      </w:pPr>
      <w:r>
        <w:t xml:space="preserve">The Respondent, as Applicant issued an urgent application out of the High Court at Pietermaritzburg for the eviction of the Applicant from a petrol station site from which the Applicant had been </w:t>
      </w:r>
      <w:r w:rsidR="008C4EBE">
        <w:t xml:space="preserve">(and is) </w:t>
      </w:r>
      <w:r>
        <w:t>conducting the business of a fuel-filling station in terms of a ‘franchise’ agreement with “</w:t>
      </w:r>
      <w:r w:rsidRPr="006C7F6D">
        <w:rPr>
          <w:b/>
        </w:rPr>
        <w:t>Caltex</w:t>
      </w:r>
      <w:r>
        <w:t xml:space="preserve">”. </w:t>
      </w:r>
      <w:r w:rsidR="00EA784C">
        <w:t xml:space="preserve">In 2003, I, on behalf of the Applicant bought </w:t>
      </w:r>
      <w:r w:rsidR="008C4EBE">
        <w:t>the</w:t>
      </w:r>
      <w:r w:rsidR="00EA784C">
        <w:t xml:space="preserve"> station, then </w:t>
      </w:r>
      <w:r w:rsidR="008C4EBE">
        <w:t xml:space="preserve">already </w:t>
      </w:r>
      <w:r w:rsidR="00EA784C">
        <w:t>trading as a “</w:t>
      </w:r>
      <w:r w:rsidR="00EA784C" w:rsidRPr="00EA784C">
        <w:rPr>
          <w:b/>
        </w:rPr>
        <w:t>Caltex</w:t>
      </w:r>
      <w:r w:rsidR="00EA784C">
        <w:t>” outlet, from its erstwhile owner and pursuant to that sale</w:t>
      </w:r>
      <w:r w:rsidR="00BC13CF">
        <w:t>,</w:t>
      </w:r>
      <w:r w:rsidR="00EA784C">
        <w:t xml:space="preserve"> a franchise agreement, including a lease, was entered into </w:t>
      </w:r>
      <w:r w:rsidR="008C4EBE">
        <w:t xml:space="preserve">afresh </w:t>
      </w:r>
      <w:r w:rsidR="00EA784C">
        <w:t>between the Applicant and “</w:t>
      </w:r>
      <w:r w:rsidR="00EA784C" w:rsidRPr="00EA784C">
        <w:rPr>
          <w:b/>
        </w:rPr>
        <w:t>Caltex</w:t>
      </w:r>
      <w:r w:rsidR="00EA784C">
        <w:t>”</w:t>
      </w:r>
      <w:r w:rsidR="00BC13CF">
        <w:t>.</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hanging="567"/>
        <w:jc w:val="both"/>
      </w:pPr>
      <w:r>
        <w:t>For convenience</w:t>
      </w:r>
      <w:r w:rsidR="00EA784C">
        <w:t>,</w:t>
      </w:r>
      <w:r>
        <w:t xml:space="preserve"> for the time being, I will avoid explaining the corporate entities which own the “</w:t>
      </w:r>
      <w:r w:rsidRPr="006C7F6D">
        <w:rPr>
          <w:b/>
        </w:rPr>
        <w:t>Caltex</w:t>
      </w:r>
      <w:r>
        <w:t>” brand of petrol in that by way of a series of agreements, the Respondent had (it is alleged by it and so accepted for present purposes) acquired succession to the “</w:t>
      </w:r>
      <w:r w:rsidRPr="006C7F6D">
        <w:rPr>
          <w:b/>
        </w:rPr>
        <w:t>Caltex</w:t>
      </w:r>
      <w:r>
        <w:t>” franchisor-rights and came to stand in the shoes of “</w:t>
      </w:r>
      <w:r w:rsidRPr="006C7F6D">
        <w:rPr>
          <w:b/>
        </w:rPr>
        <w:t>Caltex</w:t>
      </w:r>
      <w:r>
        <w:t xml:space="preserve">” as the Applicant’s Franchisor, </w:t>
      </w:r>
      <w:r w:rsidR="00EA784C">
        <w:t>wholesale supplier and landlord.</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Respondent sued for eviction on the basis that the franchise agreement </w:t>
      </w:r>
      <w:r w:rsidR="008C4EBE">
        <w:t xml:space="preserve">(which included the </w:t>
      </w:r>
      <w:r>
        <w:t>lease</w:t>
      </w:r>
      <w:r w:rsidR="008C4EBE">
        <w:t xml:space="preserve"> of the site) </w:t>
      </w:r>
      <w:r>
        <w:t xml:space="preserve">to the Applicant had run out. The application was </w:t>
      </w:r>
      <w:r>
        <w:lastRenderedPageBreak/>
        <w:t xml:space="preserve">issued as a matter of urgency under Rule 6(12) of the High Court rules on the </w:t>
      </w:r>
      <w:r w:rsidRPr="00EA784C">
        <w:rPr>
          <w:u w:val="single"/>
        </w:rPr>
        <w:t>16</w:t>
      </w:r>
      <w:r w:rsidRPr="00EA784C">
        <w:rPr>
          <w:u w:val="single"/>
          <w:vertAlign w:val="superscript"/>
        </w:rPr>
        <w:t>th</w:t>
      </w:r>
      <w:r w:rsidRPr="00EA784C">
        <w:rPr>
          <w:u w:val="single"/>
        </w:rPr>
        <w:t xml:space="preserve"> February 2018</w:t>
      </w:r>
      <w:r>
        <w:t xml:space="preserve"> to be heard on the </w:t>
      </w:r>
      <w:r w:rsidRPr="00EA784C">
        <w:rPr>
          <w:u w:val="single"/>
        </w:rPr>
        <w:t>28</w:t>
      </w:r>
      <w:r w:rsidRPr="00EA784C">
        <w:rPr>
          <w:u w:val="single"/>
          <w:vertAlign w:val="superscript"/>
        </w:rPr>
        <w:t>th</w:t>
      </w:r>
      <w:r w:rsidRPr="00EA784C">
        <w:rPr>
          <w:u w:val="single"/>
        </w:rPr>
        <w:t xml:space="preserve"> February 2018</w:t>
      </w:r>
      <w:r>
        <w:t xml:space="preserve"> for the eviction of the Applicant on the </w:t>
      </w:r>
      <w:r w:rsidRPr="00EA784C">
        <w:rPr>
          <w:u w:val="single"/>
        </w:rPr>
        <w:t>28</w:t>
      </w:r>
      <w:r w:rsidRPr="00EA784C">
        <w:rPr>
          <w:u w:val="single"/>
          <w:vertAlign w:val="superscript"/>
        </w:rPr>
        <w:t>th</w:t>
      </w:r>
      <w:r w:rsidRPr="00EA784C">
        <w:rPr>
          <w:u w:val="single"/>
        </w:rPr>
        <w:t xml:space="preserve"> February 2018</w:t>
      </w:r>
      <w:r>
        <w:t xml:space="preserve">. The Applicant was given until 3pm on the </w:t>
      </w:r>
      <w:r w:rsidRPr="00EA784C">
        <w:rPr>
          <w:u w:val="single"/>
        </w:rPr>
        <w:t>23</w:t>
      </w:r>
      <w:r w:rsidRPr="00EA784C">
        <w:rPr>
          <w:u w:val="single"/>
          <w:vertAlign w:val="superscript"/>
        </w:rPr>
        <w:t>rd</w:t>
      </w:r>
      <w:r w:rsidRPr="00EA784C">
        <w:rPr>
          <w:u w:val="single"/>
        </w:rPr>
        <w:t xml:space="preserve"> February 2018</w:t>
      </w:r>
      <w:r>
        <w:t xml:space="preserve"> to file any opposing papers.</w:t>
      </w:r>
    </w:p>
    <w:p w:rsidR="002F35A4" w:rsidRDefault="002F35A4" w:rsidP="002F35A4">
      <w:pPr>
        <w:pStyle w:val="ListParagraph"/>
      </w:pPr>
    </w:p>
    <w:p w:rsidR="002F35A4" w:rsidRDefault="002F35A4" w:rsidP="00844DE6">
      <w:pPr>
        <w:pStyle w:val="ListParagraph"/>
        <w:numPr>
          <w:ilvl w:val="0"/>
          <w:numId w:val="1"/>
        </w:numPr>
        <w:spacing w:after="0" w:line="480" w:lineRule="auto"/>
        <w:ind w:hanging="567"/>
        <w:jc w:val="both"/>
      </w:pPr>
      <w:r>
        <w:t xml:space="preserve">As </w:t>
      </w:r>
      <w:r w:rsidR="00BC13CF">
        <w:t xml:space="preserve">the main point </w:t>
      </w:r>
      <w:r>
        <w:t>of its opposition, the Applicant pleaded</w:t>
      </w:r>
      <w:r w:rsidR="00F51F14">
        <w:t xml:space="preserve"> in its papers</w:t>
      </w:r>
      <w:r>
        <w:t xml:space="preserve"> for a ‘stay’ of procee</w:t>
      </w:r>
      <w:r w:rsidR="00844DE6">
        <w:t>dings pending the outcome of a r</w:t>
      </w:r>
      <w:r>
        <w:t xml:space="preserve">equest for Arbitration in terms of Section 12B of the Petroleum Products Act (the ‘PPA’) to, </w:t>
      </w:r>
      <w:r w:rsidRPr="006C7F6D">
        <w:rPr>
          <w:i/>
        </w:rPr>
        <w:t>inter alia</w:t>
      </w:r>
      <w:r>
        <w:t xml:space="preserve">, refer </w:t>
      </w:r>
      <w:r w:rsidR="00BC13CF">
        <w:t xml:space="preserve">to arbitration, </w:t>
      </w:r>
      <w:r>
        <w:t xml:space="preserve">the Respondent’s refusal </w:t>
      </w:r>
      <w:r w:rsidR="00844DE6">
        <w:t>to renew - in line with the standard industry-wide “</w:t>
      </w:r>
      <w:r w:rsidR="00844DE6" w:rsidRPr="00BC13CF">
        <w:rPr>
          <w:b/>
        </w:rPr>
        <w:t>Caltex</w:t>
      </w:r>
      <w:r w:rsidR="00844DE6">
        <w:t xml:space="preserve">” model or standard-form franchise then in place- </w:t>
      </w:r>
      <w:r>
        <w:t xml:space="preserve">the franchise </w:t>
      </w:r>
      <w:r w:rsidR="00EA784C">
        <w:t xml:space="preserve">and lease </w:t>
      </w:r>
      <w:r>
        <w:t>arrangements</w:t>
      </w:r>
      <w:r w:rsidR="00EA784C">
        <w:t xml:space="preserve"> with the Appli</w:t>
      </w:r>
      <w:r w:rsidR="00844DE6">
        <w:t>cant.</w:t>
      </w:r>
      <w:r>
        <w:t xml:space="preserve"> Notwithstanding the haste with which the Applicant was compelled to take action, the Applicant’s attorneys had by the </w:t>
      </w:r>
      <w:r w:rsidRPr="00844DE6">
        <w:rPr>
          <w:u w:val="single"/>
        </w:rPr>
        <w:t>22</w:t>
      </w:r>
      <w:r w:rsidRPr="00844DE6">
        <w:rPr>
          <w:u w:val="single"/>
          <w:vertAlign w:val="superscript"/>
        </w:rPr>
        <w:t>nd</w:t>
      </w:r>
      <w:r w:rsidRPr="00844DE6">
        <w:rPr>
          <w:u w:val="single"/>
        </w:rPr>
        <w:t xml:space="preserve"> February 2018</w:t>
      </w:r>
      <w:r>
        <w:t xml:space="preserve"> (the day before the opposing papers had to be filed) drawn and dispatched the Request for Arbitration in terms of Section 1</w:t>
      </w:r>
      <w:r w:rsidR="00844DE6">
        <w:t xml:space="preserve">2B of the PPA to the Controller. </w:t>
      </w:r>
      <w:r>
        <w:t xml:space="preserve">I attach a copy thereof hereto as </w:t>
      </w:r>
      <w:r w:rsidRPr="00844DE6">
        <w:rPr>
          <w:b/>
        </w:rPr>
        <w:t>annexure A</w:t>
      </w:r>
      <w:r>
        <w:t xml:space="preserve"> </w:t>
      </w:r>
      <w:r w:rsidR="00844DE6">
        <w:t xml:space="preserve">which was also </w:t>
      </w:r>
      <w:r w:rsidR="00EA784C">
        <w:t xml:space="preserve">as attached in turn to my </w:t>
      </w:r>
      <w:r w:rsidR="00844DE6">
        <w:t xml:space="preserve">answering affidavit </w:t>
      </w:r>
      <w:r w:rsidR="00EA784C">
        <w:t>in the matter</w:t>
      </w:r>
      <w:r>
        <w:t xml:space="preserve">. I draw attention to paragraph 2.21 (in the context of the preceding paragraphs of the Request which very briefly outline the history of the relationship between Applicant and </w:t>
      </w:r>
      <w:r w:rsidRPr="00844DE6">
        <w:rPr>
          <w:b/>
        </w:rPr>
        <w:t>Caltex</w:t>
      </w:r>
      <w:r>
        <w:t>) thereof which clearly raises the Respondent’s refusal to renew the franchising arrangements.</w:t>
      </w:r>
    </w:p>
    <w:p w:rsidR="002F35A4" w:rsidRDefault="002F35A4" w:rsidP="002F35A4">
      <w:pPr>
        <w:pStyle w:val="ListParagraph"/>
      </w:pPr>
    </w:p>
    <w:p w:rsidR="002F35A4" w:rsidRDefault="00EA784C" w:rsidP="002F35A4">
      <w:pPr>
        <w:pStyle w:val="ListParagraph"/>
        <w:numPr>
          <w:ilvl w:val="0"/>
          <w:numId w:val="1"/>
        </w:numPr>
        <w:spacing w:after="0" w:line="480" w:lineRule="auto"/>
        <w:ind w:hanging="567"/>
        <w:jc w:val="both"/>
      </w:pPr>
      <w:r>
        <w:t>I a</w:t>
      </w:r>
      <w:r w:rsidR="002F35A4">
        <w:t xml:space="preserve">m advised to state, and I do so with respect, that it </w:t>
      </w:r>
      <w:r>
        <w:t xml:space="preserve">is not difficult </w:t>
      </w:r>
      <w:r w:rsidR="002F35A4">
        <w:t xml:space="preserve">to see that the Applicant’s claim to </w:t>
      </w:r>
      <w:r w:rsidR="00844DE6">
        <w:t xml:space="preserve">a </w:t>
      </w:r>
      <w:r w:rsidR="002F35A4">
        <w:t>franchise renewal</w:t>
      </w:r>
      <w:r w:rsidR="00844DE6">
        <w:t xml:space="preserve"> (albeit in terms of 12B)</w:t>
      </w:r>
      <w:r w:rsidR="002F35A4">
        <w:t xml:space="preserve"> or, conversely, the </w:t>
      </w:r>
      <w:r>
        <w:t xml:space="preserve">unfairness of the </w:t>
      </w:r>
      <w:r w:rsidR="002F35A4">
        <w:t>Respondent’s refusal to renew the franchise (on the one hand) and the ‘eviction’ of the Applicant from the trading site (on the other</w:t>
      </w:r>
      <w:r w:rsidR="00844DE6">
        <w:t>, as in terms of the Court order in this case</w:t>
      </w:r>
      <w:r w:rsidR="002F35A4">
        <w:t xml:space="preserve">) </w:t>
      </w:r>
      <w:r>
        <w:t>would be</w:t>
      </w:r>
      <w:r w:rsidR="002F35A4">
        <w:t xml:space="preserve"> directly opposing and </w:t>
      </w:r>
      <w:r w:rsidR="002F35A4">
        <w:lastRenderedPageBreak/>
        <w:t xml:space="preserve">rival matters that are </w:t>
      </w:r>
      <w:r w:rsidR="00844DE6">
        <w:t xml:space="preserve">mutually </w:t>
      </w:r>
      <w:r w:rsidR="002F35A4">
        <w:t>destructive of each other. The eviction order would furthermore, it would appear from a reading of the PPA, be destructive of a retailer’s Retail-Licence rights under the PPA.</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The 12B Request (annexure A) was attached to the opposing papers and it was dealt with in the opposing affidavit which expressly and specifically claimed a stay of the proceedings pending the outcome of the 12B Request. The opposing affidavit also, </w:t>
      </w:r>
      <w:r w:rsidRPr="00844DE6">
        <w:rPr>
          <w:i/>
        </w:rPr>
        <w:t>inter alia</w:t>
      </w:r>
      <w:r>
        <w:t>, denied that the matter qualified</w:t>
      </w:r>
      <w:r w:rsidR="00EA784C">
        <w:t xml:space="preserve"> as urgent in terms of Rule 6(12) of the High Court Rules.</w:t>
      </w:r>
      <w:r w:rsidR="00B157DB">
        <w:t xml:space="preserve"> It will be se</w:t>
      </w:r>
      <w:r w:rsidR="00653D81">
        <w:t xml:space="preserve">en from </w:t>
      </w:r>
      <w:r w:rsidR="00B157DB">
        <w:t xml:space="preserve"> paragraph 9 of </w:t>
      </w:r>
      <w:r w:rsidR="00653D81">
        <w:t>the</w:t>
      </w:r>
      <w:r w:rsidR="00B157DB">
        <w:t xml:space="preserve"> Judgement of Mr Justice </w:t>
      </w:r>
      <w:r w:rsidR="00653D81">
        <w:t>Ploos</w:t>
      </w:r>
      <w:r w:rsidR="00B157DB">
        <w:t xml:space="preserve"> van </w:t>
      </w:r>
      <w:r w:rsidR="00653D81">
        <w:t>Amstel</w:t>
      </w:r>
      <w:r w:rsidR="00B157DB">
        <w:t>, for</w:t>
      </w:r>
      <w:r w:rsidR="00653D81">
        <w:t xml:space="preserve"> instance</w:t>
      </w:r>
      <w:r w:rsidR="00B157DB">
        <w:t xml:space="preserve">, that </w:t>
      </w:r>
      <w:r w:rsidR="00653D81">
        <w:t>when</w:t>
      </w:r>
      <w:r w:rsidR="00B157DB">
        <w:t xml:space="preserve"> </w:t>
      </w:r>
      <w:r w:rsidR="00653D81">
        <w:t>Respondent</w:t>
      </w:r>
      <w:r w:rsidR="00B157DB">
        <w:t xml:space="preserve"> demanded the </w:t>
      </w:r>
      <w:r w:rsidR="00653D81">
        <w:t>return</w:t>
      </w:r>
      <w:r w:rsidR="00B157DB">
        <w:t xml:space="preserve"> of the station, my attorney advised them in writing that the matter would be taken up under Section 12B. </w:t>
      </w:r>
      <w:r w:rsidR="00653D81">
        <w:t>Accordingly</w:t>
      </w:r>
      <w:r w:rsidR="00B157DB">
        <w:t xml:space="preserve"> the Respondent brought the application for eviction on an urgent basis, clearly, as an attempt to block or thwart the 12B process. The </w:t>
      </w:r>
      <w:r w:rsidR="00653D81">
        <w:t>application</w:t>
      </w:r>
      <w:r w:rsidR="00B157DB">
        <w:t xml:space="preserve"> was </w:t>
      </w:r>
      <w:r w:rsidR="00653D81">
        <w:t>served</w:t>
      </w:r>
      <w:r w:rsidR="00B157DB">
        <w:t xml:space="preserve"> on </w:t>
      </w:r>
      <w:r w:rsidR="00653D81">
        <w:t>the</w:t>
      </w:r>
      <w:r w:rsidR="00B157DB">
        <w:t xml:space="preserve"> 16</w:t>
      </w:r>
      <w:r w:rsidR="00B157DB" w:rsidRPr="00B157DB">
        <w:rPr>
          <w:vertAlign w:val="superscript"/>
        </w:rPr>
        <w:t>th</w:t>
      </w:r>
      <w:r w:rsidR="00B157DB">
        <w:t xml:space="preserve"> February 2018 for hearing on the 28</w:t>
      </w:r>
      <w:r w:rsidR="00B157DB" w:rsidRPr="00B157DB">
        <w:rPr>
          <w:vertAlign w:val="superscript"/>
        </w:rPr>
        <w:t>th</w:t>
      </w:r>
      <w:r w:rsidR="00B157DB">
        <w:t xml:space="preserve"> February 2018</w:t>
      </w:r>
      <w:r w:rsidR="00844DE6">
        <w:t>,</w:t>
      </w:r>
      <w:r w:rsidR="00B157DB">
        <w:t xml:space="preserve"> which was the day of effluxion.</w:t>
      </w:r>
      <w:r w:rsidR="00B157DB">
        <w:rPr>
          <w:rStyle w:val="FootnoteReference"/>
        </w:rPr>
        <w:footnoteReference w:id="2"/>
      </w:r>
    </w:p>
    <w:p w:rsidR="00B157DB" w:rsidRDefault="00B157DB" w:rsidP="00B157DB">
      <w:pPr>
        <w:pStyle w:val="ListParagraph"/>
      </w:pPr>
    </w:p>
    <w:p w:rsidR="002F35A4" w:rsidRDefault="002F35A4" w:rsidP="002F35A4">
      <w:pPr>
        <w:pStyle w:val="ListParagraph"/>
        <w:numPr>
          <w:ilvl w:val="0"/>
          <w:numId w:val="1"/>
        </w:numPr>
        <w:spacing w:after="0" w:line="480" w:lineRule="auto"/>
        <w:ind w:hanging="567"/>
        <w:jc w:val="both"/>
      </w:pPr>
      <w:r>
        <w:t>Bec</w:t>
      </w:r>
      <w:r w:rsidR="00844DE6">
        <w:t>ause the claim made in the 12B r</w:t>
      </w:r>
      <w:r>
        <w:t>equest and the application for eviction are mutually destructive, it was, I humbly contend, obligatory for the High Court – if the</w:t>
      </w:r>
      <w:r w:rsidR="00482539" w:rsidRPr="00482539">
        <w:rPr>
          <w:i/>
        </w:rPr>
        <w:t xml:space="preserve"> Business Zone </w:t>
      </w:r>
      <w:r>
        <w:t>decision is, as it must be, to be respected - to have stayed the proceedings. I am advised to assert and humbly do so that it was in fact legally incompetent of the High Court to have continued with the proceedings at all at that stage in that if the Controller wer</w:t>
      </w:r>
      <w:r w:rsidR="00844DE6">
        <w:t>e to grant the request and the a</w:t>
      </w:r>
      <w:r>
        <w:t>rbitration were to result in an award [in due course upheld by the Courts in terms of Sections 31 or 33 of the Arbitration Act] in favour of the Applicant, the resultant irreconcilable conflict between a High Court ‘eviction’ order and the arbitral ward, would be exactly the situation that the Constitutional Court wanted eliminated by way of the jurisprudence set out in the</w:t>
      </w:r>
      <w:r w:rsidR="00482539" w:rsidRPr="00482539">
        <w:rPr>
          <w:i/>
        </w:rPr>
        <w:t xml:space="preserve"> Business Zone </w:t>
      </w:r>
      <w:r>
        <w:t>case (esp. para’s 43 to 56).</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I am advised to submit that if the Respondent, at the stage at which the 12B Request was filed, wished to pursue its request for eviction, it would h</w:t>
      </w:r>
      <w:r w:rsidR="00EA784C">
        <w:t xml:space="preserve">ave to do so as </w:t>
      </w:r>
      <w:r>
        <w:t>either as a ‘counter’ request in the 12B Arbitration or await for the 12B Arbitration to resolve itself in the Respondent’s favour</w:t>
      </w:r>
      <w:r w:rsidR="00A44A51">
        <w:t>,</w:t>
      </w:r>
      <w:r>
        <w:t xml:space="preserve"> after which it could return to the High Court</w:t>
      </w:r>
      <w:r w:rsidR="00A44A51">
        <w:t>,</w:t>
      </w:r>
      <w:r>
        <w:t xml:space="preserve"> to pursue its eviction case. There is nothing in Section 12B which prevents a Wholesaler from, </w:t>
      </w:r>
      <w:r>
        <w:rPr>
          <w:i/>
        </w:rPr>
        <w:t>visa versa</w:t>
      </w:r>
      <w:r w:rsidR="00EA784C">
        <w:rPr>
          <w:i/>
        </w:rPr>
        <w:t>,</w:t>
      </w:r>
      <w:r>
        <w:t xml:space="preserve"> raising a ‘counter’ request </w:t>
      </w:r>
      <w:r w:rsidR="00EA784C">
        <w:t>for eviction to the claims</w:t>
      </w:r>
      <w:r>
        <w:t xml:space="preserve"> raised by the Retailer -</w:t>
      </w:r>
      <w:r w:rsidR="00EA784C">
        <w:t xml:space="preserve"> </w:t>
      </w:r>
      <w:r>
        <w:t>in fact section 12B (I am advised to submit) seems to be phrased so as to encourage this.</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I am advised that the merits or demerits of the “unfair practice(s)” claimed by the Applicant are</w:t>
      </w:r>
      <w:r w:rsidR="00EA784C">
        <w:t>, according to the rulings of the Constitutional Court in the</w:t>
      </w:r>
      <w:r w:rsidR="00482539" w:rsidRPr="00482539">
        <w:rPr>
          <w:i/>
        </w:rPr>
        <w:t xml:space="preserve"> Business Zone </w:t>
      </w:r>
      <w:r w:rsidR="00EA784C">
        <w:t>case</w:t>
      </w:r>
      <w:r w:rsidR="00A44A51">
        <w:t>:</w:t>
      </w:r>
      <w:r>
        <w:t xml:space="preserve"> (a) not relevant at this stage</w:t>
      </w:r>
      <w:r w:rsidR="00A44A51">
        <w:t>,</w:t>
      </w:r>
      <w:r>
        <w:t xml:space="preserve"> and were not relevant at any stage of the proceedings at first instance since the sole arbiter</w:t>
      </w:r>
      <w:r>
        <w:rPr>
          <w:rStyle w:val="FootnoteReference"/>
        </w:rPr>
        <w:footnoteReference w:id="3"/>
      </w:r>
      <w:r>
        <w:t xml:space="preserve"> as to whether there has been an ‘unfair practice’ is</w:t>
      </w:r>
      <w:r w:rsidR="00A44A51">
        <w:t>,</w:t>
      </w:r>
      <w:r>
        <w:t xml:space="preserve"> </w:t>
      </w:r>
      <w:r w:rsidR="00EA784C">
        <w:t>or will be</w:t>
      </w:r>
      <w:r w:rsidR="00A44A51">
        <w:t>,</w:t>
      </w:r>
      <w:r w:rsidR="00EA784C">
        <w:t xml:space="preserve"> </w:t>
      </w:r>
      <w:r>
        <w:t>the Arbitrator that is appointed under Section 12B and are</w:t>
      </w:r>
      <w:r w:rsidR="00A44A51">
        <w:t>,</w:t>
      </w:r>
      <w:r>
        <w:t xml:space="preserve"> (b) matters that, in the first instance, fall outside the jurisdiction or cognoscibility of the High Court once they have been </w:t>
      </w:r>
      <w:r w:rsidR="00EA784C">
        <w:t>raised under 12B for referral</w:t>
      </w:r>
      <w:r>
        <w:t xml:space="preserve"> to arbitration</w:t>
      </w:r>
      <w:r>
        <w:rPr>
          <w:rStyle w:val="FootnoteReference"/>
        </w:rPr>
        <w:t>.</w:t>
      </w:r>
      <w:r>
        <w:rPr>
          <w:rStyle w:val="FootnoteReference"/>
        </w:rPr>
        <w:footnoteReference w:id="4"/>
      </w:r>
      <w:r>
        <w:t xml:space="preserve">. </w:t>
      </w:r>
      <w:r w:rsidR="00844DE6">
        <w:t>[This would not be the case if</w:t>
      </w:r>
      <w:r w:rsidR="00EA784C">
        <w:t xml:space="preserve"> the issues are raised and pleaded </w:t>
      </w:r>
      <w:r w:rsidR="00844DE6">
        <w:t xml:space="preserve">by agreement between the parties to be taken to </w:t>
      </w:r>
      <w:r w:rsidR="00EA784C">
        <w:t xml:space="preserve">the High Court, in which event the ‘same’ rules or the same jurisprudence (of the fairness standard) as is </w:t>
      </w:r>
      <w:r w:rsidR="00844DE6">
        <w:t xml:space="preserve">applicable to 12B would, </w:t>
      </w:r>
      <w:r w:rsidR="00EA784C">
        <w:t xml:space="preserve">according to the Constitutional Court’s ruling in </w:t>
      </w:r>
      <w:r w:rsidR="00EA784C" w:rsidRPr="00EA784C">
        <w:rPr>
          <w:i/>
        </w:rPr>
        <w:t>Business Zone</w:t>
      </w:r>
      <w:r w:rsidR="00EA784C">
        <w:t>, have to be applied]</w:t>
      </w:r>
      <w:r w:rsidR="00844DE6">
        <w:t>.</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This affidavit will therefore not seek to argue the merits of the “unfair practice” but will seek to </w:t>
      </w:r>
      <w:r w:rsidR="00EA784C">
        <w:t xml:space="preserve">indicate what kind of evidence would have to be “unpacked” at such an arbitration trial as this demonstrates that the request which Applicant made is not </w:t>
      </w:r>
      <w:r w:rsidR="00EA784C" w:rsidRPr="00EA784C">
        <w:rPr>
          <w:i/>
        </w:rPr>
        <w:t>mala fide</w:t>
      </w:r>
      <w:r w:rsidR="00EA784C">
        <w:t xml:space="preserve"> or far-fetched and also</w:t>
      </w:r>
      <w:r w:rsidR="00844DE6">
        <w:t>,</w:t>
      </w:r>
      <w:r w:rsidR="00EA784C">
        <w:t xml:space="preserve"> that the views expressed in</w:t>
      </w:r>
      <w:r>
        <w:t xml:space="preserve"> regard</w:t>
      </w:r>
      <w:r w:rsidR="00EA784C">
        <w:t xml:space="preserve"> to unreasonableness and unfairness</w:t>
      </w:r>
      <w:r w:rsidR="00844DE6">
        <w:t>,</w:t>
      </w:r>
      <w:r>
        <w:t xml:space="preserve"> in the judgement of Mr Justice Ploos van Amstel J </w:t>
      </w:r>
      <w:r w:rsidR="00EA784C">
        <w:t>-</w:t>
      </w:r>
      <w:r>
        <w:t xml:space="preserve"> and in in other like decisions that will be referred to </w:t>
      </w:r>
      <w:r w:rsidR="00EA784C">
        <w:t>later herein - are untenable.</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Pursuant to the Contro</w:t>
      </w:r>
      <w:r w:rsidR="00844DE6">
        <w:t>ller receiving Applicant’s 12B r</w:t>
      </w:r>
      <w:r>
        <w:t xml:space="preserve">equest, the Respondent was invited by the Controller to respond. This the Respondent did </w:t>
      </w:r>
      <w:r w:rsidR="006E3535">
        <w:t xml:space="preserve">this </w:t>
      </w:r>
      <w:r>
        <w:t xml:space="preserve">by way of a letter to the Controller dated the </w:t>
      </w:r>
      <w:r w:rsidRPr="006E5EE5">
        <w:rPr>
          <w:u w:val="single"/>
        </w:rPr>
        <w:t>10</w:t>
      </w:r>
      <w:r w:rsidRPr="006E5EE5">
        <w:rPr>
          <w:u w:val="single"/>
          <w:vertAlign w:val="superscript"/>
        </w:rPr>
        <w:t>th</w:t>
      </w:r>
      <w:r w:rsidRPr="006E5EE5">
        <w:rPr>
          <w:u w:val="single"/>
        </w:rPr>
        <w:t xml:space="preserve"> </w:t>
      </w:r>
      <w:r>
        <w:rPr>
          <w:u w:val="single"/>
        </w:rPr>
        <w:t>May 2019</w:t>
      </w:r>
      <w:r>
        <w:t xml:space="preserve"> a copy of which I attach hereto as </w:t>
      </w:r>
      <w:r w:rsidRPr="006E5EE5">
        <w:rPr>
          <w:b/>
        </w:rPr>
        <w:t>annexure B</w:t>
      </w:r>
      <w:r>
        <w:t xml:space="preserve">. This letter precedes the hearing of the ‘eviction’ application before Justice Ploos van Amstel on the </w:t>
      </w:r>
      <w:r w:rsidRPr="006E5EE5">
        <w:rPr>
          <w:u w:val="single"/>
        </w:rPr>
        <w:t>31</w:t>
      </w:r>
      <w:r w:rsidRPr="006E5EE5">
        <w:rPr>
          <w:u w:val="single"/>
          <w:vertAlign w:val="superscript"/>
        </w:rPr>
        <w:t>st</w:t>
      </w:r>
      <w:r w:rsidRPr="006E5EE5">
        <w:rPr>
          <w:u w:val="single"/>
        </w:rPr>
        <w:t xml:space="preserve"> May 2019</w:t>
      </w:r>
      <w:r>
        <w:t xml:space="preserve"> (judgement being reserved on that date and handed down on the </w:t>
      </w:r>
      <w:r w:rsidRPr="006E5EE5">
        <w:rPr>
          <w:u w:val="single"/>
        </w:rPr>
        <w:t>6</w:t>
      </w:r>
      <w:r w:rsidRPr="006E5EE5">
        <w:rPr>
          <w:u w:val="single"/>
          <w:vertAlign w:val="superscript"/>
        </w:rPr>
        <w:t>th</w:t>
      </w:r>
      <w:r w:rsidRPr="006E5EE5">
        <w:rPr>
          <w:u w:val="single"/>
        </w:rPr>
        <w:t xml:space="preserve"> June 2019</w:t>
      </w:r>
      <w:r>
        <w:t xml:space="preserve">). </w:t>
      </w:r>
    </w:p>
    <w:p w:rsidR="002F35A4" w:rsidRDefault="002F35A4" w:rsidP="002F35A4">
      <w:pPr>
        <w:pStyle w:val="ListParagraph"/>
      </w:pPr>
    </w:p>
    <w:p w:rsidR="006E3535" w:rsidRDefault="002F35A4" w:rsidP="006E3535">
      <w:pPr>
        <w:pStyle w:val="ListParagraph"/>
        <w:numPr>
          <w:ilvl w:val="0"/>
          <w:numId w:val="1"/>
        </w:numPr>
        <w:spacing w:after="0" w:line="480" w:lineRule="auto"/>
        <w:ind w:hanging="567"/>
        <w:jc w:val="both"/>
      </w:pPr>
      <w:r>
        <w:t xml:space="preserve">This letter however, was not put before the High Court notwithstanding that it had been sent </w:t>
      </w:r>
      <w:r w:rsidR="00E466E1">
        <w:t xml:space="preserve">to the Controller (and copied to my attorney) </w:t>
      </w:r>
      <w:r>
        <w:t xml:space="preserve">before the hearing of the case. </w:t>
      </w:r>
      <w:r w:rsidR="00E466E1">
        <w:t>T</w:t>
      </w:r>
      <w:r>
        <w:t xml:space="preserve">he Controller’s office </w:t>
      </w:r>
      <w:r w:rsidR="00E466E1">
        <w:t xml:space="preserve">had </w:t>
      </w:r>
      <w:r>
        <w:t xml:space="preserve">on the </w:t>
      </w:r>
      <w:r w:rsidRPr="00E466E1">
        <w:rPr>
          <w:u w:val="single"/>
        </w:rPr>
        <w:t>5</w:t>
      </w:r>
      <w:r w:rsidRPr="00E466E1">
        <w:rPr>
          <w:u w:val="single"/>
          <w:vertAlign w:val="superscript"/>
        </w:rPr>
        <w:t>th</w:t>
      </w:r>
      <w:r w:rsidRPr="00E466E1">
        <w:rPr>
          <w:u w:val="single"/>
        </w:rPr>
        <w:t xml:space="preserve"> March 2018</w:t>
      </w:r>
      <w:r w:rsidRPr="00E466E1">
        <w:t xml:space="preserve"> </w:t>
      </w:r>
      <w:r w:rsidR="00E466E1" w:rsidRPr="00E466E1">
        <w:t xml:space="preserve">dispatched an email </w:t>
      </w:r>
      <w:r w:rsidRPr="00E466E1">
        <w:t>in</w:t>
      </w:r>
      <w:r>
        <w:t xml:space="preserve"> which receipt of the request is acknowledged and an undertaking to revert “in due course” is given </w:t>
      </w:r>
      <w:r w:rsidR="00E466E1">
        <w:t xml:space="preserve">but </w:t>
      </w:r>
      <w:r>
        <w:t xml:space="preserve">no </w:t>
      </w:r>
      <w:r w:rsidR="00E466E1">
        <w:t>further</w:t>
      </w:r>
      <w:r>
        <w:t xml:space="preserve"> response was received by m</w:t>
      </w:r>
      <w:r w:rsidR="00E466E1">
        <w:t xml:space="preserve">y attorney to the 12 B Request. Attached hereto as </w:t>
      </w:r>
      <w:r w:rsidR="00E466E1" w:rsidRPr="006E3535">
        <w:rPr>
          <w:b/>
        </w:rPr>
        <w:t>annexure C</w:t>
      </w:r>
      <w:r w:rsidR="00E466E1">
        <w:t xml:space="preserve"> is the said email.</w:t>
      </w:r>
    </w:p>
    <w:p w:rsidR="006E3535" w:rsidRDefault="006E3535" w:rsidP="006E3535">
      <w:pPr>
        <w:pStyle w:val="ListParagraph"/>
      </w:pPr>
    </w:p>
    <w:p w:rsidR="002F35A4" w:rsidRPr="00E466E1" w:rsidRDefault="002F35A4" w:rsidP="006E3535">
      <w:pPr>
        <w:pStyle w:val="ListParagraph"/>
        <w:numPr>
          <w:ilvl w:val="0"/>
          <w:numId w:val="1"/>
        </w:numPr>
        <w:spacing w:after="0" w:line="480" w:lineRule="auto"/>
        <w:ind w:hanging="567"/>
        <w:jc w:val="both"/>
      </w:pPr>
      <w:r w:rsidRPr="00E466E1">
        <w:t>Consequently,</w:t>
      </w:r>
      <w:r w:rsidR="006E3535" w:rsidRPr="00E466E1">
        <w:t xml:space="preserve"> my attorneys appointed a consultant (one Jaco S</w:t>
      </w:r>
      <w:r w:rsidR="00E466E1" w:rsidRPr="00E466E1">
        <w:t>teyn) to, so to speak, follow-up on the 12B r</w:t>
      </w:r>
      <w:r w:rsidR="006E3535" w:rsidRPr="00E466E1">
        <w:t>equest</w:t>
      </w:r>
      <w:r w:rsidR="00E466E1" w:rsidRPr="00E466E1">
        <w:t xml:space="preserve"> and to take whatever steps he deemed necessary to solicit a response to the request</w:t>
      </w:r>
      <w:r w:rsidR="006E3535" w:rsidRPr="00E466E1">
        <w:t>. O</w:t>
      </w:r>
      <w:r w:rsidRPr="00E466E1">
        <w:t>n the</w:t>
      </w:r>
      <w:r w:rsidRPr="00E466E1">
        <w:rPr>
          <w:u w:val="single"/>
        </w:rPr>
        <w:t xml:space="preserve"> 5</w:t>
      </w:r>
      <w:r w:rsidRPr="00E466E1">
        <w:rPr>
          <w:u w:val="single"/>
          <w:vertAlign w:val="superscript"/>
        </w:rPr>
        <w:t>th</w:t>
      </w:r>
      <w:r w:rsidRPr="00E466E1">
        <w:rPr>
          <w:u w:val="single"/>
        </w:rPr>
        <w:t xml:space="preserve"> September 2019 </w:t>
      </w:r>
      <w:r w:rsidRPr="00E466E1">
        <w:t>(this being</w:t>
      </w:r>
      <w:r w:rsidR="00E466E1" w:rsidRPr="00E466E1">
        <w:t xml:space="preserve"> a year and 5 months after the r</w:t>
      </w:r>
      <w:r w:rsidRPr="00E466E1">
        <w:t>equest was made</w:t>
      </w:r>
      <w:r w:rsidR="006E3535" w:rsidRPr="00E466E1">
        <w:t xml:space="preserve"> without any further communication from the Controller</w:t>
      </w:r>
      <w:r w:rsidRPr="00E466E1">
        <w:t xml:space="preserve">) </w:t>
      </w:r>
      <w:r w:rsidR="00E466E1" w:rsidRPr="00E466E1">
        <w:t>the said consultant, on A</w:t>
      </w:r>
      <w:r w:rsidR="006E3535" w:rsidRPr="00E466E1">
        <w:t xml:space="preserve">pplicant’s behalf, </w:t>
      </w:r>
      <w:r w:rsidRPr="00E466E1">
        <w:t xml:space="preserve">addressed an ‘appeal’ to the Minister against the Controller’s inaction. I attach this appeal hereto as </w:t>
      </w:r>
      <w:r w:rsidRPr="00E466E1">
        <w:rPr>
          <w:b/>
        </w:rPr>
        <w:t>annexure D</w:t>
      </w:r>
      <w:r w:rsidRPr="00E466E1">
        <w:t>.</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On the </w:t>
      </w:r>
      <w:r w:rsidRPr="00F94650">
        <w:rPr>
          <w:u w:val="single"/>
        </w:rPr>
        <w:t>18</w:t>
      </w:r>
      <w:r w:rsidRPr="00F94650">
        <w:rPr>
          <w:u w:val="single"/>
          <w:vertAlign w:val="superscript"/>
        </w:rPr>
        <w:t>th</w:t>
      </w:r>
      <w:r w:rsidRPr="00F94650">
        <w:rPr>
          <w:u w:val="single"/>
        </w:rPr>
        <w:t xml:space="preserve"> November 2019</w:t>
      </w:r>
      <w:r>
        <w:rPr>
          <w:u w:val="single"/>
        </w:rPr>
        <w:t xml:space="preserve"> </w:t>
      </w:r>
      <w:r>
        <w:t xml:space="preserve">the Controller issued the Referral and I attach a true copy hereof hereto as </w:t>
      </w:r>
      <w:r w:rsidRPr="00F94650">
        <w:rPr>
          <w:b/>
        </w:rPr>
        <w:t>annexure E.</w:t>
      </w:r>
      <w:r>
        <w:rPr>
          <w:b/>
        </w:rPr>
        <w:t xml:space="preserve"> </w:t>
      </w:r>
      <w:r w:rsidRPr="00F94650">
        <w:t>It will be see</w:t>
      </w:r>
      <w:r>
        <w:t>n</w:t>
      </w:r>
      <w:r w:rsidRPr="00F94650">
        <w:t xml:space="preserve"> from</w:t>
      </w:r>
      <w:r>
        <w:t xml:space="preserve"> </w:t>
      </w:r>
      <w:r w:rsidRPr="00F94650">
        <w:t>the transmission report that the letter was copied to the Respondent’s attorneys.</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In the meantime the applications for leave to appeal were being made. The application to the High Court for leave to appeal was heard and dismissed on the 24</w:t>
      </w:r>
      <w:r w:rsidRPr="00A54D7A">
        <w:rPr>
          <w:vertAlign w:val="superscript"/>
        </w:rPr>
        <w:t>th</w:t>
      </w:r>
      <w:r>
        <w:t xml:space="preserve"> June 2019 (</w:t>
      </w:r>
      <w:r w:rsidRPr="00A54D7A">
        <w:rPr>
          <w:b/>
        </w:rPr>
        <w:t>annexure F</w:t>
      </w:r>
      <w:r w:rsidR="006E3535">
        <w:t xml:space="preserve"> hereto)</w:t>
      </w:r>
      <w:r>
        <w:t xml:space="preserve">; the refusal of the SCA to grant leave was ordered on the </w:t>
      </w:r>
      <w:r w:rsidRPr="00A54D7A">
        <w:rPr>
          <w:u w:val="single"/>
        </w:rPr>
        <w:t>30</w:t>
      </w:r>
      <w:r w:rsidRPr="00A54D7A">
        <w:rPr>
          <w:u w:val="single"/>
          <w:vertAlign w:val="superscript"/>
        </w:rPr>
        <w:t>th</w:t>
      </w:r>
      <w:r w:rsidRPr="00A54D7A">
        <w:rPr>
          <w:u w:val="single"/>
        </w:rPr>
        <w:t xml:space="preserve"> September 2019</w:t>
      </w:r>
      <w:r>
        <w:t xml:space="preserve"> (</w:t>
      </w:r>
      <w:r w:rsidRPr="00A54D7A">
        <w:rPr>
          <w:b/>
        </w:rPr>
        <w:t xml:space="preserve">annexure G </w:t>
      </w:r>
      <w:r>
        <w:t>hereto);</w:t>
      </w:r>
      <w:r w:rsidRPr="00A54D7A">
        <w:t xml:space="preserve"> the refusal of </w:t>
      </w:r>
      <w:r>
        <w:t>the Judge President of the SCA to order a reconsideration is dated the 22</w:t>
      </w:r>
      <w:r w:rsidRPr="00A54D7A">
        <w:rPr>
          <w:vertAlign w:val="superscript"/>
        </w:rPr>
        <w:t>nd</w:t>
      </w:r>
      <w:r>
        <w:t xml:space="preserve"> January 2020 (</w:t>
      </w:r>
      <w:r w:rsidRPr="00A54D7A">
        <w:rPr>
          <w:b/>
        </w:rPr>
        <w:t>annexure H</w:t>
      </w:r>
      <w:r>
        <w:t xml:space="preserve"> hereto).</w:t>
      </w:r>
    </w:p>
    <w:p w:rsidR="002F35A4" w:rsidRDefault="002F35A4" w:rsidP="002F35A4">
      <w:pPr>
        <w:pStyle w:val="ListParagraph"/>
      </w:pPr>
    </w:p>
    <w:p w:rsidR="002F35A4" w:rsidRPr="00A54D7A" w:rsidRDefault="002F35A4" w:rsidP="002F35A4">
      <w:pPr>
        <w:spacing w:after="0" w:line="480" w:lineRule="auto"/>
        <w:jc w:val="both"/>
        <w:rPr>
          <w:u w:val="single"/>
        </w:rPr>
      </w:pPr>
      <w:r>
        <w:rPr>
          <w:u w:val="single"/>
        </w:rPr>
        <w:t>Main basis o</w:t>
      </w:r>
      <w:r w:rsidRPr="00A54D7A">
        <w:rPr>
          <w:u w:val="single"/>
        </w:rPr>
        <w:t>f the Respondent’s opposition</w:t>
      </w:r>
      <w:r w:rsidR="00E466E1">
        <w:rPr>
          <w:u w:val="single"/>
        </w:rPr>
        <w:t xml:space="preserve"> in the case</w:t>
      </w:r>
      <w:r w:rsidRPr="00A54D7A">
        <w:rPr>
          <w:u w:val="single"/>
        </w:rPr>
        <w:t>:</w:t>
      </w:r>
    </w:p>
    <w:p w:rsidR="002F35A4" w:rsidRDefault="002F35A4" w:rsidP="002F35A4">
      <w:pPr>
        <w:spacing w:after="0" w:line="480" w:lineRule="auto"/>
        <w:jc w:val="both"/>
      </w:pPr>
    </w:p>
    <w:p w:rsidR="002F35A4" w:rsidRDefault="002F35A4" w:rsidP="002F35A4">
      <w:pPr>
        <w:pStyle w:val="ListParagraph"/>
        <w:numPr>
          <w:ilvl w:val="0"/>
          <w:numId w:val="1"/>
        </w:numPr>
        <w:spacing w:after="0" w:line="480" w:lineRule="auto"/>
        <w:ind w:hanging="567"/>
        <w:jc w:val="both"/>
      </w:pPr>
      <w:r>
        <w:t xml:space="preserve">The Respondent has maintained two general arguments in opposing the </w:t>
      </w:r>
      <w:r w:rsidR="00E466E1">
        <w:t>Applicant at the various levels. Firstly</w:t>
      </w:r>
      <w:r>
        <w:t xml:space="preserve"> that the</w:t>
      </w:r>
      <w:r w:rsidR="00482539" w:rsidRPr="00482539">
        <w:rPr>
          <w:i/>
        </w:rPr>
        <w:t xml:space="preserve"> Business Zone </w:t>
      </w:r>
      <w:r>
        <w:t xml:space="preserve">case is “distinguishable” and does not over-ride the Respondent’s vindicatory rights and </w:t>
      </w:r>
      <w:r w:rsidR="00E466E1">
        <w:t xml:space="preserve">secondly, </w:t>
      </w:r>
      <w:r>
        <w:t>that Applicant’s cas</w:t>
      </w:r>
      <w:r w:rsidR="00E466E1">
        <w:t>e is essentially a repetition</w:t>
      </w:r>
      <w:r>
        <w:t xml:space="preserve"> or regurgitation of arguments that have been rejected in numerous other decisions. </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hanging="567"/>
        <w:jc w:val="both"/>
      </w:pPr>
      <w:r>
        <w:t>As regards the former argument, I attach hereto</w:t>
      </w:r>
      <w:r w:rsidR="00A44A51">
        <w:t xml:space="preserve"> as </w:t>
      </w:r>
      <w:r w:rsidR="00A44A51" w:rsidRPr="00A44A51">
        <w:rPr>
          <w:b/>
        </w:rPr>
        <w:t>annexure I,</w:t>
      </w:r>
      <w:r w:rsidR="00A44A51">
        <w:t xml:space="preserve"> </w:t>
      </w:r>
      <w:r>
        <w:t xml:space="preserve">typed pages 22 to 24 of the Respondent’s opposing affidavit in </w:t>
      </w:r>
      <w:r w:rsidR="00A44A51">
        <w:t xml:space="preserve">the application to the SCA for leave to appeal </w:t>
      </w:r>
      <w:r>
        <w:t>from which the Respondent’s contention that the</w:t>
      </w:r>
      <w:r w:rsidR="00482539" w:rsidRPr="00482539">
        <w:rPr>
          <w:i/>
        </w:rPr>
        <w:t xml:space="preserve"> Business Zone </w:t>
      </w:r>
      <w:r>
        <w:t xml:space="preserve">case has no applicability to the case at hand can be seen. </w:t>
      </w:r>
      <w:r w:rsidR="00E466E1" w:rsidRPr="00E466E1">
        <w:t>The</w:t>
      </w:r>
      <w:r w:rsidRPr="00E466E1">
        <w:t xml:space="preserve"> argument</w:t>
      </w:r>
      <w:r w:rsidR="00E466E1" w:rsidRPr="00E466E1">
        <w:t xml:space="preserve">, of the Respondent, </w:t>
      </w:r>
      <w:r w:rsidRPr="00E466E1">
        <w:t>must be held to be wholly w</w:t>
      </w:r>
      <w:r w:rsidR="00E466E1" w:rsidRPr="00E466E1">
        <w:t xml:space="preserve">ithout merit as is the acceptance of </w:t>
      </w:r>
      <w:r w:rsidRPr="00E466E1">
        <w:t>the argument</w:t>
      </w:r>
      <w:r w:rsidR="00E466E1" w:rsidRPr="00E466E1">
        <w:t>,</w:t>
      </w:r>
      <w:r w:rsidRPr="00E466E1">
        <w:t xml:space="preserve"> by </w:t>
      </w:r>
      <w:r w:rsidR="00E466E1" w:rsidRPr="00E466E1">
        <w:t xml:space="preserve">Mr </w:t>
      </w:r>
      <w:r w:rsidRPr="00E466E1">
        <w:t xml:space="preserve">Justice Ploos van Amstel </w:t>
      </w:r>
      <w:r w:rsidR="00E466E1" w:rsidRPr="00E466E1">
        <w:t>J</w:t>
      </w:r>
      <w:r w:rsidR="00E466E1">
        <w:t xml:space="preserve"> </w:t>
      </w:r>
      <w:r>
        <w:t xml:space="preserve">(see paragraphs 18 to 19). The Judgement by </w:t>
      </w:r>
      <w:r w:rsidR="00E466E1">
        <w:t xml:space="preserve">Mr </w:t>
      </w:r>
      <w:r>
        <w:t>Justice Ploos van Amstel J does not make any reference to the</w:t>
      </w:r>
      <w:r w:rsidR="00482539" w:rsidRPr="00482539">
        <w:rPr>
          <w:i/>
        </w:rPr>
        <w:t xml:space="preserve"> Business Zone </w:t>
      </w:r>
      <w:r>
        <w:t>case or the judgement thereof but it is clear that the learned Judge’s ruling at paragraphs 18 and 19 are irreconcilable with the Constitutional Court’s rulings and untenable.</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In particular the argument as well as </w:t>
      </w:r>
      <w:r w:rsidR="00653D81">
        <w:t xml:space="preserve">the judgement </w:t>
      </w:r>
      <w:r w:rsidR="00E466E1">
        <w:t>overlook the fact that the ‘L</w:t>
      </w:r>
      <w:r>
        <w:t xml:space="preserve">aw’ was laid out by the Constitutional Court with full sight of </w:t>
      </w:r>
      <w:r w:rsidRPr="00E466E1">
        <w:rPr>
          <w:i/>
        </w:rPr>
        <w:t>Engen’s</w:t>
      </w:r>
      <w:r>
        <w:t xml:space="preserve"> claim (pending in the High Court) to eviction and vindication of its property</w:t>
      </w:r>
      <w:r w:rsidR="00E466E1">
        <w:t xml:space="preserve">. What is overlooked further, is that </w:t>
      </w:r>
      <w:r>
        <w:t>neither 12B nor</w:t>
      </w:r>
      <w:r w:rsidR="00E466E1">
        <w:t xml:space="preserve"> the</w:t>
      </w:r>
      <w:r w:rsidR="00482539" w:rsidRPr="00482539">
        <w:rPr>
          <w:i/>
        </w:rPr>
        <w:t xml:space="preserve"> Business Zone </w:t>
      </w:r>
      <w:r>
        <w:t>decision was concerned with whether common law rights such as ownership or the common law right to vindicate existed</w:t>
      </w:r>
      <w:r w:rsidR="00E466E1">
        <w:t>,</w:t>
      </w:r>
      <w:r>
        <w:t xml:space="preserve"> but singularly with whet</w:t>
      </w:r>
      <w:r w:rsidRPr="00A44A51">
        <w:t xml:space="preserve">her extant common law </w:t>
      </w:r>
      <w:r w:rsidRPr="00040813">
        <w:rPr>
          <w:u w:val="single"/>
        </w:rPr>
        <w:t>r</w:t>
      </w:r>
      <w:r>
        <w:rPr>
          <w:u w:val="single"/>
        </w:rPr>
        <w:t xml:space="preserve">ights </w:t>
      </w:r>
      <w:r>
        <w:t>are being exercised and deployed ‘reasonably’ and fairly in a given case. Hence the argument that a land-owning oil company has</w:t>
      </w:r>
      <w:r w:rsidR="00E466E1">
        <w:t xml:space="preserve"> a</w:t>
      </w:r>
      <w:r>
        <w:t xml:space="preserve"> common law right to evict, </w:t>
      </w:r>
      <w:r w:rsidRPr="00663FDA">
        <w:rPr>
          <w:i/>
        </w:rPr>
        <w:t>per se</w:t>
      </w:r>
      <w:r>
        <w:t xml:space="preserve">, does not and cannot exclude a 12B investigation </w:t>
      </w:r>
      <w:r w:rsidR="00E466E1">
        <w:t xml:space="preserve">and assessment </w:t>
      </w:r>
      <w:r>
        <w:t xml:space="preserve">into the reasonable or unreasonable </w:t>
      </w:r>
      <w:r w:rsidR="00E466E1">
        <w:t>deployment</w:t>
      </w:r>
      <w:r>
        <w:t xml:space="preserve"> of such rights</w:t>
      </w:r>
      <w:r w:rsidR="00E466E1">
        <w:t xml:space="preserve"> in any particular situation.</w:t>
      </w:r>
      <w:r>
        <w:t xml:space="preserve"> </w:t>
      </w:r>
      <w:r w:rsidR="00E466E1">
        <w:t>I make bold to submit that an oil company in any event has, with open eyes, volunteered to submit its ‘common law property rights’ to the ‘Laws’ and rules which govern petrol contracts. Respondent knew this to be the case when it made its arrangements with “</w:t>
      </w:r>
      <w:r w:rsidR="00E466E1" w:rsidRPr="00E466E1">
        <w:rPr>
          <w:b/>
        </w:rPr>
        <w:t>Caltex</w:t>
      </w:r>
      <w:r w:rsidR="00E466E1">
        <w:t>’</w:t>
      </w:r>
      <w:r w:rsidR="00E466E1" w:rsidRPr="00E466E1">
        <w:rPr>
          <w:b/>
        </w:rPr>
        <w:t>s</w:t>
      </w:r>
      <w:r w:rsidR="00E466E1">
        <w:t>” owners.</w:t>
      </w:r>
    </w:p>
    <w:p w:rsidR="002F35A4" w:rsidRDefault="002F35A4" w:rsidP="002F35A4">
      <w:pPr>
        <w:pStyle w:val="ListParagraph"/>
      </w:pPr>
    </w:p>
    <w:p w:rsidR="00157D39" w:rsidRDefault="002F35A4" w:rsidP="002F35A4">
      <w:pPr>
        <w:pStyle w:val="ListParagraph"/>
        <w:numPr>
          <w:ilvl w:val="0"/>
          <w:numId w:val="1"/>
        </w:numPr>
        <w:spacing w:after="0" w:line="480" w:lineRule="auto"/>
        <w:ind w:hanging="567"/>
        <w:jc w:val="both"/>
      </w:pPr>
      <w:r>
        <w:t xml:space="preserve">Such a determination may have to investigate, </w:t>
      </w:r>
      <w:r w:rsidRPr="00040813">
        <w:rPr>
          <w:i/>
        </w:rPr>
        <w:t>inter alia</w:t>
      </w:r>
      <w:r>
        <w:t xml:space="preserve"> and without seeking to be exhaustive, the history and surrounding circumstances to the business relationships between the retailer and the wholesaler; industry-wide customs and practise that prevail and which might lead to actual and reasonable expectations</w:t>
      </w:r>
      <w:r w:rsidR="00157D39" w:rsidRPr="00157D39">
        <w:t xml:space="preserve"> </w:t>
      </w:r>
      <w:r w:rsidR="00157D39">
        <w:t>or to or implied or tacit terms. I</w:t>
      </w:r>
      <w:r>
        <w:t xml:space="preserve">t has been the practice of oil companies across the industry </w:t>
      </w:r>
      <w:r w:rsidR="00157D39">
        <w:t xml:space="preserve">for generations, habitually to renew </w:t>
      </w:r>
      <w:r>
        <w:t xml:space="preserve">franchise agreements </w:t>
      </w:r>
      <w:r w:rsidR="00157D39">
        <w:t xml:space="preserve">and make new ones </w:t>
      </w:r>
      <w:r>
        <w:t xml:space="preserve">particularly as they are party to petrol stations being bought and sold for goodwill and being </w:t>
      </w:r>
      <w:r w:rsidRPr="00157D39">
        <w:t>bought an</w:t>
      </w:r>
      <w:r w:rsidR="00157D39" w:rsidRPr="00157D39">
        <w:t xml:space="preserve">d used as means of livelihood. </w:t>
      </w:r>
    </w:p>
    <w:p w:rsidR="00157D39" w:rsidRDefault="00157D39" w:rsidP="00157D39">
      <w:pPr>
        <w:pStyle w:val="ListParagraph"/>
      </w:pPr>
    </w:p>
    <w:p w:rsidR="002F35A4" w:rsidRDefault="00157D39" w:rsidP="002F35A4">
      <w:pPr>
        <w:pStyle w:val="ListParagraph"/>
        <w:numPr>
          <w:ilvl w:val="0"/>
          <w:numId w:val="1"/>
        </w:numPr>
        <w:spacing w:after="0" w:line="480" w:lineRule="auto"/>
        <w:ind w:hanging="567"/>
        <w:jc w:val="both"/>
      </w:pPr>
      <w:r w:rsidRPr="00157D39">
        <w:t xml:space="preserve">My late father, for instance, and I purchased a </w:t>
      </w:r>
      <w:r w:rsidRPr="00157D39">
        <w:rPr>
          <w:b/>
        </w:rPr>
        <w:t>Caltex</w:t>
      </w:r>
      <w:r w:rsidRPr="00157D39">
        <w:t xml:space="preserve"> dealership known as Crompton Street Motors in 1991 for R 325 000,00 and subsequently sold it to one Wally S</w:t>
      </w:r>
      <w:r w:rsidR="00A44A51">
        <w:t>piro</w:t>
      </w:r>
      <w:r w:rsidRPr="00157D39">
        <w:t xml:space="preserve">. In those cases, </w:t>
      </w:r>
      <w:r w:rsidRPr="00157D39">
        <w:rPr>
          <w:b/>
        </w:rPr>
        <w:t>Caltex</w:t>
      </w:r>
      <w:r w:rsidRPr="00157D39">
        <w:t xml:space="preserve"> gave fresh franchise agreements and leases to the new owners. The same occurred when my father bought another </w:t>
      </w:r>
      <w:r w:rsidRPr="00157D39">
        <w:rPr>
          <w:b/>
        </w:rPr>
        <w:t>Caltex</w:t>
      </w:r>
      <w:r w:rsidRPr="00157D39">
        <w:t xml:space="preserve"> station in 2003 (paying R 2 million for it) and when he then sold it in 2013. And when I purchased Wallers Garage (the station in question here) “</w:t>
      </w:r>
      <w:r w:rsidRPr="00157D39">
        <w:rPr>
          <w:b/>
        </w:rPr>
        <w:t>Caltex</w:t>
      </w:r>
      <w:r w:rsidRPr="00157D39">
        <w:t>” merely drew a fresh franchise agreement and lease for the new operator.</w:t>
      </w:r>
      <w:r w:rsidR="00A44A51">
        <w:t xml:space="preserve"> In all I have dedicated 29</w:t>
      </w:r>
      <w:r>
        <w:t xml:space="preserve"> years of my life to being a ‘</w:t>
      </w:r>
      <w:r w:rsidRPr="00157D39">
        <w:rPr>
          <w:b/>
        </w:rPr>
        <w:t>Caltex</w:t>
      </w:r>
      <w:r>
        <w:t>” retailer and have reached the age of 5</w:t>
      </w:r>
      <w:r w:rsidR="00A44A51">
        <w:t>5</w:t>
      </w:r>
      <w:r>
        <w:t xml:space="preserve"> where my livelihood choices are severely limited if not completely restricted to petrol retailing.</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Goodwill for instance is property in terms of Article 25 of the Bill of Rights and “livelihood” choices – such as a career as a petrol station operator -  are protected under Article 22 of the Bill of Rights. Matters such as the forced hand over of a fuel filling station impact directly o</w:t>
      </w:r>
      <w:r w:rsidR="00033B9A">
        <w:t xml:space="preserve">n labour laws – such an event would enable a ‘new’ operator to cast out the </w:t>
      </w:r>
      <w:r w:rsidR="00EC3DCF">
        <w:t>exiting</w:t>
      </w:r>
      <w:r>
        <w:t xml:space="preserve"> operator’s staff</w:t>
      </w:r>
      <w:r w:rsidR="00033B9A">
        <w:t xml:space="preserve"> simply because the ‘franchisor’, </w:t>
      </w:r>
      <w:r>
        <w:t xml:space="preserve">without </w:t>
      </w:r>
      <w:r w:rsidR="00E466E1">
        <w:t>good and sufficient reason (as in the present case)</w:t>
      </w:r>
      <w:r w:rsidR="00033B9A">
        <w:t xml:space="preserve"> wants to </w:t>
      </w:r>
      <w:r w:rsidR="00E466E1">
        <w:t xml:space="preserve">simply to </w:t>
      </w:r>
      <w:r w:rsidR="00033B9A">
        <w:t>change retailers. Clearly such event should</w:t>
      </w:r>
      <w:r w:rsidR="002F5FE5">
        <w:t xml:space="preserve"> b</w:t>
      </w:r>
      <w:r w:rsidR="00033B9A">
        <w:t xml:space="preserve">e </w:t>
      </w:r>
      <w:r w:rsidR="002F5FE5">
        <w:t>regulated</w:t>
      </w:r>
      <w:r w:rsidR="00033B9A">
        <w:t xml:space="preserve"> by a standard of </w:t>
      </w:r>
      <w:r w:rsidR="002F5FE5">
        <w:t>fairness</w:t>
      </w:r>
      <w:r w:rsidR="00E466E1">
        <w:t xml:space="preserve"> and reasonableness and I am advised to submit that such an event clearly falls within the sweep of the </w:t>
      </w:r>
      <w:r w:rsidR="00E466E1" w:rsidRPr="00E466E1">
        <w:rPr>
          <w:i/>
        </w:rPr>
        <w:t xml:space="preserve">Business Zone </w:t>
      </w:r>
      <w:r w:rsidR="00E466E1">
        <w:t>case’s rulings.</w:t>
      </w:r>
    </w:p>
    <w:p w:rsidR="00033B9A" w:rsidRDefault="00033B9A" w:rsidP="00033B9A">
      <w:pPr>
        <w:pStyle w:val="ListParagraph"/>
      </w:pPr>
    </w:p>
    <w:p w:rsidR="00157D39" w:rsidRDefault="00033B9A" w:rsidP="002F35A4">
      <w:pPr>
        <w:pStyle w:val="ListParagraph"/>
        <w:numPr>
          <w:ilvl w:val="0"/>
          <w:numId w:val="1"/>
        </w:numPr>
        <w:spacing w:after="0" w:line="480" w:lineRule="auto"/>
        <w:ind w:hanging="567"/>
        <w:jc w:val="both"/>
      </w:pPr>
      <w:r>
        <w:t xml:space="preserve">I wish also in this regard to point </w:t>
      </w:r>
      <w:r w:rsidR="002F5FE5">
        <w:t>out</w:t>
      </w:r>
      <w:r>
        <w:t xml:space="preserve"> that operating a filing station under the flags of a global brand is not a desktop task or one that can be done remotely. It </w:t>
      </w:r>
      <w:r w:rsidR="002F5FE5">
        <w:t>requires</w:t>
      </w:r>
      <w:r>
        <w:t xml:space="preserve"> the personal, permanent and ongoing dedication of individual ‘owner’ (whether as a sole </w:t>
      </w:r>
      <w:r w:rsidR="002F5FE5">
        <w:t>proprietor</w:t>
      </w:r>
      <w:r>
        <w:t xml:space="preserve"> or as standing </w:t>
      </w:r>
      <w:r w:rsidR="002F5FE5">
        <w:t>behind</w:t>
      </w:r>
      <w:r>
        <w:t xml:space="preserve"> a corporate veil); the person has to </w:t>
      </w:r>
      <w:r w:rsidR="002F5FE5">
        <w:t>be</w:t>
      </w:r>
      <w:r>
        <w:t xml:space="preserve"> approved by </w:t>
      </w:r>
      <w:r w:rsidR="002F5FE5">
        <w:t>the</w:t>
      </w:r>
      <w:r>
        <w:t xml:space="preserve"> </w:t>
      </w:r>
      <w:r w:rsidR="002F5FE5">
        <w:t>franchisor</w:t>
      </w:r>
      <w:r>
        <w:t xml:space="preserve"> and must prove him or herself </w:t>
      </w:r>
      <w:r w:rsidR="00653D81">
        <w:t>capable</w:t>
      </w:r>
      <w:r>
        <w:t xml:space="preserve"> of running the </w:t>
      </w:r>
      <w:r w:rsidR="00E466E1">
        <w:t>site</w:t>
      </w:r>
      <w:r>
        <w:t xml:space="preserve"> in all respects – f</w:t>
      </w:r>
      <w:r w:rsidR="00653D81">
        <w:t xml:space="preserve">rom administration </w:t>
      </w:r>
      <w:r>
        <w:t xml:space="preserve">to public relations; the person must undergo ‘training’ in </w:t>
      </w:r>
      <w:r w:rsidR="00653D81">
        <w:t>the</w:t>
      </w:r>
      <w:r>
        <w:t xml:space="preserve"> operational </w:t>
      </w:r>
      <w:r w:rsidR="00653D81">
        <w:t>requirements</w:t>
      </w:r>
      <w:r>
        <w:t xml:space="preserve"> of the franchisor and how the franchisor seeks to compete in an </w:t>
      </w:r>
      <w:r w:rsidR="00653D81">
        <w:t>environment</w:t>
      </w:r>
      <w:r>
        <w:t xml:space="preserve"> that has numerous equally ‘global’ rivals. </w:t>
      </w:r>
    </w:p>
    <w:p w:rsidR="00157D39" w:rsidRDefault="00157D39" w:rsidP="00157D39">
      <w:pPr>
        <w:pStyle w:val="ListParagraph"/>
      </w:pPr>
    </w:p>
    <w:p w:rsidR="00157D39" w:rsidRDefault="00157D39" w:rsidP="002F35A4">
      <w:pPr>
        <w:pStyle w:val="ListParagraph"/>
        <w:numPr>
          <w:ilvl w:val="0"/>
          <w:numId w:val="1"/>
        </w:numPr>
        <w:spacing w:after="0" w:line="480" w:lineRule="auto"/>
        <w:ind w:hanging="567"/>
        <w:jc w:val="both"/>
      </w:pPr>
      <w:r>
        <w:t>\</w:t>
      </w:r>
      <w:r w:rsidR="00653D81">
        <w:t>Capital</w:t>
      </w:r>
      <w:r w:rsidR="00033B9A">
        <w:t xml:space="preserve"> has to be </w:t>
      </w:r>
      <w:r w:rsidR="00653D81">
        <w:t>outlaid</w:t>
      </w:r>
      <w:r w:rsidR="00033B9A">
        <w:t xml:space="preserve"> to buy </w:t>
      </w:r>
      <w:r w:rsidR="00653D81">
        <w:t>these</w:t>
      </w:r>
      <w:r w:rsidR="00033B9A">
        <w:t xml:space="preserve"> </w:t>
      </w:r>
      <w:r w:rsidR="00653D81">
        <w:t>businesses</w:t>
      </w:r>
      <w:r w:rsidR="00033B9A">
        <w:t>.</w:t>
      </w:r>
      <w:r w:rsidR="00653D81">
        <w:t xml:space="preserve"> Prior to the conflagration, I had in fact signed an agreement to sell the station for R 16.5 million but the Respondent refused to agree to </w:t>
      </w:r>
      <w:r w:rsidR="00E466E1">
        <w:t xml:space="preserve">the sale and to </w:t>
      </w:r>
      <w:r w:rsidR="00653D81">
        <w:t xml:space="preserve">give the buyer a franchise agreement. It is my firm belief that Respondent, now that I have built the station up into a valuable business, wishes instead to expropriate me from the business and sell it itself. </w:t>
      </w:r>
    </w:p>
    <w:p w:rsidR="00157D39" w:rsidRDefault="00157D39" w:rsidP="00157D39">
      <w:pPr>
        <w:pStyle w:val="ListParagraph"/>
      </w:pPr>
    </w:p>
    <w:p w:rsidR="00033B9A" w:rsidRDefault="00653D81" w:rsidP="002F35A4">
      <w:pPr>
        <w:pStyle w:val="ListParagraph"/>
        <w:numPr>
          <w:ilvl w:val="0"/>
          <w:numId w:val="1"/>
        </w:numPr>
        <w:spacing w:after="0" w:line="480" w:lineRule="auto"/>
        <w:ind w:hanging="567"/>
        <w:jc w:val="both"/>
      </w:pPr>
      <w:r>
        <w:t>I beg leave to emphasize again that no oil company may itself operate a petrol station but is obliged to give it out to retailer who has to be the owner of the station business</w:t>
      </w:r>
      <w:r>
        <w:rPr>
          <w:rStyle w:val="FootnoteReference"/>
        </w:rPr>
        <w:footnoteReference w:id="5"/>
      </w:r>
      <w:r>
        <w:t xml:space="preserve">. Why the Respondent chooses, for instance, to renew some franchises (in line with what </w:t>
      </w:r>
      <w:r w:rsidR="00551DE5" w:rsidRPr="00551DE5">
        <w:rPr>
          <w:b/>
        </w:rPr>
        <w:t xml:space="preserve">Caltex </w:t>
      </w:r>
      <w:r>
        <w:t>has been doing for generations) and not others</w:t>
      </w:r>
      <w:r w:rsidR="00A44A51">
        <w:t xml:space="preserve"> (as in my case and the case of the many other instances that are mentioned herein) </w:t>
      </w:r>
      <w:r>
        <w:t>is, I submit</w:t>
      </w:r>
      <w:r w:rsidR="00E466E1">
        <w:t>,</w:t>
      </w:r>
      <w:r>
        <w:t xml:space="preserve"> certainly a question that can be interrogated in the Arbitration. </w:t>
      </w:r>
    </w:p>
    <w:p w:rsidR="007E2324" w:rsidRDefault="007E2324" w:rsidP="00157D39"/>
    <w:p w:rsidR="007E2324" w:rsidRDefault="007E2324" w:rsidP="007E2324">
      <w:pPr>
        <w:pStyle w:val="ListParagraph"/>
      </w:pPr>
    </w:p>
    <w:p w:rsidR="0080360E" w:rsidRDefault="007E2324" w:rsidP="002F35A4">
      <w:pPr>
        <w:pStyle w:val="ListParagraph"/>
        <w:numPr>
          <w:ilvl w:val="0"/>
          <w:numId w:val="1"/>
        </w:numPr>
        <w:spacing w:after="0" w:line="480" w:lineRule="auto"/>
        <w:ind w:hanging="567"/>
        <w:jc w:val="both"/>
      </w:pPr>
      <w:r>
        <w:t>It was a</w:t>
      </w:r>
      <w:r w:rsidR="00033B9A">
        <w:t xml:space="preserve"> known fact</w:t>
      </w:r>
      <w:r>
        <w:t xml:space="preserve"> at all times</w:t>
      </w:r>
      <w:r w:rsidR="00033B9A">
        <w:t xml:space="preserve"> that “</w:t>
      </w:r>
      <w:r w:rsidR="00033B9A" w:rsidRPr="00551DE5">
        <w:rPr>
          <w:b/>
        </w:rPr>
        <w:t>Caltex</w:t>
      </w:r>
      <w:r w:rsidR="00033B9A">
        <w:t xml:space="preserve">” is </w:t>
      </w:r>
      <w:r w:rsidR="00551DE5">
        <w:t>an</w:t>
      </w:r>
      <w:r w:rsidR="00033B9A">
        <w:t xml:space="preserve"> American-owned brand as</w:t>
      </w:r>
      <w:r w:rsidR="00551DE5">
        <w:t xml:space="preserve"> much as it is well known that “</w:t>
      </w:r>
      <w:r w:rsidR="00033B9A">
        <w:t>BP’s” ownership is based in England and “</w:t>
      </w:r>
      <w:r w:rsidR="00033B9A" w:rsidRPr="00551DE5">
        <w:rPr>
          <w:i/>
        </w:rPr>
        <w:t>Shell’s</w:t>
      </w:r>
      <w:r w:rsidR="00033B9A">
        <w:t xml:space="preserve">” is based in the Netherlands. </w:t>
      </w:r>
      <w:r w:rsidR="00551DE5">
        <w:t>“</w:t>
      </w:r>
      <w:r w:rsidR="00033B9A" w:rsidRPr="00551DE5">
        <w:rPr>
          <w:i/>
        </w:rPr>
        <w:t>Engen</w:t>
      </w:r>
      <w:r w:rsidR="00033B9A">
        <w:t xml:space="preserve">” </w:t>
      </w:r>
      <w:r w:rsidR="00551DE5">
        <w:t>for instance</w:t>
      </w:r>
      <w:r w:rsidR="00033B9A">
        <w:t xml:space="preserve"> is ultimately </w:t>
      </w:r>
      <w:r w:rsidR="00551DE5">
        <w:t>owned</w:t>
      </w:r>
      <w:r w:rsidR="00033B9A">
        <w:t xml:space="preserve"> by “</w:t>
      </w:r>
      <w:r w:rsidR="00033B9A" w:rsidRPr="00551DE5">
        <w:rPr>
          <w:i/>
        </w:rPr>
        <w:t>Petronas</w:t>
      </w:r>
      <w:r w:rsidR="00033B9A">
        <w:t xml:space="preserve">” which is Malaysian. </w:t>
      </w:r>
      <w:r>
        <w:t>At the time I became a “</w:t>
      </w:r>
      <w:r w:rsidRPr="00157D39">
        <w:rPr>
          <w:b/>
        </w:rPr>
        <w:t>Caltex</w:t>
      </w:r>
      <w:r>
        <w:t>”</w:t>
      </w:r>
      <w:r w:rsidR="0080360E">
        <w:t xml:space="preserve"> operator and when I </w:t>
      </w:r>
      <w:r w:rsidR="00DC0CA7">
        <w:t>bought</w:t>
      </w:r>
      <w:r w:rsidR="0080360E">
        <w:t xml:space="preserve"> the Waller </w:t>
      </w:r>
      <w:r w:rsidR="00DC0CA7">
        <w:t>Street</w:t>
      </w:r>
      <w:r w:rsidR="0080360E">
        <w:t xml:space="preserve"> operation,</w:t>
      </w:r>
      <w:r>
        <w:t xml:space="preserve"> “</w:t>
      </w:r>
      <w:r w:rsidRPr="00157D39">
        <w:rPr>
          <w:b/>
        </w:rPr>
        <w:t>Caltex</w:t>
      </w:r>
      <w:r>
        <w:t xml:space="preserve">”, </w:t>
      </w:r>
      <w:r w:rsidR="0080360E">
        <w:t>as a</w:t>
      </w:r>
      <w:r>
        <w:t xml:space="preserve"> brand was represented by </w:t>
      </w:r>
      <w:r w:rsidR="00157D39">
        <w:t xml:space="preserve">a company known as </w:t>
      </w:r>
      <w:r w:rsidR="00551DE5" w:rsidRPr="00157D39">
        <w:t>Caltex</w:t>
      </w:r>
      <w:r w:rsidR="00551DE5" w:rsidRPr="00551DE5">
        <w:rPr>
          <w:b/>
        </w:rPr>
        <w:t xml:space="preserve"> </w:t>
      </w:r>
      <w:r>
        <w:t xml:space="preserve">Oil South Africa (Pty) Ltd which had the registration number </w:t>
      </w:r>
      <w:r>
        <w:rPr>
          <w:b/>
        </w:rPr>
        <w:t xml:space="preserve">1911/001154/07. </w:t>
      </w:r>
      <w:r w:rsidR="00DC0CA7">
        <w:t xml:space="preserve">As far as </w:t>
      </w:r>
      <w:r>
        <w:t xml:space="preserve">was </w:t>
      </w:r>
      <w:r w:rsidR="00DC0CA7">
        <w:t>generally k</w:t>
      </w:r>
      <w:r>
        <w:t xml:space="preserve">nown, this company was </w:t>
      </w:r>
      <w:r w:rsidR="00DC0CA7">
        <w:t>owned</w:t>
      </w:r>
      <w:r>
        <w:t xml:space="preserve"> by </w:t>
      </w:r>
      <w:r w:rsidR="00DC0CA7">
        <w:t>the</w:t>
      </w:r>
      <w:r>
        <w:t xml:space="preserve"> Chevron Corporation of America. It </w:t>
      </w:r>
      <w:r w:rsidR="00DC0CA7">
        <w:t>later</w:t>
      </w:r>
      <w:r>
        <w:t xml:space="preserve"> change</w:t>
      </w:r>
      <w:r w:rsidR="0080360E">
        <w:t>d its name</w:t>
      </w:r>
      <w:r>
        <w:t xml:space="preserve"> to Chevron South </w:t>
      </w:r>
      <w:r w:rsidR="0080360E">
        <w:t>Africa</w:t>
      </w:r>
      <w:r>
        <w:t xml:space="preserve"> (Pty) Ltd</w:t>
      </w:r>
      <w:r w:rsidR="0080360E">
        <w:t xml:space="preserve"> and then to Astron Energy (Pty) </w:t>
      </w:r>
      <w:r w:rsidR="00DC0CA7">
        <w:t>Ltd,</w:t>
      </w:r>
      <w:r w:rsidR="0080360E">
        <w:t xml:space="preserve"> which is its current identity.</w:t>
      </w:r>
    </w:p>
    <w:p w:rsidR="0080360E" w:rsidRDefault="0080360E" w:rsidP="0080360E">
      <w:pPr>
        <w:pStyle w:val="ListParagraph"/>
      </w:pPr>
    </w:p>
    <w:p w:rsidR="00DC0CA7" w:rsidRDefault="0080360E" w:rsidP="00DC0CA7">
      <w:pPr>
        <w:pStyle w:val="ListParagraph"/>
        <w:numPr>
          <w:ilvl w:val="0"/>
          <w:numId w:val="1"/>
        </w:numPr>
        <w:spacing w:after="0" w:line="480" w:lineRule="auto"/>
        <w:ind w:hanging="567"/>
        <w:jc w:val="both"/>
      </w:pPr>
      <w:r>
        <w:t xml:space="preserve">During or about 2011 the </w:t>
      </w:r>
      <w:r w:rsidR="00DC0CA7">
        <w:t>owners</w:t>
      </w:r>
      <w:r>
        <w:t xml:space="preserve"> of </w:t>
      </w:r>
      <w:r w:rsidR="00551DE5" w:rsidRPr="00551DE5">
        <w:rPr>
          <w:b/>
        </w:rPr>
        <w:t xml:space="preserve">Caltex </w:t>
      </w:r>
      <w:r>
        <w:t>implemented a scheme in terms of which, by way of composite agreement</w:t>
      </w:r>
      <w:r w:rsidR="00157D39">
        <w:t>s</w:t>
      </w:r>
      <w:r>
        <w:t xml:space="preserve"> (there are three sets of </w:t>
      </w:r>
      <w:r w:rsidR="00157D39">
        <w:t xml:space="preserve">concurrent or parallel contracts) they sold off some of </w:t>
      </w:r>
      <w:r>
        <w:t xml:space="preserve">their operations to what </w:t>
      </w:r>
      <w:r w:rsidR="00DC0CA7">
        <w:t>they</w:t>
      </w:r>
      <w:r>
        <w:t xml:space="preserve"> </w:t>
      </w:r>
      <w:r w:rsidR="00DC0CA7">
        <w:t>termed</w:t>
      </w:r>
      <w:r>
        <w:t xml:space="preserve"> “branded marketers”</w:t>
      </w:r>
      <w:r w:rsidR="00DC0CA7">
        <w:t xml:space="preserve"> – </w:t>
      </w:r>
      <w:r w:rsidR="00551DE5">
        <w:t>which</w:t>
      </w:r>
      <w:r w:rsidR="00DC0CA7">
        <w:t xml:space="preserve"> is what the Respondent is</w:t>
      </w:r>
      <w:r w:rsidR="00DC0CA7">
        <w:rPr>
          <w:rStyle w:val="FootnoteReference"/>
        </w:rPr>
        <w:footnoteReference w:id="6"/>
      </w:r>
      <w:r w:rsidR="007E2324">
        <w:t xml:space="preserve">. </w:t>
      </w:r>
      <w:r w:rsidR="00DC0CA7">
        <w:t xml:space="preserve">I annex hereto as </w:t>
      </w:r>
      <w:r w:rsidR="00DC0CA7" w:rsidRPr="00DC0CA7">
        <w:rPr>
          <w:b/>
        </w:rPr>
        <w:t>annexure J</w:t>
      </w:r>
      <w:r w:rsidR="00DC0CA7">
        <w:t xml:space="preserve"> an extract from one of these agreements (which was termed the “R</w:t>
      </w:r>
      <w:r w:rsidR="00157D39">
        <w:t xml:space="preserve">etail </w:t>
      </w:r>
      <w:r w:rsidR="00DC0CA7">
        <w:t xml:space="preserve">Assignment </w:t>
      </w:r>
      <w:r w:rsidR="00157D39">
        <w:t xml:space="preserve">(RA) </w:t>
      </w:r>
      <w:r w:rsidR="00DC0CA7">
        <w:t xml:space="preserve">Agreement” </w:t>
      </w:r>
      <w:r w:rsidR="00157D39">
        <w:t xml:space="preserve">and which was concluded between </w:t>
      </w:r>
      <w:r w:rsidR="00DC0CA7">
        <w:t>Chevron South Africa (Pty) Ltd and the Respondent on the 20</w:t>
      </w:r>
      <w:r w:rsidR="00DC0CA7" w:rsidRPr="00DC0CA7">
        <w:rPr>
          <w:vertAlign w:val="superscript"/>
        </w:rPr>
        <w:t>th</w:t>
      </w:r>
      <w:r w:rsidR="00DC0CA7">
        <w:t xml:space="preserve"> December 2011). I humbly draw attention to clause 4.8 thereof which, with respect, speaks for itself; and is clear in its requirement that Respondent </w:t>
      </w:r>
      <w:r w:rsidR="00157D39">
        <w:t xml:space="preserve">specifically and expressly agreed to </w:t>
      </w:r>
      <w:r w:rsidR="00DC0CA7">
        <w:t xml:space="preserve">deal as reasonably and </w:t>
      </w:r>
      <w:r w:rsidR="00DC0CA7" w:rsidRPr="00157D39">
        <w:rPr>
          <w:i/>
        </w:rPr>
        <w:t xml:space="preserve">bona fide </w:t>
      </w:r>
      <w:r w:rsidR="00DC0CA7">
        <w:t>with retailers as Chevron itself did (at the time of the agreement). The similarity of language and intent between this clause and Section 12B(1) is, I humbly submit, to be emphasized as is the fact that this aspect is part of the Referral</w:t>
      </w:r>
      <w:r w:rsidR="007B54E7">
        <w:rPr>
          <w:rStyle w:val="FootnoteReference"/>
        </w:rPr>
        <w:footnoteReference w:id="7"/>
      </w:r>
      <w:r w:rsidR="00DC0CA7">
        <w:t>.</w:t>
      </w:r>
    </w:p>
    <w:p w:rsidR="00DC0CA7" w:rsidRDefault="00DC0CA7" w:rsidP="00DC0CA7">
      <w:pPr>
        <w:pStyle w:val="ListParagraph"/>
      </w:pPr>
    </w:p>
    <w:p w:rsidR="00033B9A" w:rsidRDefault="00DC0CA7" w:rsidP="002F35A4">
      <w:pPr>
        <w:pStyle w:val="ListParagraph"/>
        <w:numPr>
          <w:ilvl w:val="0"/>
          <w:numId w:val="1"/>
        </w:numPr>
        <w:spacing w:after="0" w:line="480" w:lineRule="auto"/>
        <w:ind w:hanging="567"/>
        <w:jc w:val="both"/>
      </w:pPr>
      <w:r>
        <w:t xml:space="preserve"> </w:t>
      </w:r>
      <w:r w:rsidR="007B54E7">
        <w:t>Further to that, I attach</w:t>
      </w:r>
      <w:r>
        <w:t xml:space="preserve"> hereto as </w:t>
      </w:r>
      <w:r w:rsidRPr="00DC0CA7">
        <w:rPr>
          <w:b/>
        </w:rPr>
        <w:t>annexure K</w:t>
      </w:r>
      <w:r w:rsidRPr="007B54E7">
        <w:t xml:space="preserve"> </w:t>
      </w:r>
      <w:r w:rsidR="007B54E7" w:rsidRPr="007B54E7">
        <w:t>which is a extract</w:t>
      </w:r>
      <w:r w:rsidR="007B54E7">
        <w:t xml:space="preserve"> of a further collateral agreement (termed “Branded Marketer Agreement”) on the same date and at the same time as the “RA Assignment Agreement” from which it can be see that clause 4.8 of the RA Assignment Agreement is repeated there as </w:t>
      </w:r>
      <w:r w:rsidR="00551DE5">
        <w:t>clause</w:t>
      </w:r>
      <w:r w:rsidR="007B54E7">
        <w:t xml:space="preserve"> 8.4(iv). The </w:t>
      </w:r>
      <w:r w:rsidR="00551DE5">
        <w:t>clause</w:t>
      </w:r>
      <w:r w:rsidR="007B54E7">
        <w:t xml:space="preserve"> is repeated again as </w:t>
      </w:r>
      <w:r w:rsidR="00551DE5">
        <w:t>clause</w:t>
      </w:r>
      <w:r w:rsidR="007B54E7">
        <w:t xml:space="preserve"> 9.2.1 in the third </w:t>
      </w:r>
      <w:r w:rsidR="00551DE5">
        <w:t>agreement</w:t>
      </w:r>
      <w:r w:rsidR="007B54E7">
        <w:t xml:space="preserve"> of the set, an agreement entitled “Agreement for Sale and purchase of assets” of the same date as the other two. I annex this extract hereto as </w:t>
      </w:r>
      <w:r w:rsidR="007B54E7" w:rsidRPr="007B54E7">
        <w:rPr>
          <w:b/>
        </w:rPr>
        <w:t>annexure L.</w:t>
      </w:r>
    </w:p>
    <w:p w:rsidR="007E2324" w:rsidRDefault="007E2324" w:rsidP="007E2324">
      <w:pPr>
        <w:pStyle w:val="ListParagraph"/>
      </w:pPr>
    </w:p>
    <w:p w:rsidR="002F35A4" w:rsidRDefault="004A39C6" w:rsidP="002F35A4">
      <w:pPr>
        <w:pStyle w:val="ListParagraph"/>
        <w:numPr>
          <w:ilvl w:val="0"/>
          <w:numId w:val="1"/>
        </w:numPr>
        <w:spacing w:after="0" w:line="480" w:lineRule="auto"/>
        <w:ind w:hanging="567"/>
        <w:jc w:val="both"/>
      </w:pPr>
      <w:r>
        <w:t xml:space="preserve">I wish to point out that prior to receiving the urgent application of the Respondent, I never had any sight of </w:t>
      </w:r>
      <w:r w:rsidR="00A44A51">
        <w:t xml:space="preserve">the aforementioned agreements. </w:t>
      </w:r>
      <w:r>
        <w:t xml:space="preserve">I as a retailer was merely advised by </w:t>
      </w:r>
      <w:r w:rsidR="00157D39">
        <w:t>a letters from Chevron and Respondent</w:t>
      </w:r>
      <w:r>
        <w:t xml:space="preserve"> </w:t>
      </w:r>
      <w:r w:rsidR="00A44A51">
        <w:t xml:space="preserve">that Respondent would be taking over from Chevron as Franchisor. </w:t>
      </w:r>
    </w:p>
    <w:p w:rsidR="00157D39" w:rsidRDefault="00157D39" w:rsidP="00157D39">
      <w:pPr>
        <w:pStyle w:val="ListParagraph"/>
      </w:pPr>
    </w:p>
    <w:p w:rsidR="002F35A4" w:rsidRDefault="002F35A4" w:rsidP="002F35A4">
      <w:pPr>
        <w:pStyle w:val="ListParagraph"/>
        <w:numPr>
          <w:ilvl w:val="0"/>
          <w:numId w:val="1"/>
        </w:numPr>
        <w:spacing w:after="0" w:line="480" w:lineRule="auto"/>
        <w:ind w:hanging="567"/>
        <w:jc w:val="both"/>
      </w:pPr>
      <w:r>
        <w:t>It is to be emphasized that at no time and at no level was it e</w:t>
      </w:r>
      <w:r w:rsidR="00157D39">
        <w:t>ver suggested by the Respondent</w:t>
      </w:r>
      <w:r>
        <w:t xml:space="preserve"> that I (as the owner of the Applicant) was a tardy or bad operator. There is no allegation and no case for such an allegation in that at all times I ran the station in proper and full compliance with the best standards of “</w:t>
      </w:r>
      <w:r w:rsidRPr="00BE15C9">
        <w:rPr>
          <w:b/>
        </w:rPr>
        <w:t>Caltex</w:t>
      </w:r>
      <w:r>
        <w:t>”.</w:t>
      </w:r>
      <w:r w:rsidR="00157D39">
        <w:t xml:space="preserve"> I in fact have never ever received ay complaint or accusation form Respondent and before it Chevron, as to my running of the site.</w:t>
      </w:r>
      <w:r w:rsidR="00A44A51">
        <w:t xml:space="preserve"> Applicant in fact, in 2014 received an award from Respondent for ‘Site Development’.</w:t>
      </w:r>
    </w:p>
    <w:p w:rsidR="002F35A4" w:rsidRDefault="002F35A4" w:rsidP="002F35A4">
      <w:pPr>
        <w:pStyle w:val="ListParagraph"/>
      </w:pPr>
    </w:p>
    <w:p w:rsidR="002F35A4" w:rsidRDefault="000571E1" w:rsidP="002F35A4">
      <w:pPr>
        <w:pStyle w:val="ListParagraph"/>
        <w:numPr>
          <w:ilvl w:val="0"/>
          <w:numId w:val="1"/>
        </w:numPr>
        <w:spacing w:after="0" w:line="480" w:lineRule="auto"/>
        <w:ind w:hanging="567"/>
        <w:jc w:val="both"/>
      </w:pPr>
      <w:r>
        <w:t>It seems undeniable, I am advised to submit that the C</w:t>
      </w:r>
      <w:r w:rsidR="002F35A4">
        <w:t>onstitutional Court in the</w:t>
      </w:r>
      <w:r w:rsidR="00482539" w:rsidRPr="00482539">
        <w:rPr>
          <w:i/>
        </w:rPr>
        <w:t xml:space="preserve"> Business Zone </w:t>
      </w:r>
      <w:r w:rsidR="002F35A4">
        <w:t xml:space="preserve">case saw the need to have the question of what is or is not reasonable in any given case, “unpacked” in Arbitration proceedings (where this is the forum chosen by the Requesting party </w:t>
      </w:r>
      <w:r w:rsidR="002F35A4" w:rsidRPr="00040813">
        <w:rPr>
          <w:u w:val="single"/>
        </w:rPr>
        <w:t>instead</w:t>
      </w:r>
      <w:r w:rsidR="002F35A4">
        <w:t xml:space="preserve"> of the High Court) a</w:t>
      </w:r>
      <w:r>
        <w:t xml:space="preserve">fter which any decision of the Arbitrator can be assessed </w:t>
      </w:r>
      <w:r w:rsidR="002F35A4">
        <w:t>by the High Court (and indeed, thereafter the SCA, and thereafter, in appropriate cases, the Constitutional Court) in terms of the acceptance and review powers conferred by Sections 31 and 33 of the Arbitration Act.</w:t>
      </w:r>
    </w:p>
    <w:p w:rsidR="002F35A4" w:rsidRDefault="002F35A4" w:rsidP="002F35A4">
      <w:pPr>
        <w:spacing w:after="0" w:line="480" w:lineRule="auto"/>
        <w:jc w:val="both"/>
      </w:pPr>
    </w:p>
    <w:p w:rsidR="002F35A4" w:rsidRDefault="002F35A4" w:rsidP="002F35A4">
      <w:pPr>
        <w:pStyle w:val="ListParagraph"/>
        <w:numPr>
          <w:ilvl w:val="0"/>
          <w:numId w:val="1"/>
        </w:numPr>
        <w:spacing w:after="0" w:line="480" w:lineRule="auto"/>
        <w:ind w:hanging="567"/>
        <w:jc w:val="both"/>
      </w:pPr>
      <w:r>
        <w:t xml:space="preserve">For instance, it has long been the case that oil companies have turned their backs on retailing and the risks of trading losses that retailing has, in favour of risk-free ‘franchising’. It is now ‘law’ in terms of Section 2A(5) of the PPA that oil companies may not own and run petrol station and thus are obliged by Law, where they have monopoly rights for their brand, to give out ‘franchises’ to holders of retail licences. </w:t>
      </w:r>
    </w:p>
    <w:p w:rsidR="002F35A4" w:rsidRDefault="002F35A4" w:rsidP="00157D39"/>
    <w:p w:rsidR="002F35A4" w:rsidRDefault="002F35A4" w:rsidP="002F35A4">
      <w:pPr>
        <w:pStyle w:val="ListParagraph"/>
        <w:numPr>
          <w:ilvl w:val="0"/>
          <w:numId w:val="1"/>
        </w:numPr>
        <w:spacing w:after="0" w:line="480" w:lineRule="auto"/>
        <w:ind w:hanging="567"/>
        <w:jc w:val="both"/>
      </w:pPr>
      <w:r>
        <w:t>As to the second of the Respondent’s argument</w:t>
      </w:r>
      <w:r w:rsidR="00157D39">
        <w:t>s</w:t>
      </w:r>
      <w:r>
        <w:t xml:space="preserve">, I attach its own rendition thereof hereto as </w:t>
      </w:r>
      <w:r w:rsidR="008C4EBE">
        <w:rPr>
          <w:b/>
        </w:rPr>
        <w:t xml:space="preserve">annexure </w:t>
      </w:r>
      <w:r w:rsidR="005D293A">
        <w:rPr>
          <w:b/>
        </w:rPr>
        <w:t>M</w:t>
      </w:r>
      <w:r>
        <w:rPr>
          <w:b/>
        </w:rPr>
        <w:t xml:space="preserve"> </w:t>
      </w:r>
      <w:r>
        <w:t>which is page 5 of its affidavit opposing the application to the President of the High Court. It will be seen that for its contention that Applicant is presenting a “variation” of a discredited “theme”, the Respondent lists a number of cases</w:t>
      </w:r>
      <w:r>
        <w:rPr>
          <w:rStyle w:val="FootnoteReference"/>
        </w:rPr>
        <w:footnoteReference w:id="8"/>
      </w:r>
      <w:r>
        <w:t>. I am informed by my legal representatives that, to begin with not a single one of those cases had anything to do with Section 12B and none mentions or refers to or deals with 12B. The judgments in every single one of those cases in any event predates the</w:t>
      </w:r>
      <w:r w:rsidR="00482539" w:rsidRPr="00482539">
        <w:rPr>
          <w:i/>
        </w:rPr>
        <w:t xml:space="preserve"> Business Zone </w:t>
      </w:r>
      <w:r>
        <w:t xml:space="preserve">decision. In none of those cases </w:t>
      </w:r>
      <w:r w:rsidR="00A44A51">
        <w:t xml:space="preserve">listed by the Respondent </w:t>
      </w:r>
      <w:r>
        <w:t>was any one of the three the</w:t>
      </w:r>
      <w:r w:rsidR="00482539" w:rsidRPr="00482539">
        <w:rPr>
          <w:i/>
        </w:rPr>
        <w:t xml:space="preserve"> Business Zone </w:t>
      </w:r>
      <w:r>
        <w:t xml:space="preserve">decisions or Section 12B mentioned or raised. </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Furthermore, in citing those cases, no mention is made of the fact that a number of those emanated from a series of </w:t>
      </w:r>
      <w:r w:rsidRPr="00CD7A2C">
        <w:rPr>
          <w:i/>
        </w:rPr>
        <w:t>bona fide</w:t>
      </w:r>
      <w:r>
        <w:t xml:space="preserve"> ‘test cases’ that stemmed at about the same time, out of a case brought initially to the Constitutional Court with regard to which the Constitutional Court made the order (in November 2013) which I attach hereto as </w:t>
      </w:r>
      <w:r w:rsidRPr="00CD7A2C">
        <w:rPr>
          <w:b/>
        </w:rPr>
        <w:t>anne</w:t>
      </w:r>
      <w:r w:rsidR="005D293A">
        <w:rPr>
          <w:b/>
        </w:rPr>
        <w:t>xure N</w:t>
      </w:r>
      <w:r w:rsidRPr="00CD7A2C">
        <w:rPr>
          <w:b/>
        </w:rPr>
        <w:t>.</w:t>
      </w:r>
      <w:r>
        <w:rPr>
          <w:b/>
        </w:rPr>
        <w:t xml:space="preserve"> </w:t>
      </w:r>
      <w:r>
        <w:t>It will be seen that “</w:t>
      </w:r>
      <w:r w:rsidRPr="00CD7A2C">
        <w:rPr>
          <w:b/>
        </w:rPr>
        <w:t>Caltex</w:t>
      </w:r>
      <w:r>
        <w:t>” was party to the case and had full knowledge of its contents. I am advised that the ‘</w:t>
      </w:r>
      <w:r w:rsidRPr="00663FDA">
        <w:rPr>
          <w:i/>
        </w:rPr>
        <w:t>Gundu’</w:t>
      </w:r>
      <w:r>
        <w:t xml:space="preserve"> decision is alluded to in the ‘</w:t>
      </w:r>
      <w:r w:rsidRPr="00663FDA">
        <w:rPr>
          <w:i/>
        </w:rPr>
        <w:t>Mighty</w:t>
      </w:r>
      <w:r>
        <w:t xml:space="preserve"> </w:t>
      </w:r>
      <w:r w:rsidRPr="00663FDA">
        <w:rPr>
          <w:i/>
        </w:rPr>
        <w:t>Solutions’</w:t>
      </w:r>
      <w:r>
        <w:t xml:space="preserve"> case.</w:t>
      </w:r>
    </w:p>
    <w:p w:rsidR="002F35A4" w:rsidRDefault="002F35A4" w:rsidP="00A44A51">
      <w:pPr>
        <w:spacing w:after="0" w:line="240" w:lineRule="auto"/>
      </w:pPr>
    </w:p>
    <w:p w:rsidR="002F35A4" w:rsidRPr="00347AD8" w:rsidRDefault="002F35A4" w:rsidP="002F35A4">
      <w:pPr>
        <w:rPr>
          <w:u w:val="single"/>
        </w:rPr>
      </w:pPr>
      <w:r w:rsidRPr="00347AD8">
        <w:rPr>
          <w:u w:val="single"/>
        </w:rPr>
        <w:t xml:space="preserve">Other Similar </w:t>
      </w:r>
      <w:r>
        <w:rPr>
          <w:u w:val="single"/>
        </w:rPr>
        <w:t>d</w:t>
      </w:r>
      <w:r w:rsidRPr="00347AD8">
        <w:rPr>
          <w:u w:val="single"/>
        </w:rPr>
        <w:t>ecisions:</w:t>
      </w:r>
    </w:p>
    <w:p w:rsidR="002F35A4" w:rsidRDefault="002F35A4" w:rsidP="002F35A4"/>
    <w:p w:rsidR="002F35A4" w:rsidRDefault="002F35A4" w:rsidP="002F35A4">
      <w:pPr>
        <w:pStyle w:val="ListParagraph"/>
        <w:numPr>
          <w:ilvl w:val="0"/>
          <w:numId w:val="1"/>
        </w:numPr>
        <w:spacing w:after="0" w:line="480" w:lineRule="auto"/>
        <w:ind w:hanging="567"/>
        <w:jc w:val="both"/>
      </w:pPr>
      <w:r>
        <w:t>In its argument at first instance and at every other level, reliance was placed on the case which the Respondent herein brought against another retailer for its eviction.  The case</w:t>
      </w:r>
      <w:r>
        <w:rPr>
          <w:rStyle w:val="FootnoteReference"/>
        </w:rPr>
        <w:footnoteReference w:id="9"/>
      </w:r>
      <w:r>
        <w:t xml:space="preserve"> - also handled for the Respondent therein (</w:t>
      </w:r>
      <w:r>
        <w:rPr>
          <w:i/>
        </w:rPr>
        <w:t xml:space="preserve">Former </w:t>
      </w:r>
      <w:r w:rsidRPr="00347AD8">
        <w:rPr>
          <w:i/>
        </w:rPr>
        <w:t>Way</w:t>
      </w:r>
      <w:r>
        <w:t xml:space="preserve">) </w:t>
      </w:r>
      <w:r w:rsidRPr="00347AD8">
        <w:t>by</w:t>
      </w:r>
      <w:r>
        <w:t xml:space="preserve"> my attorney of r</w:t>
      </w:r>
      <w:r w:rsidR="00157D39">
        <w:t xml:space="preserve">ecord - is, I am advised, </w:t>
      </w:r>
      <w:r>
        <w:t xml:space="preserve">to a large degree in </w:t>
      </w:r>
      <w:r>
        <w:rPr>
          <w:i/>
        </w:rPr>
        <w:t xml:space="preserve">pari </w:t>
      </w:r>
      <w:r w:rsidRPr="00347AD8">
        <w:rPr>
          <w:i/>
        </w:rPr>
        <w:t>materia</w:t>
      </w:r>
      <w:r>
        <w:t xml:space="preserve"> with the case at ha</w:t>
      </w:r>
      <w:r w:rsidR="00A44A51">
        <w:t xml:space="preserve">nd, </w:t>
      </w:r>
      <w:r w:rsidR="00157D39">
        <w:t xml:space="preserve">as far as 12B is concerned, </w:t>
      </w:r>
      <w:r>
        <w:t>save firstly that by the time tha</w:t>
      </w:r>
      <w:r w:rsidR="00157D39">
        <w:t xml:space="preserve">t case was heard, the referral, which had been requested before the answering affidavit was filed, </w:t>
      </w:r>
      <w:r>
        <w:t xml:space="preserve">had been granted by the Controller </w:t>
      </w:r>
      <w:r w:rsidR="00157D39">
        <w:t xml:space="preserve">well before the hearing </w:t>
      </w:r>
      <w:r>
        <w:t>and was placed on Record</w:t>
      </w:r>
      <w:r w:rsidR="00157D39">
        <w:t xml:space="preserve"> in the Respondent’s replying affidavit. </w:t>
      </w:r>
      <w:r>
        <w:t>Other significant differences between that case and this will be explained shortly.</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hanging="567"/>
        <w:jc w:val="both"/>
      </w:pPr>
      <w:r>
        <w:t xml:space="preserve">In the </w:t>
      </w:r>
      <w:r w:rsidRPr="00196FE0">
        <w:rPr>
          <w:i/>
        </w:rPr>
        <w:t>Former Way</w:t>
      </w:r>
      <w:r>
        <w:t xml:space="preserve"> case, an application for leave to appeal to the SCA was brought after leave to appeal was refused at first instance. It was refused by the SCA but by order of the (Acting) President of the SCA in terms of Section</w:t>
      </w:r>
      <w:r w:rsidR="00EC3DCF">
        <w:t xml:space="preserve"> </w:t>
      </w:r>
      <w:r>
        <w:t xml:space="preserve">17(2)(f) of the </w:t>
      </w:r>
      <w:r w:rsidRPr="00157D39">
        <w:rPr>
          <w:i/>
        </w:rPr>
        <w:t>Superior</w:t>
      </w:r>
      <w:r>
        <w:t xml:space="preserve"> Courts Act it has been referred to the full court for reconsideration. That hearing is pending and I attach hereto as </w:t>
      </w:r>
      <w:r w:rsidRPr="00347AD8">
        <w:rPr>
          <w:b/>
        </w:rPr>
        <w:t xml:space="preserve">annexure </w:t>
      </w:r>
      <w:r w:rsidR="005D293A">
        <w:rPr>
          <w:b/>
        </w:rPr>
        <w:t xml:space="preserve">O </w:t>
      </w:r>
      <w:r>
        <w:t>a copy of the order made by the Acting President. Both parties have filed Heads and the Heads of argument</w:t>
      </w:r>
      <w:r w:rsidR="00157D39">
        <w:t>,</w:t>
      </w:r>
      <w:r>
        <w:t xml:space="preserve"> filed for the Respondent there</w:t>
      </w:r>
      <w:r w:rsidR="00157D39">
        <w:t>,</w:t>
      </w:r>
      <w:r>
        <w:t xml:space="preserve"> raise the</w:t>
      </w:r>
      <w:r w:rsidR="00157D39">
        <w:t xml:space="preserve"> same arguments as those which </w:t>
      </w:r>
      <w:r>
        <w:t xml:space="preserve"> have</w:t>
      </w:r>
      <w:r w:rsidR="00157D39">
        <w:t xml:space="preserve"> been</w:t>
      </w:r>
      <w:r>
        <w:t xml:space="preserve"> referred to herein. </w:t>
      </w:r>
    </w:p>
    <w:p w:rsidR="002F35A4" w:rsidRDefault="002F35A4" w:rsidP="002F35A4">
      <w:pPr>
        <w:pStyle w:val="ListParagraph"/>
        <w:spacing w:after="0" w:line="480" w:lineRule="auto"/>
        <w:ind w:left="567"/>
        <w:jc w:val="both"/>
      </w:pPr>
    </w:p>
    <w:p w:rsidR="002F35A4" w:rsidRDefault="002F35A4" w:rsidP="002F35A4">
      <w:pPr>
        <w:pStyle w:val="ListParagraph"/>
        <w:numPr>
          <w:ilvl w:val="0"/>
          <w:numId w:val="1"/>
        </w:numPr>
        <w:spacing w:after="0" w:line="480" w:lineRule="auto"/>
        <w:ind w:hanging="567"/>
        <w:jc w:val="both"/>
      </w:pPr>
      <w:r>
        <w:t xml:space="preserve">I am advised to point out that on behalf of </w:t>
      </w:r>
      <w:r w:rsidRPr="00DD3F58">
        <w:rPr>
          <w:i/>
        </w:rPr>
        <w:t>Former Way</w:t>
      </w:r>
      <w:r>
        <w:t xml:space="preserve"> it has been submitted</w:t>
      </w:r>
      <w:r w:rsidR="00157D39">
        <w:t xml:space="preserve"> </w:t>
      </w:r>
      <w:r w:rsidR="00157D39" w:rsidRPr="00157D39">
        <w:rPr>
          <w:i/>
        </w:rPr>
        <w:t>inter alia</w:t>
      </w:r>
      <w:r>
        <w:t xml:space="preserve"> to the SCA that because the terms of the referral and the ‘eviction’ are at loggerheads and irreconcilable with each other, it </w:t>
      </w:r>
      <w:r w:rsidR="00157D39">
        <w:t>was not competent for the High C</w:t>
      </w:r>
      <w:r>
        <w:t xml:space="preserve">ourt to have proceeded with the ‘eviction’ </w:t>
      </w:r>
      <w:r w:rsidR="00EC3DCF">
        <w:t>application</w:t>
      </w:r>
      <w:r>
        <w:t xml:space="preserve"> </w:t>
      </w:r>
      <w:r w:rsidR="00EC3DCF">
        <w:t>brought</w:t>
      </w:r>
      <w:r>
        <w:t xml:space="preserve"> by </w:t>
      </w:r>
      <w:r w:rsidR="00EC3DCF">
        <w:t>the</w:t>
      </w:r>
      <w:r>
        <w:t xml:space="preserve"> </w:t>
      </w:r>
      <w:r w:rsidR="00EC3DCF">
        <w:t>Respondent</w:t>
      </w:r>
      <w:r>
        <w:t>.</w:t>
      </w:r>
    </w:p>
    <w:p w:rsidR="002F35A4" w:rsidRDefault="002F35A4" w:rsidP="002F35A4">
      <w:pPr>
        <w:pStyle w:val="ListParagraph"/>
      </w:pPr>
    </w:p>
    <w:p w:rsidR="00157D39" w:rsidRDefault="002F35A4" w:rsidP="00157D39">
      <w:pPr>
        <w:pStyle w:val="ListParagraph"/>
        <w:numPr>
          <w:ilvl w:val="0"/>
          <w:numId w:val="1"/>
        </w:numPr>
        <w:spacing w:after="0" w:line="480" w:lineRule="auto"/>
        <w:ind w:hanging="567"/>
        <w:jc w:val="both"/>
      </w:pPr>
      <w:r>
        <w:t>I am ad</w:t>
      </w:r>
      <w:r w:rsidR="00EC3DCF">
        <w:t>vised</w:t>
      </w:r>
      <w:r>
        <w:t xml:space="preserve"> to point out that the major </w:t>
      </w:r>
      <w:r w:rsidR="00EC3DCF">
        <w:t xml:space="preserve">factual </w:t>
      </w:r>
      <w:r>
        <w:t>difference bet</w:t>
      </w:r>
      <w:r w:rsidR="00EC3DCF">
        <w:t xml:space="preserve">ween the </w:t>
      </w:r>
      <w:r w:rsidR="00EC3DCF" w:rsidRPr="00157D39">
        <w:rPr>
          <w:i/>
        </w:rPr>
        <w:t xml:space="preserve">Former Way </w:t>
      </w:r>
      <w:r>
        <w:t xml:space="preserve">case and the current one is that in the current case it is common cause that the franchise agreement (including the lease) ran </w:t>
      </w:r>
      <w:r w:rsidR="00157D39">
        <w:t xml:space="preserve">out with the effluxion of </w:t>
      </w:r>
      <w:r w:rsidR="00A44A51">
        <w:t xml:space="preserve">time </w:t>
      </w:r>
      <w:r w:rsidR="00157D39">
        <w:t>whereas in</w:t>
      </w:r>
      <w:r w:rsidR="00157D39" w:rsidRPr="00A44A51">
        <w:rPr>
          <w:i/>
        </w:rPr>
        <w:t xml:space="preserve"> Former Way </w:t>
      </w:r>
      <w:r w:rsidR="00157D39">
        <w:t>the dispute</w:t>
      </w:r>
      <w:r w:rsidR="004C24B8">
        <w:t xml:space="preserve"> centres around the terms under which the bu</w:t>
      </w:r>
      <w:r w:rsidR="00A44A51">
        <w:t xml:space="preserve">siness was bought by </w:t>
      </w:r>
      <w:r w:rsidR="00A44A51" w:rsidRPr="00A44A51">
        <w:rPr>
          <w:i/>
        </w:rPr>
        <w:t>Former Way</w:t>
      </w:r>
      <w:r w:rsidR="00A44A51">
        <w:t xml:space="preserve"> and whether </w:t>
      </w:r>
      <w:r w:rsidR="00A44A51" w:rsidRPr="00A44A51">
        <w:rPr>
          <w:i/>
        </w:rPr>
        <w:t>Former Way</w:t>
      </w:r>
      <w:r w:rsidR="00A44A51">
        <w:t xml:space="preserve"> was granted a franchise agreement or not. </w:t>
      </w:r>
    </w:p>
    <w:p w:rsidR="00157D39" w:rsidRDefault="00157D39" w:rsidP="00157D39">
      <w:pPr>
        <w:spacing w:after="0" w:line="480" w:lineRule="auto"/>
        <w:jc w:val="both"/>
      </w:pPr>
    </w:p>
    <w:p w:rsidR="002F35A4" w:rsidRDefault="00EC3DCF" w:rsidP="002F35A4">
      <w:pPr>
        <w:pStyle w:val="ListParagraph"/>
        <w:numPr>
          <w:ilvl w:val="0"/>
          <w:numId w:val="1"/>
        </w:numPr>
        <w:spacing w:after="0" w:line="480" w:lineRule="auto"/>
        <w:ind w:hanging="567"/>
        <w:jc w:val="both"/>
      </w:pPr>
      <w:r>
        <w:t xml:space="preserve">By the time the matter was called for argument, the Controller had issued the Referral which for information, is attached hereto as </w:t>
      </w:r>
      <w:r w:rsidR="008C4EBE">
        <w:rPr>
          <w:b/>
        </w:rPr>
        <w:t xml:space="preserve">annexure </w:t>
      </w:r>
      <w:r w:rsidR="005D293A">
        <w:rPr>
          <w:b/>
        </w:rPr>
        <w:t>P</w:t>
      </w:r>
      <w:r>
        <w:rPr>
          <w:b/>
        </w:rPr>
        <w:t xml:space="preserve"> </w:t>
      </w:r>
      <w:r>
        <w:t>and which was tabled and recorded in the proceedings at first instance.</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From this it will also be </w:t>
      </w:r>
      <w:r w:rsidR="00EC3DCF">
        <w:t>understood</w:t>
      </w:r>
      <w:r>
        <w:t xml:space="preserve"> that </w:t>
      </w:r>
      <w:r w:rsidRPr="006D0FDB">
        <w:rPr>
          <w:i/>
        </w:rPr>
        <w:t>Former Way</w:t>
      </w:r>
      <w:r>
        <w:t xml:space="preserve"> claims </w:t>
      </w:r>
      <w:r w:rsidR="00A44A51">
        <w:t>in its submission to the SCA a</w:t>
      </w:r>
      <w:r>
        <w:t xml:space="preserve">lso that Justice Pillay J completely misread and misunderstood </w:t>
      </w:r>
      <w:r w:rsidRPr="006D0FDB">
        <w:rPr>
          <w:i/>
        </w:rPr>
        <w:t>Former Way’s</w:t>
      </w:r>
      <w:r>
        <w:t xml:space="preserve"> case on the facts.</w:t>
      </w:r>
    </w:p>
    <w:p w:rsidR="002F35A4" w:rsidRDefault="002F35A4" w:rsidP="002F35A4">
      <w:pPr>
        <w:pStyle w:val="ListParagraph"/>
      </w:pPr>
    </w:p>
    <w:p w:rsidR="002F35A4" w:rsidRDefault="002F35A4" w:rsidP="002F35A4">
      <w:pPr>
        <w:pStyle w:val="ListParagraph"/>
        <w:numPr>
          <w:ilvl w:val="0"/>
          <w:numId w:val="1"/>
        </w:numPr>
        <w:spacing w:after="0" w:line="480" w:lineRule="auto"/>
        <w:ind w:hanging="567"/>
        <w:jc w:val="both"/>
      </w:pPr>
      <w:r>
        <w:t xml:space="preserve">What appears to be </w:t>
      </w:r>
      <w:r w:rsidR="00EC3DCF">
        <w:t>relevant</w:t>
      </w:r>
      <w:r>
        <w:t xml:space="preserve"> for present purposes </w:t>
      </w:r>
      <w:r w:rsidR="00EC3DCF">
        <w:t>however, that</w:t>
      </w:r>
      <w:r>
        <w:t xml:space="preserve"> </w:t>
      </w:r>
      <w:r w:rsidR="00551DE5">
        <w:t>the judgement</w:t>
      </w:r>
      <w:r w:rsidR="00653D81">
        <w:t xml:space="preserve"> </w:t>
      </w:r>
      <w:r>
        <w:t xml:space="preserve">of </w:t>
      </w:r>
      <w:r w:rsidR="00EC3DCF">
        <w:t>Justice Pillay</w:t>
      </w:r>
      <w:r>
        <w:t xml:space="preserve"> </w:t>
      </w:r>
      <w:r w:rsidR="00EC3DCF">
        <w:t xml:space="preserve">J </w:t>
      </w:r>
      <w:r w:rsidR="006F3996">
        <w:t xml:space="preserve">in the </w:t>
      </w:r>
      <w:r w:rsidR="006F3996" w:rsidRPr="006F3996">
        <w:rPr>
          <w:i/>
        </w:rPr>
        <w:t>Former Way</w:t>
      </w:r>
      <w:r w:rsidR="006F3996">
        <w:rPr>
          <w:rStyle w:val="FootnoteReference"/>
          <w:i/>
        </w:rPr>
        <w:footnoteReference w:id="10"/>
      </w:r>
      <w:r w:rsidR="006F3996">
        <w:t xml:space="preserve"> </w:t>
      </w:r>
      <w:r>
        <w:t>seeks to put an interpretation on</w:t>
      </w:r>
      <w:r w:rsidR="00EC3DCF">
        <w:t xml:space="preserve"> the</w:t>
      </w:r>
      <w:r w:rsidR="00482539" w:rsidRPr="00482539">
        <w:rPr>
          <w:i/>
        </w:rPr>
        <w:t xml:space="preserve"> Business Zone </w:t>
      </w:r>
      <w:r>
        <w:t xml:space="preserve">case which my legal </w:t>
      </w:r>
      <w:r w:rsidR="00EC3DCF">
        <w:t>representatives</w:t>
      </w:r>
      <w:r>
        <w:t xml:space="preserve"> </w:t>
      </w:r>
      <w:r w:rsidR="00EC3DCF">
        <w:t xml:space="preserve">respectfully </w:t>
      </w:r>
      <w:r>
        <w:t>consider is</w:t>
      </w:r>
      <w:r w:rsidR="00EC3DCF">
        <w:t xml:space="preserve"> obviously</w:t>
      </w:r>
      <w:r>
        <w:t xml:space="preserve"> wrong and </w:t>
      </w:r>
      <w:r w:rsidR="00EC3DCF">
        <w:t>unt</w:t>
      </w:r>
      <w:r>
        <w:t xml:space="preserve">enable. </w:t>
      </w:r>
    </w:p>
    <w:p w:rsidR="002F35A4" w:rsidRDefault="002F35A4" w:rsidP="002F35A4">
      <w:pPr>
        <w:pStyle w:val="ListParagraph"/>
      </w:pPr>
    </w:p>
    <w:p w:rsidR="002F35A4" w:rsidRPr="006D0FDB" w:rsidRDefault="002F35A4" w:rsidP="002F35A4">
      <w:pPr>
        <w:pStyle w:val="ListParagraph"/>
        <w:numPr>
          <w:ilvl w:val="0"/>
          <w:numId w:val="1"/>
        </w:numPr>
        <w:spacing w:after="0" w:line="480" w:lineRule="auto"/>
        <w:ind w:hanging="567"/>
        <w:jc w:val="both"/>
      </w:pPr>
      <w:r>
        <w:t xml:space="preserve">In contrast to these is the case of </w:t>
      </w:r>
      <w:r w:rsidRPr="0053642C">
        <w:rPr>
          <w:rFonts w:cs="Arial"/>
          <w:i/>
          <w:szCs w:val="24"/>
        </w:rPr>
        <w:t>Future Phambili Petroleum (Pty) Ltd v Chamdor Service Station CC</w:t>
      </w:r>
      <w:r w:rsidRPr="0053642C">
        <w:rPr>
          <w:rFonts w:cs="Arial"/>
          <w:szCs w:val="24"/>
        </w:rPr>
        <w:t xml:space="preserve"> </w:t>
      </w:r>
      <w:r>
        <w:rPr>
          <w:rFonts w:cs="Arial"/>
          <w:b/>
          <w:szCs w:val="24"/>
        </w:rPr>
        <w:t xml:space="preserve">[2017] ZAGPPHC 1206 </w:t>
      </w:r>
      <w:r>
        <w:rPr>
          <w:rFonts w:cs="Arial"/>
          <w:szCs w:val="24"/>
        </w:rPr>
        <w:t>which seems, I am advised, to show a more correct approach to 12B and cannot be reconciled with the two Pietermaritzburg decisions.</w:t>
      </w:r>
    </w:p>
    <w:p w:rsidR="00521771" w:rsidRDefault="00521771" w:rsidP="002F5FE5">
      <w:pPr>
        <w:rPr>
          <w:u w:val="single"/>
        </w:rPr>
      </w:pPr>
    </w:p>
    <w:p w:rsidR="009A506F" w:rsidRDefault="002F5FE5" w:rsidP="002F5FE5">
      <w:pPr>
        <w:rPr>
          <w:u w:val="single"/>
        </w:rPr>
      </w:pPr>
      <w:r w:rsidRPr="002F5FE5">
        <w:rPr>
          <w:u w:val="single"/>
        </w:rPr>
        <w:t>Further analysis of the Judgement of Justice Ploos van Amstel J</w:t>
      </w:r>
      <w:r w:rsidR="009A506F">
        <w:rPr>
          <w:u w:val="single"/>
        </w:rPr>
        <w:t>:</w:t>
      </w:r>
    </w:p>
    <w:p w:rsidR="009A506F" w:rsidRPr="002F5FE5" w:rsidRDefault="009A506F" w:rsidP="002F5FE5">
      <w:pPr>
        <w:rPr>
          <w:u w:val="single"/>
        </w:rPr>
      </w:pPr>
    </w:p>
    <w:p w:rsidR="002F35A4" w:rsidRDefault="009A506F" w:rsidP="002F35A4">
      <w:pPr>
        <w:pStyle w:val="ListParagraph"/>
        <w:numPr>
          <w:ilvl w:val="0"/>
          <w:numId w:val="1"/>
        </w:numPr>
        <w:spacing w:after="0" w:line="480" w:lineRule="auto"/>
        <w:ind w:hanging="567"/>
        <w:jc w:val="both"/>
      </w:pPr>
      <w:r>
        <w:t xml:space="preserve">In paragraphs 12 to 14 of </w:t>
      </w:r>
      <w:r w:rsidR="00551DE5">
        <w:t>his judgement</w:t>
      </w:r>
      <w:r w:rsidR="00653D81">
        <w:t xml:space="preserve"> </w:t>
      </w:r>
      <w:r>
        <w:t>Mr Justice Ploos van Amstel J refers to Section 6 of the Arbitration Act and the ‘discretion’ that a Court has to grant a stay of legal proceedings</w:t>
      </w:r>
      <w:r w:rsidR="00A44A51">
        <w:t>. This reference to Section 6 i</w:t>
      </w:r>
      <w:r>
        <w:t xml:space="preserve">s out of order and invalid and fails to understand that a 12B referral is not a </w:t>
      </w:r>
      <w:r w:rsidR="009256AA">
        <w:t>voluntary</w:t>
      </w:r>
      <w:r>
        <w:t xml:space="preserve"> or ‘</w:t>
      </w:r>
      <w:r w:rsidR="009256AA">
        <w:t>consensual</w:t>
      </w:r>
      <w:r>
        <w:t xml:space="preserve"> arbitration such as is </w:t>
      </w:r>
      <w:r w:rsidR="009256AA">
        <w:t>provided</w:t>
      </w:r>
      <w:r>
        <w:t xml:space="preserve"> for in a consensual contract, but is an involuntary </w:t>
      </w:r>
      <w:r w:rsidR="009256AA">
        <w:t>compulsory</w:t>
      </w:r>
      <w:r>
        <w:t xml:space="preserve"> statutory arbitration impose</w:t>
      </w:r>
      <w:r w:rsidR="009256AA">
        <w:t>d</w:t>
      </w:r>
      <w:r>
        <w:t xml:space="preserve"> by </w:t>
      </w:r>
      <w:r w:rsidR="009256AA">
        <w:t>A</w:t>
      </w:r>
      <w:r>
        <w:t xml:space="preserve">dministrative Action of the </w:t>
      </w:r>
      <w:r w:rsidR="009256AA">
        <w:t>Controller at</w:t>
      </w:r>
      <w:r>
        <w:t xml:space="preserve"> the ‘</w:t>
      </w:r>
      <w:r w:rsidR="009256AA">
        <w:t>request</w:t>
      </w:r>
      <w:r>
        <w:t>’ of a</w:t>
      </w:r>
      <w:r w:rsidR="009256AA">
        <w:t>n</w:t>
      </w:r>
      <w:r>
        <w:t xml:space="preserve">y one party. The </w:t>
      </w:r>
      <w:r w:rsidR="009256AA">
        <w:t>Constitutional</w:t>
      </w:r>
      <w:r w:rsidR="00A44A51">
        <w:t xml:space="preserve"> Court, I am advised, </w:t>
      </w:r>
      <w:r>
        <w:t xml:space="preserve">went to great and clear </w:t>
      </w:r>
      <w:r w:rsidR="009256AA">
        <w:t>lengths</w:t>
      </w:r>
      <w:r>
        <w:t xml:space="preserve"> in </w:t>
      </w:r>
      <w:r w:rsidR="009256AA">
        <w:t>its</w:t>
      </w:r>
      <w:r w:rsidR="00482539" w:rsidRPr="00482539">
        <w:rPr>
          <w:i/>
        </w:rPr>
        <w:t xml:space="preserve"> Business Zone </w:t>
      </w:r>
      <w:r w:rsidR="009256AA">
        <w:t>judgement to</w:t>
      </w:r>
      <w:r>
        <w:t xml:space="preserve"> </w:t>
      </w:r>
      <w:r w:rsidR="009256AA">
        <w:t>explain</w:t>
      </w:r>
      <w:r>
        <w:t xml:space="preserve"> </w:t>
      </w:r>
      <w:r w:rsidR="009256AA">
        <w:t>the</w:t>
      </w:r>
      <w:r>
        <w:t xml:space="preserve"> differences. I am advised to </w:t>
      </w:r>
      <w:r w:rsidR="009256AA">
        <w:t>emphasize</w:t>
      </w:r>
      <w:r>
        <w:t xml:space="preserve"> the</w:t>
      </w:r>
      <w:r w:rsidR="00482539" w:rsidRPr="00482539">
        <w:rPr>
          <w:i/>
        </w:rPr>
        <w:t xml:space="preserve"> Business Zone </w:t>
      </w:r>
      <w:r w:rsidR="00551DE5">
        <w:t>judgement</w:t>
      </w:r>
      <w:r w:rsidR="00653D81">
        <w:t xml:space="preserve"> </w:t>
      </w:r>
      <w:r>
        <w:t>was tabled a</w:t>
      </w:r>
      <w:r w:rsidR="009256AA">
        <w:t>n</w:t>
      </w:r>
      <w:r>
        <w:t xml:space="preserve">d referred to extensively by both advocates </w:t>
      </w:r>
      <w:r w:rsidR="009256AA">
        <w:t>during argument at</w:t>
      </w:r>
      <w:r>
        <w:t xml:space="preserve"> hearing </w:t>
      </w:r>
      <w:r w:rsidR="009256AA">
        <w:t>before</w:t>
      </w:r>
      <w:r>
        <w:t xml:space="preserve"> the learned Judge and it is clear  that the Learned Judge </w:t>
      </w:r>
      <w:r w:rsidR="009256AA">
        <w:t>failed</w:t>
      </w:r>
      <w:r>
        <w:t xml:space="preserve"> to </w:t>
      </w:r>
      <w:r w:rsidR="009256AA">
        <w:t>properly</w:t>
      </w:r>
      <w:r>
        <w:t xml:space="preserve"> </w:t>
      </w:r>
      <w:r w:rsidR="009256AA">
        <w:t>understand</w:t>
      </w:r>
      <w:r>
        <w:t xml:space="preserve"> the </w:t>
      </w:r>
      <w:r w:rsidR="009256AA">
        <w:t>judgment</w:t>
      </w:r>
      <w:r>
        <w:t>.</w:t>
      </w:r>
    </w:p>
    <w:p w:rsidR="007D5BA4" w:rsidRDefault="007D5BA4" w:rsidP="007D5BA4">
      <w:pPr>
        <w:pStyle w:val="ListParagraph"/>
        <w:spacing w:after="0" w:line="480" w:lineRule="auto"/>
        <w:ind w:left="567"/>
        <w:jc w:val="both"/>
      </w:pPr>
    </w:p>
    <w:p w:rsidR="009A506F" w:rsidRDefault="00653D81" w:rsidP="002F35A4">
      <w:pPr>
        <w:pStyle w:val="ListParagraph"/>
        <w:numPr>
          <w:ilvl w:val="0"/>
          <w:numId w:val="1"/>
        </w:numPr>
        <w:spacing w:after="0" w:line="480" w:lineRule="auto"/>
        <w:ind w:hanging="567"/>
        <w:jc w:val="both"/>
      </w:pPr>
      <w:r>
        <w:t>The</w:t>
      </w:r>
      <w:r w:rsidR="007D5BA4">
        <w:t xml:space="preserve"> ruling at paragraph 14 (also in paragraph 17) of the </w:t>
      </w:r>
      <w:r>
        <w:t>Judgement</w:t>
      </w:r>
      <w:r w:rsidR="007D5BA4">
        <w:t xml:space="preserve"> that </w:t>
      </w:r>
      <w:r>
        <w:t>Applicant</w:t>
      </w:r>
      <w:r w:rsidR="007D5BA4">
        <w:t xml:space="preserve"> ought to </w:t>
      </w:r>
      <w:r>
        <w:t xml:space="preserve">have brought </w:t>
      </w:r>
      <w:r w:rsidR="007D5BA4">
        <w:t xml:space="preserve">an </w:t>
      </w:r>
      <w:r>
        <w:t xml:space="preserve">application in </w:t>
      </w:r>
      <w:r w:rsidR="007D5BA4">
        <w:t xml:space="preserve">terms of Section 6(1) of the </w:t>
      </w:r>
      <w:r>
        <w:t>Arbitration</w:t>
      </w:r>
      <w:r w:rsidR="007D5BA4">
        <w:t xml:space="preserve"> Act for a sta</w:t>
      </w:r>
      <w:r w:rsidR="00A44A51">
        <w:t xml:space="preserve">y, </w:t>
      </w:r>
      <w:r w:rsidR="007D5BA4">
        <w:t xml:space="preserve">as I have </w:t>
      </w:r>
      <w:r>
        <w:t>submitted already</w:t>
      </w:r>
      <w:r w:rsidR="00A44A51">
        <w:t>,</w:t>
      </w:r>
      <w:r>
        <w:t xml:space="preserve"> must be</w:t>
      </w:r>
      <w:r w:rsidR="007D5BA4">
        <w:t xml:space="preserve"> wrong and baseless in </w:t>
      </w:r>
      <w:r>
        <w:t>that</w:t>
      </w:r>
      <w:r w:rsidR="007D5BA4">
        <w:t xml:space="preserve"> Section 6 does not apply to </w:t>
      </w:r>
      <w:r>
        <w:t>Section</w:t>
      </w:r>
      <w:r w:rsidR="007D5BA4">
        <w:t xml:space="preserve"> 12B, but is moreover baseless in that Section 6 of the Arbitration Act cr</w:t>
      </w:r>
      <w:r w:rsidR="00A44A51">
        <w:t>e</w:t>
      </w:r>
      <w:r w:rsidR="007D5BA4">
        <w:t xml:space="preserve">ates a right – not a procedure. It was made perfectly </w:t>
      </w:r>
      <w:r>
        <w:t>clear</w:t>
      </w:r>
      <w:r w:rsidR="007D5BA4">
        <w:t xml:space="preserve"> in </w:t>
      </w:r>
      <w:r>
        <w:t>m</w:t>
      </w:r>
      <w:r w:rsidR="007D5BA4">
        <w:t>y opposing affidavit not merely that an application for a stay was ‘</w:t>
      </w:r>
      <w:r>
        <w:t>incorporated</w:t>
      </w:r>
      <w:r w:rsidR="007D5BA4">
        <w:t xml:space="preserve">’ [as </w:t>
      </w:r>
      <w:r>
        <w:t>suggested</w:t>
      </w:r>
      <w:r w:rsidR="007D5BA4">
        <w:t xml:space="preserve"> by paragraph 14 of </w:t>
      </w:r>
      <w:r>
        <w:t>the</w:t>
      </w:r>
      <w:r w:rsidR="007D5BA4">
        <w:t xml:space="preserve"> Judg</w:t>
      </w:r>
      <w:r>
        <w:t>e</w:t>
      </w:r>
      <w:r w:rsidR="007D5BA4">
        <w:t xml:space="preserve">ment] but that the </w:t>
      </w:r>
      <w:r>
        <w:t xml:space="preserve">assertion by me </w:t>
      </w:r>
      <w:r w:rsidR="007D5BA4">
        <w:t xml:space="preserve">of a right to a ‘stay’ was the paramount objection to the proceedings. In support of this, I attach </w:t>
      </w:r>
      <w:r>
        <w:t>hereto</w:t>
      </w:r>
      <w:r w:rsidR="007D5BA4">
        <w:t xml:space="preserve"> as </w:t>
      </w:r>
      <w:r w:rsidR="007D5BA4" w:rsidRPr="008C4EBE">
        <w:rPr>
          <w:b/>
        </w:rPr>
        <w:t xml:space="preserve">annexures </w:t>
      </w:r>
      <w:r w:rsidR="005D293A">
        <w:rPr>
          <w:b/>
        </w:rPr>
        <w:t>Q</w:t>
      </w:r>
      <w:r w:rsidR="008C4EBE">
        <w:t xml:space="preserve"> and </w:t>
      </w:r>
      <w:r w:rsidR="005D293A">
        <w:rPr>
          <w:b/>
        </w:rPr>
        <w:t>R</w:t>
      </w:r>
      <w:r w:rsidR="007D5BA4">
        <w:t xml:space="preserve"> two pages from my answering </w:t>
      </w:r>
      <w:r>
        <w:t>affidavit</w:t>
      </w:r>
      <w:r w:rsidR="007D5BA4">
        <w:t xml:space="preserve"> which followed immediately after submission as to the lack of urgency.</w:t>
      </w:r>
    </w:p>
    <w:p w:rsidR="009A506F" w:rsidRDefault="009A506F" w:rsidP="009A506F">
      <w:pPr>
        <w:pStyle w:val="ListParagraph"/>
        <w:spacing w:after="0" w:line="480" w:lineRule="auto"/>
        <w:ind w:left="567"/>
        <w:jc w:val="both"/>
      </w:pPr>
    </w:p>
    <w:p w:rsidR="009A506F" w:rsidRDefault="007D5BA4" w:rsidP="002F35A4">
      <w:pPr>
        <w:pStyle w:val="ListParagraph"/>
        <w:numPr>
          <w:ilvl w:val="0"/>
          <w:numId w:val="1"/>
        </w:numPr>
        <w:spacing w:after="0" w:line="480" w:lineRule="auto"/>
        <w:ind w:hanging="567"/>
        <w:jc w:val="both"/>
      </w:pPr>
      <w:r>
        <w:t>I</w:t>
      </w:r>
      <w:r w:rsidR="00653D81">
        <w:t>n</w:t>
      </w:r>
      <w:r>
        <w:t xml:space="preserve"> </w:t>
      </w:r>
      <w:r w:rsidR="00653D81">
        <w:t>paragraph</w:t>
      </w:r>
      <w:r>
        <w:t xml:space="preserve"> 16 of the </w:t>
      </w:r>
      <w:r w:rsidR="00653D81">
        <w:t>Judgment</w:t>
      </w:r>
      <w:r>
        <w:t xml:space="preserve"> the Learned judge is </w:t>
      </w:r>
      <w:r w:rsidR="00653D81">
        <w:t>seeking</w:t>
      </w:r>
      <w:r>
        <w:t xml:space="preserve"> to apply a discretion or power - as to why the dispute “should not be </w:t>
      </w:r>
      <w:r w:rsidR="00653D81">
        <w:t>referred</w:t>
      </w:r>
      <w:r>
        <w:t xml:space="preserve"> to arbitration” </w:t>
      </w:r>
      <w:r w:rsidR="001D2961">
        <w:t>- that</w:t>
      </w:r>
      <w:r>
        <w:t xml:space="preserve"> the court, legally, did not have. I am advised to </w:t>
      </w:r>
      <w:r w:rsidR="00653D81">
        <w:t>submit</w:t>
      </w:r>
      <w:r>
        <w:t xml:space="preserve"> that this is more than just a </w:t>
      </w:r>
      <w:r w:rsidR="00653D81">
        <w:t>legal</w:t>
      </w:r>
      <w:r>
        <w:t xml:space="preserve"> error – it is an </w:t>
      </w:r>
      <w:r w:rsidR="00653D81">
        <w:t>unconstitutional</w:t>
      </w:r>
      <w:r>
        <w:t xml:space="preserve"> (ultra vires) adoption by the High Court of a power that does not exist or</w:t>
      </w:r>
      <w:r w:rsidR="00653D81">
        <w:t xml:space="preserve"> which</w:t>
      </w:r>
      <w:r>
        <w:t xml:space="preserve"> is clearly precluded.</w:t>
      </w:r>
    </w:p>
    <w:p w:rsidR="007D5BA4" w:rsidRDefault="007D5BA4" w:rsidP="007D5BA4">
      <w:pPr>
        <w:pStyle w:val="ListParagraph"/>
      </w:pPr>
    </w:p>
    <w:p w:rsidR="009256AA" w:rsidRDefault="007D5BA4" w:rsidP="002F35A4">
      <w:pPr>
        <w:pStyle w:val="ListParagraph"/>
        <w:numPr>
          <w:ilvl w:val="0"/>
          <w:numId w:val="1"/>
        </w:numPr>
        <w:spacing w:after="0" w:line="480" w:lineRule="auto"/>
        <w:ind w:hanging="567"/>
        <w:jc w:val="both"/>
      </w:pPr>
      <w:r>
        <w:t xml:space="preserve">In </w:t>
      </w:r>
      <w:r w:rsidR="00653D81">
        <w:t>paragraph</w:t>
      </w:r>
      <w:r>
        <w:t xml:space="preserve"> 18</w:t>
      </w:r>
      <w:r w:rsidR="00A44A51">
        <w:t>,</w:t>
      </w:r>
      <w:r>
        <w:t xml:space="preserve"> </w:t>
      </w:r>
      <w:r w:rsidR="00653D81">
        <w:t xml:space="preserve">and following </w:t>
      </w:r>
      <w:r>
        <w:t xml:space="preserve">of the </w:t>
      </w:r>
      <w:r w:rsidR="00653D81">
        <w:t>Judgement</w:t>
      </w:r>
      <w:r w:rsidR="00A44A51">
        <w:t>,</w:t>
      </w:r>
      <w:r>
        <w:t xml:space="preserve"> the Learned Judge </w:t>
      </w:r>
      <w:r w:rsidR="00653D81">
        <w:t>begins an</w:t>
      </w:r>
      <w:r>
        <w:t xml:space="preserve"> assessment of the ‘merits’ or ‘demerits’ of my </w:t>
      </w:r>
      <w:r w:rsidR="00653D81">
        <w:t>claim</w:t>
      </w:r>
      <w:r>
        <w:t xml:space="preserve"> to an unreasonable practice which, also, I am </w:t>
      </w:r>
      <w:r w:rsidR="00653D81">
        <w:t>advised</w:t>
      </w:r>
      <w:r>
        <w:t xml:space="preserve"> , was not </w:t>
      </w:r>
      <w:r w:rsidR="00A44A51">
        <w:t xml:space="preserve">a </w:t>
      </w:r>
      <w:r>
        <w:t xml:space="preserve">matter falling into the </w:t>
      </w:r>
      <w:r w:rsidR="00653D81">
        <w:t>Court’s</w:t>
      </w:r>
      <w:r>
        <w:t xml:space="preserve"> jurisdiction but solely </w:t>
      </w:r>
      <w:r w:rsidR="00653D81">
        <w:t xml:space="preserve">(at that juncture) </w:t>
      </w:r>
      <w:r>
        <w:t xml:space="preserve">a matter for the </w:t>
      </w:r>
      <w:r w:rsidR="00653D81">
        <w:t>Controller</w:t>
      </w:r>
      <w:r>
        <w:t xml:space="preserve"> to decide to refer to arbitration. Clearly, the </w:t>
      </w:r>
      <w:r w:rsidR="00653D81">
        <w:t>judgement</w:t>
      </w:r>
      <w:r>
        <w:t xml:space="preserve"> fails to </w:t>
      </w:r>
      <w:r w:rsidR="00653D81">
        <w:t>understand</w:t>
      </w:r>
      <w:r>
        <w:t xml:space="preserve"> </w:t>
      </w:r>
      <w:r w:rsidR="00653D81">
        <w:t>t</w:t>
      </w:r>
      <w:r>
        <w:t xml:space="preserve">he nature </w:t>
      </w:r>
      <w:r w:rsidR="00653D81">
        <w:t>and</w:t>
      </w:r>
      <w:r>
        <w:t xml:space="preserve"> content of what is a “</w:t>
      </w:r>
      <w:r w:rsidR="00653D81">
        <w:t>contractual</w:t>
      </w:r>
      <w:r>
        <w:t xml:space="preserve"> </w:t>
      </w:r>
      <w:r w:rsidR="00653D81">
        <w:t>practice</w:t>
      </w:r>
      <w:r>
        <w:t xml:space="preserve">” as defined and explained by </w:t>
      </w:r>
      <w:r w:rsidR="00653D81">
        <w:t>the</w:t>
      </w:r>
      <w:r w:rsidR="00482539" w:rsidRPr="00482539">
        <w:rPr>
          <w:i/>
        </w:rPr>
        <w:t xml:space="preserve"> Business Zone </w:t>
      </w:r>
      <w:r>
        <w:t>judgem</w:t>
      </w:r>
      <w:r w:rsidR="00653D81">
        <w:t>e</w:t>
      </w:r>
      <w:r>
        <w:t>nt</w:t>
      </w:r>
      <w:r w:rsidR="00653D81">
        <w:t xml:space="preserve"> </w:t>
      </w:r>
      <w:r>
        <w:t xml:space="preserve">of </w:t>
      </w:r>
      <w:r w:rsidR="00653D81">
        <w:t>the</w:t>
      </w:r>
      <w:r>
        <w:t xml:space="preserve"> Constitutional Court.</w:t>
      </w:r>
      <w:r w:rsidR="00653D81">
        <w:t xml:space="preserve"> I am advised to submit that the Learned Judge’s approach here is more in line with that of the SCA’s</w:t>
      </w:r>
      <w:r w:rsidR="00482539" w:rsidRPr="00482539">
        <w:rPr>
          <w:i/>
        </w:rPr>
        <w:t xml:space="preserve"> Business Zone </w:t>
      </w:r>
      <w:r w:rsidR="00653D81">
        <w:t>judgement which was rejected by the Constitutional Court.</w:t>
      </w:r>
    </w:p>
    <w:p w:rsidR="009256AA" w:rsidRDefault="009256AA" w:rsidP="009256AA">
      <w:pPr>
        <w:pStyle w:val="ListParagraph"/>
      </w:pPr>
    </w:p>
    <w:p w:rsidR="007D5BA4" w:rsidRDefault="00653D81" w:rsidP="002F35A4">
      <w:pPr>
        <w:pStyle w:val="ListParagraph"/>
        <w:numPr>
          <w:ilvl w:val="0"/>
          <w:numId w:val="1"/>
        </w:numPr>
        <w:spacing w:after="0" w:line="480" w:lineRule="auto"/>
        <w:ind w:hanging="567"/>
        <w:jc w:val="both"/>
      </w:pPr>
      <w:r>
        <w:t>Moreover</w:t>
      </w:r>
      <w:r w:rsidR="007D5BA4">
        <w:t xml:space="preserve">, my </w:t>
      </w:r>
      <w:r>
        <w:t>attorney</w:t>
      </w:r>
      <w:r w:rsidR="007D5BA4">
        <w:t xml:space="preserve"> </w:t>
      </w:r>
      <w:r>
        <w:t>filed</w:t>
      </w:r>
      <w:r w:rsidR="007D5BA4">
        <w:t xml:space="preserve"> </w:t>
      </w:r>
      <w:r w:rsidR="00A44A51">
        <w:t xml:space="preserve">a </w:t>
      </w:r>
      <w:r w:rsidR="007D5BA4">
        <w:t xml:space="preserve">supporting </w:t>
      </w:r>
      <w:r>
        <w:t>affidavit</w:t>
      </w:r>
      <w:r w:rsidR="007D5BA4">
        <w:t xml:space="preserve"> from a </w:t>
      </w:r>
      <w:r>
        <w:t>retired</w:t>
      </w:r>
      <w:r w:rsidR="007D5BA4">
        <w:t xml:space="preserve"> employee of Chevron South Africa (Pty) Ltd (‘Chevron’) one Bernadette Anne Marais, who was employed by Chevron as a ‘</w:t>
      </w:r>
      <w:r>
        <w:t>trainer’</w:t>
      </w:r>
      <w:r w:rsidR="007D5BA4">
        <w:t>’ for retailers in their qualifying cou</w:t>
      </w:r>
      <w:r w:rsidR="00A44A51">
        <w:t xml:space="preserve">rses in the period 2001 to 2017. In it </w:t>
      </w:r>
      <w:r w:rsidR="007D5BA4">
        <w:t xml:space="preserve">she was explained that Chevron never, as a  standard </w:t>
      </w:r>
      <w:r>
        <w:t>practice</w:t>
      </w:r>
      <w:r w:rsidR="007D5BA4">
        <w:t xml:space="preserve"> and custom, </w:t>
      </w:r>
      <w:r>
        <w:t>refused to</w:t>
      </w:r>
      <w:r w:rsidR="007D5BA4">
        <w:t xml:space="preserve"> </w:t>
      </w:r>
      <w:r>
        <w:t>renew</w:t>
      </w:r>
      <w:r w:rsidR="007D5BA4">
        <w:t xml:space="preserve"> franchise </w:t>
      </w:r>
      <w:r w:rsidR="004A39C6">
        <w:t>agreements</w:t>
      </w:r>
      <w:r w:rsidR="007D5BA4">
        <w:t xml:space="preserve"> with franchisees who were not in default of their </w:t>
      </w:r>
      <w:r w:rsidR="004A39C6">
        <w:t>obligations</w:t>
      </w:r>
      <w:r w:rsidR="007D5BA4">
        <w:t xml:space="preserve">. </w:t>
      </w:r>
      <w:r>
        <w:t xml:space="preserve">I assert that in fact it is on the back of ‘permanent’ retailers that </w:t>
      </w:r>
      <w:r w:rsidR="00551DE5" w:rsidRPr="00551DE5">
        <w:rPr>
          <w:b/>
        </w:rPr>
        <w:t xml:space="preserve">Caltex </w:t>
      </w:r>
      <w:r>
        <w:t>(and all other oil companies) sought to build brand existence and brand competition and that this is one of the factors why I chose to become involved in the business.</w:t>
      </w:r>
    </w:p>
    <w:p w:rsidR="000A7928" w:rsidRDefault="000A7928" w:rsidP="000A7928"/>
    <w:p w:rsidR="007D5BA4" w:rsidRPr="000A7928" w:rsidRDefault="000A7928" w:rsidP="000A7928">
      <w:pPr>
        <w:rPr>
          <w:u w:val="single"/>
        </w:rPr>
      </w:pPr>
      <w:r w:rsidRPr="000A7928">
        <w:rPr>
          <w:u w:val="single"/>
        </w:rPr>
        <w:t>The Need for Evidence</w:t>
      </w:r>
    </w:p>
    <w:p w:rsidR="000A7928" w:rsidRDefault="000A7928" w:rsidP="000A7928"/>
    <w:p w:rsidR="000A7928" w:rsidRDefault="007D5BA4" w:rsidP="006F3996">
      <w:pPr>
        <w:pStyle w:val="ListParagraph"/>
        <w:numPr>
          <w:ilvl w:val="0"/>
          <w:numId w:val="1"/>
        </w:numPr>
        <w:spacing w:after="0" w:line="480" w:lineRule="auto"/>
        <w:ind w:hanging="567"/>
        <w:jc w:val="both"/>
      </w:pPr>
      <w:r>
        <w:t xml:space="preserve">In so far </w:t>
      </w:r>
      <w:r w:rsidR="001613E7">
        <w:t>as the Learned Judge entered in</w:t>
      </w:r>
      <w:r>
        <w:t>to the ‘merits</w:t>
      </w:r>
      <w:r w:rsidR="004A39C6">
        <w:t xml:space="preserve">’ of my </w:t>
      </w:r>
      <w:r w:rsidR="00653D81">
        <w:t>claim</w:t>
      </w:r>
      <w:r w:rsidR="004A39C6">
        <w:t xml:space="preserve"> to an unfair practice, the Leaned Judge fail</w:t>
      </w:r>
      <w:r w:rsidR="000A7928">
        <w:t xml:space="preserve">ed to appreciate that to do so by looking only at affidavits that were tendered to explain </w:t>
      </w:r>
      <w:r w:rsidR="001613E7">
        <w:t xml:space="preserve">my complaint </w:t>
      </w:r>
      <w:r w:rsidR="000A7928">
        <w:t>– as opposed to proving</w:t>
      </w:r>
      <w:r w:rsidR="001613E7">
        <w:t xml:space="preserve"> it</w:t>
      </w:r>
      <w:r w:rsidR="000A7928">
        <w:t xml:space="preserve"> at a properly constituted trial with witnesses and cross examination – is, I respectfully submit improper and injudicious</w:t>
      </w:r>
      <w:r w:rsidR="00A44A51">
        <w:t>.</w:t>
      </w:r>
    </w:p>
    <w:p w:rsidR="000A7928" w:rsidRDefault="000A7928" w:rsidP="000A7928">
      <w:pPr>
        <w:pStyle w:val="ListParagraph"/>
      </w:pPr>
    </w:p>
    <w:p w:rsidR="000A7928" w:rsidRDefault="000A7928" w:rsidP="000A7928">
      <w:pPr>
        <w:pStyle w:val="ListParagraph"/>
        <w:numPr>
          <w:ilvl w:val="0"/>
          <w:numId w:val="1"/>
        </w:numPr>
        <w:spacing w:after="0" w:line="480" w:lineRule="auto"/>
        <w:ind w:hanging="567"/>
        <w:jc w:val="both"/>
      </w:pPr>
      <w:r>
        <w:t>The matter of whethe</w:t>
      </w:r>
      <w:r w:rsidR="001613E7">
        <w:t>r it is unfair in a given case for</w:t>
      </w:r>
      <w:r>
        <w:t xml:space="preserve"> an oil company to refuse to renew a franchise agreement with the existing operator</w:t>
      </w:r>
      <w:r w:rsidR="001613E7">
        <w:t>,</w:t>
      </w:r>
      <w:r>
        <w:t xml:space="preserve"> who has a proved positive track record and success at a site</w:t>
      </w:r>
      <w:r w:rsidR="001613E7">
        <w:t>,</w:t>
      </w:r>
      <w:r>
        <w:t xml:space="preserve"> for the sake of giving the franchise to someone else requires a considerable amount of </w:t>
      </w:r>
      <w:r w:rsidRPr="000A7928">
        <w:rPr>
          <w:i/>
        </w:rPr>
        <w:t>viva voce</w:t>
      </w:r>
      <w:r>
        <w:t xml:space="preserve"> evidence on a number of fronts especially in that the reasons and bases of any ‘award’ – just like a</w:t>
      </w:r>
      <w:r w:rsidR="005752DD">
        <w:t>n</w:t>
      </w:r>
      <w:r>
        <w:t xml:space="preserve">y judgment of any Court </w:t>
      </w:r>
      <w:r w:rsidR="005752DD">
        <w:t xml:space="preserve">or Tribunal– have to be just and justified and reasoned. The justifications and reasons that must underlie ay arbitral award </w:t>
      </w:r>
      <w:r>
        <w:t>can be reviewed as well as assessed for acceptability by the High</w:t>
      </w:r>
      <w:r w:rsidR="005752DD">
        <w:t xml:space="preserve"> Court in terms of Section 31 or</w:t>
      </w:r>
      <w:r>
        <w:t xml:space="preserve"> 33 of the Arbitration Act.</w:t>
      </w:r>
    </w:p>
    <w:p w:rsidR="000A7928" w:rsidRPr="000A7928" w:rsidRDefault="000A7928" w:rsidP="000A7928">
      <w:pPr>
        <w:pStyle w:val="ListParagraph"/>
        <w:rPr>
          <w:rFonts w:cs="Arial"/>
          <w:szCs w:val="24"/>
        </w:rPr>
      </w:pPr>
    </w:p>
    <w:p w:rsidR="000A7928" w:rsidRPr="000A7928" w:rsidRDefault="000A7928" w:rsidP="000A7928">
      <w:pPr>
        <w:pStyle w:val="ListParagraph"/>
        <w:numPr>
          <w:ilvl w:val="0"/>
          <w:numId w:val="1"/>
        </w:numPr>
        <w:spacing w:after="0" w:line="480" w:lineRule="auto"/>
        <w:ind w:hanging="567"/>
        <w:jc w:val="both"/>
      </w:pPr>
      <w:r w:rsidRPr="000A7928">
        <w:rPr>
          <w:rFonts w:cs="Arial"/>
          <w:szCs w:val="24"/>
        </w:rPr>
        <w:t xml:space="preserve">The first key and elemental </w:t>
      </w:r>
      <w:r>
        <w:rPr>
          <w:rFonts w:cs="Arial"/>
          <w:szCs w:val="24"/>
        </w:rPr>
        <w:t>issue</w:t>
      </w:r>
      <w:r w:rsidRPr="000A7928">
        <w:rPr>
          <w:rFonts w:cs="Arial"/>
          <w:szCs w:val="24"/>
        </w:rPr>
        <w:t xml:space="preserve"> </w:t>
      </w:r>
      <w:r w:rsidR="005752DD">
        <w:rPr>
          <w:rFonts w:cs="Arial"/>
          <w:szCs w:val="24"/>
        </w:rPr>
        <w:t xml:space="preserve">in a 12B arbitration </w:t>
      </w:r>
      <w:r w:rsidRPr="000A7928">
        <w:rPr>
          <w:rFonts w:cs="Arial"/>
          <w:szCs w:val="24"/>
        </w:rPr>
        <w:t xml:space="preserve">is </w:t>
      </w:r>
      <w:r>
        <w:rPr>
          <w:rFonts w:cs="Arial"/>
          <w:szCs w:val="24"/>
        </w:rPr>
        <w:t>that</w:t>
      </w:r>
      <w:r w:rsidRPr="000A7928">
        <w:rPr>
          <w:rFonts w:cs="Arial"/>
          <w:szCs w:val="24"/>
        </w:rPr>
        <w:t xml:space="preserve"> the ‘practice’ </w:t>
      </w:r>
      <w:r>
        <w:rPr>
          <w:rFonts w:cs="Arial"/>
          <w:szCs w:val="24"/>
        </w:rPr>
        <w:t>that is being ‘corrected’ has to be properly identified.</w:t>
      </w:r>
    </w:p>
    <w:p w:rsidR="000A7928" w:rsidRDefault="000A7928" w:rsidP="000A7928">
      <w:pPr>
        <w:pStyle w:val="ListParagraph"/>
      </w:pPr>
    </w:p>
    <w:p w:rsidR="000A7928" w:rsidRDefault="000A7928" w:rsidP="000A7928">
      <w:pPr>
        <w:pStyle w:val="ListParagraph"/>
        <w:numPr>
          <w:ilvl w:val="0"/>
          <w:numId w:val="1"/>
        </w:numPr>
        <w:spacing w:after="0" w:line="480" w:lineRule="auto"/>
        <w:ind w:hanging="567"/>
        <w:jc w:val="both"/>
      </w:pPr>
      <w:r>
        <w:t xml:space="preserve">Evidence has to </w:t>
      </w:r>
      <w:r w:rsidR="005752DD">
        <w:t xml:space="preserve">then </w:t>
      </w:r>
      <w:r>
        <w:t xml:space="preserve">be given as to why such a practice must be held to be unfair and unreasonable. This must involve an investigation into the circumstances surrounding and making up the business relationship between the parties. </w:t>
      </w:r>
    </w:p>
    <w:p w:rsidR="000A7928" w:rsidRDefault="000A7928" w:rsidP="000A7928">
      <w:pPr>
        <w:pStyle w:val="ListParagraph"/>
      </w:pPr>
    </w:p>
    <w:p w:rsidR="000A7928" w:rsidRDefault="000A7928" w:rsidP="000A7928">
      <w:pPr>
        <w:pStyle w:val="ListParagraph"/>
        <w:numPr>
          <w:ilvl w:val="0"/>
          <w:numId w:val="1"/>
        </w:numPr>
        <w:spacing w:after="0" w:line="480" w:lineRule="auto"/>
        <w:ind w:hanging="567"/>
        <w:jc w:val="both"/>
      </w:pPr>
      <w:r>
        <w:t>The interests of the local community</w:t>
      </w:r>
      <w:r w:rsidR="005752DD">
        <w:t xml:space="preserve"> may</w:t>
      </w:r>
      <w:r>
        <w:t xml:space="preserve"> have to be looked at because it is in terms of these interests that the Retail licence is given under the PPA and this might include an investigation into the abilities and track record of the proposed ‘new’ retailer.</w:t>
      </w:r>
    </w:p>
    <w:p w:rsidR="000A7928" w:rsidRDefault="000A7928" w:rsidP="000A7928">
      <w:pPr>
        <w:pStyle w:val="ListParagraph"/>
      </w:pPr>
    </w:p>
    <w:p w:rsidR="000A7928" w:rsidRPr="000A7928" w:rsidRDefault="000A7928" w:rsidP="000A7928">
      <w:pPr>
        <w:pStyle w:val="ListParagraph"/>
        <w:numPr>
          <w:ilvl w:val="0"/>
          <w:numId w:val="1"/>
        </w:numPr>
        <w:spacing w:after="0" w:line="480" w:lineRule="auto"/>
        <w:ind w:hanging="567"/>
        <w:jc w:val="both"/>
      </w:pPr>
      <w:r w:rsidRPr="000A7928">
        <w:rPr>
          <w:rFonts w:cs="Arial"/>
          <w:szCs w:val="24"/>
        </w:rPr>
        <w:t xml:space="preserve">Evidence as to how </w:t>
      </w:r>
      <w:r w:rsidRPr="000A7928">
        <w:rPr>
          <w:rFonts w:cs="Arial"/>
          <w:b/>
          <w:szCs w:val="24"/>
        </w:rPr>
        <w:t>Caltex</w:t>
      </w:r>
      <w:r w:rsidR="001613E7">
        <w:rPr>
          <w:rFonts w:cs="Arial"/>
          <w:b/>
          <w:szCs w:val="24"/>
        </w:rPr>
        <w:t xml:space="preserve"> </w:t>
      </w:r>
      <w:r w:rsidR="001613E7" w:rsidRPr="001613E7">
        <w:rPr>
          <w:rFonts w:cs="Arial"/>
          <w:szCs w:val="24"/>
        </w:rPr>
        <w:t>itself</w:t>
      </w:r>
      <w:r w:rsidRPr="000A7928">
        <w:rPr>
          <w:rFonts w:cs="Arial"/>
          <w:szCs w:val="24"/>
        </w:rPr>
        <w:t xml:space="preserve"> has treated franchise renewals historically across t</w:t>
      </w:r>
      <w:r>
        <w:rPr>
          <w:rFonts w:cs="Arial"/>
          <w:szCs w:val="24"/>
        </w:rPr>
        <w:t>he brand (of some 500 stations</w:t>
      </w:r>
      <w:r w:rsidR="001613E7">
        <w:rPr>
          <w:rFonts w:cs="Arial"/>
          <w:szCs w:val="24"/>
        </w:rPr>
        <w:t xml:space="preserve"> which it has retained, having disposed of some 400 other stations to branded markets)</w:t>
      </w:r>
      <w:r>
        <w:rPr>
          <w:rFonts w:cs="Arial"/>
          <w:szCs w:val="24"/>
        </w:rPr>
        <w:t xml:space="preserve"> would not be irrelevant.</w:t>
      </w:r>
    </w:p>
    <w:p w:rsidR="000A7928" w:rsidRPr="000A7928" w:rsidRDefault="000A7928" w:rsidP="000A7928">
      <w:pPr>
        <w:pStyle w:val="ListParagraph"/>
        <w:rPr>
          <w:rFonts w:cs="Arial"/>
          <w:szCs w:val="24"/>
        </w:rPr>
      </w:pPr>
    </w:p>
    <w:p w:rsidR="000A7928" w:rsidRPr="000A7928" w:rsidRDefault="000A7928" w:rsidP="000A7928">
      <w:pPr>
        <w:pStyle w:val="ListParagraph"/>
        <w:numPr>
          <w:ilvl w:val="0"/>
          <w:numId w:val="1"/>
        </w:numPr>
        <w:spacing w:after="0" w:line="480" w:lineRule="auto"/>
        <w:ind w:hanging="567"/>
        <w:jc w:val="both"/>
      </w:pPr>
      <w:r w:rsidRPr="000A7928">
        <w:rPr>
          <w:rFonts w:cs="Arial"/>
          <w:szCs w:val="24"/>
        </w:rPr>
        <w:t>There is room for the</w:t>
      </w:r>
      <w:r>
        <w:rPr>
          <w:rFonts w:cs="Arial"/>
          <w:szCs w:val="24"/>
        </w:rPr>
        <w:t xml:space="preserve"> </w:t>
      </w:r>
      <w:r w:rsidRPr="000A7928">
        <w:rPr>
          <w:rFonts w:cs="Arial"/>
          <w:szCs w:val="24"/>
        </w:rPr>
        <w:t>introduction of Legitimate Expectation into the fairness standard of 12B and historical facts</w:t>
      </w:r>
      <w:r w:rsidR="005752DD">
        <w:rPr>
          <w:rFonts w:cs="Arial"/>
          <w:szCs w:val="24"/>
        </w:rPr>
        <w:t xml:space="preserve">, both topical as well </w:t>
      </w:r>
      <w:r>
        <w:rPr>
          <w:rFonts w:cs="Arial"/>
          <w:szCs w:val="24"/>
        </w:rPr>
        <w:t>as general,</w:t>
      </w:r>
      <w:r w:rsidRPr="000A7928">
        <w:rPr>
          <w:rFonts w:cs="Arial"/>
          <w:szCs w:val="24"/>
        </w:rPr>
        <w:t xml:space="preserve"> </w:t>
      </w:r>
      <w:r>
        <w:rPr>
          <w:rFonts w:cs="Arial"/>
          <w:szCs w:val="24"/>
        </w:rPr>
        <w:t>will inform this.</w:t>
      </w:r>
    </w:p>
    <w:p w:rsidR="000A7928" w:rsidRPr="000A7928" w:rsidRDefault="000A7928" w:rsidP="000A7928">
      <w:pPr>
        <w:pStyle w:val="ListParagraph"/>
        <w:rPr>
          <w:rFonts w:cs="Arial"/>
          <w:szCs w:val="24"/>
        </w:rPr>
      </w:pPr>
    </w:p>
    <w:p w:rsidR="000A7928" w:rsidRPr="000A7928" w:rsidRDefault="000A7928" w:rsidP="000A7928">
      <w:pPr>
        <w:pStyle w:val="ListParagraph"/>
        <w:numPr>
          <w:ilvl w:val="0"/>
          <w:numId w:val="1"/>
        </w:numPr>
        <w:spacing w:after="0" w:line="480" w:lineRule="auto"/>
        <w:ind w:hanging="567"/>
        <w:jc w:val="both"/>
      </w:pPr>
      <w:r w:rsidRPr="000A7928">
        <w:rPr>
          <w:rFonts w:cs="Arial"/>
          <w:szCs w:val="24"/>
        </w:rPr>
        <w:t xml:space="preserve">Evidence as to how </w:t>
      </w:r>
      <w:r w:rsidR="001613E7">
        <w:rPr>
          <w:rFonts w:cs="Arial"/>
          <w:szCs w:val="24"/>
        </w:rPr>
        <w:t>the Respondent</w:t>
      </w:r>
      <w:r w:rsidRPr="000A7928">
        <w:rPr>
          <w:rFonts w:cs="Arial"/>
          <w:szCs w:val="24"/>
        </w:rPr>
        <w:t xml:space="preserve"> is treating renewals</w:t>
      </w:r>
      <w:r w:rsidR="001613E7">
        <w:rPr>
          <w:rFonts w:cs="Arial"/>
          <w:szCs w:val="24"/>
        </w:rPr>
        <w:t>,</w:t>
      </w:r>
      <w:r w:rsidRPr="000A7928">
        <w:rPr>
          <w:rFonts w:cs="Arial"/>
          <w:szCs w:val="24"/>
        </w:rPr>
        <w:t xml:space="preserve"> at the </w:t>
      </w:r>
      <w:r>
        <w:rPr>
          <w:rFonts w:cs="Arial"/>
          <w:szCs w:val="24"/>
        </w:rPr>
        <w:t>moment</w:t>
      </w:r>
      <w:r w:rsidRPr="000A7928">
        <w:rPr>
          <w:rFonts w:cs="Arial"/>
          <w:szCs w:val="24"/>
        </w:rPr>
        <w:t xml:space="preserve"> in its domain as only on</w:t>
      </w:r>
      <w:r>
        <w:rPr>
          <w:rFonts w:cs="Arial"/>
          <w:szCs w:val="24"/>
        </w:rPr>
        <w:t xml:space="preserve">e of </w:t>
      </w:r>
      <w:r w:rsidRPr="000A7928">
        <w:rPr>
          <w:rFonts w:cs="Arial"/>
          <w:b/>
          <w:szCs w:val="24"/>
        </w:rPr>
        <w:t>Caltex’s</w:t>
      </w:r>
      <w:r>
        <w:rPr>
          <w:rFonts w:cs="Arial"/>
          <w:szCs w:val="24"/>
        </w:rPr>
        <w:t xml:space="preserve"> branded marketers</w:t>
      </w:r>
      <w:r w:rsidR="001613E7">
        <w:rPr>
          <w:rFonts w:cs="Arial"/>
          <w:szCs w:val="24"/>
        </w:rPr>
        <w:t>,</w:t>
      </w:r>
      <w:r>
        <w:rPr>
          <w:rFonts w:cs="Arial"/>
          <w:szCs w:val="24"/>
        </w:rPr>
        <w:t xml:space="preserve"> is also not irrelevant. </w:t>
      </w:r>
      <w:r w:rsidRPr="000A7928">
        <w:rPr>
          <w:rFonts w:cs="Arial"/>
          <w:szCs w:val="24"/>
        </w:rPr>
        <w:t xml:space="preserve">Evidence as to how renewals are being treated with </w:t>
      </w:r>
      <w:r w:rsidRPr="000A7928">
        <w:rPr>
          <w:rFonts w:cs="Arial"/>
          <w:b/>
          <w:szCs w:val="24"/>
        </w:rPr>
        <w:t>Caltex</w:t>
      </w:r>
      <w:r w:rsidRPr="000A7928">
        <w:rPr>
          <w:rFonts w:cs="Arial"/>
          <w:szCs w:val="24"/>
        </w:rPr>
        <w:t xml:space="preserve"> dealers nation-wide is </w:t>
      </w:r>
      <w:r>
        <w:rPr>
          <w:rFonts w:cs="Arial"/>
          <w:szCs w:val="24"/>
        </w:rPr>
        <w:t xml:space="preserve">pertinent. </w:t>
      </w:r>
      <w:r w:rsidRPr="000A7928">
        <w:rPr>
          <w:rFonts w:cs="Arial"/>
          <w:szCs w:val="24"/>
        </w:rPr>
        <w:t>Evidence as to how other oil companies are dealing with renewals may also be compellable.</w:t>
      </w:r>
    </w:p>
    <w:p w:rsidR="000A7928" w:rsidRPr="000A7928" w:rsidRDefault="000A7928" w:rsidP="000A7928">
      <w:pPr>
        <w:pStyle w:val="ListParagraph"/>
        <w:rPr>
          <w:rFonts w:cs="Arial"/>
          <w:szCs w:val="24"/>
        </w:rPr>
      </w:pPr>
    </w:p>
    <w:p w:rsidR="000A7928" w:rsidRPr="000A7928" w:rsidRDefault="000A7928" w:rsidP="000A7928">
      <w:pPr>
        <w:pStyle w:val="ListParagraph"/>
        <w:numPr>
          <w:ilvl w:val="0"/>
          <w:numId w:val="1"/>
        </w:numPr>
        <w:spacing w:after="0" w:line="480" w:lineRule="auto"/>
        <w:ind w:hanging="567"/>
        <w:jc w:val="both"/>
      </w:pPr>
      <w:r>
        <w:rPr>
          <w:rFonts w:cs="Arial"/>
          <w:szCs w:val="24"/>
        </w:rPr>
        <w:t>The matter of correction is also not a matter that can be dealt with philosophically and is a matter that has to informed and defined on the basis of factual evidence as it may also involve monetary compensation. For instance, it was explained in my answering affidavit with reference to a supporting affidavit</w:t>
      </w:r>
      <w:r w:rsidR="001613E7">
        <w:rPr>
          <w:rFonts w:cs="Arial"/>
          <w:szCs w:val="24"/>
        </w:rPr>
        <w:t xml:space="preserve">, from a well-established broker, </w:t>
      </w:r>
      <w:r>
        <w:rPr>
          <w:rFonts w:cs="Arial"/>
          <w:szCs w:val="24"/>
        </w:rPr>
        <w:t>that even in cases where oil companies have refused to renew a franchise agreement because of, say, a lack of performance by the incumbent operator</w:t>
      </w:r>
      <w:r w:rsidR="001613E7">
        <w:rPr>
          <w:rFonts w:cs="Arial"/>
          <w:szCs w:val="24"/>
        </w:rPr>
        <w:t>,</w:t>
      </w:r>
      <w:r>
        <w:rPr>
          <w:rFonts w:cs="Arial"/>
          <w:szCs w:val="24"/>
        </w:rPr>
        <w:t xml:space="preserve"> the practice of all oil companies was to allow the operator to sell the business to another candidate. Reasons as to why this cannot be done are clearly justiciable in a12B enquiry or trial. </w:t>
      </w:r>
    </w:p>
    <w:p w:rsidR="000A7928" w:rsidRPr="000A7928" w:rsidRDefault="000A7928" w:rsidP="000A7928">
      <w:pPr>
        <w:pStyle w:val="ListParagraph"/>
        <w:rPr>
          <w:rFonts w:cs="Arial"/>
          <w:szCs w:val="24"/>
        </w:rPr>
      </w:pPr>
    </w:p>
    <w:p w:rsidR="000A7928" w:rsidRPr="000A7928" w:rsidRDefault="000A7928" w:rsidP="000A7928">
      <w:pPr>
        <w:pStyle w:val="ListParagraph"/>
        <w:numPr>
          <w:ilvl w:val="0"/>
          <w:numId w:val="1"/>
        </w:numPr>
        <w:spacing w:after="0" w:line="480" w:lineRule="auto"/>
        <w:ind w:hanging="567"/>
        <w:jc w:val="both"/>
      </w:pPr>
      <w:r>
        <w:rPr>
          <w:rFonts w:cs="Arial"/>
          <w:szCs w:val="24"/>
        </w:rPr>
        <w:t xml:space="preserve">It is not beyond the pale of reality that the Respondent may be using its power for the purpose of profiteering </w:t>
      </w:r>
      <w:r w:rsidR="005752DD">
        <w:rPr>
          <w:rFonts w:cs="Arial"/>
          <w:szCs w:val="24"/>
        </w:rPr>
        <w:t>s</w:t>
      </w:r>
      <w:r>
        <w:rPr>
          <w:rFonts w:cs="Arial"/>
          <w:szCs w:val="24"/>
        </w:rPr>
        <w:t>o as to be able to sell the site for ‘key money’ to anot</w:t>
      </w:r>
      <w:r w:rsidR="001613E7">
        <w:rPr>
          <w:rFonts w:cs="Arial"/>
          <w:szCs w:val="24"/>
        </w:rPr>
        <w:t>her operator and thus pocketing</w:t>
      </w:r>
      <w:r>
        <w:rPr>
          <w:rFonts w:cs="Arial"/>
          <w:szCs w:val="24"/>
        </w:rPr>
        <w:t xml:space="preserve"> goodwill that the exiting operator</w:t>
      </w:r>
      <w:r w:rsidR="001613E7">
        <w:rPr>
          <w:rFonts w:cs="Arial"/>
          <w:szCs w:val="24"/>
        </w:rPr>
        <w:t>, lime myself,</w:t>
      </w:r>
      <w:r>
        <w:rPr>
          <w:rFonts w:cs="Arial"/>
          <w:szCs w:val="24"/>
        </w:rPr>
        <w:t xml:space="preserve"> had spent a lifetime to create for the site. I humbly submit that matter</w:t>
      </w:r>
      <w:r w:rsidR="005752DD">
        <w:rPr>
          <w:rFonts w:cs="Arial"/>
          <w:szCs w:val="24"/>
        </w:rPr>
        <w:t>s</w:t>
      </w:r>
      <w:r>
        <w:rPr>
          <w:rFonts w:cs="Arial"/>
          <w:szCs w:val="24"/>
        </w:rPr>
        <w:t xml:space="preserve"> such as these </w:t>
      </w:r>
      <w:r w:rsidR="005752DD">
        <w:rPr>
          <w:rFonts w:cs="Arial"/>
          <w:szCs w:val="24"/>
        </w:rPr>
        <w:t xml:space="preserve">can </w:t>
      </w:r>
      <w:r>
        <w:rPr>
          <w:rFonts w:cs="Arial"/>
          <w:szCs w:val="24"/>
        </w:rPr>
        <w:t>validly be considered in a 12B enquiry.</w:t>
      </w:r>
    </w:p>
    <w:p w:rsidR="000A7928" w:rsidRDefault="000A7928" w:rsidP="000A7928">
      <w:pPr>
        <w:pStyle w:val="ListParagraph"/>
      </w:pPr>
    </w:p>
    <w:p w:rsidR="000A7928" w:rsidRDefault="000A7928" w:rsidP="000A7928">
      <w:pPr>
        <w:pStyle w:val="ListParagraph"/>
        <w:numPr>
          <w:ilvl w:val="0"/>
          <w:numId w:val="1"/>
        </w:numPr>
        <w:spacing w:after="0" w:line="480" w:lineRule="auto"/>
        <w:ind w:hanging="567"/>
        <w:jc w:val="both"/>
      </w:pPr>
      <w:r>
        <w:t>It was never the intention of my answering papers to prove a 12B case and there was no obligation on me to have done so because that matter was one that I elected to have referred to an arbitral trial. The High Court thus had, I respectfully submit, no right to ‘adjudge’ my complaint on the basis of the limited papers that were tendered merely to explain the complaint.</w:t>
      </w:r>
    </w:p>
    <w:p w:rsidR="000A7928" w:rsidRDefault="000A7928" w:rsidP="008C7557">
      <w:pPr>
        <w:spacing w:after="0" w:line="480" w:lineRule="auto"/>
        <w:jc w:val="both"/>
      </w:pPr>
    </w:p>
    <w:p w:rsidR="006F3996" w:rsidRDefault="008C7557" w:rsidP="006F3996">
      <w:pPr>
        <w:pStyle w:val="ListParagraph"/>
        <w:numPr>
          <w:ilvl w:val="0"/>
          <w:numId w:val="1"/>
        </w:numPr>
        <w:spacing w:after="0" w:line="480" w:lineRule="auto"/>
        <w:ind w:hanging="567"/>
        <w:jc w:val="both"/>
      </w:pPr>
      <w:r>
        <w:t xml:space="preserve">If the High Court were in any way entitled to assess </w:t>
      </w:r>
      <w:r w:rsidR="000A7928">
        <w:t>unreasonableness</w:t>
      </w:r>
      <w:r w:rsidR="005752DD">
        <w:t>,</w:t>
      </w:r>
      <w:r w:rsidR="000A7928">
        <w:t xml:space="preserve"> </w:t>
      </w:r>
      <w:r w:rsidR="004A39C6">
        <w:t>the High Court itself</w:t>
      </w:r>
      <w:r w:rsidR="001613E7">
        <w:t>, the court</w:t>
      </w:r>
      <w:r w:rsidR="004A39C6">
        <w:t xml:space="preserve"> w</w:t>
      </w:r>
      <w:r w:rsidR="009256AA">
        <w:t>o</w:t>
      </w:r>
      <w:r w:rsidR="004A39C6">
        <w:t xml:space="preserve">uld, in terms of </w:t>
      </w:r>
      <w:r w:rsidR="00653D81">
        <w:t>the</w:t>
      </w:r>
      <w:r w:rsidR="004A39C6">
        <w:t xml:space="preserve"> </w:t>
      </w:r>
      <w:r w:rsidR="00653D81" w:rsidRPr="000A7928">
        <w:rPr>
          <w:i/>
        </w:rPr>
        <w:t>Business</w:t>
      </w:r>
      <w:r w:rsidR="004A39C6" w:rsidRPr="000A7928">
        <w:rPr>
          <w:i/>
        </w:rPr>
        <w:t xml:space="preserve"> Zo</w:t>
      </w:r>
      <w:r w:rsidR="000A7928" w:rsidRPr="000A7928">
        <w:rPr>
          <w:i/>
        </w:rPr>
        <w:t>n</w:t>
      </w:r>
      <w:r w:rsidR="004A39C6" w:rsidRPr="000A7928">
        <w:rPr>
          <w:i/>
        </w:rPr>
        <w:t>e</w:t>
      </w:r>
      <w:r w:rsidR="004A39C6">
        <w:t xml:space="preserve"> </w:t>
      </w:r>
      <w:r w:rsidR="00653D81">
        <w:t>Judgement</w:t>
      </w:r>
      <w:r w:rsidR="004A39C6">
        <w:t xml:space="preserve">, have been obliged to </w:t>
      </w:r>
      <w:r w:rsidR="005752DD">
        <w:t>so</w:t>
      </w:r>
      <w:r w:rsidR="009574AC">
        <w:t xml:space="preserve"> </w:t>
      </w:r>
      <w:r w:rsidR="004A39C6">
        <w:t xml:space="preserve">through the lenses of common law rights </w:t>
      </w:r>
      <w:r w:rsidR="009256AA">
        <w:t>(such as searching for an ‘</w:t>
      </w:r>
      <w:r w:rsidR="00653D81">
        <w:t>agreement</w:t>
      </w:r>
      <w:r w:rsidR="009256AA">
        <w:t xml:space="preserve"> to renew’ or a tacit term to </w:t>
      </w:r>
      <w:r w:rsidR="00653D81">
        <w:t>that</w:t>
      </w:r>
      <w:r w:rsidR="009256AA">
        <w:t xml:space="preserve"> effect</w:t>
      </w:r>
      <w:r w:rsidR="009256AA">
        <w:rPr>
          <w:rStyle w:val="FootnoteReference"/>
        </w:rPr>
        <w:footnoteReference w:id="11"/>
      </w:r>
      <w:r w:rsidR="009256AA">
        <w:t xml:space="preserve">) </w:t>
      </w:r>
      <w:r w:rsidR="004A39C6">
        <w:t>but th</w:t>
      </w:r>
      <w:r w:rsidR="000A7928">
        <w:t>r</w:t>
      </w:r>
      <w:r w:rsidR="004A39C6">
        <w:t xml:space="preserve">ough the lens the fairness standard defined by Section12B as adumbrated by </w:t>
      </w:r>
      <w:r w:rsidR="00653D81">
        <w:t>the</w:t>
      </w:r>
      <w:r w:rsidR="004A39C6">
        <w:t xml:space="preserve"> Constitutional Court </w:t>
      </w:r>
      <w:r w:rsidR="00653D81">
        <w:t>in</w:t>
      </w:r>
      <w:r w:rsidR="004A39C6">
        <w:t xml:space="preserve"> </w:t>
      </w:r>
      <w:r w:rsidR="00653D81">
        <w:t>the</w:t>
      </w:r>
      <w:r w:rsidR="00482539" w:rsidRPr="00482539">
        <w:rPr>
          <w:i/>
        </w:rPr>
        <w:t xml:space="preserve"> Business Zone </w:t>
      </w:r>
      <w:r w:rsidR="005752DD">
        <w:t>decision. The</w:t>
      </w:r>
      <w:r w:rsidR="004A39C6">
        <w:t xml:space="preserve"> fatal error of approach </w:t>
      </w:r>
      <w:r w:rsidR="005752DD">
        <w:t xml:space="preserve">of the High Court in seeking to decide the merits of the complaint, </w:t>
      </w:r>
      <w:r w:rsidR="004A39C6">
        <w:t xml:space="preserve">is manifested also in paragraph 31 of </w:t>
      </w:r>
      <w:r w:rsidR="00653D81">
        <w:t xml:space="preserve">the judgement </w:t>
      </w:r>
      <w:r w:rsidR="004A39C6">
        <w:t>and also in the Judgement for refusing leave to appeal (</w:t>
      </w:r>
      <w:r w:rsidR="004A39C6" w:rsidRPr="006F3996">
        <w:rPr>
          <w:b/>
        </w:rPr>
        <w:t xml:space="preserve">annexure </w:t>
      </w:r>
      <w:r w:rsidR="006F3996">
        <w:rPr>
          <w:b/>
        </w:rPr>
        <w:t>F</w:t>
      </w:r>
      <w:r w:rsidR="006F3996">
        <w:t>, see lines 7-140</w:t>
      </w:r>
      <w:r w:rsidR="009574AC">
        <w:t>)</w:t>
      </w:r>
      <w:r w:rsidR="006F3996">
        <w:t xml:space="preserve">. </w:t>
      </w:r>
      <w:r w:rsidR="004A39C6">
        <w:t xml:space="preserve">In other words, if the High Court had been requested to decide the matter (which was not the case) the High Court failed altogether to apply the </w:t>
      </w:r>
      <w:r w:rsidR="00653D81">
        <w:t>proper</w:t>
      </w:r>
      <w:r w:rsidR="004A39C6">
        <w:t xml:space="preserve"> tests and rules.</w:t>
      </w:r>
    </w:p>
    <w:p w:rsidR="000A7928" w:rsidRDefault="000A7928" w:rsidP="001E6B14">
      <w:pPr>
        <w:pStyle w:val="ListParagraph"/>
        <w:spacing w:after="0" w:line="240" w:lineRule="auto"/>
        <w:ind w:left="567"/>
        <w:jc w:val="both"/>
      </w:pPr>
    </w:p>
    <w:p w:rsidR="000A7928" w:rsidRPr="000A7928" w:rsidRDefault="000A7928" w:rsidP="000A7928">
      <w:pPr>
        <w:pStyle w:val="ListParagraph"/>
        <w:spacing w:after="0" w:line="480" w:lineRule="auto"/>
        <w:ind w:left="567"/>
        <w:jc w:val="both"/>
        <w:rPr>
          <w:u w:val="single"/>
        </w:rPr>
      </w:pPr>
      <w:r w:rsidRPr="000A7928">
        <w:rPr>
          <w:u w:val="single"/>
        </w:rPr>
        <w:t>Other case Law:</w:t>
      </w:r>
    </w:p>
    <w:p w:rsidR="000A7928" w:rsidRDefault="000A7928" w:rsidP="001E6B14">
      <w:pPr>
        <w:pStyle w:val="ListParagraph"/>
        <w:spacing w:after="0" w:line="240" w:lineRule="auto"/>
        <w:ind w:left="567"/>
        <w:jc w:val="both"/>
      </w:pPr>
    </w:p>
    <w:p w:rsidR="000A7928" w:rsidRDefault="000A7928" w:rsidP="000A7928">
      <w:pPr>
        <w:pStyle w:val="ListParagraph"/>
        <w:numPr>
          <w:ilvl w:val="0"/>
          <w:numId w:val="1"/>
        </w:numPr>
        <w:spacing w:after="0" w:line="480" w:lineRule="auto"/>
        <w:ind w:hanging="567"/>
        <w:jc w:val="both"/>
      </w:pPr>
      <w:r>
        <w:t>I am advised by my legal representative</w:t>
      </w:r>
      <w:r w:rsidR="001E6B14">
        <w:t>s</w:t>
      </w:r>
      <w:r>
        <w:t xml:space="preserve"> to indicate where</w:t>
      </w:r>
      <w:r w:rsidR="001613E7">
        <w:t>,</w:t>
      </w:r>
      <w:r>
        <w:t xml:space="preserve"> in terms of other cases known to them, the </w:t>
      </w:r>
      <w:r w:rsidRPr="000A7928">
        <w:rPr>
          <w:i/>
        </w:rPr>
        <w:t>Business Zone</w:t>
      </w:r>
      <w:r>
        <w:t xml:space="preserve"> decision is featured. It is submitted that these facts are important and support the submission that it is in the interest of justice for this leave to be granted and the appeal heard and supported.</w:t>
      </w:r>
    </w:p>
    <w:p w:rsidR="000A7928" w:rsidRPr="000A7928" w:rsidRDefault="000A7928" w:rsidP="000A7928">
      <w:pPr>
        <w:spacing w:after="0" w:line="480" w:lineRule="auto"/>
        <w:jc w:val="both"/>
        <w:rPr>
          <w:i/>
        </w:rPr>
      </w:pPr>
    </w:p>
    <w:p w:rsidR="000A7928" w:rsidRDefault="000A7928" w:rsidP="000A7928">
      <w:pPr>
        <w:pStyle w:val="ListParagraph"/>
        <w:numPr>
          <w:ilvl w:val="0"/>
          <w:numId w:val="1"/>
        </w:numPr>
        <w:spacing w:after="0" w:line="480" w:lineRule="auto"/>
        <w:jc w:val="both"/>
      </w:pPr>
      <w:r w:rsidRPr="000A7928">
        <w:rPr>
          <w:u w:val="single"/>
        </w:rPr>
        <w:t xml:space="preserve">The </w:t>
      </w:r>
      <w:r w:rsidRPr="000A7928">
        <w:rPr>
          <w:i/>
          <w:u w:val="single"/>
        </w:rPr>
        <w:t>Former Way</w:t>
      </w:r>
      <w:r w:rsidRPr="000A7928">
        <w:rPr>
          <w:u w:val="single"/>
        </w:rPr>
        <w:t xml:space="preserve"> case</w:t>
      </w:r>
      <w:r>
        <w:t xml:space="preserve"> has already been mentioned. In it the Learned Judge seeks to analyse the </w:t>
      </w:r>
      <w:r w:rsidRPr="000A7928">
        <w:rPr>
          <w:i/>
        </w:rPr>
        <w:t>Business Zone</w:t>
      </w:r>
      <w:r>
        <w:t xml:space="preserve"> decision</w:t>
      </w:r>
      <w:r>
        <w:rPr>
          <w:rStyle w:val="FootnoteReference"/>
        </w:rPr>
        <w:footnoteReference w:id="12"/>
      </w:r>
      <w:r>
        <w:t xml:space="preserve">. I am advised that I need not try to deal with the manifest incongruities of the Judgment save to submit, with respect, that it fails altogether and hopelessly to understand the </w:t>
      </w:r>
      <w:r w:rsidRPr="000A7928">
        <w:rPr>
          <w:i/>
        </w:rPr>
        <w:t>B</w:t>
      </w:r>
      <w:r>
        <w:rPr>
          <w:i/>
        </w:rPr>
        <w:t>usi</w:t>
      </w:r>
      <w:r w:rsidRPr="000A7928">
        <w:rPr>
          <w:i/>
        </w:rPr>
        <w:t>n</w:t>
      </w:r>
      <w:r>
        <w:rPr>
          <w:i/>
        </w:rPr>
        <w:t>e</w:t>
      </w:r>
      <w:r w:rsidRPr="000A7928">
        <w:rPr>
          <w:i/>
        </w:rPr>
        <w:t>ss Zone</w:t>
      </w:r>
      <w:r>
        <w:t xml:space="preserve"> judgement</w:t>
      </w:r>
    </w:p>
    <w:p w:rsidR="000A7928" w:rsidRDefault="000A7928" w:rsidP="000A7928">
      <w:pPr>
        <w:pStyle w:val="ListParagraph"/>
        <w:spacing w:after="0" w:line="480" w:lineRule="auto"/>
        <w:ind w:left="567"/>
        <w:jc w:val="both"/>
      </w:pPr>
    </w:p>
    <w:p w:rsidR="000A7928" w:rsidRDefault="000A7928" w:rsidP="000A7928">
      <w:pPr>
        <w:pStyle w:val="ListParagraph"/>
        <w:numPr>
          <w:ilvl w:val="0"/>
          <w:numId w:val="1"/>
        </w:numPr>
        <w:spacing w:after="0" w:line="480" w:lineRule="auto"/>
        <w:jc w:val="both"/>
      </w:pPr>
      <w:r>
        <w:t xml:space="preserve">In addition to what has already been said, it must be pointed </w:t>
      </w:r>
      <w:r w:rsidR="005752DD">
        <w:t xml:space="preserve">out </w:t>
      </w:r>
      <w:r>
        <w:t>in particular that in paragra</w:t>
      </w:r>
      <w:r w:rsidR="005752DD">
        <w:t>ph</w:t>
      </w:r>
      <w:r>
        <w:t>s 22 and 37 of the Judg</w:t>
      </w:r>
      <w:r w:rsidR="005752DD">
        <w:t>e</w:t>
      </w:r>
      <w:r>
        <w:t xml:space="preserve">ment, the Learned Judge takes the view that it is up to the High Court to adjudge whether to stay of proceedings is “justified” and whether a 12B complaint made by the Requestor has merit. </w:t>
      </w:r>
    </w:p>
    <w:p w:rsidR="000A7928" w:rsidRDefault="000A7928" w:rsidP="000A7928">
      <w:pPr>
        <w:pStyle w:val="ListParagraph"/>
        <w:spacing w:after="0" w:line="480" w:lineRule="auto"/>
        <w:ind w:left="567"/>
        <w:jc w:val="both"/>
      </w:pPr>
    </w:p>
    <w:p w:rsidR="000A7928" w:rsidRDefault="000A7928" w:rsidP="000A7928">
      <w:pPr>
        <w:pStyle w:val="ListParagraph"/>
        <w:numPr>
          <w:ilvl w:val="0"/>
          <w:numId w:val="1"/>
        </w:numPr>
        <w:spacing w:after="0" w:line="480" w:lineRule="auto"/>
        <w:jc w:val="both"/>
      </w:pPr>
      <w:r>
        <w:t>Judge Pillay did not, as did Judge Ploos van Amstel refer to Section 6 of the Arbitration Act but it is indisputable, it is submitted that the position taken by Judge Pillay is wrong and insupportable. It is clearly not the function of the High Court to decide whether a 12B request has merit or not and the High Court does not have that power: at least not until the decision of the Controller to grant a referral is attacked in a properly launched review in terms of PAJA (something that has not occurred in this case).</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Further to that</w:t>
      </w:r>
      <w:r w:rsidR="001613E7">
        <w:t>,</w:t>
      </w:r>
      <w:r>
        <w:t xml:space="preserve"> I am advised to point out that in paragraph 36 of the Judg</w:t>
      </w:r>
      <w:r w:rsidR="001613E7">
        <w:t xml:space="preserve">ement it was held (as </w:t>
      </w:r>
      <w:r>
        <w:t xml:space="preserve">was done by Judge Ploos van Amstel) that the </w:t>
      </w:r>
      <w:r w:rsidRPr="005752DD">
        <w:rPr>
          <w:i/>
        </w:rPr>
        <w:t>Business Zone</w:t>
      </w:r>
      <w:r>
        <w:t xml:space="preserve"> case is distinguishable. In the </w:t>
      </w:r>
      <w:r w:rsidRPr="003A3265">
        <w:rPr>
          <w:i/>
        </w:rPr>
        <w:t>Former Way</w:t>
      </w:r>
      <w:r>
        <w:t xml:space="preserve"> case the reason given for the ruling (as was done by Judge Ploos van Amstel) is that </w:t>
      </w:r>
      <w:r w:rsidRPr="003A3265">
        <w:rPr>
          <w:i/>
        </w:rPr>
        <w:t>Business Zone</w:t>
      </w:r>
      <w:r>
        <w:t xml:space="preserve"> was not faced </w:t>
      </w:r>
      <w:r w:rsidR="005752DD">
        <w:t xml:space="preserve">with </w:t>
      </w:r>
      <w:r>
        <w:t xml:space="preserve">an ‘eviction’ application. In this regard I am advised to submit that the learned Judges failed to note that in the </w:t>
      </w:r>
      <w:r w:rsidRPr="000A7928">
        <w:rPr>
          <w:i/>
        </w:rPr>
        <w:t>Business Zone</w:t>
      </w:r>
      <w:r>
        <w:t xml:space="preserve"> case the main basis of </w:t>
      </w:r>
      <w:r w:rsidRPr="000859D9">
        <w:rPr>
          <w:i/>
        </w:rPr>
        <w:t>Engen’s</w:t>
      </w:r>
      <w:r>
        <w:t xml:space="preserve"> resistance to the case for 12B at all three levels of the case, is that it wished to pursue, in the High Court, its (common law) right to evict the retailer - which act</w:t>
      </w:r>
      <w:r w:rsidR="005752DD">
        <w:t>ion was pending in the counter-</w:t>
      </w:r>
      <w:r>
        <w:t>application that was lodged by it</w:t>
      </w:r>
      <w:r w:rsidR="005752DD">
        <w:t xml:space="preserve"> in the Johannesburg High Court</w:t>
      </w:r>
      <w:r>
        <w:t xml:space="preserve">. The </w:t>
      </w:r>
      <w:r w:rsidRPr="000A7928">
        <w:rPr>
          <w:i/>
        </w:rPr>
        <w:t>Business Zone</w:t>
      </w:r>
      <w:r>
        <w:t xml:space="preserve"> decisions – at all three levels - were thus made in the face of an eviction application by the wholesaler.</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 xml:space="preserve">Further to that, it is submitted that it is clear from proper reading of the </w:t>
      </w:r>
      <w:r w:rsidRPr="000859D9">
        <w:rPr>
          <w:i/>
        </w:rPr>
        <w:t>Business Zone</w:t>
      </w:r>
      <w:r>
        <w:t xml:space="preserve"> decision that it is laying out rules of ‘Law’ to be applied in all cases of transactional relationships between a wholesaler and retailer</w:t>
      </w:r>
      <w:r w:rsidR="001613E7">
        <w:t>,</w:t>
      </w:r>
      <w:r>
        <w:t xml:space="preserve"> regardless of how this is made up in ‘facts’ and that whether or not any ‘eviction’ or vindication of land is involved</w:t>
      </w:r>
      <w:r w:rsidR="001613E7">
        <w:t>,</w:t>
      </w:r>
      <w:r>
        <w:t xml:space="preserve"> does not and cannot stop a 12B enquiry into whether any con</w:t>
      </w:r>
      <w:r w:rsidR="005752DD">
        <w:t xml:space="preserve">duct is unfair or unreasonable and in need of correction. </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My legal representatives are of the respectful view, and require me with respect to set it out, that it must be absurd to suggest that</w:t>
      </w:r>
      <w:r w:rsidR="001613E7">
        <w:t>,</w:t>
      </w:r>
      <w:r>
        <w:t xml:space="preserve"> whether or not</w:t>
      </w:r>
      <w:r w:rsidR="001613E7">
        <w:t>,</w:t>
      </w:r>
      <w:r>
        <w:t xml:space="preserve"> any action between a wholesaler and retailer is unfair or unreasonable turns solely on whether there is ‘unlawful’ or delictual conduct.</w:t>
      </w:r>
    </w:p>
    <w:p w:rsidR="000A7928" w:rsidRDefault="000A7928" w:rsidP="001E6B14">
      <w:pPr>
        <w:spacing w:after="0" w:line="240" w:lineRule="auto"/>
      </w:pPr>
    </w:p>
    <w:p w:rsidR="000A7928" w:rsidRPr="000A7928" w:rsidRDefault="000A7928" w:rsidP="000A7928">
      <w:pPr>
        <w:ind w:left="567"/>
        <w:rPr>
          <w:u w:val="single"/>
        </w:rPr>
      </w:pPr>
      <w:r w:rsidRPr="000A7928">
        <w:rPr>
          <w:u w:val="single"/>
        </w:rPr>
        <w:t>Other pending cases</w:t>
      </w:r>
    </w:p>
    <w:p w:rsidR="000A7928" w:rsidRPr="00EF35AA" w:rsidRDefault="000A7928" w:rsidP="000A7928">
      <w:pPr>
        <w:pStyle w:val="ListParagraph"/>
        <w:spacing w:after="0" w:line="480" w:lineRule="auto"/>
        <w:ind w:left="567"/>
        <w:jc w:val="both"/>
        <w:rPr>
          <w:u w:val="single"/>
        </w:rPr>
      </w:pPr>
    </w:p>
    <w:p w:rsidR="000A7928" w:rsidRDefault="000A7928" w:rsidP="000A7928">
      <w:pPr>
        <w:pStyle w:val="ListParagraph"/>
        <w:numPr>
          <w:ilvl w:val="0"/>
          <w:numId w:val="1"/>
        </w:numPr>
        <w:spacing w:after="0" w:line="480" w:lineRule="auto"/>
        <w:jc w:val="both"/>
      </w:pPr>
      <w:r>
        <w:t>My attorney (Mr Kobus Swart of Durban) advises me to inform the Court of certain pending cases that</w:t>
      </w:r>
      <w:r w:rsidR="00205180">
        <w:t xml:space="preserve"> he is involved in, </w:t>
      </w:r>
      <w:r>
        <w:t xml:space="preserve">in that the </w:t>
      </w:r>
      <w:r w:rsidRPr="00205180">
        <w:rPr>
          <w:i/>
        </w:rPr>
        <w:t xml:space="preserve">Business Zone </w:t>
      </w:r>
      <w:r>
        <w:t>decision will again feature centrally.</w:t>
      </w:r>
    </w:p>
    <w:p w:rsidR="000A7928" w:rsidRDefault="000A7928" w:rsidP="000A7928">
      <w:pPr>
        <w:pStyle w:val="ListParagraph"/>
        <w:spacing w:after="0" w:line="480" w:lineRule="auto"/>
        <w:ind w:left="567"/>
        <w:jc w:val="both"/>
      </w:pPr>
    </w:p>
    <w:p w:rsidR="000A7928" w:rsidRDefault="000A7928" w:rsidP="000A7928">
      <w:pPr>
        <w:pStyle w:val="ListParagraph"/>
        <w:numPr>
          <w:ilvl w:val="0"/>
          <w:numId w:val="1"/>
        </w:numPr>
        <w:spacing w:after="0" w:line="480" w:lineRule="auto"/>
        <w:jc w:val="both"/>
      </w:pPr>
      <w:r>
        <w:t>My attorney of record herein is the attorney or record</w:t>
      </w:r>
      <w:r w:rsidR="005752DD">
        <w:t xml:space="preserve"> for the Respondent </w:t>
      </w:r>
      <w:r>
        <w:t>in a matter that is pending in the High Court, Pietermaritzburg where a firm ‘KZN Oils (Pty) Ltd which is</w:t>
      </w:r>
      <w:r w:rsidR="00205180">
        <w:t>,</w:t>
      </w:r>
      <w:r>
        <w:t xml:space="preserve"> like the Respondent herein</w:t>
      </w:r>
      <w:r w:rsidR="00205180">
        <w:t>,</w:t>
      </w:r>
      <w:r>
        <w:t xml:space="preserve"> a branded marketer (for </w:t>
      </w:r>
      <w:r w:rsidRPr="003E702D">
        <w:rPr>
          <w:b/>
        </w:rPr>
        <w:t>Caltex</w:t>
      </w:r>
      <w:r>
        <w:t>)</w:t>
      </w:r>
      <w:r>
        <w:rPr>
          <w:rStyle w:val="FootnoteReference"/>
        </w:rPr>
        <w:footnoteReference w:id="13"/>
      </w:r>
      <w:r>
        <w:t xml:space="preserve"> in another district of </w:t>
      </w:r>
      <w:r w:rsidR="001613E7">
        <w:t>Kwa-Zulu-Natal</w:t>
      </w:r>
      <w:r>
        <w:t xml:space="preserve"> (and bound by the same set of contracts as prevail in the Respondent’s case) is seeking</w:t>
      </w:r>
      <w:r w:rsidR="005752DD">
        <w:t xml:space="preserve"> the eviction of the Respondent therein</w:t>
      </w:r>
      <w:r>
        <w:t xml:space="preserve"> on the same basis as is being done here. The case is</w:t>
      </w:r>
      <w:r w:rsidRPr="00EF35AA">
        <w:rPr>
          <w:i/>
        </w:rPr>
        <w:t xml:space="preserve"> KZ</w:t>
      </w:r>
      <w:r>
        <w:rPr>
          <w:i/>
        </w:rPr>
        <w:t>N O</w:t>
      </w:r>
      <w:r w:rsidRPr="00EF35AA">
        <w:rPr>
          <w:i/>
        </w:rPr>
        <w:t xml:space="preserve">ils (Pty) Ltd v Nelta Trading (Pty) Ltd </w:t>
      </w:r>
      <w:r w:rsidRPr="00EF35AA">
        <w:t>trading as</w:t>
      </w:r>
      <w:r w:rsidRPr="00EF35AA">
        <w:rPr>
          <w:i/>
        </w:rPr>
        <w:t xml:space="preserve"> Keyway Motors </w:t>
      </w:r>
      <w:r>
        <w:t>(</w:t>
      </w:r>
      <w:r w:rsidRPr="00921598">
        <w:t>Case No: 184/18P</w:t>
      </w:r>
      <w:r>
        <w:t xml:space="preserve">). </w:t>
      </w:r>
    </w:p>
    <w:p w:rsidR="000A7928" w:rsidRDefault="000A7928" w:rsidP="000A7928">
      <w:pPr>
        <w:pStyle w:val="ListParagraph"/>
        <w:spacing w:after="0" w:line="480" w:lineRule="auto"/>
        <w:ind w:left="567"/>
        <w:jc w:val="both"/>
      </w:pPr>
    </w:p>
    <w:p w:rsidR="000A7928" w:rsidRDefault="000A7928" w:rsidP="000A7928">
      <w:pPr>
        <w:pStyle w:val="ListParagraph"/>
        <w:numPr>
          <w:ilvl w:val="0"/>
          <w:numId w:val="1"/>
        </w:numPr>
        <w:spacing w:after="0" w:line="480" w:lineRule="auto"/>
        <w:jc w:val="both"/>
      </w:pPr>
      <w:r>
        <w:t xml:space="preserve">In that case Mr Swart requested the Controller for a referral for </w:t>
      </w:r>
      <w:r w:rsidRPr="00EF35AA">
        <w:rPr>
          <w:i/>
        </w:rPr>
        <w:t>inter alia</w:t>
      </w:r>
      <w:r>
        <w:t>, KZN Oil’s refusal to renew the franchise and lease arrangements and the referral was made prior to the hearing of the matter. At the stage that the answering affidavit was filed, only the request had been made (as is the case here) and the opposition (as is the case here) was based on a plea for a stay pending the request for Arbitration. The referral was however completed (on the 3</w:t>
      </w:r>
      <w:r w:rsidRPr="00EF35AA">
        <w:rPr>
          <w:vertAlign w:val="superscript"/>
        </w:rPr>
        <w:t>rd</w:t>
      </w:r>
      <w:r>
        <w:t xml:space="preserve"> July 2018) well before the hearing (on the 13</w:t>
      </w:r>
      <w:r w:rsidRPr="00EF35AA">
        <w:rPr>
          <w:vertAlign w:val="superscript"/>
        </w:rPr>
        <w:t>th</w:t>
      </w:r>
      <w:r>
        <w:t xml:space="preserve"> September 2019) and was tabled by KZN Oils in its Replying Affidaivt.</w:t>
      </w:r>
    </w:p>
    <w:p w:rsidR="000A7928" w:rsidRDefault="000A7928" w:rsidP="000A7928">
      <w:pPr>
        <w:pStyle w:val="ListParagraph"/>
        <w:spacing w:after="0" w:line="480" w:lineRule="auto"/>
        <w:ind w:left="567"/>
        <w:jc w:val="both"/>
      </w:pPr>
    </w:p>
    <w:p w:rsidR="000A7928" w:rsidRDefault="000A7928" w:rsidP="000A7928">
      <w:pPr>
        <w:pStyle w:val="ListParagraph"/>
        <w:numPr>
          <w:ilvl w:val="0"/>
          <w:numId w:val="1"/>
        </w:numPr>
        <w:spacing w:after="0" w:line="480" w:lineRule="auto"/>
        <w:jc w:val="both"/>
      </w:pPr>
      <w:r>
        <w:t xml:space="preserve">Accordingly the main argument made for the Respondent in that </w:t>
      </w:r>
      <w:r w:rsidR="001613E7">
        <w:rPr>
          <w:i/>
        </w:rPr>
        <w:t xml:space="preserve">Keyway </w:t>
      </w:r>
      <w:r>
        <w:t xml:space="preserve">case was not merely that </w:t>
      </w:r>
      <w:r w:rsidR="00205180">
        <w:t xml:space="preserve">a </w:t>
      </w:r>
      <w:r>
        <w:t>stay was imperative</w:t>
      </w:r>
      <w:r w:rsidR="001613E7">
        <w:t>,</w:t>
      </w:r>
      <w:r>
        <w:t xml:space="preserve"> but that the Court had no power or jurisdiction to entertain the eviction application as such an order would make the arbitration (on whether it was unfair and unreasonable for KNZ Oils to refuse to renew the franchise and lease arrangements) </w:t>
      </w:r>
      <w:r w:rsidR="00205180">
        <w:t xml:space="preserve">ineffective, </w:t>
      </w:r>
      <w:r>
        <w:t xml:space="preserve">useless and </w:t>
      </w:r>
      <w:r w:rsidRPr="00EF35AA">
        <w:t>moot</w:t>
      </w:r>
      <w:r>
        <w:t xml:space="preserve">– a situation which legally prevails also in the </w:t>
      </w:r>
      <w:r w:rsidRPr="00EF35AA">
        <w:rPr>
          <w:i/>
        </w:rPr>
        <w:t>Former Way</w:t>
      </w:r>
      <w:r>
        <w:t xml:space="preserve"> case which is now before the SCA for reconside</w:t>
      </w:r>
      <w:r w:rsidR="00205180">
        <w:t xml:space="preserve">ration. Arguments for KZN Oils in its papers and Heads, </w:t>
      </w:r>
      <w:r>
        <w:t>I am advised by my attorney, are indistinguishable from the arguments put up in my case by the Respondent and are indeed the same.</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The</w:t>
      </w:r>
      <w:r w:rsidR="001613E7">
        <w:t xml:space="preserve"> </w:t>
      </w:r>
      <w:r w:rsidR="001613E7">
        <w:rPr>
          <w:i/>
        </w:rPr>
        <w:t>Keyway</w:t>
      </w:r>
      <w:r>
        <w:t xml:space="preserve"> matter was heard by </w:t>
      </w:r>
      <w:r w:rsidR="00205180">
        <w:t xml:space="preserve">the Honourable Justice </w:t>
      </w:r>
      <w:r>
        <w:t xml:space="preserve">(Ms) Hendriques J. Judgement has been reserved since the </w:t>
      </w:r>
      <w:r w:rsidRPr="00205180">
        <w:rPr>
          <w:u w:val="single"/>
        </w:rPr>
        <w:t>13</w:t>
      </w:r>
      <w:r w:rsidRPr="00205180">
        <w:rPr>
          <w:u w:val="single"/>
          <w:vertAlign w:val="superscript"/>
        </w:rPr>
        <w:t>th</w:t>
      </w:r>
      <w:r w:rsidRPr="00205180">
        <w:rPr>
          <w:u w:val="single"/>
        </w:rPr>
        <w:t xml:space="preserve"> September 2019</w:t>
      </w:r>
      <w:r>
        <w:t xml:space="preserve"> and has not yet been handed down.</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 xml:space="preserve">In that case, KZN Oils did not seek to review the referral by the Controller in terms of </w:t>
      </w:r>
      <w:r w:rsidR="00205180">
        <w:t>PAJA and also did not</w:t>
      </w:r>
      <w:r>
        <w:t xml:space="preserve"> seek to request a contra-referral that an eviction should be ordered by the Arbitrator if the award were to go against the unfair practice alleged by the Requestor.</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 xml:space="preserve">A further case is </w:t>
      </w:r>
      <w:r>
        <w:rPr>
          <w:i/>
        </w:rPr>
        <w:t>KZN Oil (P</w:t>
      </w:r>
      <w:r w:rsidR="00205180">
        <w:rPr>
          <w:i/>
        </w:rPr>
        <w:t>ty) Ltd v Frenserv CC t/a John R</w:t>
      </w:r>
      <w:r>
        <w:rPr>
          <w:i/>
        </w:rPr>
        <w:t xml:space="preserve">oss Service station </w:t>
      </w:r>
      <w:r>
        <w:t>(Case No D 2658/2018</w:t>
      </w:r>
      <w:r w:rsidR="005752DD">
        <w:t>)</w:t>
      </w:r>
      <w:r>
        <w:t xml:space="preserve"> in the Durban High Court wherein Mr Swart again a</w:t>
      </w:r>
      <w:r w:rsidR="00205180">
        <w:t>c</w:t>
      </w:r>
      <w:r>
        <w:t>ts for the Respondent.</w:t>
      </w:r>
    </w:p>
    <w:p w:rsidR="000A7928" w:rsidRDefault="000A7928" w:rsidP="000A7928">
      <w:pPr>
        <w:pStyle w:val="ListParagraph"/>
      </w:pPr>
    </w:p>
    <w:p w:rsidR="000A7928" w:rsidRDefault="000A7928" w:rsidP="000A7928">
      <w:pPr>
        <w:pStyle w:val="ListParagraph"/>
        <w:numPr>
          <w:ilvl w:val="0"/>
          <w:numId w:val="1"/>
        </w:numPr>
        <w:spacing w:after="0" w:line="480" w:lineRule="auto"/>
        <w:jc w:val="both"/>
      </w:pPr>
      <w:r>
        <w:t>The m</w:t>
      </w:r>
      <w:r w:rsidR="001613E7">
        <w:t>atter is set down for hearing on the 9th</w:t>
      </w:r>
      <w:r>
        <w:t xml:space="preserve"> June 2020</w:t>
      </w:r>
      <w:r w:rsidR="001613E7">
        <w:t xml:space="preserve"> in the opposed motion court, Durban High Court</w:t>
      </w:r>
      <w:r>
        <w:t xml:space="preserve">. In that matter a request for arbitration has been made but the decision of the Controller is outstanding and the Respondent (represented by Mr Swart) has pleaded for a stay pending that decision. The same prevails in the matter of </w:t>
      </w:r>
      <w:r w:rsidRPr="00DE62D4">
        <w:rPr>
          <w:i/>
        </w:rPr>
        <w:t>Kzn Oils (Pty) Ltd v Kzn Mo</w:t>
      </w:r>
      <w:r w:rsidR="001613E7">
        <w:rPr>
          <w:i/>
        </w:rPr>
        <w:t>t</w:t>
      </w:r>
      <w:r w:rsidRPr="00DE62D4">
        <w:rPr>
          <w:i/>
        </w:rPr>
        <w:t>ors (Pty) Ltd</w:t>
      </w:r>
      <w:r>
        <w:t xml:space="preserve"> (Case No 7444/19P in the Pietermaritzburg High Court). The case is </w:t>
      </w:r>
      <w:r w:rsidR="005752DD">
        <w:t>y</w:t>
      </w:r>
      <w:r>
        <w:t xml:space="preserve">et to be set down. </w:t>
      </w:r>
    </w:p>
    <w:p w:rsidR="000A7928" w:rsidRDefault="000A7928" w:rsidP="001E6B14">
      <w:pPr>
        <w:spacing w:after="0" w:line="240" w:lineRule="auto"/>
      </w:pPr>
    </w:p>
    <w:p w:rsidR="000A7928" w:rsidRPr="00DE62D4" w:rsidRDefault="000A7928" w:rsidP="000A7928">
      <w:pPr>
        <w:ind w:firstLine="567"/>
        <w:rPr>
          <w:u w:val="single"/>
        </w:rPr>
      </w:pPr>
      <w:r>
        <w:rPr>
          <w:u w:val="single"/>
        </w:rPr>
        <w:t>Other pending cases:</w:t>
      </w:r>
    </w:p>
    <w:p w:rsidR="000A7928" w:rsidRDefault="000A7928" w:rsidP="000A7928"/>
    <w:p w:rsidR="000A7928" w:rsidRDefault="000A7928" w:rsidP="000A7928">
      <w:pPr>
        <w:pStyle w:val="ListParagraph"/>
        <w:numPr>
          <w:ilvl w:val="0"/>
          <w:numId w:val="1"/>
        </w:numPr>
        <w:spacing w:after="0" w:line="480" w:lineRule="auto"/>
        <w:jc w:val="both"/>
      </w:pPr>
      <w:r>
        <w:t>In case no 8149/19P in the Pietermaritzburg High Court, Astron Energy (Pty) Ltd which is the new name of the ‘old’ Chevron company and the ‘heir’ to all Chevron interests, has applied for the eviction of the retailer on the grounds that the franchise and lease has expired. My attorney of record, Mr Swart, on behalf of the Respondent (Union west Motors (Pty) td t/a Pinetown Service Station</w:t>
      </w:r>
      <w:r w:rsidR="00205180">
        <w:t>)</w:t>
      </w:r>
      <w:r>
        <w:t xml:space="preserve"> had applied</w:t>
      </w:r>
      <w:r>
        <w:rPr>
          <w:rStyle w:val="FootnoteReference"/>
        </w:rPr>
        <w:footnoteReference w:id="14"/>
      </w:r>
      <w:r>
        <w:t>, well before the action was instituted</w:t>
      </w:r>
      <w:r>
        <w:rPr>
          <w:rStyle w:val="FootnoteReference"/>
        </w:rPr>
        <w:footnoteReference w:id="15"/>
      </w:r>
      <w:r>
        <w:t>, to the Controller for the dispute (Astron’s refusal to renew the franchise and lease arrangements) to be referred to arbitration. The Controller has yet to respond to the request and Mr Swart was obliged (inter alia) to plead a stay on his client’s behalf. In this matter Messrs Norton Rose Fulbright (who are the Respondent’s attorneys of record) have written to the Controller opposing the referral (as they did in the case at hand).</w:t>
      </w:r>
    </w:p>
    <w:p w:rsidR="000A7928" w:rsidRPr="00205180" w:rsidRDefault="000A7928" w:rsidP="001E6B14">
      <w:pPr>
        <w:spacing w:after="0" w:line="240" w:lineRule="auto"/>
        <w:jc w:val="both"/>
        <w:rPr>
          <w:u w:val="single"/>
        </w:rPr>
      </w:pPr>
    </w:p>
    <w:p w:rsidR="000A7928" w:rsidRPr="000A7928" w:rsidRDefault="000A7928" w:rsidP="000A7928">
      <w:pPr>
        <w:rPr>
          <w:u w:val="single"/>
        </w:rPr>
      </w:pPr>
      <w:r w:rsidRPr="000A7928">
        <w:rPr>
          <w:u w:val="single"/>
        </w:rPr>
        <w:t>Courts can’t make contracts</w:t>
      </w:r>
    </w:p>
    <w:p w:rsidR="000A7928" w:rsidRDefault="000A7928" w:rsidP="001E6B14">
      <w:pPr>
        <w:spacing w:line="240" w:lineRule="auto"/>
      </w:pPr>
    </w:p>
    <w:p w:rsidR="00205180" w:rsidRDefault="000A7928" w:rsidP="006F3996">
      <w:pPr>
        <w:pStyle w:val="ListParagraph"/>
        <w:numPr>
          <w:ilvl w:val="0"/>
          <w:numId w:val="1"/>
        </w:numPr>
        <w:spacing w:after="0" w:line="480" w:lineRule="auto"/>
        <w:ind w:hanging="567"/>
        <w:jc w:val="both"/>
      </w:pPr>
      <w:r>
        <w:t xml:space="preserve">I am advised to deal briefly with </w:t>
      </w:r>
      <w:r w:rsidR="00BE1433">
        <w:t>a</w:t>
      </w:r>
      <w:r w:rsidR="00205180">
        <w:t xml:space="preserve"> point made in the judgements of both Judge Pillay and Judge Ploos van Amstel</w:t>
      </w:r>
      <w:r w:rsidR="00BE1433">
        <w:t>,</w:t>
      </w:r>
      <w:r w:rsidR="00205180">
        <w:t xml:space="preserve"> that my contentions and those made in </w:t>
      </w:r>
      <w:r w:rsidR="00205180" w:rsidRPr="00BE1433">
        <w:rPr>
          <w:i/>
        </w:rPr>
        <w:t>Former Way</w:t>
      </w:r>
      <w:r w:rsidR="00205180">
        <w:t xml:space="preserve"> require the Courts to </w:t>
      </w:r>
      <w:r w:rsidR="00BE1433">
        <w:t xml:space="preserve">make </w:t>
      </w:r>
      <w:r w:rsidR="00205180">
        <w:t>or forge a contract</w:t>
      </w:r>
      <w:r w:rsidR="00BE1433">
        <w:t xml:space="preserve"> and can therefore</w:t>
      </w:r>
      <w:r w:rsidR="00205180">
        <w:t xml:space="preserve"> not be countenanced.</w:t>
      </w:r>
    </w:p>
    <w:p w:rsidR="00205180" w:rsidRDefault="00205180" w:rsidP="00205180">
      <w:pPr>
        <w:pStyle w:val="ListParagraph"/>
        <w:spacing w:after="0" w:line="480" w:lineRule="auto"/>
        <w:ind w:left="567"/>
        <w:jc w:val="both"/>
      </w:pPr>
    </w:p>
    <w:p w:rsidR="00BE1433" w:rsidRDefault="00BE1433" w:rsidP="006F3996">
      <w:pPr>
        <w:pStyle w:val="ListParagraph"/>
        <w:numPr>
          <w:ilvl w:val="0"/>
          <w:numId w:val="1"/>
        </w:numPr>
        <w:spacing w:after="0" w:line="480" w:lineRule="auto"/>
        <w:ind w:hanging="567"/>
        <w:jc w:val="both"/>
      </w:pPr>
      <w:r>
        <w:t>The flaw in this point is that franchise agreements are already made – cast in ‘concrete as it were – in that all major franchising oil companies have a standard</w:t>
      </w:r>
      <w:r w:rsidR="005752DD">
        <w:t>- form contract.</w:t>
      </w:r>
      <w:r>
        <w:t xml:space="preserve"> There may be some parochial or localized differences or additions but these will invariably be mechanical and not substantive. The terms and conditions of the franchise, the ordering, supplying and handling of product and the lease</w:t>
      </w:r>
      <w:r w:rsidR="005752DD">
        <w:t xml:space="preserve"> (if any)</w:t>
      </w:r>
      <w:r>
        <w:t>, the reciprocal obligations, terms and condition</w:t>
      </w:r>
      <w:r w:rsidR="005D293A">
        <w:t>s</w:t>
      </w:r>
      <w:r>
        <w:t xml:space="preserve"> relating to the conduct of business, public relations, equipment and IT and all connected matters, will always</w:t>
      </w:r>
      <w:r w:rsidR="005752DD">
        <w:t xml:space="preserve"> be the same for all franchises (within a particular brand).</w:t>
      </w:r>
    </w:p>
    <w:p w:rsidR="00BE1433" w:rsidRDefault="00BE1433" w:rsidP="00BE1433">
      <w:pPr>
        <w:pStyle w:val="ListParagraph"/>
      </w:pPr>
    </w:p>
    <w:p w:rsidR="000A7928" w:rsidRDefault="00BE1433" w:rsidP="001E6B14">
      <w:pPr>
        <w:pStyle w:val="ListParagraph"/>
        <w:numPr>
          <w:ilvl w:val="0"/>
          <w:numId w:val="1"/>
        </w:numPr>
        <w:spacing w:after="0" w:line="480" w:lineRule="auto"/>
        <w:ind w:hanging="567"/>
        <w:jc w:val="both"/>
      </w:pPr>
      <w:r>
        <w:t>All franchising oil compani</w:t>
      </w:r>
      <w:r w:rsidR="005752DD">
        <w:t>es therefore apply a ‘standard-</w:t>
      </w:r>
      <w:r>
        <w:t>form</w:t>
      </w:r>
      <w:r w:rsidR="005752DD">
        <w:t>’</w:t>
      </w:r>
      <w:r>
        <w:t xml:space="preserve"> contract nationwide in all the ‘franchises’ and all that is involved </w:t>
      </w:r>
      <w:r w:rsidR="005D293A">
        <w:t>when franchises are</w:t>
      </w:r>
      <w:r>
        <w:t xml:space="preserve">, so to speak, dished out, is that the details of the location and the name of the retailer are simply added to the few blank spaces that exist. </w:t>
      </w:r>
      <w:r w:rsidR="005752DD">
        <w:t xml:space="preserve">Even the time period is </w:t>
      </w:r>
      <w:r w:rsidR="005D293A">
        <w:t>a standard ‘5-year’ term</w:t>
      </w:r>
      <w:r w:rsidR="005752DD">
        <w:t xml:space="preserve"> </w:t>
      </w:r>
      <w:r w:rsidR="005D293A">
        <w:t>- this is so</w:t>
      </w:r>
      <w:r w:rsidR="005752DD">
        <w:t>, so</w:t>
      </w:r>
      <w:r w:rsidR="005D293A">
        <w:t xml:space="preserve"> as to enable franchises to be reviewed, updated and upgraded in terms of operating standards, methods and technologies</w:t>
      </w:r>
      <w:r w:rsidR="005752DD">
        <w:t xml:space="preserve"> and even the matter of trading partners and sub-franchises (such as related to the convenience stores)</w:t>
      </w:r>
      <w:r w:rsidR="005D293A">
        <w:t xml:space="preserve">. </w:t>
      </w:r>
      <w:r>
        <w:t xml:space="preserve">There is </w:t>
      </w:r>
      <w:r w:rsidR="005D293A">
        <w:t>accordingly</w:t>
      </w:r>
      <w:r>
        <w:t xml:space="preserve"> no merit in the </w:t>
      </w:r>
      <w:r w:rsidR="005D293A">
        <w:t>contention</w:t>
      </w:r>
      <w:r>
        <w:t xml:space="preserve"> that</w:t>
      </w:r>
      <w:r w:rsidR="001D2961">
        <w:t>,</w:t>
      </w:r>
      <w:r>
        <w:t xml:space="preserve"> in seeking renewal of a franchise</w:t>
      </w:r>
      <w:r w:rsidR="001D2961">
        <w:t>,</w:t>
      </w:r>
      <w:r>
        <w:t xml:space="preserve"> </w:t>
      </w:r>
      <w:r w:rsidR="005D293A">
        <w:t>involves the C</w:t>
      </w:r>
      <w:r>
        <w:t>ourts in making or forging a ‘contract’</w:t>
      </w:r>
      <w:r w:rsidR="005D293A">
        <w:t>. The a</w:t>
      </w:r>
      <w:r>
        <w:t>rgument is</w:t>
      </w:r>
      <w:r w:rsidR="005752DD">
        <w:t xml:space="preserve">, with respect, </w:t>
      </w:r>
      <w:r>
        <w:t>a red-herring.</w:t>
      </w:r>
    </w:p>
    <w:p w:rsidR="00D75240" w:rsidRDefault="00D75240" w:rsidP="00D75240">
      <w:pPr>
        <w:pStyle w:val="ListParagraph"/>
      </w:pPr>
    </w:p>
    <w:p w:rsidR="00D75240" w:rsidRPr="00D75240" w:rsidRDefault="00D75240" w:rsidP="006F3996">
      <w:pPr>
        <w:pStyle w:val="ListParagraph"/>
        <w:numPr>
          <w:ilvl w:val="0"/>
          <w:numId w:val="1"/>
        </w:numPr>
        <w:spacing w:after="0" w:line="480" w:lineRule="auto"/>
        <w:ind w:hanging="567"/>
        <w:jc w:val="both"/>
      </w:pPr>
      <w:r>
        <w:t xml:space="preserve">The Judgement and Order of the </w:t>
      </w:r>
      <w:r w:rsidR="007B2F9A">
        <w:t>Honourable</w:t>
      </w:r>
      <w:r>
        <w:t xml:space="preserve"> Mr Justice Ploos van Amstel is attached hereto as </w:t>
      </w:r>
      <w:r w:rsidRPr="00D75240">
        <w:rPr>
          <w:b/>
        </w:rPr>
        <w:t>annexure S.</w:t>
      </w:r>
    </w:p>
    <w:p w:rsidR="00D75240" w:rsidRDefault="00D75240" w:rsidP="00D75240">
      <w:pPr>
        <w:pStyle w:val="ListParagraph"/>
      </w:pPr>
    </w:p>
    <w:p w:rsidR="00D75240" w:rsidRDefault="00D75240" w:rsidP="006F3996">
      <w:pPr>
        <w:pStyle w:val="ListParagraph"/>
        <w:numPr>
          <w:ilvl w:val="0"/>
          <w:numId w:val="1"/>
        </w:numPr>
        <w:spacing w:after="0" w:line="480" w:lineRule="auto"/>
        <w:ind w:hanging="567"/>
        <w:jc w:val="both"/>
      </w:pPr>
      <w:r>
        <w:t>I humbly submit that in the eviction order made by High Court cannot stand whilst the arbitration deal</w:t>
      </w:r>
      <w:r w:rsidR="008C7557">
        <w:t>s</w:t>
      </w:r>
      <w:r>
        <w:t xml:space="preserve"> with whether Respondent ought to renew the franchise and lease arrangements with Applicant in terms of the current standard agreements. Alternatively, it should be ordered that the eviction order, if it were to be allowed to stand, can only be implemented if the Arbitration proceedings (inclusive of any reviews thereof or consequent processes) are to be resolved against </w:t>
      </w:r>
      <w:r w:rsidR="008C7557">
        <w:t>t</w:t>
      </w:r>
      <w:r>
        <w:t>he Applicant.</w:t>
      </w:r>
    </w:p>
    <w:p w:rsidR="00D75240" w:rsidRDefault="00D75240" w:rsidP="00D75240">
      <w:pPr>
        <w:pStyle w:val="ListParagraph"/>
      </w:pPr>
    </w:p>
    <w:p w:rsidR="001E6B14" w:rsidRDefault="001D2961" w:rsidP="006F3996">
      <w:pPr>
        <w:pStyle w:val="ListParagraph"/>
        <w:numPr>
          <w:ilvl w:val="0"/>
          <w:numId w:val="1"/>
        </w:numPr>
        <w:spacing w:after="0" w:line="480" w:lineRule="auto"/>
        <w:ind w:hanging="567"/>
        <w:jc w:val="both"/>
      </w:pPr>
      <w:r>
        <w:t xml:space="preserve">I </w:t>
      </w:r>
      <w:r w:rsidR="001E6B14">
        <w:t xml:space="preserve">am advised to point out that Art 34 of the Bill or Rights provides for access both to courts as well as impartial tribunals. It is respectfully submitted that the </w:t>
      </w:r>
      <w:r>
        <w:t>right</w:t>
      </w:r>
      <w:r w:rsidR="001E6B14">
        <w:t xml:space="preserve"> arbitration falls four-square within Art 34 and that </w:t>
      </w:r>
      <w:r>
        <w:t>decisions</w:t>
      </w:r>
      <w:r w:rsidR="001E6B14">
        <w:t xml:space="preserve"> that have been criticised </w:t>
      </w:r>
      <w:r>
        <w:t>herein</w:t>
      </w:r>
      <w:r w:rsidR="001E6B14">
        <w:t xml:space="preserve"> hold for a denial of this right. The</w:t>
      </w:r>
      <w:r>
        <w:t>re</w:t>
      </w:r>
      <w:r w:rsidR="001E6B14">
        <w:t xml:space="preserve"> are in excess of 5000 fuel filling station</w:t>
      </w:r>
      <w:r>
        <w:t>s</w:t>
      </w:r>
      <w:r w:rsidR="001E6B14">
        <w:t xml:space="preserve"> in </w:t>
      </w:r>
      <w:r>
        <w:t>the</w:t>
      </w:r>
      <w:r w:rsidR="001E6B14">
        <w:t xml:space="preserve"> Republic and some 900 thereof are </w:t>
      </w:r>
      <w:r>
        <w:t xml:space="preserve">claimed to be </w:t>
      </w:r>
      <w:r w:rsidR="001E6B14">
        <w:t>‘Caltex” stations. The issue raised he</w:t>
      </w:r>
      <w:r>
        <w:t>r</w:t>
      </w:r>
      <w:r w:rsidR="001E6B14">
        <w:t>ein are therefore</w:t>
      </w:r>
      <w:r w:rsidR="00EA7EF6">
        <w:t xml:space="preserve"> of </w:t>
      </w:r>
      <w:r>
        <w:t>cardinal</w:t>
      </w:r>
      <w:r w:rsidR="00EA7EF6">
        <w:t xml:space="preserve"> </w:t>
      </w:r>
      <w:r>
        <w:t>importance</w:t>
      </w:r>
      <w:r w:rsidR="00EA7EF6">
        <w:t xml:space="preserve"> to all</w:t>
      </w:r>
      <w:r w:rsidR="001E6B14">
        <w:t xml:space="preserve"> retailers. </w:t>
      </w:r>
    </w:p>
    <w:p w:rsidR="001E6B14" w:rsidRDefault="001E6B14" w:rsidP="001E6B14">
      <w:pPr>
        <w:pStyle w:val="ListParagraph"/>
      </w:pPr>
    </w:p>
    <w:p w:rsidR="001E6B14" w:rsidRDefault="001E6B14" w:rsidP="001E6B14">
      <w:pPr>
        <w:pStyle w:val="ListParagraph"/>
      </w:pPr>
    </w:p>
    <w:p w:rsidR="00B073AE" w:rsidRDefault="00B073AE" w:rsidP="001E6B14">
      <w:pPr>
        <w:pStyle w:val="ListParagraph"/>
        <w:numPr>
          <w:ilvl w:val="0"/>
          <w:numId w:val="1"/>
        </w:numPr>
        <w:spacing w:after="0" w:line="480" w:lineRule="auto"/>
        <w:ind w:hanging="567"/>
        <w:jc w:val="both"/>
      </w:pPr>
      <w:r>
        <w:t>It is respectfully submitted that the precedents created by the decisions that have been criticized</w:t>
      </w:r>
      <w:r w:rsidR="00EA7EF6">
        <w:t xml:space="preserve"> herein and the dilution that they have occasioned to the rights laid out by the Constitutional Court in the </w:t>
      </w:r>
      <w:r w:rsidR="00EA7EF6" w:rsidRPr="00EA7EF6">
        <w:rPr>
          <w:i/>
        </w:rPr>
        <w:t>Business Zone</w:t>
      </w:r>
      <w:r w:rsidR="00EA7EF6">
        <w:t xml:space="preserve"> case,</w:t>
      </w:r>
      <w:r>
        <w:t xml:space="preserve"> cannot be allowed to stand</w:t>
      </w:r>
      <w:r w:rsidR="00EA7EF6">
        <w:t>.</w:t>
      </w:r>
    </w:p>
    <w:p w:rsidR="00EA7EF6" w:rsidRDefault="00EA7EF6" w:rsidP="00EA7EF6">
      <w:pPr>
        <w:pStyle w:val="ListParagraph"/>
        <w:spacing w:after="0" w:line="480" w:lineRule="auto"/>
        <w:ind w:left="567"/>
        <w:jc w:val="both"/>
      </w:pPr>
    </w:p>
    <w:p w:rsidR="00EA7EF6" w:rsidRPr="001E6B14" w:rsidRDefault="00EA7EF6" w:rsidP="00EA7EF6">
      <w:pPr>
        <w:pStyle w:val="ListParagraph"/>
        <w:numPr>
          <w:ilvl w:val="0"/>
          <w:numId w:val="1"/>
        </w:numPr>
        <w:spacing w:after="0" w:line="480" w:lineRule="auto"/>
        <w:ind w:hanging="567"/>
        <w:jc w:val="both"/>
      </w:pPr>
      <w:r>
        <w:t xml:space="preserve">Moreover, I am further advised, the Constitutional Court has ruled, with reference to the </w:t>
      </w:r>
      <w:r w:rsidRPr="00B073AE">
        <w:rPr>
          <w:i/>
        </w:rPr>
        <w:t>Business Zone</w:t>
      </w:r>
      <w:r>
        <w:t xml:space="preserve"> case, that; “</w:t>
      </w:r>
      <w:r w:rsidRPr="001E6B14">
        <w:rPr>
          <w:rFonts w:cs="Arial"/>
          <w:i/>
          <w:color w:val="242121"/>
          <w:lang w:val="en-GB"/>
        </w:rPr>
        <w:t>The idea that fairness is not a legal requirement and that there is a rigid conceptual distinction between fairness and law is one that is increasingly recognised as being discordant with our constitutional values</w:t>
      </w:r>
      <w:r>
        <w:rPr>
          <w:rFonts w:cs="Arial"/>
          <w:i/>
          <w:color w:val="242121"/>
          <w:lang w:val="en-GB"/>
        </w:rPr>
        <w:t>”’</w:t>
      </w:r>
      <w:r>
        <w:rPr>
          <w:rStyle w:val="FootnoteReference"/>
          <w:rFonts w:cs="Arial"/>
          <w:i/>
          <w:color w:val="242121"/>
          <w:lang w:val="en-GB"/>
        </w:rPr>
        <w:footnoteReference w:id="16"/>
      </w:r>
      <w:r>
        <w:rPr>
          <w:rFonts w:cs="Arial"/>
          <w:i/>
          <w:color w:val="242121"/>
          <w:lang w:val="en-GB"/>
        </w:rPr>
        <w:t xml:space="preserve"> </w:t>
      </w:r>
      <w:r>
        <w:rPr>
          <w:rFonts w:cs="Arial"/>
          <w:color w:val="242121"/>
          <w:lang w:val="en-GB"/>
        </w:rPr>
        <w:t>I humbly submit that such a ruling is pertinent also to the issue of when a stay or blockage to High Court litigation in favour of 12B arbitration has to be dealt with – more so in context of the fact that all 12B arbitrations will have finally to come to the High Court for enforcement or review.</w:t>
      </w:r>
    </w:p>
    <w:p w:rsidR="00B073AE" w:rsidRDefault="00B073AE" w:rsidP="00B073AE">
      <w:pPr>
        <w:pStyle w:val="ListParagraph"/>
      </w:pPr>
    </w:p>
    <w:p w:rsidR="001D2961" w:rsidRDefault="00D75240" w:rsidP="001E6B14">
      <w:pPr>
        <w:pStyle w:val="ListParagraph"/>
        <w:numPr>
          <w:ilvl w:val="0"/>
          <w:numId w:val="1"/>
        </w:numPr>
        <w:spacing w:after="0" w:line="480" w:lineRule="auto"/>
        <w:ind w:hanging="567"/>
        <w:jc w:val="both"/>
      </w:pPr>
      <w:r>
        <w:t>In the premises herein set out I humbly submit that a proper case has been made for leave to appeal and for, in due c</w:t>
      </w:r>
      <w:r w:rsidR="005752DD">
        <w:t>ourse, the setting aside of the order of the High Court</w:t>
      </w:r>
      <w:r>
        <w:t>.</w:t>
      </w:r>
    </w:p>
    <w:p w:rsidR="001D2961" w:rsidRDefault="001D2961" w:rsidP="001D2961">
      <w:pPr>
        <w:pStyle w:val="ListParagraph"/>
      </w:pPr>
    </w:p>
    <w:p w:rsidR="00D75240" w:rsidRDefault="00D75240" w:rsidP="001E6B14">
      <w:pPr>
        <w:pStyle w:val="ListParagraph"/>
        <w:numPr>
          <w:ilvl w:val="0"/>
          <w:numId w:val="1"/>
        </w:numPr>
        <w:spacing w:after="0" w:line="480" w:lineRule="auto"/>
        <w:ind w:hanging="567"/>
        <w:jc w:val="both"/>
      </w:pPr>
      <w:r>
        <w:t>In that an arbitration referral has been made and this has not been challenged, it must be the case that to have a ‘stay’ of those proceedings would be otiose and that the eviction order made by the High Court cannot stand.</w:t>
      </w:r>
    </w:p>
    <w:p w:rsidR="001D2961" w:rsidRDefault="001D2961" w:rsidP="001D2961">
      <w:pPr>
        <w:pStyle w:val="ListParagraph"/>
      </w:pPr>
    </w:p>
    <w:p w:rsidR="001D2961" w:rsidRDefault="001D2961" w:rsidP="001E6B14">
      <w:pPr>
        <w:pStyle w:val="ListParagraph"/>
        <w:numPr>
          <w:ilvl w:val="0"/>
          <w:numId w:val="1"/>
        </w:numPr>
        <w:spacing w:after="0" w:line="480" w:lineRule="auto"/>
        <w:ind w:hanging="567"/>
        <w:jc w:val="both"/>
      </w:pPr>
      <w:r>
        <w:t>I accordingly humbly pray for the relief set out in the Notice of Motion.</w:t>
      </w:r>
    </w:p>
    <w:p w:rsidR="001D2961" w:rsidRDefault="001D2961" w:rsidP="001D2961">
      <w:pPr>
        <w:pStyle w:val="ListParagraph"/>
      </w:pPr>
    </w:p>
    <w:p w:rsidR="001D2961" w:rsidRPr="001D2961" w:rsidRDefault="001D2961" w:rsidP="001D2961">
      <w:pPr>
        <w:spacing w:after="0" w:line="240" w:lineRule="auto"/>
        <w:jc w:val="right"/>
        <w:rPr>
          <w:b/>
        </w:rPr>
      </w:pPr>
      <w:r w:rsidRPr="001D2961">
        <w:rPr>
          <w:b/>
        </w:rPr>
        <w:t>_________________________</w:t>
      </w:r>
    </w:p>
    <w:p w:rsidR="001D2961" w:rsidRPr="001D2961" w:rsidRDefault="001D2961" w:rsidP="001D2961">
      <w:pPr>
        <w:spacing w:after="0" w:line="480" w:lineRule="auto"/>
        <w:jc w:val="right"/>
        <w:rPr>
          <w:b/>
        </w:rPr>
      </w:pPr>
      <w:r w:rsidRPr="001D2961">
        <w:rPr>
          <w:b/>
        </w:rPr>
        <w:t>CLAYTON MICHAEL BESTER</w:t>
      </w:r>
    </w:p>
    <w:p w:rsidR="004C4971" w:rsidRDefault="004C4971" w:rsidP="00B073AE">
      <w:pPr>
        <w:spacing w:after="0" w:line="240" w:lineRule="auto"/>
      </w:pPr>
    </w:p>
    <w:p w:rsidR="001D2961" w:rsidRDefault="001D2961" w:rsidP="001D2961">
      <w:pPr>
        <w:spacing w:after="0" w:line="360" w:lineRule="auto"/>
        <w:jc w:val="both"/>
      </w:pPr>
      <w:r w:rsidRPr="001D2961">
        <w:rPr>
          <w:b/>
        </w:rPr>
        <w:t>SIGNED AND SWORN to,</w:t>
      </w:r>
      <w:r>
        <w:t xml:space="preserve"> before me at Durban on this the 2</w:t>
      </w:r>
      <w:r w:rsidRPr="001D2961">
        <w:rPr>
          <w:vertAlign w:val="superscript"/>
        </w:rPr>
        <w:t>nd</w:t>
      </w:r>
      <w:r>
        <w:t xml:space="preserve"> day of February 2020, by the abovenamed Deponent who has acknowledged that he understands the contents of this affidavit, has declared that he has no objection to taking the prescribed oath, that he regards the oath as biding on his conscience and he uttered the following words: ‘I swear that the contents of this affidavit are true and correct, so help me God”.</w:t>
      </w:r>
    </w:p>
    <w:p w:rsidR="001D2961" w:rsidRDefault="001D2961" w:rsidP="001D2961">
      <w:pPr>
        <w:spacing w:after="0" w:line="360" w:lineRule="auto"/>
        <w:jc w:val="both"/>
      </w:pPr>
    </w:p>
    <w:p w:rsidR="001D2961" w:rsidRDefault="001D2961" w:rsidP="001D2961">
      <w:pPr>
        <w:spacing w:after="0" w:line="360" w:lineRule="auto"/>
        <w:jc w:val="both"/>
      </w:pPr>
    </w:p>
    <w:p w:rsidR="001D2961" w:rsidRPr="001D2961" w:rsidRDefault="001D2961" w:rsidP="001D2961">
      <w:pPr>
        <w:spacing w:after="0" w:line="240" w:lineRule="auto"/>
        <w:jc w:val="right"/>
        <w:rPr>
          <w:b/>
        </w:rPr>
      </w:pPr>
      <w:r w:rsidRPr="001D2961">
        <w:rPr>
          <w:b/>
        </w:rPr>
        <w:t>________________________</w:t>
      </w:r>
    </w:p>
    <w:p w:rsidR="001D2961" w:rsidRPr="001D2961" w:rsidRDefault="001D2961" w:rsidP="001D2961">
      <w:pPr>
        <w:spacing w:after="0" w:line="240" w:lineRule="auto"/>
        <w:jc w:val="right"/>
        <w:rPr>
          <w:b/>
        </w:rPr>
      </w:pPr>
      <w:r w:rsidRPr="001D2961">
        <w:rPr>
          <w:b/>
        </w:rPr>
        <w:t>COMMISSIONER OF OATHS</w:t>
      </w:r>
    </w:p>
    <w:p w:rsidR="001D2961" w:rsidRPr="001D2961" w:rsidRDefault="001D2961" w:rsidP="001D2961">
      <w:pPr>
        <w:spacing w:after="0" w:line="240" w:lineRule="auto"/>
        <w:jc w:val="right"/>
        <w:rPr>
          <w:b/>
        </w:rPr>
      </w:pPr>
    </w:p>
    <w:p w:rsidR="001D2961" w:rsidRPr="001D2961" w:rsidRDefault="001D2961" w:rsidP="001D2961">
      <w:pPr>
        <w:spacing w:after="0" w:line="240" w:lineRule="auto"/>
        <w:ind w:left="2880" w:firstLine="720"/>
        <w:jc w:val="both"/>
        <w:rPr>
          <w:b/>
        </w:rPr>
      </w:pPr>
      <w:r w:rsidRPr="001D2961">
        <w:rPr>
          <w:b/>
        </w:rPr>
        <w:t>Full Name:</w:t>
      </w:r>
    </w:p>
    <w:p w:rsidR="001D2961" w:rsidRDefault="001D2961" w:rsidP="001D2961">
      <w:pPr>
        <w:spacing w:after="0" w:line="240" w:lineRule="auto"/>
        <w:ind w:left="2880" w:firstLine="720"/>
        <w:jc w:val="both"/>
        <w:rPr>
          <w:b/>
        </w:rPr>
      </w:pPr>
      <w:r w:rsidRPr="001D2961">
        <w:rPr>
          <w:b/>
        </w:rPr>
        <w:t>Business Address:</w:t>
      </w:r>
    </w:p>
    <w:p w:rsidR="001D2961" w:rsidRPr="001D2961" w:rsidRDefault="001D2961" w:rsidP="001D2961">
      <w:pPr>
        <w:spacing w:after="0" w:line="240" w:lineRule="auto"/>
        <w:ind w:left="2880" w:firstLine="720"/>
        <w:jc w:val="both"/>
        <w:rPr>
          <w:b/>
        </w:rPr>
      </w:pPr>
    </w:p>
    <w:p w:rsidR="001D2961" w:rsidRPr="001D2961" w:rsidRDefault="001D2961" w:rsidP="001D2961">
      <w:pPr>
        <w:spacing w:after="0" w:line="240" w:lineRule="auto"/>
        <w:jc w:val="both"/>
        <w:rPr>
          <w:b/>
        </w:rPr>
      </w:pPr>
    </w:p>
    <w:p w:rsidR="001D2961" w:rsidRPr="001D2961" w:rsidRDefault="001D2961" w:rsidP="001D2961">
      <w:pPr>
        <w:spacing w:after="0" w:line="240" w:lineRule="auto"/>
        <w:ind w:left="2880" w:firstLine="720"/>
        <w:jc w:val="both"/>
        <w:rPr>
          <w:b/>
        </w:rPr>
      </w:pPr>
      <w:r w:rsidRPr="001D2961">
        <w:rPr>
          <w:b/>
        </w:rPr>
        <w:t>Capacity</w:t>
      </w:r>
    </w:p>
    <w:p w:rsidR="001D2961" w:rsidRPr="001D2961" w:rsidRDefault="001D2961" w:rsidP="001D2961">
      <w:pPr>
        <w:spacing w:after="0" w:line="240" w:lineRule="auto"/>
        <w:ind w:left="2880" w:firstLine="720"/>
        <w:jc w:val="both"/>
        <w:rPr>
          <w:b/>
        </w:rPr>
      </w:pPr>
      <w:r w:rsidRPr="001D2961">
        <w:rPr>
          <w:b/>
        </w:rPr>
        <w:t>Area</w:t>
      </w:r>
    </w:p>
    <w:sectPr w:rsidR="001D2961" w:rsidRPr="001D2961" w:rsidSect="00EA784C">
      <w:head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279D" w:rsidRDefault="0064279D" w:rsidP="002F35A4">
      <w:pPr>
        <w:spacing w:after="0" w:line="240" w:lineRule="auto"/>
      </w:pPr>
      <w:r>
        <w:separator/>
      </w:r>
    </w:p>
  </w:endnote>
  <w:endnote w:type="continuationSeparator" w:id="0">
    <w:p w:rsidR="0064279D" w:rsidRDefault="0064279D" w:rsidP="002F35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279D" w:rsidRDefault="0064279D" w:rsidP="002F35A4">
      <w:pPr>
        <w:spacing w:after="0" w:line="240" w:lineRule="auto"/>
      </w:pPr>
      <w:r>
        <w:separator/>
      </w:r>
    </w:p>
  </w:footnote>
  <w:footnote w:type="continuationSeparator" w:id="0">
    <w:p w:rsidR="0064279D" w:rsidRDefault="0064279D" w:rsidP="002F35A4">
      <w:pPr>
        <w:spacing w:after="0" w:line="240" w:lineRule="auto"/>
      </w:pPr>
      <w:r>
        <w:continuationSeparator/>
      </w:r>
    </w:p>
  </w:footnote>
  <w:footnote w:id="1">
    <w:p w:rsidR="00B073AE" w:rsidRPr="00EA784C" w:rsidRDefault="00B073AE">
      <w:pPr>
        <w:pStyle w:val="FootnoteText"/>
      </w:pPr>
      <w:r>
        <w:rPr>
          <w:rStyle w:val="FootnoteReference"/>
        </w:rPr>
        <w:footnoteRef/>
      </w:r>
      <w:r>
        <w:t xml:space="preserve"> The matter is </w:t>
      </w:r>
      <w:r>
        <w:rPr>
          <w:i/>
        </w:rPr>
        <w:t xml:space="preserve">Bright idea Projects 66 (Pty) Ltd t/a All Fuels v Crompton Street Motors CC t/a Wallers Garage </w:t>
      </w:r>
      <w:r>
        <w:t xml:space="preserve">Case No 1916P. The judgement and order are dated the </w:t>
      </w:r>
      <w:r w:rsidRPr="00EA784C">
        <w:rPr>
          <w:u w:val="single"/>
        </w:rPr>
        <w:t>6</w:t>
      </w:r>
      <w:r w:rsidRPr="00EA784C">
        <w:rPr>
          <w:u w:val="single"/>
          <w:vertAlign w:val="superscript"/>
        </w:rPr>
        <w:t>th</w:t>
      </w:r>
      <w:r w:rsidRPr="00EA784C">
        <w:rPr>
          <w:u w:val="single"/>
        </w:rPr>
        <w:t xml:space="preserve"> June 2018</w:t>
      </w:r>
      <w:r>
        <w:t>.</w:t>
      </w:r>
    </w:p>
  </w:footnote>
  <w:footnote w:id="2">
    <w:p w:rsidR="00B073AE" w:rsidRDefault="00B073AE">
      <w:pPr>
        <w:pStyle w:val="FootnoteText"/>
      </w:pPr>
      <w:r>
        <w:rPr>
          <w:rStyle w:val="FootnoteReference"/>
        </w:rPr>
        <w:footnoteRef/>
      </w:r>
      <w:r>
        <w:t xml:space="preserve"> See paragraph 10 of the Judgement of Justice Ploos van Amstel J</w:t>
      </w:r>
    </w:p>
  </w:footnote>
  <w:footnote w:id="3">
    <w:p w:rsidR="00B073AE" w:rsidRDefault="00B073AE" w:rsidP="00A44A51">
      <w:pPr>
        <w:pStyle w:val="FootnoteText"/>
        <w:ind w:left="142" w:hanging="142"/>
      </w:pPr>
      <w:r>
        <w:rPr>
          <w:rStyle w:val="FootnoteReference"/>
        </w:rPr>
        <w:footnoteRef/>
      </w:r>
      <w:r>
        <w:t xml:space="preserve"> Subject ultimately – it has to be emphasized - to the powers of the High Court under section 31 and 33 of the Arbitration Act</w:t>
      </w:r>
    </w:p>
  </w:footnote>
  <w:footnote w:id="4">
    <w:p w:rsidR="00B073AE" w:rsidRDefault="00B073AE" w:rsidP="002F35A4">
      <w:pPr>
        <w:pStyle w:val="FootnoteText"/>
        <w:ind w:left="142" w:hanging="142"/>
      </w:pPr>
      <w:r>
        <w:rPr>
          <w:rStyle w:val="FootnoteReference"/>
        </w:rPr>
        <w:footnoteRef/>
      </w:r>
      <w:r>
        <w:t xml:space="preserve"> If the Controller refuses to refer the matter and the refusal is eventually upheld by either an appeal to the Minister or a PAJA review, then that too will be the end of the matter.</w:t>
      </w:r>
    </w:p>
  </w:footnote>
  <w:footnote w:id="5">
    <w:p w:rsidR="00B073AE" w:rsidRDefault="00B073AE">
      <w:pPr>
        <w:pStyle w:val="FootnoteText"/>
      </w:pPr>
      <w:r>
        <w:rPr>
          <w:rStyle w:val="FootnoteReference"/>
        </w:rPr>
        <w:footnoteRef/>
      </w:r>
      <w:r>
        <w:t xml:space="preserve"> See sections 2A(1), (4), (5) and 2B(3) of the PPA</w:t>
      </w:r>
    </w:p>
  </w:footnote>
  <w:footnote w:id="6">
    <w:p w:rsidR="00B073AE" w:rsidRDefault="00B073AE">
      <w:pPr>
        <w:pStyle w:val="FootnoteText"/>
      </w:pPr>
      <w:r>
        <w:rPr>
          <w:rStyle w:val="FootnoteReference"/>
        </w:rPr>
        <w:footnoteRef/>
      </w:r>
      <w:r>
        <w:t xml:space="preserve"> See para 5 of the Judgement of Justice Ploos van Amstel J.</w:t>
      </w:r>
    </w:p>
  </w:footnote>
  <w:footnote w:id="7">
    <w:p w:rsidR="00B073AE" w:rsidRDefault="00B073AE">
      <w:pPr>
        <w:pStyle w:val="FootnoteText"/>
      </w:pPr>
      <w:r>
        <w:rPr>
          <w:rStyle w:val="FootnoteReference"/>
        </w:rPr>
        <w:footnoteRef/>
      </w:r>
      <w:r>
        <w:t xml:space="preserve"> See clause 4.2 to 4.4 thereof</w:t>
      </w:r>
    </w:p>
  </w:footnote>
  <w:footnote w:id="8">
    <w:p w:rsidR="00B073AE" w:rsidRDefault="00B073AE" w:rsidP="002F35A4">
      <w:pPr>
        <w:pStyle w:val="FootnoteText"/>
        <w:ind w:left="142" w:hanging="142"/>
        <w:jc w:val="both"/>
      </w:pPr>
      <w:r>
        <w:rPr>
          <w:rStyle w:val="FootnoteReference"/>
        </w:rPr>
        <w:footnoteRef/>
      </w:r>
      <w:r>
        <w:t xml:space="preserve"> The Respondent’s deponent is one Zeyd Haroun Timol who testified as the CEO of the Respondent. He obviously has no personal knowledge of the cases that are cited or of the pleadings therein or of the heads or argument filed therein and has been, so to speak, ‘fed’ the information by his legal representatives who equally, unless they were directly involved therein, will have no knowledge of the cases other than what the published judgments say.</w:t>
      </w:r>
    </w:p>
  </w:footnote>
  <w:footnote w:id="9">
    <w:p w:rsidR="00B073AE" w:rsidRPr="00347AD8" w:rsidRDefault="00B073AE" w:rsidP="002F35A4">
      <w:pPr>
        <w:pStyle w:val="FootnoteText"/>
        <w:ind w:left="142" w:hanging="142"/>
        <w:rPr>
          <w:i/>
        </w:rPr>
      </w:pPr>
      <w:r>
        <w:rPr>
          <w:rStyle w:val="FootnoteReference"/>
        </w:rPr>
        <w:footnoteRef/>
      </w:r>
      <w:r>
        <w:t xml:space="preserve"> </w:t>
      </w:r>
      <w:r>
        <w:rPr>
          <w:i/>
        </w:rPr>
        <w:t xml:space="preserve">Bright Idea Projects 66 (Pty) Ltd v Former Way Trade and Invest (Pty) Ltd </w:t>
      </w:r>
      <w:r w:rsidRPr="00347AD8">
        <w:rPr>
          <w:b/>
        </w:rPr>
        <w:t>2018 (6) SA 86 (KZP)</w:t>
      </w:r>
      <w:r>
        <w:rPr>
          <w:b/>
        </w:rPr>
        <w:t xml:space="preserve"> – </w:t>
      </w:r>
      <w:r>
        <w:t>a judgement of the Hon (Ms) Justice Pillay J</w:t>
      </w:r>
    </w:p>
  </w:footnote>
  <w:footnote w:id="10">
    <w:p w:rsidR="00B073AE" w:rsidRDefault="00B073AE">
      <w:pPr>
        <w:pStyle w:val="FootnoteText"/>
      </w:pPr>
      <w:r>
        <w:rPr>
          <w:rStyle w:val="FootnoteReference"/>
        </w:rPr>
        <w:footnoteRef/>
      </w:r>
      <w:r>
        <w:t xml:space="preserve"> 2018(6) SA 86 (KZP)</w:t>
      </w:r>
    </w:p>
  </w:footnote>
  <w:footnote w:id="11">
    <w:p w:rsidR="00B073AE" w:rsidRDefault="00B073AE">
      <w:pPr>
        <w:pStyle w:val="FootnoteText"/>
      </w:pPr>
      <w:r>
        <w:rPr>
          <w:rStyle w:val="FootnoteReference"/>
        </w:rPr>
        <w:footnoteRef/>
      </w:r>
      <w:r>
        <w:t xml:space="preserve"> As in the judgement from  paragraphs 24 to 31</w:t>
      </w:r>
    </w:p>
  </w:footnote>
  <w:footnote w:id="12">
    <w:p w:rsidR="00B073AE" w:rsidRDefault="00B073AE" w:rsidP="000A7928">
      <w:pPr>
        <w:pStyle w:val="FootnoteText"/>
      </w:pPr>
      <w:r>
        <w:rPr>
          <w:rStyle w:val="FootnoteReference"/>
        </w:rPr>
        <w:footnoteRef/>
      </w:r>
      <w:r>
        <w:t xml:space="preserve"> From paragraph 22 at p 91F to paragraph 37 at p 96A</w:t>
      </w:r>
    </w:p>
  </w:footnote>
  <w:footnote w:id="13">
    <w:p w:rsidR="00B073AE" w:rsidRDefault="00B073AE" w:rsidP="000A7928">
      <w:pPr>
        <w:pStyle w:val="FootnoteText"/>
      </w:pPr>
      <w:r>
        <w:rPr>
          <w:rStyle w:val="FootnoteReference"/>
        </w:rPr>
        <w:footnoteRef/>
      </w:r>
      <w:r>
        <w:t xml:space="preserve"> No other oil company in the Republic has implemented such a kind of system</w:t>
      </w:r>
    </w:p>
  </w:footnote>
  <w:footnote w:id="14">
    <w:p w:rsidR="00B073AE" w:rsidRDefault="00B073AE" w:rsidP="000A7928">
      <w:pPr>
        <w:pStyle w:val="FootnoteText"/>
      </w:pPr>
      <w:r>
        <w:rPr>
          <w:rStyle w:val="FootnoteReference"/>
        </w:rPr>
        <w:footnoteRef/>
      </w:r>
      <w:r>
        <w:t xml:space="preserve"> 6</w:t>
      </w:r>
      <w:r w:rsidRPr="00E3382B">
        <w:rPr>
          <w:vertAlign w:val="superscript"/>
        </w:rPr>
        <w:t>th</w:t>
      </w:r>
      <w:r>
        <w:t xml:space="preserve"> September 2019</w:t>
      </w:r>
    </w:p>
  </w:footnote>
  <w:footnote w:id="15">
    <w:p w:rsidR="00B073AE" w:rsidRDefault="00B073AE" w:rsidP="000A7928">
      <w:pPr>
        <w:pStyle w:val="FootnoteText"/>
      </w:pPr>
      <w:r>
        <w:rPr>
          <w:rStyle w:val="FootnoteReference"/>
        </w:rPr>
        <w:footnoteRef/>
      </w:r>
      <w:r>
        <w:t xml:space="preserve"> 28</w:t>
      </w:r>
      <w:r w:rsidRPr="00E3382B">
        <w:rPr>
          <w:vertAlign w:val="superscript"/>
        </w:rPr>
        <w:t>th</w:t>
      </w:r>
      <w:r>
        <w:t xml:space="preserve"> October 2019</w:t>
      </w:r>
    </w:p>
  </w:footnote>
  <w:footnote w:id="16">
    <w:p w:rsidR="00EA7EF6" w:rsidRDefault="00EA7EF6" w:rsidP="00EA7EF6">
      <w:pPr>
        <w:pStyle w:val="FootnoteText"/>
        <w:ind w:left="142" w:hanging="142"/>
      </w:pPr>
      <w:r>
        <w:rPr>
          <w:rStyle w:val="FootnoteReference"/>
        </w:rPr>
        <w:footnoteRef/>
      </w:r>
      <w:r>
        <w:t xml:space="preserve"> </w:t>
      </w:r>
      <w:r w:rsidRPr="00B073AE">
        <w:rPr>
          <w:rFonts w:cs="Arial"/>
          <w:i/>
          <w:shd w:val="clear" w:color="auto" w:fill="FFFFFF"/>
        </w:rPr>
        <w:t>Off-Beat Holiday Club and Another v Sanbonani Holiday Spa Shareblock Limited and Others</w:t>
      </w:r>
      <w:r w:rsidRPr="00B073AE">
        <w:rPr>
          <w:rFonts w:cs="Arial"/>
          <w:shd w:val="clear" w:color="auto" w:fill="FFFFFF"/>
        </w:rPr>
        <w:t xml:space="preserve"> </w:t>
      </w:r>
      <w:r w:rsidRPr="00B073AE">
        <w:rPr>
          <w:rFonts w:cs="Arial"/>
          <w:b/>
          <w:shd w:val="clear" w:color="auto" w:fill="FFFFFF"/>
        </w:rPr>
        <w:t>[2017] ZACC 15; 2017 (7) BCLR 916 (CC); 2017 (5) SA 9 (CC)</w:t>
      </w:r>
      <w:r w:rsidRPr="00B073AE">
        <w:rPr>
          <w:rFonts w:cs="Arial"/>
          <w:shd w:val="clear" w:color="auto" w:fill="FFFFFF"/>
        </w:rPr>
        <w:t xml:space="preserve"> para 77</w:t>
      </w:r>
      <w:r>
        <w:rPr>
          <w:rFonts w:cs="Arial"/>
          <w:shd w:val="clear" w:color="auto" w:fill="FFFFFF"/>
        </w:rPr>
        <w:t xml:space="preserve"> and fn 59; the decision followed some 3 months after the </w:t>
      </w:r>
      <w:r w:rsidRPr="00B073AE">
        <w:rPr>
          <w:rFonts w:cs="Arial"/>
          <w:i/>
          <w:shd w:val="clear" w:color="auto" w:fill="FFFFFF"/>
        </w:rPr>
        <w:t>Business Zone</w:t>
      </w:r>
      <w:r>
        <w:rPr>
          <w:rFonts w:cs="Arial"/>
          <w:shd w:val="clear" w:color="auto" w:fill="FFFFFF"/>
        </w:rPr>
        <w:t xml:space="preserve"> judgement was handed down.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9275753"/>
      <w:docPartObj>
        <w:docPartGallery w:val="Page Numbers (Top of Page)"/>
        <w:docPartUnique/>
      </w:docPartObj>
    </w:sdtPr>
    <w:sdtEndPr>
      <w:rPr>
        <w:noProof/>
      </w:rPr>
    </w:sdtEndPr>
    <w:sdtContent>
      <w:p w:rsidR="00B073AE" w:rsidRDefault="00B073AE">
        <w:pPr>
          <w:pStyle w:val="Header"/>
          <w:jc w:val="right"/>
        </w:pPr>
        <w:r>
          <w:fldChar w:fldCharType="begin"/>
        </w:r>
        <w:r>
          <w:instrText xml:space="preserve"> PAGE   \* MERGEFORMAT </w:instrText>
        </w:r>
        <w:r>
          <w:fldChar w:fldCharType="separate"/>
        </w:r>
        <w:r w:rsidR="00D63E2E">
          <w:rPr>
            <w:noProof/>
          </w:rPr>
          <w:t>4</w:t>
        </w:r>
        <w:r>
          <w:rPr>
            <w:noProof/>
          </w:rPr>
          <w:fldChar w:fldCharType="end"/>
        </w:r>
      </w:p>
    </w:sdtContent>
  </w:sdt>
  <w:p w:rsidR="00B073AE" w:rsidRDefault="00B073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3723B7"/>
    <w:multiLevelType w:val="hybridMultilevel"/>
    <w:tmpl w:val="4B0426B0"/>
    <w:lvl w:ilvl="0" w:tplc="BA6A0CC6">
      <w:start w:val="1"/>
      <w:numFmt w:val="decimal"/>
      <w:lvlText w:val="%1."/>
      <w:lvlJc w:val="left"/>
      <w:pPr>
        <w:ind w:left="567" w:hanging="567"/>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64B24922"/>
    <w:multiLevelType w:val="hybridMultilevel"/>
    <w:tmpl w:val="F06ADCD8"/>
    <w:lvl w:ilvl="0" w:tplc="7F3CAB4C">
      <w:start w:val="1"/>
      <w:numFmt w:val="decimal"/>
      <w:lvlText w:val="%1."/>
      <w:lvlJc w:val="left"/>
      <w:pPr>
        <w:ind w:left="567" w:hanging="567"/>
      </w:pPr>
      <w:rPr>
        <w:rFonts w:hint="default"/>
        <w:b w:val="0"/>
        <w:sz w:val="22"/>
        <w:szCs w:val="22"/>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69105837"/>
    <w:multiLevelType w:val="hybridMultilevel"/>
    <w:tmpl w:val="A8AC74E2"/>
    <w:lvl w:ilvl="0" w:tplc="F440FE26">
      <w:start w:val="1"/>
      <w:numFmt w:val="decimal"/>
      <w:lvlText w:val="%1."/>
      <w:lvlJc w:val="left"/>
      <w:pPr>
        <w:ind w:left="567" w:hanging="510"/>
      </w:pPr>
      <w:rPr>
        <w:rFonts w:hint="default"/>
        <w:sz w:val="22"/>
        <w:szCs w:val="22"/>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5A4"/>
    <w:rsid w:val="00033B9A"/>
    <w:rsid w:val="000571E1"/>
    <w:rsid w:val="000A7928"/>
    <w:rsid w:val="001037D1"/>
    <w:rsid w:val="00145FEF"/>
    <w:rsid w:val="00157D39"/>
    <w:rsid w:val="001613E7"/>
    <w:rsid w:val="001D2961"/>
    <w:rsid w:val="001E6B14"/>
    <w:rsid w:val="00205180"/>
    <w:rsid w:val="00244DC2"/>
    <w:rsid w:val="002A5AF5"/>
    <w:rsid w:val="002F35A4"/>
    <w:rsid w:val="002F5FE5"/>
    <w:rsid w:val="003261D6"/>
    <w:rsid w:val="00482539"/>
    <w:rsid w:val="004A39C6"/>
    <w:rsid w:val="004C24B8"/>
    <w:rsid w:val="004C4971"/>
    <w:rsid w:val="00521771"/>
    <w:rsid w:val="00551DE5"/>
    <w:rsid w:val="005752DD"/>
    <w:rsid w:val="005D293A"/>
    <w:rsid w:val="006208DC"/>
    <w:rsid w:val="0064279D"/>
    <w:rsid w:val="00653D81"/>
    <w:rsid w:val="006E3535"/>
    <w:rsid w:val="006F3996"/>
    <w:rsid w:val="007113AF"/>
    <w:rsid w:val="00780863"/>
    <w:rsid w:val="007B2F9A"/>
    <w:rsid w:val="007B54E7"/>
    <w:rsid w:val="007D5BA4"/>
    <w:rsid w:val="007E2324"/>
    <w:rsid w:val="0080360E"/>
    <w:rsid w:val="00835EE4"/>
    <w:rsid w:val="00844DE6"/>
    <w:rsid w:val="008C4EBE"/>
    <w:rsid w:val="008C7557"/>
    <w:rsid w:val="009256AA"/>
    <w:rsid w:val="009574AC"/>
    <w:rsid w:val="009A506F"/>
    <w:rsid w:val="009E0894"/>
    <w:rsid w:val="00A44A51"/>
    <w:rsid w:val="00B073AE"/>
    <w:rsid w:val="00B157DB"/>
    <w:rsid w:val="00B66348"/>
    <w:rsid w:val="00BC13CF"/>
    <w:rsid w:val="00BE1433"/>
    <w:rsid w:val="00C90EED"/>
    <w:rsid w:val="00D167F0"/>
    <w:rsid w:val="00D63E2E"/>
    <w:rsid w:val="00D75240"/>
    <w:rsid w:val="00DC0CA7"/>
    <w:rsid w:val="00DC1C52"/>
    <w:rsid w:val="00DE127E"/>
    <w:rsid w:val="00E466E1"/>
    <w:rsid w:val="00EA784C"/>
    <w:rsid w:val="00EA7EF6"/>
    <w:rsid w:val="00EC3DCF"/>
    <w:rsid w:val="00F51F14"/>
    <w:rsid w:val="00FC009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D6807C-576E-40AC-BE9C-5964E6ED9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35A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35A4"/>
    <w:pPr>
      <w:ind w:left="720"/>
      <w:contextualSpacing/>
    </w:pPr>
  </w:style>
  <w:style w:type="character" w:styleId="Hyperlink">
    <w:name w:val="Hyperlink"/>
    <w:basedOn w:val="DefaultParagraphFont"/>
    <w:uiPriority w:val="99"/>
    <w:semiHidden/>
    <w:unhideWhenUsed/>
    <w:rsid w:val="002F35A4"/>
    <w:rPr>
      <w:color w:val="0000FF"/>
      <w:u w:val="single"/>
    </w:rPr>
  </w:style>
  <w:style w:type="paragraph" w:styleId="Header">
    <w:name w:val="header"/>
    <w:basedOn w:val="Normal"/>
    <w:link w:val="HeaderChar"/>
    <w:uiPriority w:val="99"/>
    <w:unhideWhenUsed/>
    <w:rsid w:val="002F35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2F35A4"/>
  </w:style>
  <w:style w:type="paragraph" w:styleId="FootnoteText">
    <w:name w:val="footnote text"/>
    <w:basedOn w:val="Normal"/>
    <w:link w:val="FootnoteTextChar"/>
    <w:uiPriority w:val="99"/>
    <w:semiHidden/>
    <w:unhideWhenUsed/>
    <w:rsid w:val="002F35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F35A4"/>
    <w:rPr>
      <w:sz w:val="20"/>
      <w:szCs w:val="20"/>
    </w:rPr>
  </w:style>
  <w:style w:type="character" w:styleId="FootnoteReference">
    <w:name w:val="footnote reference"/>
    <w:basedOn w:val="DefaultParagraphFont"/>
    <w:uiPriority w:val="99"/>
    <w:semiHidden/>
    <w:unhideWhenUsed/>
    <w:rsid w:val="002F35A4"/>
    <w:rPr>
      <w:vertAlign w:val="superscript"/>
    </w:rPr>
  </w:style>
  <w:style w:type="paragraph" w:styleId="BalloonText">
    <w:name w:val="Balloon Text"/>
    <w:basedOn w:val="Normal"/>
    <w:link w:val="BalloonTextChar"/>
    <w:uiPriority w:val="99"/>
    <w:semiHidden/>
    <w:unhideWhenUsed/>
    <w:rsid w:val="00EC3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3D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flii.org/cgi-bin/disp.pl?file=za/cases/ZACC/2017/2.html&amp;query=%20EMMARENTIA%20CONVENIE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83F32B-BF70-43A1-8231-A4DB63530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6913</Words>
  <Characters>39409</Characters>
  <Application>Microsoft Office Word</Application>
  <DocSecurity>4</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savvas</dc:creator>
  <cp:keywords/>
  <dc:description/>
  <cp:lastModifiedBy>Mary-Ann  Gettliffe</cp:lastModifiedBy>
  <cp:revision>2</cp:revision>
  <cp:lastPrinted>2020-02-02T12:33:00Z</cp:lastPrinted>
  <dcterms:created xsi:type="dcterms:W3CDTF">2021-02-09T10:03:00Z</dcterms:created>
  <dcterms:modified xsi:type="dcterms:W3CDTF">2021-02-09T10:03:00Z</dcterms:modified>
</cp:coreProperties>
</file>