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925A6C9" w14:textId="77777777" w:rsidR="00810BEC" w:rsidRPr="00810BEC" w:rsidRDefault="00810BEC" w:rsidP="00810BEC">
      <w:pPr>
        <w:jc w:val="center"/>
        <w:rPr>
          <w:rFonts w:ascii="Times New Roman" w:hAnsi="Times New Roman" w:cs="Times New Roman"/>
        </w:rPr>
      </w:pPr>
      <w:r w:rsidRPr="00810BEC">
        <w:rPr>
          <w:rFonts w:ascii="Times New Roman" w:hAnsi="Times New Roman" w:cs="Times New Roman"/>
          <w:noProof/>
          <w:lang w:val="en-ZA" w:eastAsia="en-ZA"/>
        </w:rPr>
        <w:drawing>
          <wp:inline distT="0" distB="0" distL="0" distR="0" wp14:anchorId="319AB9BE" wp14:editId="17D47DD3">
            <wp:extent cx="809625" cy="828675"/>
            <wp:effectExtent l="19050" t="0" r="9525" b="0"/>
            <wp:docPr id="1" name="Picture 1" descr="cid:image001.png@01CB1DF1.85740C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1.png@01CB1DF1.85740C50"/>
                    <pic:cNvPicPr>
                      <a:picLocks noChangeAspect="1" noChangeArrowheads="1"/>
                    </pic:cNvPicPr>
                  </pic:nvPicPr>
                  <pic:blipFill>
                    <a:blip r:embed="rId6" r:link="rId7" cstate="print"/>
                    <a:srcRect l="6632" r="12832"/>
                    <a:stretch>
                      <a:fillRect/>
                    </a:stretch>
                  </pic:blipFill>
                  <pic:spPr bwMode="auto">
                    <a:xfrm>
                      <a:off x="0" y="0"/>
                      <a:ext cx="809625" cy="828675"/>
                    </a:xfrm>
                    <a:prstGeom prst="rect">
                      <a:avLst/>
                    </a:prstGeom>
                    <a:noFill/>
                    <a:ln w="9525">
                      <a:noFill/>
                      <a:miter lim="800000"/>
                      <a:headEnd/>
                      <a:tailEnd/>
                    </a:ln>
                  </pic:spPr>
                </pic:pic>
              </a:graphicData>
            </a:graphic>
          </wp:inline>
        </w:drawing>
      </w:r>
    </w:p>
    <w:p w14:paraId="647C5864" w14:textId="77777777" w:rsidR="00810BEC" w:rsidRPr="00810BEC" w:rsidRDefault="00810BEC" w:rsidP="00810BEC">
      <w:pPr>
        <w:jc w:val="center"/>
        <w:rPr>
          <w:rFonts w:ascii="Times New Roman" w:hAnsi="Times New Roman" w:cs="Times New Roman"/>
        </w:rPr>
      </w:pPr>
    </w:p>
    <w:p w14:paraId="1157D956" w14:textId="77777777" w:rsidR="00810BEC" w:rsidRPr="00810BEC" w:rsidRDefault="00810BEC" w:rsidP="00810BEC">
      <w:pPr>
        <w:jc w:val="center"/>
        <w:rPr>
          <w:rFonts w:ascii="Times New Roman" w:hAnsi="Times New Roman" w:cs="Times New Roman"/>
          <w:b/>
        </w:rPr>
      </w:pPr>
      <w:r w:rsidRPr="00810BEC">
        <w:rPr>
          <w:rFonts w:ascii="Times New Roman" w:hAnsi="Times New Roman" w:cs="Times New Roman"/>
          <w:b/>
        </w:rPr>
        <w:t>CONSTITUTIONAL COURT OF SOUTH AFRICA</w:t>
      </w:r>
    </w:p>
    <w:p w14:paraId="72396605" w14:textId="77777777" w:rsidR="00810BEC" w:rsidRPr="00810BEC" w:rsidRDefault="00810BEC" w:rsidP="00810BEC">
      <w:pPr>
        <w:jc w:val="center"/>
        <w:rPr>
          <w:rFonts w:ascii="Times New Roman" w:hAnsi="Times New Roman" w:cs="Times New Roman"/>
          <w:b/>
        </w:rPr>
      </w:pPr>
    </w:p>
    <w:p w14:paraId="1F0BCD59" w14:textId="77777777" w:rsidR="00810BEC" w:rsidRPr="00810BEC" w:rsidRDefault="00810BEC" w:rsidP="00810BEC">
      <w:pPr>
        <w:tabs>
          <w:tab w:val="right" w:pos="9360"/>
        </w:tabs>
        <w:ind w:right="284"/>
        <w:jc w:val="center"/>
        <w:rPr>
          <w:rFonts w:ascii="Times New Roman" w:hAnsi="Times New Roman" w:cs="Times New Roman"/>
          <w:b/>
        </w:rPr>
      </w:pPr>
      <w:r w:rsidRPr="00810BEC">
        <w:rPr>
          <w:rFonts w:ascii="Times New Roman" w:hAnsi="Times New Roman" w:cs="Times New Roman"/>
          <w:b/>
        </w:rPr>
        <w:t>Crompton Street Motors v Bright Idea Projects 66 (Pty) Limited</w:t>
      </w:r>
    </w:p>
    <w:p w14:paraId="22D188CE" w14:textId="77777777" w:rsidR="00810BEC" w:rsidRPr="00810BEC" w:rsidRDefault="00810BEC" w:rsidP="00810BEC">
      <w:pPr>
        <w:tabs>
          <w:tab w:val="right" w:pos="9360"/>
        </w:tabs>
        <w:ind w:right="284"/>
        <w:jc w:val="center"/>
        <w:rPr>
          <w:rFonts w:ascii="Times New Roman" w:hAnsi="Times New Roman" w:cs="Times New Roman"/>
          <w:b/>
        </w:rPr>
      </w:pPr>
    </w:p>
    <w:p w14:paraId="5B7A0686" w14:textId="77777777" w:rsidR="00810BEC" w:rsidRPr="00810BEC" w:rsidRDefault="00810BEC" w:rsidP="00810BEC">
      <w:pPr>
        <w:tabs>
          <w:tab w:val="right" w:pos="9360"/>
        </w:tabs>
        <w:ind w:right="284"/>
        <w:jc w:val="center"/>
        <w:rPr>
          <w:rFonts w:ascii="Times New Roman" w:hAnsi="Times New Roman" w:cs="Times New Roman"/>
          <w:b/>
        </w:rPr>
      </w:pPr>
      <w:r w:rsidRPr="00810BEC">
        <w:rPr>
          <w:rFonts w:ascii="Times New Roman" w:hAnsi="Times New Roman" w:cs="Times New Roman"/>
          <w:b/>
        </w:rPr>
        <w:t>Former Way Trade and Invest (Pty) Limited v Bright Idea Projects 66 (Pty) Limited and Another</w:t>
      </w:r>
    </w:p>
    <w:p w14:paraId="73592BA7" w14:textId="77777777" w:rsidR="00810BEC" w:rsidRPr="00810BEC" w:rsidRDefault="00810BEC" w:rsidP="00810BEC">
      <w:pPr>
        <w:tabs>
          <w:tab w:val="right" w:pos="9360"/>
        </w:tabs>
        <w:ind w:right="284"/>
        <w:jc w:val="both"/>
        <w:rPr>
          <w:rFonts w:ascii="Times New Roman" w:hAnsi="Times New Roman" w:cs="Times New Roman"/>
          <w:b/>
        </w:rPr>
      </w:pPr>
    </w:p>
    <w:p w14:paraId="3EEC91DD" w14:textId="77777777" w:rsidR="00810BEC" w:rsidRPr="00810BEC" w:rsidRDefault="00810BEC" w:rsidP="00810BEC">
      <w:pPr>
        <w:tabs>
          <w:tab w:val="right" w:pos="9360"/>
        </w:tabs>
        <w:ind w:right="284"/>
        <w:jc w:val="right"/>
        <w:rPr>
          <w:rFonts w:ascii="Times New Roman" w:hAnsi="Times New Roman" w:cs="Times New Roman"/>
          <w:bCs/>
          <w:sz w:val="26"/>
          <w:szCs w:val="26"/>
        </w:rPr>
      </w:pPr>
    </w:p>
    <w:p w14:paraId="14A4B037" w14:textId="77777777" w:rsidR="00810BEC" w:rsidRPr="00810BEC" w:rsidRDefault="00810BEC" w:rsidP="00810BEC">
      <w:pPr>
        <w:jc w:val="right"/>
        <w:rPr>
          <w:rFonts w:ascii="Times New Roman" w:hAnsi="Times New Roman" w:cs="Times New Roman"/>
          <w:b/>
        </w:rPr>
      </w:pPr>
      <w:r w:rsidRPr="00810BEC">
        <w:rPr>
          <w:rFonts w:ascii="Times New Roman" w:hAnsi="Times New Roman" w:cs="Times New Roman"/>
          <w:b/>
        </w:rPr>
        <w:t>CCT 19/20 and CCT 237/20</w:t>
      </w:r>
    </w:p>
    <w:p w14:paraId="0D08FB29" w14:textId="77777777" w:rsidR="00810BEC" w:rsidRPr="00810BEC" w:rsidRDefault="00810BEC" w:rsidP="00810BEC">
      <w:pPr>
        <w:jc w:val="right"/>
        <w:rPr>
          <w:rFonts w:ascii="Times New Roman" w:hAnsi="Times New Roman" w:cs="Times New Roman"/>
          <w:b/>
        </w:rPr>
      </w:pPr>
    </w:p>
    <w:p w14:paraId="2C980AD2" w14:textId="77777777" w:rsidR="00810BEC" w:rsidRPr="00810BEC" w:rsidRDefault="00810BEC" w:rsidP="00810BEC">
      <w:pPr>
        <w:jc w:val="right"/>
        <w:rPr>
          <w:rFonts w:ascii="Times New Roman" w:hAnsi="Times New Roman" w:cs="Times New Roman"/>
          <w:b/>
        </w:rPr>
      </w:pPr>
      <w:r w:rsidRPr="00810BEC">
        <w:rPr>
          <w:rFonts w:ascii="Times New Roman" w:hAnsi="Times New Roman" w:cs="Times New Roman"/>
          <w:b/>
        </w:rPr>
        <w:t>Date of hearing: 9 March 2021</w:t>
      </w:r>
    </w:p>
    <w:p w14:paraId="5FE3D33C" w14:textId="1CB71271" w:rsidR="00810BEC" w:rsidRPr="00810BEC" w:rsidRDefault="00810BEC" w:rsidP="00810BEC">
      <w:pPr>
        <w:jc w:val="both"/>
        <w:rPr>
          <w:rFonts w:ascii="Times New Roman" w:hAnsi="Times New Roman" w:cs="Times New Roman"/>
        </w:rPr>
      </w:pPr>
      <w:r w:rsidRPr="00810BEC">
        <w:rPr>
          <w:rFonts w:ascii="Times New Roman" w:hAnsi="Times New Roman" w:cs="Times New Roman"/>
        </w:rPr>
        <w:t>_______________________________________________________________________</w:t>
      </w:r>
      <w:r>
        <w:rPr>
          <w:rFonts w:ascii="Times New Roman" w:hAnsi="Times New Roman" w:cs="Times New Roman"/>
        </w:rPr>
        <w:t>____</w:t>
      </w:r>
    </w:p>
    <w:p w14:paraId="422B806F" w14:textId="77777777" w:rsidR="00810BEC" w:rsidRPr="00810BEC" w:rsidRDefault="00810BEC" w:rsidP="00810BEC">
      <w:pPr>
        <w:jc w:val="both"/>
        <w:rPr>
          <w:rFonts w:ascii="Times New Roman" w:hAnsi="Times New Roman" w:cs="Times New Roman"/>
          <w:b/>
        </w:rPr>
      </w:pPr>
    </w:p>
    <w:p w14:paraId="19EB01C9" w14:textId="77777777" w:rsidR="00810BEC" w:rsidRPr="00810BEC" w:rsidRDefault="00810BEC" w:rsidP="00810BEC">
      <w:pPr>
        <w:jc w:val="center"/>
        <w:rPr>
          <w:rFonts w:ascii="Times New Roman" w:hAnsi="Times New Roman" w:cs="Times New Roman"/>
          <w:b/>
        </w:rPr>
      </w:pPr>
      <w:r w:rsidRPr="00810BEC">
        <w:rPr>
          <w:rFonts w:ascii="Times New Roman" w:hAnsi="Times New Roman" w:cs="Times New Roman"/>
          <w:b/>
        </w:rPr>
        <w:t>MEDIA SUMMARY</w:t>
      </w:r>
    </w:p>
    <w:p w14:paraId="67B03F3A" w14:textId="5FE62F72" w:rsidR="00810BEC" w:rsidRPr="00810BEC" w:rsidRDefault="00810BEC" w:rsidP="00810BEC">
      <w:pPr>
        <w:jc w:val="both"/>
        <w:rPr>
          <w:rFonts w:ascii="Times New Roman" w:hAnsi="Times New Roman" w:cs="Times New Roman"/>
        </w:rPr>
      </w:pPr>
      <w:r w:rsidRPr="00810BEC">
        <w:rPr>
          <w:rFonts w:ascii="Times New Roman" w:hAnsi="Times New Roman" w:cs="Times New Roman"/>
        </w:rPr>
        <w:t>________________________________________________________________________</w:t>
      </w:r>
      <w:r>
        <w:rPr>
          <w:rFonts w:ascii="Times New Roman" w:hAnsi="Times New Roman" w:cs="Times New Roman"/>
        </w:rPr>
        <w:t>___</w:t>
      </w:r>
    </w:p>
    <w:p w14:paraId="6F7691A6" w14:textId="77777777" w:rsidR="00810BEC" w:rsidRPr="00810BEC" w:rsidRDefault="00810BEC" w:rsidP="00810BEC">
      <w:pPr>
        <w:spacing w:line="360" w:lineRule="auto"/>
        <w:jc w:val="both"/>
        <w:rPr>
          <w:rFonts w:ascii="Times New Roman" w:hAnsi="Times New Roman" w:cs="Times New Roman"/>
        </w:rPr>
      </w:pPr>
    </w:p>
    <w:p w14:paraId="32BE77A1" w14:textId="77777777" w:rsidR="00810BEC" w:rsidRPr="00810BEC" w:rsidRDefault="00810BEC" w:rsidP="00810BEC">
      <w:pPr>
        <w:jc w:val="both"/>
        <w:rPr>
          <w:rFonts w:ascii="Times New Roman" w:hAnsi="Times New Roman" w:cs="Times New Roman"/>
          <w:i/>
        </w:rPr>
      </w:pPr>
      <w:r w:rsidRPr="00810BEC">
        <w:rPr>
          <w:rFonts w:ascii="Times New Roman" w:hAnsi="Times New Roman" w:cs="Times New Roman"/>
          <w:i/>
        </w:rPr>
        <w:t>The following explanatory note is provided to assist the media in reporting this case and is not binding on the Constitutional Court or any member of the Court.</w:t>
      </w:r>
    </w:p>
    <w:p w14:paraId="242F2475" w14:textId="77777777" w:rsidR="00810BEC" w:rsidRDefault="00810BEC" w:rsidP="00C15DA5">
      <w:pPr>
        <w:jc w:val="both"/>
        <w:rPr>
          <w:rFonts w:ascii="Times New Roman" w:hAnsi="Times New Roman" w:cs="Times New Roman"/>
        </w:rPr>
      </w:pPr>
    </w:p>
    <w:p w14:paraId="13FB1BFF" w14:textId="6C0F3B29" w:rsidR="00C15DA5" w:rsidRPr="00C15DA5" w:rsidRDefault="00C15DA5" w:rsidP="00C15DA5">
      <w:pPr>
        <w:jc w:val="both"/>
        <w:rPr>
          <w:rFonts w:ascii="Times New Roman" w:hAnsi="Times New Roman" w:cs="Times New Roman"/>
        </w:rPr>
      </w:pPr>
      <w:r w:rsidRPr="00C15DA5">
        <w:rPr>
          <w:rFonts w:ascii="Times New Roman" w:hAnsi="Times New Roman" w:cs="Times New Roman"/>
        </w:rPr>
        <w:t>On Tuesday, 9 March 2021 at 10h00, the Constitutional Court will hear two applications.</w:t>
      </w:r>
      <w:r w:rsidR="00A947A9">
        <w:rPr>
          <w:rFonts w:ascii="Times New Roman" w:hAnsi="Times New Roman" w:cs="Times New Roman"/>
        </w:rPr>
        <w:t xml:space="preserve"> </w:t>
      </w:r>
      <w:r w:rsidRPr="00C15DA5">
        <w:rPr>
          <w:rFonts w:ascii="Times New Roman" w:hAnsi="Times New Roman" w:cs="Times New Roman"/>
        </w:rPr>
        <w:t xml:space="preserve"> The first</w:t>
      </w:r>
      <w:r w:rsidR="00B225BF">
        <w:rPr>
          <w:rFonts w:ascii="Times New Roman" w:hAnsi="Times New Roman" w:cs="Times New Roman"/>
        </w:rPr>
        <w:t>,</w:t>
      </w:r>
      <w:r w:rsidRPr="00C15DA5">
        <w:rPr>
          <w:rFonts w:ascii="Times New Roman" w:hAnsi="Times New Roman" w:cs="Times New Roman"/>
        </w:rPr>
        <w:t xml:space="preserve"> is an application for leave to appeal against a judgment and order of the High Court of South Africa, KwaZulu-Natal Division, </w:t>
      </w:r>
      <w:r w:rsidR="00FC6728" w:rsidRPr="00C15DA5">
        <w:rPr>
          <w:rFonts w:ascii="Times New Roman" w:hAnsi="Times New Roman" w:cs="Times New Roman"/>
        </w:rPr>
        <w:t>Pietermaritzburg</w:t>
      </w:r>
      <w:r w:rsidR="00FC6728">
        <w:rPr>
          <w:rFonts w:ascii="Times New Roman" w:hAnsi="Times New Roman" w:cs="Times New Roman"/>
        </w:rPr>
        <w:t>.</w:t>
      </w:r>
      <w:r w:rsidR="00FC6728" w:rsidRPr="00C15DA5">
        <w:rPr>
          <w:rFonts w:ascii="Times New Roman" w:hAnsi="Times New Roman" w:cs="Times New Roman"/>
        </w:rPr>
        <w:t xml:space="preserve"> </w:t>
      </w:r>
      <w:r w:rsidR="00FC6728">
        <w:rPr>
          <w:rFonts w:ascii="Times New Roman" w:hAnsi="Times New Roman" w:cs="Times New Roman"/>
        </w:rPr>
        <w:t xml:space="preserve"> </w:t>
      </w:r>
      <w:r w:rsidR="00FC6728" w:rsidRPr="00C15DA5">
        <w:rPr>
          <w:rFonts w:ascii="Times New Roman" w:hAnsi="Times New Roman" w:cs="Times New Roman"/>
        </w:rPr>
        <w:t>The</w:t>
      </w:r>
      <w:r w:rsidRPr="00C15DA5">
        <w:rPr>
          <w:rFonts w:ascii="Times New Roman" w:hAnsi="Times New Roman" w:cs="Times New Roman"/>
        </w:rPr>
        <w:t xml:space="preserve"> High Court refused an application for a stay of proceedings by Crompton Street Motors CC, t/a Wallers Garage Service Station, the applicant, pending a request to the Controller of Petroleum Products for the matter to be referred to arbitration in terms of section 12B of the Petroleum Products Act 120 of 1977; and granted an order of eviction against the applicant from the premises owned by Bright Idea Projects 66 (Pty) Limited t/a All Fuels, the respondent in both applications.</w:t>
      </w:r>
    </w:p>
    <w:p w14:paraId="236DB658" w14:textId="252AC1D9" w:rsidR="00C15DA5" w:rsidRPr="00C15DA5" w:rsidRDefault="00C15DA5" w:rsidP="00C15DA5">
      <w:pPr>
        <w:jc w:val="both"/>
        <w:rPr>
          <w:rFonts w:ascii="Times New Roman" w:hAnsi="Times New Roman" w:cs="Times New Roman"/>
        </w:rPr>
      </w:pPr>
    </w:p>
    <w:p w14:paraId="42F903FE" w14:textId="12A704AA" w:rsidR="00C15DA5" w:rsidRPr="00C15DA5" w:rsidRDefault="00C15DA5" w:rsidP="00C15DA5">
      <w:pPr>
        <w:jc w:val="both"/>
        <w:rPr>
          <w:rFonts w:ascii="Times New Roman" w:hAnsi="Times New Roman" w:cs="Times New Roman"/>
        </w:rPr>
      </w:pPr>
      <w:r w:rsidRPr="00C15DA5">
        <w:rPr>
          <w:rFonts w:ascii="Times New Roman" w:hAnsi="Times New Roman" w:cs="Times New Roman"/>
        </w:rPr>
        <w:t>The second</w:t>
      </w:r>
      <w:r w:rsidR="00B225BF">
        <w:rPr>
          <w:rFonts w:ascii="Times New Roman" w:hAnsi="Times New Roman" w:cs="Times New Roman"/>
        </w:rPr>
        <w:t>,</w:t>
      </w:r>
      <w:r w:rsidRPr="00C15DA5">
        <w:rPr>
          <w:rFonts w:ascii="Times New Roman" w:hAnsi="Times New Roman" w:cs="Times New Roman"/>
        </w:rPr>
        <w:t xml:space="preserve"> is an application for leave to appeal against a judgment of the Supreme Court of Appeal in which it refused leave to appeal against the judgment and order of the High Court of South Africa, KwaZulu-Natal Division, Pietermaritzburg</w:t>
      </w:r>
      <w:r w:rsidR="00FC6728">
        <w:rPr>
          <w:rFonts w:ascii="Times New Roman" w:hAnsi="Times New Roman" w:cs="Times New Roman"/>
        </w:rPr>
        <w:t xml:space="preserve">.  </w:t>
      </w:r>
      <w:r w:rsidRPr="00C15DA5">
        <w:rPr>
          <w:rFonts w:ascii="Times New Roman" w:hAnsi="Times New Roman" w:cs="Times New Roman"/>
        </w:rPr>
        <w:t xml:space="preserve">The High Court refused to grant </w:t>
      </w:r>
      <w:r w:rsidR="009039C8">
        <w:rPr>
          <w:rFonts w:ascii="Times New Roman" w:hAnsi="Times New Roman" w:cs="Times New Roman"/>
        </w:rPr>
        <w:t xml:space="preserve">a </w:t>
      </w:r>
      <w:r w:rsidRPr="00C15DA5">
        <w:rPr>
          <w:rFonts w:ascii="Times New Roman" w:hAnsi="Times New Roman" w:cs="Times New Roman"/>
        </w:rPr>
        <w:t>stay of proceedings pending arbitration in terms of section 12B of the Petroleum Products Act by Former Way Trade and Invest (Pty) Limited, the applicant in th</w:t>
      </w:r>
      <w:r w:rsidR="00B225BF">
        <w:rPr>
          <w:rFonts w:ascii="Times New Roman" w:hAnsi="Times New Roman" w:cs="Times New Roman"/>
        </w:rPr>
        <w:t>is</w:t>
      </w:r>
      <w:r w:rsidRPr="00C15DA5">
        <w:rPr>
          <w:rFonts w:ascii="Times New Roman" w:hAnsi="Times New Roman" w:cs="Times New Roman"/>
        </w:rPr>
        <w:t xml:space="preserve"> application; and ordered the applicant to vacate the premises owned by the respondent.</w:t>
      </w:r>
    </w:p>
    <w:p w14:paraId="661AFFB0" w14:textId="6E8035FA" w:rsidR="00C15DA5" w:rsidRPr="00C15DA5" w:rsidRDefault="00C15DA5" w:rsidP="00C15DA5">
      <w:pPr>
        <w:jc w:val="both"/>
        <w:rPr>
          <w:rFonts w:ascii="Times New Roman" w:hAnsi="Times New Roman" w:cs="Times New Roman"/>
        </w:rPr>
      </w:pPr>
    </w:p>
    <w:p w14:paraId="34CFE9AA" w14:textId="048C9DC8" w:rsidR="00C15DA5" w:rsidRPr="00C15DA5" w:rsidRDefault="00C15DA5" w:rsidP="00C15DA5">
      <w:pPr>
        <w:jc w:val="both"/>
        <w:rPr>
          <w:rFonts w:ascii="Times New Roman" w:hAnsi="Times New Roman" w:cs="Times New Roman"/>
        </w:rPr>
      </w:pPr>
      <w:r w:rsidRPr="00C15DA5">
        <w:rPr>
          <w:rFonts w:ascii="Times New Roman" w:hAnsi="Times New Roman" w:cs="Times New Roman"/>
        </w:rPr>
        <w:t>The applications will be heard on the same day as they both relate to the central issue whether when a party has initiated a request for referral</w:t>
      </w:r>
      <w:r w:rsidR="00824A22">
        <w:rPr>
          <w:rFonts w:ascii="Times New Roman" w:hAnsi="Times New Roman" w:cs="Times New Roman"/>
        </w:rPr>
        <w:t xml:space="preserve"> to arbitration</w:t>
      </w:r>
      <w:r w:rsidRPr="00C15DA5">
        <w:rPr>
          <w:rFonts w:ascii="Times New Roman" w:hAnsi="Times New Roman" w:cs="Times New Roman"/>
        </w:rPr>
        <w:t xml:space="preserve"> in terms of section 12B of the Petroleum Products Act, the jurisdiction of the High Court to hear </w:t>
      </w:r>
      <w:r w:rsidR="00824A22">
        <w:rPr>
          <w:rFonts w:ascii="Times New Roman" w:hAnsi="Times New Roman" w:cs="Times New Roman"/>
        </w:rPr>
        <w:t>that</w:t>
      </w:r>
      <w:r w:rsidRPr="00C15DA5">
        <w:rPr>
          <w:rFonts w:ascii="Times New Roman" w:hAnsi="Times New Roman" w:cs="Times New Roman"/>
        </w:rPr>
        <w:t xml:space="preserve"> matter is ousted</w:t>
      </w:r>
      <w:r w:rsidR="007E18EC">
        <w:rPr>
          <w:rFonts w:ascii="Times New Roman" w:hAnsi="Times New Roman" w:cs="Times New Roman"/>
        </w:rPr>
        <w:t>.</w:t>
      </w:r>
      <w:r w:rsidRPr="00C15DA5">
        <w:rPr>
          <w:rFonts w:ascii="Times New Roman" w:hAnsi="Times New Roman" w:cs="Times New Roman"/>
        </w:rPr>
        <w:t xml:space="preserve"> </w:t>
      </w:r>
      <w:r w:rsidR="007E18EC">
        <w:rPr>
          <w:rFonts w:ascii="Times New Roman" w:hAnsi="Times New Roman" w:cs="Times New Roman"/>
        </w:rPr>
        <w:t>A</w:t>
      </w:r>
      <w:r w:rsidRPr="00C15DA5">
        <w:rPr>
          <w:rFonts w:ascii="Times New Roman" w:hAnsi="Times New Roman" w:cs="Times New Roman"/>
        </w:rPr>
        <w:t>lternatively</w:t>
      </w:r>
      <w:r w:rsidR="007E18EC">
        <w:rPr>
          <w:rFonts w:ascii="Times New Roman" w:hAnsi="Times New Roman" w:cs="Times New Roman"/>
        </w:rPr>
        <w:t>,</w:t>
      </w:r>
      <w:r w:rsidRPr="00C15DA5">
        <w:rPr>
          <w:rFonts w:ascii="Times New Roman" w:hAnsi="Times New Roman" w:cs="Times New Roman"/>
        </w:rPr>
        <w:t xml:space="preserve"> whether the High Court has the discretion to refuse to stay the proceedings pending the outcome of that arbitration.</w:t>
      </w:r>
    </w:p>
    <w:p w14:paraId="2743F9B9" w14:textId="7CD0E9FA" w:rsidR="00C15DA5" w:rsidRPr="00C15DA5" w:rsidRDefault="00C15DA5" w:rsidP="00C15DA5">
      <w:pPr>
        <w:jc w:val="both"/>
        <w:rPr>
          <w:rFonts w:ascii="Times New Roman" w:hAnsi="Times New Roman" w:cs="Times New Roman"/>
        </w:rPr>
      </w:pPr>
    </w:p>
    <w:p w14:paraId="75CFF550" w14:textId="70175618" w:rsidR="00C15DA5" w:rsidRPr="00C15DA5" w:rsidRDefault="00C15DA5" w:rsidP="00C15DA5">
      <w:pPr>
        <w:jc w:val="both"/>
        <w:rPr>
          <w:rFonts w:ascii="Times New Roman" w:hAnsi="Times New Roman" w:cs="Times New Roman"/>
        </w:rPr>
      </w:pPr>
      <w:r w:rsidRPr="00C15DA5">
        <w:rPr>
          <w:rFonts w:ascii="Times New Roman" w:hAnsi="Times New Roman" w:cs="Times New Roman"/>
        </w:rPr>
        <w:t>The facts pertaining to the first application are as follows</w:t>
      </w:r>
      <w:r w:rsidR="00810BEC">
        <w:rPr>
          <w:rFonts w:ascii="Times New Roman" w:hAnsi="Times New Roman" w:cs="Times New Roman"/>
        </w:rPr>
        <w:t>:</w:t>
      </w:r>
      <w:r w:rsidRPr="00C15DA5">
        <w:rPr>
          <w:rFonts w:ascii="Times New Roman" w:hAnsi="Times New Roman" w:cs="Times New Roman"/>
        </w:rPr>
        <w:t xml:space="preserve"> In February 2003, Chevron South Africa (Pty) Limited, granted the applicant the right to operate a Caltex Service Station on its premises in terms of a written franchise agreement and lease agreement.  The franchise </w:t>
      </w:r>
      <w:r w:rsidR="00FD72F1">
        <w:rPr>
          <w:rFonts w:ascii="Times New Roman" w:hAnsi="Times New Roman" w:cs="Times New Roman"/>
        </w:rPr>
        <w:t xml:space="preserve">and </w:t>
      </w:r>
      <w:r w:rsidR="00FD72F1">
        <w:rPr>
          <w:rFonts w:ascii="Times New Roman" w:hAnsi="Times New Roman" w:cs="Times New Roman"/>
        </w:rPr>
        <w:lastRenderedPageBreak/>
        <w:t xml:space="preserve">lease </w:t>
      </w:r>
      <w:r w:rsidRPr="00C15DA5">
        <w:rPr>
          <w:rFonts w:ascii="Times New Roman" w:hAnsi="Times New Roman" w:cs="Times New Roman"/>
        </w:rPr>
        <w:t>agreement</w:t>
      </w:r>
      <w:r w:rsidR="00FD72F1">
        <w:rPr>
          <w:rFonts w:ascii="Times New Roman" w:hAnsi="Times New Roman" w:cs="Times New Roman"/>
        </w:rPr>
        <w:t>s</w:t>
      </w:r>
      <w:r w:rsidRPr="00C15DA5">
        <w:rPr>
          <w:rFonts w:ascii="Times New Roman" w:hAnsi="Times New Roman" w:cs="Times New Roman"/>
        </w:rPr>
        <w:t xml:space="preserve"> </w:t>
      </w:r>
      <w:r w:rsidR="00FD72F1">
        <w:rPr>
          <w:rFonts w:ascii="Times New Roman" w:hAnsi="Times New Roman" w:cs="Times New Roman"/>
        </w:rPr>
        <w:t>were</w:t>
      </w:r>
      <w:r w:rsidRPr="00C15DA5">
        <w:rPr>
          <w:rFonts w:ascii="Times New Roman" w:hAnsi="Times New Roman" w:cs="Times New Roman"/>
        </w:rPr>
        <w:t xml:space="preserve"> set to expire on 28 February 2018.  In December 2011, Chevron ceded and assigned its rights and obligations in terms of the franchise agreement to the respondent.</w:t>
      </w:r>
      <w:r w:rsidR="00824A22">
        <w:rPr>
          <w:rFonts w:ascii="Times New Roman" w:hAnsi="Times New Roman" w:cs="Times New Roman"/>
        </w:rPr>
        <w:t xml:space="preserve"> </w:t>
      </w:r>
      <w:r w:rsidR="00824A22" w:rsidRPr="0014387D">
        <w:rPr>
          <w:rFonts w:ascii="Times New Roman" w:hAnsi="Times New Roman" w:cs="Times New Roman"/>
        </w:rPr>
        <w:t>In the applicant’s view</w:t>
      </w:r>
      <w:r w:rsidR="0014387D" w:rsidRPr="0014387D">
        <w:rPr>
          <w:rFonts w:ascii="Times New Roman" w:hAnsi="Times New Roman" w:cs="Times New Roman"/>
        </w:rPr>
        <w:t>,</w:t>
      </w:r>
      <w:r w:rsidR="00824A22" w:rsidRPr="0014387D">
        <w:rPr>
          <w:rFonts w:ascii="Times New Roman" w:hAnsi="Times New Roman" w:cs="Times New Roman"/>
        </w:rPr>
        <w:t xml:space="preserve"> the franchise agreement would be extended for a further period of five years </w:t>
      </w:r>
      <w:r w:rsidR="007E18EC">
        <w:rPr>
          <w:rFonts w:ascii="Times New Roman" w:hAnsi="Times New Roman" w:cs="Times New Roman"/>
        </w:rPr>
        <w:t xml:space="preserve">and </w:t>
      </w:r>
      <w:r w:rsidR="00824A22" w:rsidRPr="0014387D">
        <w:rPr>
          <w:rFonts w:ascii="Times New Roman" w:hAnsi="Times New Roman" w:cs="Times New Roman"/>
        </w:rPr>
        <w:t>on the same terms as those that applied between it and Chevron prior to the cession.</w:t>
      </w:r>
      <w:r w:rsidR="009039C8">
        <w:rPr>
          <w:rFonts w:ascii="Times New Roman" w:hAnsi="Times New Roman" w:cs="Times New Roman"/>
        </w:rPr>
        <w:t xml:space="preserve"> </w:t>
      </w:r>
      <w:r w:rsidRPr="00C15DA5">
        <w:rPr>
          <w:rFonts w:ascii="Times New Roman" w:hAnsi="Times New Roman" w:cs="Times New Roman"/>
        </w:rPr>
        <w:t xml:space="preserve"> On 25 August 2017, the respondent</w:t>
      </w:r>
      <w:r w:rsidR="002C5469">
        <w:rPr>
          <w:rFonts w:ascii="Times New Roman" w:hAnsi="Times New Roman" w:cs="Times New Roman"/>
        </w:rPr>
        <w:t>’</w:t>
      </w:r>
      <w:r w:rsidRPr="00C15DA5">
        <w:rPr>
          <w:rFonts w:ascii="Times New Roman" w:hAnsi="Times New Roman" w:cs="Times New Roman"/>
        </w:rPr>
        <w:t>s attorney wrote to the applicant stating that the agreement between the parties would terminate by effluxion of time on 28 February 2018 and required the applicant to vacate the premises.  The applicant responded by stating that it was in the process of drafting an application for arbitration and it would not be vacating the premises.</w:t>
      </w:r>
    </w:p>
    <w:p w14:paraId="4602E65D" w14:textId="0BE831A3" w:rsidR="00C15DA5" w:rsidRPr="00C15DA5" w:rsidRDefault="00C15DA5" w:rsidP="00C15DA5">
      <w:pPr>
        <w:jc w:val="both"/>
        <w:rPr>
          <w:rFonts w:ascii="Times New Roman" w:hAnsi="Times New Roman" w:cs="Times New Roman"/>
        </w:rPr>
      </w:pPr>
    </w:p>
    <w:p w14:paraId="784C51A0" w14:textId="063841B7" w:rsidR="00C15DA5" w:rsidRPr="00C15DA5" w:rsidRDefault="00C15DA5" w:rsidP="00C15DA5">
      <w:pPr>
        <w:jc w:val="both"/>
        <w:rPr>
          <w:rFonts w:ascii="Times New Roman" w:hAnsi="Times New Roman" w:cs="Times New Roman"/>
        </w:rPr>
      </w:pPr>
      <w:r w:rsidRPr="00C15DA5">
        <w:rPr>
          <w:rFonts w:ascii="Times New Roman" w:hAnsi="Times New Roman" w:cs="Times New Roman"/>
        </w:rPr>
        <w:t xml:space="preserve">On 16 February 2018, the respondent launched an application </w:t>
      </w:r>
      <w:r w:rsidR="00B225BF">
        <w:rPr>
          <w:rFonts w:ascii="Times New Roman" w:hAnsi="Times New Roman" w:cs="Times New Roman"/>
        </w:rPr>
        <w:t xml:space="preserve">in the High Court </w:t>
      </w:r>
      <w:r w:rsidRPr="00C15DA5">
        <w:rPr>
          <w:rFonts w:ascii="Times New Roman" w:hAnsi="Times New Roman" w:cs="Times New Roman"/>
        </w:rPr>
        <w:t xml:space="preserve">for the ejectment of the applicant from the premises.  The applicant opposed the application and delivered a conditional counter-application for an order directing the respondent to provide it with a new franchise agreement for signature, and an order declaring that the applicant was entitled to conduct business on the premises for a further five years, commencing on 1 March 2018.  On 23 February 2018, whilst the </w:t>
      </w:r>
      <w:r w:rsidR="009039C8">
        <w:rPr>
          <w:rFonts w:ascii="Times New Roman" w:hAnsi="Times New Roman" w:cs="Times New Roman"/>
        </w:rPr>
        <w:t>matter</w:t>
      </w:r>
      <w:r w:rsidRPr="00C15DA5">
        <w:rPr>
          <w:rFonts w:ascii="Times New Roman" w:hAnsi="Times New Roman" w:cs="Times New Roman"/>
        </w:rPr>
        <w:t xml:space="preserve"> was pending in the High Court and before the expiry of the franchise agreement, the applicant lodged a request for the dispute to be referred to arbitration with the Controller in terms of section 12B of the Petroleum Products Act.  In its request, the applicant submitted that the refusal by the respondent to, among others, extend the franchise agreement, amounted to an unfair and unreasonable contractual practice as envisaged in the Petroleum Products Act. </w:t>
      </w:r>
      <w:r w:rsidR="009039C8">
        <w:rPr>
          <w:rFonts w:ascii="Times New Roman" w:hAnsi="Times New Roman" w:cs="Times New Roman"/>
        </w:rPr>
        <w:t xml:space="preserve"> </w:t>
      </w:r>
      <w:r w:rsidRPr="00C15DA5">
        <w:rPr>
          <w:rFonts w:ascii="Times New Roman" w:hAnsi="Times New Roman" w:cs="Times New Roman"/>
        </w:rPr>
        <w:t xml:space="preserve">The applicant thereafter filed its answering affidavit setting out its defence, including an application to stay the proceedings. </w:t>
      </w:r>
    </w:p>
    <w:p w14:paraId="22E47125" w14:textId="7E3F582B" w:rsidR="00C15DA5" w:rsidRPr="00C15DA5" w:rsidRDefault="00C15DA5" w:rsidP="00C15DA5">
      <w:pPr>
        <w:jc w:val="both"/>
        <w:rPr>
          <w:rFonts w:ascii="Times New Roman" w:hAnsi="Times New Roman" w:cs="Times New Roman"/>
        </w:rPr>
      </w:pPr>
    </w:p>
    <w:p w14:paraId="30D56266" w14:textId="37962B41" w:rsidR="00C15DA5" w:rsidRPr="00C15DA5" w:rsidRDefault="00C15DA5" w:rsidP="00C15DA5">
      <w:pPr>
        <w:jc w:val="both"/>
        <w:rPr>
          <w:rFonts w:ascii="Times New Roman" w:hAnsi="Times New Roman" w:cs="Times New Roman"/>
        </w:rPr>
      </w:pPr>
      <w:r w:rsidRPr="00C15DA5">
        <w:rPr>
          <w:rFonts w:ascii="Times New Roman" w:hAnsi="Times New Roman" w:cs="Times New Roman"/>
        </w:rPr>
        <w:t xml:space="preserve">In respect of the stay application, the High Court held that the applicant </w:t>
      </w:r>
      <w:r w:rsidR="00175081">
        <w:rPr>
          <w:rFonts w:ascii="Times New Roman" w:hAnsi="Times New Roman" w:cs="Times New Roman"/>
        </w:rPr>
        <w:t>did not comply with the requirement</w:t>
      </w:r>
      <w:r w:rsidR="0014387D">
        <w:rPr>
          <w:rFonts w:ascii="Times New Roman" w:hAnsi="Times New Roman" w:cs="Times New Roman"/>
        </w:rPr>
        <w:t>s</w:t>
      </w:r>
      <w:r w:rsidR="00175081">
        <w:rPr>
          <w:rFonts w:ascii="Times New Roman" w:hAnsi="Times New Roman" w:cs="Times New Roman"/>
        </w:rPr>
        <w:t xml:space="preserve"> set out</w:t>
      </w:r>
      <w:r w:rsidR="0014387D">
        <w:rPr>
          <w:rFonts w:ascii="Times New Roman" w:hAnsi="Times New Roman" w:cs="Times New Roman"/>
        </w:rPr>
        <w:t xml:space="preserve"> </w:t>
      </w:r>
      <w:r w:rsidR="00824A22">
        <w:rPr>
          <w:rFonts w:ascii="Times New Roman" w:hAnsi="Times New Roman" w:cs="Times New Roman"/>
        </w:rPr>
        <w:t xml:space="preserve">in </w:t>
      </w:r>
      <w:r w:rsidRPr="00C15DA5">
        <w:rPr>
          <w:rFonts w:ascii="Times New Roman" w:hAnsi="Times New Roman" w:cs="Times New Roman"/>
        </w:rPr>
        <w:t>section 6(1) of the Arbitration Act 45 of 1965</w:t>
      </w:r>
      <w:r w:rsidR="00FD72F1">
        <w:rPr>
          <w:rFonts w:ascii="Times New Roman" w:hAnsi="Times New Roman" w:cs="Times New Roman"/>
        </w:rPr>
        <w:t>,</w:t>
      </w:r>
      <w:r w:rsidRPr="00C15DA5">
        <w:rPr>
          <w:rFonts w:ascii="Times New Roman" w:hAnsi="Times New Roman" w:cs="Times New Roman"/>
        </w:rPr>
        <w:t xml:space="preserve"> </w:t>
      </w:r>
      <w:r w:rsidR="00175081">
        <w:rPr>
          <w:rFonts w:ascii="Times New Roman" w:hAnsi="Times New Roman" w:cs="Times New Roman"/>
        </w:rPr>
        <w:t>in that</w:t>
      </w:r>
      <w:r w:rsidR="0014387D">
        <w:rPr>
          <w:rFonts w:ascii="Times New Roman" w:hAnsi="Times New Roman" w:cs="Times New Roman"/>
        </w:rPr>
        <w:t xml:space="preserve"> </w:t>
      </w:r>
      <w:r w:rsidRPr="00C15DA5">
        <w:rPr>
          <w:rFonts w:ascii="Times New Roman" w:hAnsi="Times New Roman" w:cs="Times New Roman"/>
        </w:rPr>
        <w:t>the applicant applied for a stay in its answering affidavit when it should have done so after delivery of its notice of intention to oppose the application, but before it took any further steps in the proceedings.  The High Court thereafter considered whether it could nevertheless exercise its discretion in terms of section 6(2) of the Arbitration Act and order a stay of the proceedings. The High Court declined to exercise its discretion in favour of the applicant and refused to stay the proceedings on the grounds that</w:t>
      </w:r>
      <w:r w:rsidR="00824A22">
        <w:rPr>
          <w:rFonts w:ascii="Times New Roman" w:hAnsi="Times New Roman" w:cs="Times New Roman"/>
        </w:rPr>
        <w:t xml:space="preserve"> the matter had been fully argued before it, and therefore </w:t>
      </w:r>
      <w:r w:rsidRPr="00C15DA5">
        <w:rPr>
          <w:rFonts w:ascii="Times New Roman" w:hAnsi="Times New Roman" w:cs="Times New Roman"/>
        </w:rPr>
        <w:t xml:space="preserve">it would be a waste of time and costs to stay the proceedings, and </w:t>
      </w:r>
      <w:r w:rsidR="00175081">
        <w:rPr>
          <w:rFonts w:ascii="Times New Roman" w:hAnsi="Times New Roman" w:cs="Times New Roman"/>
        </w:rPr>
        <w:t>since</w:t>
      </w:r>
      <w:r w:rsidR="0014387D">
        <w:rPr>
          <w:rFonts w:ascii="Times New Roman" w:hAnsi="Times New Roman" w:cs="Times New Roman"/>
        </w:rPr>
        <w:t xml:space="preserve"> </w:t>
      </w:r>
      <w:r w:rsidRPr="00C15DA5">
        <w:rPr>
          <w:rFonts w:ascii="Times New Roman" w:hAnsi="Times New Roman" w:cs="Times New Roman"/>
        </w:rPr>
        <w:t>the agreement had lapsed</w:t>
      </w:r>
      <w:r w:rsidR="00175081">
        <w:rPr>
          <w:rFonts w:ascii="Times New Roman" w:hAnsi="Times New Roman" w:cs="Times New Roman"/>
        </w:rPr>
        <w:t>,</w:t>
      </w:r>
      <w:r w:rsidRPr="00C15DA5">
        <w:rPr>
          <w:rFonts w:ascii="Times New Roman" w:hAnsi="Times New Roman" w:cs="Times New Roman"/>
        </w:rPr>
        <w:t xml:space="preserve"> the refusal by the respondent to conclude a new agreement or extend the existing agreement could not amount to an </w:t>
      </w:r>
      <w:r w:rsidR="00824A22">
        <w:rPr>
          <w:rFonts w:ascii="Times New Roman" w:hAnsi="Times New Roman" w:cs="Times New Roman"/>
        </w:rPr>
        <w:t>‘</w:t>
      </w:r>
      <w:r w:rsidRPr="00C15DA5">
        <w:rPr>
          <w:rFonts w:ascii="Times New Roman" w:hAnsi="Times New Roman" w:cs="Times New Roman"/>
        </w:rPr>
        <w:t>unfair contractual practice</w:t>
      </w:r>
      <w:r w:rsidR="00824A22">
        <w:rPr>
          <w:rFonts w:ascii="Times New Roman" w:hAnsi="Times New Roman" w:cs="Times New Roman"/>
        </w:rPr>
        <w:t>’</w:t>
      </w:r>
      <w:r w:rsidRPr="00C15DA5">
        <w:rPr>
          <w:rFonts w:ascii="Times New Roman" w:hAnsi="Times New Roman" w:cs="Times New Roman"/>
        </w:rPr>
        <w:t xml:space="preserve"> that could be corrected by an arbitrator in terms of section 12B.  Accordingly, it issued an order evicting the applicant from the premises. An application for leave to appeal was dismissed by the Supreme Court of Appeal.  Aggrieved by the outcome, the applicant applied for leave to appeal to the Constitutional Court.</w:t>
      </w:r>
    </w:p>
    <w:p w14:paraId="052CA140" w14:textId="476B7C6D" w:rsidR="00C15DA5" w:rsidRPr="00C15DA5" w:rsidRDefault="00C15DA5" w:rsidP="00C15DA5">
      <w:pPr>
        <w:jc w:val="both"/>
        <w:rPr>
          <w:rFonts w:ascii="Times New Roman" w:hAnsi="Times New Roman" w:cs="Times New Roman"/>
        </w:rPr>
      </w:pPr>
    </w:p>
    <w:p w14:paraId="1C32BE96" w14:textId="154D532D" w:rsidR="00C15DA5" w:rsidRPr="00C15DA5" w:rsidRDefault="00C15DA5" w:rsidP="00C15DA5">
      <w:pPr>
        <w:jc w:val="both"/>
        <w:rPr>
          <w:rFonts w:ascii="Times New Roman" w:hAnsi="Times New Roman" w:cs="Times New Roman"/>
        </w:rPr>
      </w:pPr>
      <w:r w:rsidRPr="00C15DA5">
        <w:rPr>
          <w:rFonts w:ascii="Times New Roman" w:hAnsi="Times New Roman" w:cs="Times New Roman"/>
        </w:rPr>
        <w:t>The facts of the second application are as follow</w:t>
      </w:r>
      <w:r w:rsidRPr="001250EA">
        <w:rPr>
          <w:rFonts w:ascii="Times New Roman" w:hAnsi="Times New Roman" w:cs="Times New Roman"/>
        </w:rPr>
        <w:t>s:</w:t>
      </w:r>
      <w:r w:rsidRPr="00C15DA5">
        <w:rPr>
          <w:rFonts w:ascii="Times New Roman" w:hAnsi="Times New Roman" w:cs="Times New Roman"/>
        </w:rPr>
        <w:t xml:space="preserve"> On 22 July 2014, the applicant concluded an agreement to purchase a service station from Tomdia Service Station CC (Tomdia).  The agreement was conditional upon receiving the approval of the respondent for the applicant to act as the new operator and the conclusion of a cession agreement, that required that the </w:t>
      </w:r>
      <w:r w:rsidRPr="0014387D">
        <w:rPr>
          <w:rFonts w:ascii="Times New Roman" w:hAnsi="Times New Roman" w:cs="Times New Roman"/>
        </w:rPr>
        <w:t xml:space="preserve">applicant pay an upfront royalty fee in exchange </w:t>
      </w:r>
      <w:r w:rsidR="00210761" w:rsidRPr="0014387D">
        <w:rPr>
          <w:rFonts w:ascii="Times New Roman" w:hAnsi="Times New Roman" w:cs="Times New Roman"/>
        </w:rPr>
        <w:t xml:space="preserve">for </w:t>
      </w:r>
      <w:r w:rsidRPr="0014387D">
        <w:rPr>
          <w:rFonts w:ascii="Times New Roman" w:hAnsi="Times New Roman" w:cs="Times New Roman"/>
        </w:rPr>
        <w:t xml:space="preserve">the renewal of the franchise agreement. The applicant took issue with the </w:t>
      </w:r>
      <w:r w:rsidR="00210761" w:rsidRPr="0014387D">
        <w:rPr>
          <w:rFonts w:ascii="Times New Roman" w:hAnsi="Times New Roman" w:cs="Times New Roman"/>
        </w:rPr>
        <w:t xml:space="preserve">upfront </w:t>
      </w:r>
      <w:r w:rsidRPr="0014387D">
        <w:rPr>
          <w:rFonts w:ascii="Times New Roman" w:hAnsi="Times New Roman" w:cs="Times New Roman"/>
        </w:rPr>
        <w:t xml:space="preserve">payment of the royalty fee </w:t>
      </w:r>
      <w:r w:rsidR="00210761" w:rsidRPr="0014387D">
        <w:rPr>
          <w:rFonts w:ascii="Times New Roman" w:hAnsi="Times New Roman" w:cs="Times New Roman"/>
        </w:rPr>
        <w:t xml:space="preserve">prior to being furnished with the signed franchise agreement with renewal terms that were beneficial </w:t>
      </w:r>
      <w:r w:rsidR="002C5469">
        <w:rPr>
          <w:rFonts w:ascii="Times New Roman" w:hAnsi="Times New Roman" w:cs="Times New Roman"/>
        </w:rPr>
        <w:t xml:space="preserve">to </w:t>
      </w:r>
      <w:r w:rsidR="00210761" w:rsidRPr="0014387D">
        <w:rPr>
          <w:rFonts w:ascii="Times New Roman" w:hAnsi="Times New Roman" w:cs="Times New Roman"/>
        </w:rPr>
        <w:t>it</w:t>
      </w:r>
      <w:r w:rsidRPr="0014387D">
        <w:rPr>
          <w:rFonts w:ascii="Times New Roman" w:hAnsi="Times New Roman" w:cs="Times New Roman"/>
        </w:rPr>
        <w:t>.</w:t>
      </w:r>
    </w:p>
    <w:p w14:paraId="61C64C05" w14:textId="527CB572" w:rsidR="00C15DA5" w:rsidRPr="00C15DA5" w:rsidRDefault="00C15DA5" w:rsidP="00C15DA5">
      <w:pPr>
        <w:jc w:val="both"/>
        <w:rPr>
          <w:rFonts w:ascii="Times New Roman" w:hAnsi="Times New Roman" w:cs="Times New Roman"/>
        </w:rPr>
      </w:pPr>
    </w:p>
    <w:p w14:paraId="0F5F3941" w14:textId="1CD631D1" w:rsidR="00C15DA5" w:rsidRPr="00C15DA5" w:rsidRDefault="00C15DA5" w:rsidP="00C15DA5">
      <w:pPr>
        <w:jc w:val="both"/>
        <w:rPr>
          <w:rFonts w:ascii="Times New Roman" w:hAnsi="Times New Roman" w:cs="Times New Roman"/>
        </w:rPr>
      </w:pPr>
      <w:r w:rsidRPr="00C15DA5">
        <w:rPr>
          <w:rFonts w:ascii="Times New Roman" w:hAnsi="Times New Roman" w:cs="Times New Roman"/>
        </w:rPr>
        <w:t xml:space="preserve">On 28 February 2016, the applicant and Tomdia concluded the cession agreement with retrospective effect and the cession incorporated the franchise agreement which was to expire on 31 December 2017.  On 30 June 2017, the respondent notified the applicant that due to the non-payment of the royalty fee, the franchise agreement would terminate on 31 December 2017.  The applicant denied that the agreement was set to expire because, in its view, the </w:t>
      </w:r>
      <w:r w:rsidRPr="00C15DA5">
        <w:rPr>
          <w:rFonts w:ascii="Times New Roman" w:hAnsi="Times New Roman" w:cs="Times New Roman"/>
        </w:rPr>
        <w:lastRenderedPageBreak/>
        <w:t>franchise agreement had a life span of five years and was renewable for a further five years. On 22 December 2017, the applicant filed a request for the referral of the matter to arbitration in terms of section 12B of the Petroleum Products Act.  On 15 January 2018, the respondent launched an application in the High Court for the eviction of the applicant from the premises as the franchise agreement had expired on 31 December 2017.</w:t>
      </w:r>
    </w:p>
    <w:p w14:paraId="5324397F" w14:textId="1549B6ED" w:rsidR="00C15DA5" w:rsidRPr="00C15DA5" w:rsidRDefault="00C15DA5" w:rsidP="00C15DA5">
      <w:pPr>
        <w:jc w:val="both"/>
        <w:rPr>
          <w:rFonts w:ascii="Times New Roman" w:hAnsi="Times New Roman" w:cs="Times New Roman"/>
        </w:rPr>
      </w:pPr>
    </w:p>
    <w:p w14:paraId="2FBE9089" w14:textId="17061DCE" w:rsidR="00C15DA5" w:rsidRPr="00C15DA5" w:rsidRDefault="00C15DA5" w:rsidP="00C15DA5">
      <w:pPr>
        <w:jc w:val="both"/>
        <w:rPr>
          <w:rFonts w:ascii="Times New Roman" w:hAnsi="Times New Roman" w:cs="Times New Roman"/>
        </w:rPr>
      </w:pPr>
      <w:r w:rsidRPr="00C15DA5">
        <w:rPr>
          <w:rFonts w:ascii="Times New Roman" w:hAnsi="Times New Roman" w:cs="Times New Roman"/>
        </w:rPr>
        <w:t>The High Court held that the franchise agreement had not been renewed due to the applican</w:t>
      </w:r>
      <w:r w:rsidR="002C5469">
        <w:rPr>
          <w:rFonts w:ascii="Times New Roman" w:hAnsi="Times New Roman" w:cs="Times New Roman"/>
        </w:rPr>
        <w:t>t’</w:t>
      </w:r>
      <w:r w:rsidRPr="00C15DA5">
        <w:rPr>
          <w:rFonts w:ascii="Times New Roman" w:hAnsi="Times New Roman" w:cs="Times New Roman"/>
        </w:rPr>
        <w:t>s failure to comply with the conditions of the cession, and accordingly</w:t>
      </w:r>
      <w:r w:rsidR="007E18EC">
        <w:rPr>
          <w:rFonts w:ascii="Times New Roman" w:hAnsi="Times New Roman" w:cs="Times New Roman"/>
        </w:rPr>
        <w:t>,</w:t>
      </w:r>
      <w:r w:rsidRPr="00C15DA5">
        <w:rPr>
          <w:rFonts w:ascii="Times New Roman" w:hAnsi="Times New Roman" w:cs="Times New Roman"/>
        </w:rPr>
        <w:t xml:space="preserve"> the agreement had lapsed on 31 December 2017.  In respect of the request to stay the proceedings, the High Court held that this Court</w:t>
      </w:r>
      <w:r w:rsidR="00FD72F1">
        <w:rPr>
          <w:rFonts w:ascii="Times New Roman" w:hAnsi="Times New Roman" w:cs="Times New Roman"/>
        </w:rPr>
        <w:t>’</w:t>
      </w:r>
      <w:r w:rsidRPr="00C15DA5">
        <w:rPr>
          <w:rFonts w:ascii="Times New Roman" w:hAnsi="Times New Roman" w:cs="Times New Roman"/>
        </w:rPr>
        <w:t xml:space="preserve">s judgment in </w:t>
      </w:r>
      <w:r w:rsidRPr="000A69C0">
        <w:rPr>
          <w:rFonts w:ascii="Times New Roman" w:hAnsi="Times New Roman" w:cs="Times New Roman"/>
          <w:i/>
        </w:rPr>
        <w:t xml:space="preserve">Business Zone 1010 CC v Engen Petroleum Limited </w:t>
      </w:r>
      <w:r w:rsidRPr="002C5469">
        <w:rPr>
          <w:rFonts w:ascii="Times New Roman" w:hAnsi="Times New Roman" w:cs="Times New Roman"/>
          <w:i/>
        </w:rPr>
        <w:t xml:space="preserve">2017 JDR 0259 (CC) </w:t>
      </w:r>
      <w:r w:rsidRPr="00210761">
        <w:rPr>
          <w:rFonts w:ascii="Times New Roman" w:hAnsi="Times New Roman" w:cs="Times New Roman"/>
          <w:iCs/>
        </w:rPr>
        <w:t>(</w:t>
      </w:r>
      <w:r w:rsidRPr="008A409D">
        <w:rPr>
          <w:rFonts w:ascii="Times New Roman" w:hAnsi="Times New Roman" w:cs="Times New Roman"/>
          <w:i/>
          <w:iCs/>
        </w:rPr>
        <w:t>Business Zone</w:t>
      </w:r>
      <w:r w:rsidRPr="00210761">
        <w:rPr>
          <w:rFonts w:ascii="Times New Roman" w:hAnsi="Times New Roman" w:cs="Times New Roman"/>
          <w:iCs/>
        </w:rPr>
        <w:t>)</w:t>
      </w:r>
      <w:r w:rsidRPr="000A69C0">
        <w:rPr>
          <w:rFonts w:ascii="Times New Roman" w:hAnsi="Times New Roman" w:cs="Times New Roman"/>
          <w:i/>
        </w:rPr>
        <w:t xml:space="preserve"> </w:t>
      </w:r>
      <w:r w:rsidRPr="00C15DA5">
        <w:rPr>
          <w:rFonts w:ascii="Times New Roman" w:hAnsi="Times New Roman" w:cs="Times New Roman"/>
        </w:rPr>
        <w:t>was distinguishable from this application.  The High Court held that arbitration under section 12B does not automatically suspend litigation and that section 12B arbitration is a discrete process that runs parallel to the eviction proceedings.  The High Court held that the applicant</w:t>
      </w:r>
      <w:r w:rsidR="00FD72F1">
        <w:rPr>
          <w:rFonts w:ascii="Times New Roman" w:hAnsi="Times New Roman" w:cs="Times New Roman"/>
        </w:rPr>
        <w:t>’</w:t>
      </w:r>
      <w:r w:rsidRPr="00C15DA5">
        <w:rPr>
          <w:rFonts w:ascii="Times New Roman" w:hAnsi="Times New Roman" w:cs="Times New Roman"/>
        </w:rPr>
        <w:t>s referral to arbitration in terms of section 12B related to various complaints of unfair and unreasonable contractual practices, but the applicant failed to indicate what remedies it sought from the arbitration, nor did it challenge the respondent</w:t>
      </w:r>
      <w:r w:rsidR="002C5469">
        <w:rPr>
          <w:rFonts w:ascii="Times New Roman" w:hAnsi="Times New Roman" w:cs="Times New Roman"/>
        </w:rPr>
        <w:t>’</w:t>
      </w:r>
      <w:r w:rsidRPr="00C15DA5">
        <w:rPr>
          <w:rFonts w:ascii="Times New Roman" w:hAnsi="Times New Roman" w:cs="Times New Roman"/>
        </w:rPr>
        <w:t>s ownership of the premises, or request an award suspending or refusing eviction.  In the result, the High Court dismissed the application for a stay of proceedings pending the outcome of a section 12B referral and issued an eviction order against the applicant.</w:t>
      </w:r>
    </w:p>
    <w:p w14:paraId="3CBB919D" w14:textId="2C6B94FC" w:rsidR="00C15DA5" w:rsidRPr="00C15DA5" w:rsidRDefault="00C15DA5" w:rsidP="00C15DA5">
      <w:pPr>
        <w:jc w:val="both"/>
        <w:rPr>
          <w:rFonts w:ascii="Times New Roman" w:hAnsi="Times New Roman" w:cs="Times New Roman"/>
        </w:rPr>
      </w:pPr>
    </w:p>
    <w:p w14:paraId="02CE1692" w14:textId="3D09F48C" w:rsidR="00C15DA5" w:rsidRPr="00C15DA5" w:rsidRDefault="00C15DA5" w:rsidP="00C15DA5">
      <w:pPr>
        <w:jc w:val="both"/>
        <w:rPr>
          <w:rFonts w:ascii="Times New Roman" w:hAnsi="Times New Roman" w:cs="Times New Roman"/>
        </w:rPr>
      </w:pPr>
      <w:r w:rsidRPr="00C15DA5">
        <w:rPr>
          <w:rFonts w:ascii="Times New Roman" w:hAnsi="Times New Roman" w:cs="Times New Roman"/>
        </w:rPr>
        <w:t>The Supreme Court of Appeal dismissed an application for leave to appeal.  On reconsideration of the order, the Supreme Court of Appeal agreed with the High Court that the franchise agreement had not been extended due to the failure to resolve the issues pertaining to the cession agreement and the payment of the royalty fee.  The Supreme Court of Appeal held that the applicant had not established a right of occupation of the premises against the respondent.</w:t>
      </w:r>
    </w:p>
    <w:p w14:paraId="37448D0C" w14:textId="363F4AFC" w:rsidR="00C15DA5" w:rsidRPr="00C15DA5" w:rsidRDefault="00C15DA5" w:rsidP="00C15DA5">
      <w:pPr>
        <w:jc w:val="both"/>
        <w:rPr>
          <w:rFonts w:ascii="Times New Roman" w:hAnsi="Times New Roman" w:cs="Times New Roman"/>
        </w:rPr>
      </w:pPr>
    </w:p>
    <w:p w14:paraId="5BE3CD11" w14:textId="352C6B4E" w:rsidR="00C15DA5" w:rsidRPr="00C15DA5" w:rsidRDefault="00C15DA5" w:rsidP="00C15DA5">
      <w:pPr>
        <w:jc w:val="both"/>
        <w:rPr>
          <w:rFonts w:ascii="Times New Roman" w:hAnsi="Times New Roman" w:cs="Times New Roman"/>
        </w:rPr>
      </w:pPr>
      <w:r w:rsidRPr="00C15DA5">
        <w:rPr>
          <w:rFonts w:ascii="Times New Roman" w:hAnsi="Times New Roman" w:cs="Times New Roman"/>
        </w:rPr>
        <w:t xml:space="preserve">On the question whether the application to stay proceedings pending the arbitration in terms of section 12B ousts the jurisdiction of the High Court, the Supreme Court of Appeal held that the Petroleum Products Act contains no provision that ousts the jurisdiction of a court of law and that </w:t>
      </w:r>
      <w:r w:rsidRPr="000A69C0">
        <w:rPr>
          <w:rFonts w:ascii="Times New Roman" w:hAnsi="Times New Roman" w:cs="Times New Roman"/>
          <w:i/>
        </w:rPr>
        <w:t>Business Zone</w:t>
      </w:r>
      <w:r w:rsidRPr="00C15DA5">
        <w:rPr>
          <w:rFonts w:ascii="Times New Roman" w:hAnsi="Times New Roman" w:cs="Times New Roman"/>
        </w:rPr>
        <w:t xml:space="preserve"> is distinguishable </w:t>
      </w:r>
      <w:r w:rsidR="001250EA" w:rsidRPr="00C15DA5">
        <w:rPr>
          <w:rFonts w:ascii="Times New Roman" w:hAnsi="Times New Roman" w:cs="Times New Roman"/>
        </w:rPr>
        <w:t>and, in any event,</w:t>
      </w:r>
      <w:r w:rsidRPr="00C15DA5">
        <w:rPr>
          <w:rFonts w:ascii="Times New Roman" w:hAnsi="Times New Roman" w:cs="Times New Roman"/>
        </w:rPr>
        <w:t xml:space="preserve"> did not hold that a referral in terms of section 12B ousts a court</w:t>
      </w:r>
      <w:r w:rsidR="002C5469">
        <w:rPr>
          <w:rFonts w:ascii="Times New Roman" w:hAnsi="Times New Roman" w:cs="Times New Roman"/>
        </w:rPr>
        <w:t>’</w:t>
      </w:r>
      <w:r w:rsidRPr="00C15DA5">
        <w:rPr>
          <w:rFonts w:ascii="Times New Roman" w:hAnsi="Times New Roman" w:cs="Times New Roman"/>
        </w:rPr>
        <w:t xml:space="preserve">s jurisdiction.  In addition, the Supreme Court of Appeal held </w:t>
      </w:r>
      <w:r w:rsidR="00130250">
        <w:rPr>
          <w:rFonts w:ascii="Times New Roman" w:hAnsi="Times New Roman" w:cs="Times New Roman"/>
        </w:rPr>
        <w:t xml:space="preserve">that </w:t>
      </w:r>
      <w:r w:rsidRPr="00C15DA5">
        <w:rPr>
          <w:rFonts w:ascii="Times New Roman" w:hAnsi="Times New Roman" w:cs="Times New Roman"/>
        </w:rPr>
        <w:t>the arbitrator</w:t>
      </w:r>
      <w:r w:rsidR="002C5469">
        <w:rPr>
          <w:rFonts w:ascii="Times New Roman" w:hAnsi="Times New Roman" w:cs="Times New Roman"/>
        </w:rPr>
        <w:t>’</w:t>
      </w:r>
      <w:r w:rsidRPr="00C15DA5">
        <w:rPr>
          <w:rFonts w:ascii="Times New Roman" w:hAnsi="Times New Roman" w:cs="Times New Roman"/>
        </w:rPr>
        <w:t>s powers are to be exercised within the framework of a</w:t>
      </w:r>
      <w:r w:rsidR="002C5469">
        <w:rPr>
          <w:rFonts w:ascii="Times New Roman" w:hAnsi="Times New Roman" w:cs="Times New Roman"/>
        </w:rPr>
        <w:t>n existing</w:t>
      </w:r>
      <w:r w:rsidRPr="00C15DA5">
        <w:rPr>
          <w:rFonts w:ascii="Times New Roman" w:hAnsi="Times New Roman" w:cs="Times New Roman"/>
        </w:rPr>
        <w:t xml:space="preserve"> contractual relationship between the parties but do not extend to making a contract for the parties.  In the result, the Supreme Court of Appeal concluded that there were no reasonable prospects of success on appeal and confirmed </w:t>
      </w:r>
      <w:r w:rsidR="008A409D">
        <w:rPr>
          <w:rFonts w:ascii="Times New Roman" w:hAnsi="Times New Roman" w:cs="Times New Roman"/>
        </w:rPr>
        <w:t xml:space="preserve">its initial </w:t>
      </w:r>
      <w:r w:rsidRPr="00C15DA5">
        <w:rPr>
          <w:rFonts w:ascii="Times New Roman" w:hAnsi="Times New Roman" w:cs="Times New Roman"/>
        </w:rPr>
        <w:t>order refusing leave.  Aggrieved by the outcome, the applicant applied for leave to appeal to the Constitutional Court.</w:t>
      </w:r>
    </w:p>
    <w:p w14:paraId="4D3EEF80" w14:textId="041D6D4D" w:rsidR="00C15DA5" w:rsidRPr="00C15DA5" w:rsidRDefault="00C15DA5" w:rsidP="00C15DA5">
      <w:pPr>
        <w:jc w:val="both"/>
        <w:rPr>
          <w:rFonts w:ascii="Times New Roman" w:hAnsi="Times New Roman" w:cs="Times New Roman"/>
        </w:rPr>
      </w:pPr>
    </w:p>
    <w:p w14:paraId="0276D1AD" w14:textId="6D115FDE" w:rsidR="00C15DA5" w:rsidRPr="00C15DA5" w:rsidRDefault="00C15DA5" w:rsidP="00C15DA5">
      <w:pPr>
        <w:jc w:val="both"/>
        <w:rPr>
          <w:rFonts w:ascii="Times New Roman" w:hAnsi="Times New Roman" w:cs="Times New Roman"/>
        </w:rPr>
      </w:pPr>
      <w:r w:rsidRPr="00C15DA5">
        <w:rPr>
          <w:rFonts w:ascii="Times New Roman" w:hAnsi="Times New Roman" w:cs="Times New Roman"/>
        </w:rPr>
        <w:t xml:space="preserve">Both applicants are represented by the same </w:t>
      </w:r>
      <w:r w:rsidR="00130250">
        <w:rPr>
          <w:rFonts w:ascii="Times New Roman" w:hAnsi="Times New Roman" w:cs="Times New Roman"/>
        </w:rPr>
        <w:t xml:space="preserve">legal representatives </w:t>
      </w:r>
      <w:r w:rsidRPr="00C15DA5">
        <w:rPr>
          <w:rFonts w:ascii="Times New Roman" w:hAnsi="Times New Roman" w:cs="Times New Roman"/>
        </w:rPr>
        <w:t>before this Court and, because the issues are on the same subject matter</w:t>
      </w:r>
      <w:r w:rsidR="00130250">
        <w:rPr>
          <w:rFonts w:ascii="Times New Roman" w:hAnsi="Times New Roman" w:cs="Times New Roman"/>
        </w:rPr>
        <w:t>,</w:t>
      </w:r>
      <w:r w:rsidRPr="00C15DA5">
        <w:rPr>
          <w:rFonts w:ascii="Times New Roman" w:hAnsi="Times New Roman" w:cs="Times New Roman"/>
        </w:rPr>
        <w:t xml:space="preserve"> their submissions are largely similar.  The applicants</w:t>
      </w:r>
      <w:r w:rsidR="002C5469">
        <w:rPr>
          <w:rFonts w:ascii="Times New Roman" w:hAnsi="Times New Roman" w:cs="Times New Roman"/>
        </w:rPr>
        <w:t xml:space="preserve">’ </w:t>
      </w:r>
      <w:r w:rsidRPr="00C15DA5">
        <w:rPr>
          <w:rFonts w:ascii="Times New Roman" w:hAnsi="Times New Roman" w:cs="Times New Roman"/>
        </w:rPr>
        <w:t xml:space="preserve">core submission is that when a licenced retailer has initiated the procedure for a referral to arbitration in terms of section 12B, the </w:t>
      </w:r>
      <w:r w:rsidR="00512C09">
        <w:rPr>
          <w:rFonts w:ascii="Times New Roman" w:hAnsi="Times New Roman" w:cs="Times New Roman"/>
        </w:rPr>
        <w:t>jurisdiction</w:t>
      </w:r>
      <w:r w:rsidRPr="00C15DA5">
        <w:rPr>
          <w:rFonts w:ascii="Times New Roman" w:hAnsi="Times New Roman" w:cs="Times New Roman"/>
        </w:rPr>
        <w:t xml:space="preserve"> of the High Court to </w:t>
      </w:r>
      <w:r w:rsidR="00130250">
        <w:rPr>
          <w:rFonts w:ascii="Times New Roman" w:hAnsi="Times New Roman" w:cs="Times New Roman"/>
        </w:rPr>
        <w:t>determine the</w:t>
      </w:r>
      <w:r w:rsidRPr="00C15DA5">
        <w:rPr>
          <w:rFonts w:ascii="Times New Roman" w:hAnsi="Times New Roman" w:cs="Times New Roman"/>
        </w:rPr>
        <w:t xml:space="preserve"> matter is ousted.  This submission is grounded on the applicants</w:t>
      </w:r>
      <w:r w:rsidR="002C5469">
        <w:rPr>
          <w:rFonts w:ascii="Times New Roman" w:hAnsi="Times New Roman" w:cs="Times New Roman"/>
        </w:rPr>
        <w:t>’</w:t>
      </w:r>
      <w:r w:rsidRPr="00C15DA5">
        <w:rPr>
          <w:rFonts w:ascii="Times New Roman" w:hAnsi="Times New Roman" w:cs="Times New Roman"/>
        </w:rPr>
        <w:t xml:space="preserve"> interpretation of </w:t>
      </w:r>
      <w:r w:rsidRPr="000A69C0">
        <w:rPr>
          <w:rFonts w:ascii="Times New Roman" w:hAnsi="Times New Roman" w:cs="Times New Roman"/>
          <w:i/>
        </w:rPr>
        <w:t>Business Zone</w:t>
      </w:r>
      <w:r w:rsidRPr="00C15DA5">
        <w:rPr>
          <w:rFonts w:ascii="Times New Roman" w:hAnsi="Times New Roman" w:cs="Times New Roman"/>
        </w:rPr>
        <w:t>, which they submit creat</w:t>
      </w:r>
      <w:r w:rsidR="00512C09">
        <w:rPr>
          <w:rFonts w:ascii="Times New Roman" w:hAnsi="Times New Roman" w:cs="Times New Roman"/>
        </w:rPr>
        <w:t>es</w:t>
      </w:r>
      <w:r w:rsidRPr="00C15DA5">
        <w:rPr>
          <w:rFonts w:ascii="Times New Roman" w:hAnsi="Times New Roman" w:cs="Times New Roman"/>
        </w:rPr>
        <w:t xml:space="preserve"> a rule that section 12B offers a statutory guarantee to elect to resolve the dispute in terms of the section 12B arbitration process rather than through court proceedings and that election</w:t>
      </w:r>
      <w:r w:rsidR="00512C09">
        <w:rPr>
          <w:rFonts w:ascii="Times New Roman" w:hAnsi="Times New Roman" w:cs="Times New Roman"/>
        </w:rPr>
        <w:t>, once made,</w:t>
      </w:r>
      <w:r w:rsidRPr="00C15DA5">
        <w:rPr>
          <w:rFonts w:ascii="Times New Roman" w:hAnsi="Times New Roman" w:cs="Times New Roman"/>
        </w:rPr>
        <w:t xml:space="preserve"> suspends court proceedings.</w:t>
      </w:r>
    </w:p>
    <w:p w14:paraId="23569AF6" w14:textId="218DB07D" w:rsidR="00C15DA5" w:rsidRPr="00C15DA5" w:rsidRDefault="00C15DA5" w:rsidP="00C15DA5">
      <w:pPr>
        <w:jc w:val="both"/>
        <w:rPr>
          <w:rFonts w:ascii="Times New Roman" w:hAnsi="Times New Roman" w:cs="Times New Roman"/>
        </w:rPr>
      </w:pPr>
    </w:p>
    <w:p w14:paraId="4C83A34A" w14:textId="4E97BEB6" w:rsidR="00C15DA5" w:rsidRPr="00C15DA5" w:rsidRDefault="00C15DA5" w:rsidP="00C15DA5">
      <w:pPr>
        <w:jc w:val="both"/>
        <w:rPr>
          <w:rFonts w:ascii="Times New Roman" w:hAnsi="Times New Roman" w:cs="Times New Roman"/>
        </w:rPr>
      </w:pPr>
      <w:r w:rsidRPr="00C15DA5">
        <w:rPr>
          <w:rFonts w:ascii="Times New Roman" w:hAnsi="Times New Roman" w:cs="Times New Roman"/>
        </w:rPr>
        <w:t>The applicants submit that where a request to the Controller is made and a High Court is faced with an election to stay proceedings, it has no choice but to stay the matter.  The applicant</w:t>
      </w:r>
      <w:r w:rsidR="008A409D">
        <w:rPr>
          <w:rFonts w:ascii="Times New Roman" w:hAnsi="Times New Roman" w:cs="Times New Roman"/>
        </w:rPr>
        <w:t>s</w:t>
      </w:r>
      <w:r w:rsidRPr="00C15DA5">
        <w:rPr>
          <w:rFonts w:ascii="Times New Roman" w:hAnsi="Times New Roman" w:cs="Times New Roman"/>
        </w:rPr>
        <w:t xml:space="preserve"> contend that to find otherwise would usurp the Controller</w:t>
      </w:r>
      <w:r w:rsidR="002C5469">
        <w:rPr>
          <w:rFonts w:ascii="Times New Roman" w:hAnsi="Times New Roman" w:cs="Times New Roman"/>
        </w:rPr>
        <w:t>’</w:t>
      </w:r>
      <w:r w:rsidRPr="00C15DA5">
        <w:rPr>
          <w:rFonts w:ascii="Times New Roman" w:hAnsi="Times New Roman" w:cs="Times New Roman"/>
        </w:rPr>
        <w:t xml:space="preserve">s powers in terms of section 12B and </w:t>
      </w:r>
      <w:r w:rsidRPr="00C15DA5">
        <w:rPr>
          <w:rFonts w:ascii="Times New Roman" w:hAnsi="Times New Roman" w:cs="Times New Roman"/>
        </w:rPr>
        <w:lastRenderedPageBreak/>
        <w:t>deny the applicants access to a specialised statutory dispute resolution mechanism, which is guaranteed by section 34 of the Constitution.</w:t>
      </w:r>
    </w:p>
    <w:p w14:paraId="711C2925" w14:textId="77F6CDE7" w:rsidR="00C15DA5" w:rsidRPr="00C15DA5" w:rsidRDefault="00C15DA5" w:rsidP="00C15DA5">
      <w:pPr>
        <w:jc w:val="both"/>
        <w:rPr>
          <w:rFonts w:ascii="Times New Roman" w:hAnsi="Times New Roman" w:cs="Times New Roman"/>
        </w:rPr>
      </w:pPr>
    </w:p>
    <w:p w14:paraId="6063536C" w14:textId="47E28722" w:rsidR="00C15DA5" w:rsidRPr="00C15DA5" w:rsidRDefault="00C15DA5" w:rsidP="00C15DA5">
      <w:pPr>
        <w:jc w:val="both"/>
        <w:rPr>
          <w:rFonts w:ascii="Times New Roman" w:hAnsi="Times New Roman" w:cs="Times New Roman"/>
        </w:rPr>
      </w:pPr>
      <w:r w:rsidRPr="00C15DA5">
        <w:rPr>
          <w:rFonts w:ascii="Times New Roman" w:hAnsi="Times New Roman" w:cs="Times New Roman"/>
        </w:rPr>
        <w:t>The respondent submits that there is nothing in the Petroleum Products Act that gives rise to the ouster of the High Court</w:t>
      </w:r>
      <w:r w:rsidR="002C5469">
        <w:rPr>
          <w:rFonts w:ascii="Times New Roman" w:hAnsi="Times New Roman" w:cs="Times New Roman"/>
        </w:rPr>
        <w:t>’</w:t>
      </w:r>
      <w:r w:rsidRPr="00C15DA5">
        <w:rPr>
          <w:rFonts w:ascii="Times New Roman" w:hAnsi="Times New Roman" w:cs="Times New Roman"/>
        </w:rPr>
        <w:t xml:space="preserve">s jurisdiction or which would deprive a court of its common law power to decide an eviction application.  According to the respondent, </w:t>
      </w:r>
      <w:r w:rsidRPr="000A69C0">
        <w:rPr>
          <w:rFonts w:ascii="Times New Roman" w:hAnsi="Times New Roman" w:cs="Times New Roman"/>
          <w:i/>
        </w:rPr>
        <w:t>Business Zone</w:t>
      </w:r>
      <w:r w:rsidRPr="00C15DA5">
        <w:rPr>
          <w:rFonts w:ascii="Times New Roman" w:hAnsi="Times New Roman" w:cs="Times New Roman"/>
        </w:rPr>
        <w:t xml:space="preserve"> does </w:t>
      </w:r>
      <w:r w:rsidR="008F26C1">
        <w:rPr>
          <w:rFonts w:ascii="Times New Roman" w:hAnsi="Times New Roman" w:cs="Times New Roman"/>
        </w:rPr>
        <w:t xml:space="preserve">not </w:t>
      </w:r>
      <w:r w:rsidRPr="00C15DA5">
        <w:rPr>
          <w:rFonts w:ascii="Times New Roman" w:hAnsi="Times New Roman" w:cs="Times New Roman"/>
        </w:rPr>
        <w:t xml:space="preserve">create </w:t>
      </w:r>
      <w:r w:rsidR="00130250">
        <w:rPr>
          <w:rFonts w:ascii="Times New Roman" w:hAnsi="Times New Roman" w:cs="Times New Roman"/>
        </w:rPr>
        <w:t>that</w:t>
      </w:r>
      <w:r w:rsidRPr="00C15DA5">
        <w:rPr>
          <w:rFonts w:ascii="Times New Roman" w:hAnsi="Times New Roman" w:cs="Times New Roman"/>
        </w:rPr>
        <w:t xml:space="preserve"> rule, and in any event, it is distinguishable from both these applications on the facts and the merits</w:t>
      </w:r>
      <w:r w:rsidR="008A409D">
        <w:rPr>
          <w:rFonts w:ascii="Times New Roman" w:hAnsi="Times New Roman" w:cs="Times New Roman"/>
        </w:rPr>
        <w:t>.</w:t>
      </w:r>
      <w:r w:rsidRPr="00C15DA5">
        <w:rPr>
          <w:rFonts w:ascii="Times New Roman" w:hAnsi="Times New Roman" w:cs="Times New Roman"/>
        </w:rPr>
        <w:t xml:space="preserve"> </w:t>
      </w:r>
      <w:r w:rsidR="001502AB">
        <w:rPr>
          <w:rFonts w:ascii="Times New Roman" w:hAnsi="Times New Roman" w:cs="Times New Roman"/>
        </w:rPr>
        <w:t xml:space="preserve"> </w:t>
      </w:r>
      <w:r w:rsidR="008A409D">
        <w:rPr>
          <w:rFonts w:ascii="Times New Roman" w:hAnsi="Times New Roman" w:cs="Times New Roman"/>
        </w:rPr>
        <w:t>T</w:t>
      </w:r>
      <w:r w:rsidRPr="00C15DA5">
        <w:rPr>
          <w:rFonts w:ascii="Times New Roman" w:hAnsi="Times New Roman" w:cs="Times New Roman"/>
        </w:rPr>
        <w:t xml:space="preserve">his is because on the facts, </w:t>
      </w:r>
      <w:r w:rsidRPr="000A69C0">
        <w:rPr>
          <w:rFonts w:ascii="Times New Roman" w:hAnsi="Times New Roman" w:cs="Times New Roman"/>
          <w:i/>
        </w:rPr>
        <w:t>Business Zone</w:t>
      </w:r>
      <w:r w:rsidRPr="00C15DA5">
        <w:rPr>
          <w:rFonts w:ascii="Times New Roman" w:hAnsi="Times New Roman" w:cs="Times New Roman"/>
        </w:rPr>
        <w:t xml:space="preserve"> was concerned with the cancellation of an existing contract and not an already lapsed agreement and </w:t>
      </w:r>
      <w:r w:rsidRPr="000A69C0">
        <w:rPr>
          <w:rFonts w:ascii="Times New Roman" w:hAnsi="Times New Roman" w:cs="Times New Roman"/>
          <w:i/>
        </w:rPr>
        <w:t>Business Zone</w:t>
      </w:r>
      <w:r w:rsidRPr="00C15DA5">
        <w:rPr>
          <w:rFonts w:ascii="Times New Roman" w:hAnsi="Times New Roman" w:cs="Times New Roman"/>
        </w:rPr>
        <w:t xml:space="preserve"> did not address the issue whether the refusal to </w:t>
      </w:r>
      <w:r w:rsidR="008A409D">
        <w:rPr>
          <w:rFonts w:ascii="Times New Roman" w:hAnsi="Times New Roman" w:cs="Times New Roman"/>
        </w:rPr>
        <w:t>conclude</w:t>
      </w:r>
      <w:r w:rsidRPr="00C15DA5">
        <w:rPr>
          <w:rFonts w:ascii="Times New Roman" w:hAnsi="Times New Roman" w:cs="Times New Roman"/>
        </w:rPr>
        <w:t xml:space="preserve"> a contract constitutes an unfair or unreasonable contractual practice.</w:t>
      </w:r>
    </w:p>
    <w:p w14:paraId="5D842E20" w14:textId="53B8730A" w:rsidR="00C15DA5" w:rsidRPr="00C15DA5" w:rsidRDefault="00C15DA5" w:rsidP="00C15DA5">
      <w:pPr>
        <w:jc w:val="both"/>
        <w:rPr>
          <w:rFonts w:ascii="Times New Roman" w:hAnsi="Times New Roman" w:cs="Times New Roman"/>
        </w:rPr>
      </w:pPr>
    </w:p>
    <w:p w14:paraId="32EA5DF0" w14:textId="69FD2622" w:rsidR="00C15DA5" w:rsidRPr="00C15DA5" w:rsidRDefault="00C15DA5" w:rsidP="00C15DA5">
      <w:pPr>
        <w:jc w:val="both"/>
        <w:rPr>
          <w:rFonts w:ascii="Times New Roman" w:hAnsi="Times New Roman" w:cs="Times New Roman"/>
        </w:rPr>
      </w:pPr>
      <w:r w:rsidRPr="00C15DA5">
        <w:rPr>
          <w:rFonts w:ascii="Times New Roman" w:hAnsi="Times New Roman" w:cs="Times New Roman"/>
        </w:rPr>
        <w:t xml:space="preserve">The respondent submits that the High Court and the Supreme Court of Appeal made factual findings that both the franchise and lease agreements had lapsed and therefore the respondent no longer </w:t>
      </w:r>
      <w:r w:rsidR="00512C09">
        <w:rPr>
          <w:rFonts w:ascii="Times New Roman" w:hAnsi="Times New Roman" w:cs="Times New Roman"/>
        </w:rPr>
        <w:t>has</w:t>
      </w:r>
      <w:r w:rsidRPr="00C15DA5">
        <w:rPr>
          <w:rFonts w:ascii="Times New Roman" w:hAnsi="Times New Roman" w:cs="Times New Roman"/>
        </w:rPr>
        <w:t xml:space="preserve"> an existing contractual relationship with either party.  The respondent submits that the equitable and reasonable standard set out in the Petroleum Products Act does not apply</w:t>
      </w:r>
      <w:r w:rsidR="0014387D">
        <w:rPr>
          <w:rFonts w:ascii="Times New Roman" w:hAnsi="Times New Roman" w:cs="Times New Roman"/>
        </w:rPr>
        <w:t xml:space="preserve"> </w:t>
      </w:r>
      <w:r w:rsidR="00130250">
        <w:rPr>
          <w:rFonts w:ascii="Times New Roman" w:hAnsi="Times New Roman" w:cs="Times New Roman"/>
        </w:rPr>
        <w:t>in the absence of an</w:t>
      </w:r>
      <w:r w:rsidRPr="00C15DA5">
        <w:rPr>
          <w:rFonts w:ascii="Times New Roman" w:hAnsi="Times New Roman" w:cs="Times New Roman"/>
        </w:rPr>
        <w:t xml:space="preserve"> existing contract.  The respondent </w:t>
      </w:r>
      <w:r w:rsidR="008A409D">
        <w:rPr>
          <w:rFonts w:ascii="Times New Roman" w:hAnsi="Times New Roman" w:cs="Times New Roman"/>
        </w:rPr>
        <w:t>contends</w:t>
      </w:r>
      <w:r w:rsidRPr="00C15DA5">
        <w:rPr>
          <w:rFonts w:ascii="Times New Roman" w:hAnsi="Times New Roman" w:cs="Times New Roman"/>
        </w:rPr>
        <w:t xml:space="preserve"> that if the applicants</w:t>
      </w:r>
      <w:r w:rsidR="002C5469">
        <w:rPr>
          <w:rFonts w:ascii="Times New Roman" w:hAnsi="Times New Roman" w:cs="Times New Roman"/>
        </w:rPr>
        <w:t>’</w:t>
      </w:r>
      <w:r w:rsidRPr="00C15DA5">
        <w:rPr>
          <w:rFonts w:ascii="Times New Roman" w:hAnsi="Times New Roman" w:cs="Times New Roman"/>
        </w:rPr>
        <w:t xml:space="preserve"> contention is accepted by this Court, it would undermine the freedom of contract of the parties. </w:t>
      </w:r>
      <w:r w:rsidR="008F26C1">
        <w:rPr>
          <w:rFonts w:ascii="Times New Roman" w:hAnsi="Times New Roman" w:cs="Times New Roman"/>
        </w:rPr>
        <w:t>Furthermore,</w:t>
      </w:r>
      <w:r w:rsidRPr="00C15DA5">
        <w:rPr>
          <w:rFonts w:ascii="Times New Roman" w:hAnsi="Times New Roman" w:cs="Times New Roman"/>
        </w:rPr>
        <w:t xml:space="preserve"> the Petroleum Products Act does not afford the arbitrator the power to create a contract </w:t>
      </w:r>
      <w:r w:rsidR="008F26C1">
        <w:rPr>
          <w:rFonts w:ascii="Times New Roman" w:hAnsi="Times New Roman" w:cs="Times New Roman"/>
        </w:rPr>
        <w:t>for the</w:t>
      </w:r>
      <w:r w:rsidR="008F26C1" w:rsidRPr="00C15DA5">
        <w:rPr>
          <w:rFonts w:ascii="Times New Roman" w:hAnsi="Times New Roman" w:cs="Times New Roman"/>
        </w:rPr>
        <w:t xml:space="preserve"> </w:t>
      </w:r>
      <w:r w:rsidR="00810BEC" w:rsidRPr="00C15DA5">
        <w:rPr>
          <w:rFonts w:ascii="Times New Roman" w:hAnsi="Times New Roman" w:cs="Times New Roman"/>
        </w:rPr>
        <w:t>parties</w:t>
      </w:r>
      <w:r w:rsidR="00810BEC">
        <w:rPr>
          <w:rFonts w:ascii="Times New Roman" w:hAnsi="Times New Roman" w:cs="Times New Roman"/>
        </w:rPr>
        <w:t>,</w:t>
      </w:r>
      <w:r w:rsidRPr="00C15DA5">
        <w:rPr>
          <w:rFonts w:ascii="Times New Roman" w:hAnsi="Times New Roman" w:cs="Times New Roman"/>
        </w:rPr>
        <w:t xml:space="preserve"> nor does the arbitrator have the power to override </w:t>
      </w:r>
      <w:r w:rsidR="00512C09">
        <w:rPr>
          <w:rFonts w:ascii="Times New Roman" w:hAnsi="Times New Roman" w:cs="Times New Roman"/>
        </w:rPr>
        <w:t>ownership rights or</w:t>
      </w:r>
      <w:r w:rsidRPr="00C15DA5">
        <w:rPr>
          <w:rFonts w:ascii="Times New Roman" w:hAnsi="Times New Roman" w:cs="Times New Roman"/>
        </w:rPr>
        <w:t xml:space="preserve"> the right to obtain an eviction order against persons occupying</w:t>
      </w:r>
      <w:r w:rsidR="008F26C1">
        <w:rPr>
          <w:rFonts w:ascii="Times New Roman" w:hAnsi="Times New Roman" w:cs="Times New Roman"/>
        </w:rPr>
        <w:t xml:space="preserve"> </w:t>
      </w:r>
      <w:r w:rsidRPr="00C15DA5">
        <w:rPr>
          <w:rFonts w:ascii="Times New Roman" w:hAnsi="Times New Roman" w:cs="Times New Roman"/>
        </w:rPr>
        <w:t xml:space="preserve">property against the will of the owner. </w:t>
      </w:r>
    </w:p>
    <w:p w14:paraId="642291A2" w14:textId="77777777" w:rsidR="00780085" w:rsidRPr="00C15DA5" w:rsidRDefault="00772AA9" w:rsidP="00C15DA5">
      <w:pPr>
        <w:jc w:val="both"/>
        <w:rPr>
          <w:rFonts w:ascii="Times New Roman" w:hAnsi="Times New Roman" w:cs="Times New Roman"/>
        </w:rPr>
      </w:pPr>
    </w:p>
    <w:sectPr w:rsidR="00780085" w:rsidRPr="00C15DA5" w:rsidSect="00E13E4D">
      <w:pgSz w:w="11907" w:h="16839" w:code="9"/>
      <w:pgMar w:top="1440" w:right="1440" w:bottom="1440" w:left="1440"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026943E" w14:textId="77777777" w:rsidR="00772AA9" w:rsidRDefault="00772AA9" w:rsidP="00C15DA5">
      <w:r>
        <w:separator/>
      </w:r>
    </w:p>
  </w:endnote>
  <w:endnote w:type="continuationSeparator" w:id="0">
    <w:p w14:paraId="1170A4EF" w14:textId="77777777" w:rsidR="00772AA9" w:rsidRDefault="00772AA9" w:rsidP="00C15D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C000ACFF"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604020202020204"/>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950B77E" w14:textId="77777777" w:rsidR="00772AA9" w:rsidRDefault="00772AA9" w:rsidP="00C15DA5">
      <w:r>
        <w:separator/>
      </w:r>
    </w:p>
  </w:footnote>
  <w:footnote w:type="continuationSeparator" w:id="0">
    <w:p w14:paraId="5AFF212E" w14:textId="77777777" w:rsidR="00772AA9" w:rsidRDefault="00772AA9" w:rsidP="00C15DA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305"/>
  <w:proofState w:spelling="clean" w:grammar="clean"/>
  <w:defaultTabStop w:val="720"/>
  <w:drawingGridHorizontalSpacing w:val="13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tTQztzQ0NDO2sLAEcpV0lIJTi4sz8/NACgxrAWgzUMosAAAA"/>
  </w:docVars>
  <w:rsids>
    <w:rsidRoot w:val="00C15DA5"/>
    <w:rsid w:val="0008039A"/>
    <w:rsid w:val="000A69C0"/>
    <w:rsid w:val="001250EA"/>
    <w:rsid w:val="00130250"/>
    <w:rsid w:val="0014387D"/>
    <w:rsid w:val="001502AB"/>
    <w:rsid w:val="00175081"/>
    <w:rsid w:val="00181833"/>
    <w:rsid w:val="001D4877"/>
    <w:rsid w:val="002045CB"/>
    <w:rsid w:val="00210761"/>
    <w:rsid w:val="0021268F"/>
    <w:rsid w:val="002C5469"/>
    <w:rsid w:val="004F43B8"/>
    <w:rsid w:val="005024D2"/>
    <w:rsid w:val="00512C09"/>
    <w:rsid w:val="0059126D"/>
    <w:rsid w:val="006A1353"/>
    <w:rsid w:val="00772AA9"/>
    <w:rsid w:val="007E18EC"/>
    <w:rsid w:val="007E78E8"/>
    <w:rsid w:val="00810BEC"/>
    <w:rsid w:val="00824A22"/>
    <w:rsid w:val="008A409D"/>
    <w:rsid w:val="008B0CED"/>
    <w:rsid w:val="008D0A2A"/>
    <w:rsid w:val="008F26C1"/>
    <w:rsid w:val="009039C8"/>
    <w:rsid w:val="00A44C0C"/>
    <w:rsid w:val="00A947A9"/>
    <w:rsid w:val="00AF7008"/>
    <w:rsid w:val="00B0704C"/>
    <w:rsid w:val="00B225BF"/>
    <w:rsid w:val="00BF1824"/>
    <w:rsid w:val="00C15DA5"/>
    <w:rsid w:val="00C87282"/>
    <w:rsid w:val="00D35291"/>
    <w:rsid w:val="00D821A3"/>
    <w:rsid w:val="00E13E4D"/>
    <w:rsid w:val="00FC6728"/>
    <w:rsid w:val="00FD72F1"/>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7CF4FA"/>
  <w15:chartTrackingRefBased/>
  <w15:docId w15:val="{70F1FE3E-13BF-7049-994F-8B427D8036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ZA"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225BF"/>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225BF"/>
    <w:rPr>
      <w:rFonts w:ascii="Segoe UI" w:hAnsi="Segoe UI" w:cs="Segoe UI"/>
      <w:sz w:val="18"/>
      <w:szCs w:val="18"/>
      <w:lang w:val="en-GB"/>
    </w:rPr>
  </w:style>
  <w:style w:type="character" w:styleId="CommentReference">
    <w:name w:val="annotation reference"/>
    <w:basedOn w:val="DefaultParagraphFont"/>
    <w:uiPriority w:val="99"/>
    <w:semiHidden/>
    <w:unhideWhenUsed/>
    <w:rsid w:val="00B225BF"/>
    <w:rPr>
      <w:sz w:val="16"/>
      <w:szCs w:val="16"/>
    </w:rPr>
  </w:style>
  <w:style w:type="paragraph" w:styleId="CommentText">
    <w:name w:val="annotation text"/>
    <w:basedOn w:val="Normal"/>
    <w:link w:val="CommentTextChar"/>
    <w:uiPriority w:val="99"/>
    <w:semiHidden/>
    <w:unhideWhenUsed/>
    <w:rsid w:val="00B225BF"/>
    <w:rPr>
      <w:sz w:val="20"/>
      <w:szCs w:val="20"/>
    </w:rPr>
  </w:style>
  <w:style w:type="character" w:customStyle="1" w:styleId="CommentTextChar">
    <w:name w:val="Comment Text Char"/>
    <w:basedOn w:val="DefaultParagraphFont"/>
    <w:link w:val="CommentText"/>
    <w:uiPriority w:val="99"/>
    <w:semiHidden/>
    <w:rsid w:val="00B225BF"/>
    <w:rPr>
      <w:sz w:val="20"/>
      <w:szCs w:val="20"/>
      <w:lang w:val="en-GB"/>
    </w:rPr>
  </w:style>
  <w:style w:type="paragraph" w:styleId="CommentSubject">
    <w:name w:val="annotation subject"/>
    <w:basedOn w:val="CommentText"/>
    <w:next w:val="CommentText"/>
    <w:link w:val="CommentSubjectChar"/>
    <w:uiPriority w:val="99"/>
    <w:semiHidden/>
    <w:unhideWhenUsed/>
    <w:rsid w:val="00B225BF"/>
    <w:rPr>
      <w:b/>
      <w:bCs/>
    </w:rPr>
  </w:style>
  <w:style w:type="character" w:customStyle="1" w:styleId="CommentSubjectChar">
    <w:name w:val="Comment Subject Char"/>
    <w:basedOn w:val="CommentTextChar"/>
    <w:link w:val="CommentSubject"/>
    <w:uiPriority w:val="99"/>
    <w:semiHidden/>
    <w:rsid w:val="00B225BF"/>
    <w:rPr>
      <w:b/>
      <w:bCs/>
      <w:sz w:val="20"/>
      <w:szCs w:val="20"/>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cid:image001.png@01CF121A.2263A8C0"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7A288E45-F8F5-0A41-B86B-E5E0015A491F}">
  <we:reference id="wa200001011" version="1.1.0.0" store="en-GB" storeType="OMEX"/>
  <we:alternateReferences>
    <we:reference id="WA200001011" version="1.1.0.0" store="" storeType="OMEX"/>
  </we:alternateReferences>
  <we:properties/>
  <we:bindings/>
  <we:snapshot xmlns:r="http://schemas.openxmlformats.org/officeDocument/2006/relationships"/>
</we:webextension>
</file>

<file path=docProps/app.xml><?xml version="1.0" encoding="utf-8"?>
<Properties xmlns="http://schemas.openxmlformats.org/officeDocument/2006/extended-properties" xmlns:vt="http://schemas.openxmlformats.org/officeDocument/2006/docPropsVTypes">
  <Template>Normal.dotm</Template>
  <TotalTime>3</TotalTime>
  <Pages>4</Pages>
  <Words>1868</Words>
  <Characters>10649</Characters>
  <Application>Microsoft Office Word</Application>
  <DocSecurity>0</DocSecurity>
  <Lines>88</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12493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Natasha Dusabe</dc:creator>
  <cp:keywords/>
  <dc:description/>
  <cp:lastModifiedBy>Natasha Dusabe</cp:lastModifiedBy>
  <cp:revision>3</cp:revision>
  <dcterms:created xsi:type="dcterms:W3CDTF">2021-03-08T12:49:00Z</dcterms:created>
  <dcterms:modified xsi:type="dcterms:W3CDTF">2021-03-08T12:54:00Z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_documentId">
    <vt:lpwstr>documentId_5439</vt:lpwstr>
  </property>
  <property fmtid="{D5CDD505-2E9C-101B-9397-08002B2CF9AE}" pid="3" name="grammarly_documentContext">
    <vt:lpwstr>{"goals":[],"domain":"general","emotions":[],"dialect":"british"}</vt:lpwstr>
  </property>
  <property fmtid="{D5CDD505-2E9C-101B-9397-08002B2CF9AE}" pid="4" name="_AdHocReviewCycleID">
    <vt:i4>-1784525699</vt:i4>
  </property>
  <property fmtid="{D5CDD505-2E9C-101B-9397-08002B2CF9AE}" pid="5" name="_NewReviewCycle">
    <vt:lpwstr/>
  </property>
  <property fmtid="{D5CDD505-2E9C-101B-9397-08002B2CF9AE}" pid="6" name="_EmailSubject">
    <vt:lpwstr>[Pre-hearing media summary ] CCT 19-20 Crompton Street Motors v Bright Ideas CC; CCT 237-20 Former Way Trade and Invest v Bright Ideas CC</vt:lpwstr>
  </property>
  <property fmtid="{D5CDD505-2E9C-101B-9397-08002B2CF9AE}" pid="7" name="_AuthorEmail">
    <vt:lpwstr>Ngobeni@concourt.org.za</vt:lpwstr>
  </property>
  <property fmtid="{D5CDD505-2E9C-101B-9397-08002B2CF9AE}" pid="8" name="_AuthorEmailDisplayName">
    <vt:lpwstr>Mmabatho Ngobeni</vt:lpwstr>
  </property>
</Properties>
</file>