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232585" w14:textId="77777777" w:rsidR="00104943" w:rsidRDefault="00104943" w:rsidP="00104943">
      <w:pPr>
        <w:jc w:val="center"/>
      </w:pPr>
      <w:r w:rsidRPr="00CA458C">
        <w:rPr>
          <w:noProof/>
          <w:lang w:eastAsia="en-ZA"/>
        </w:rPr>
        <w:drawing>
          <wp:inline distT="0" distB="0" distL="0" distR="0" wp14:anchorId="1AFEE9FB" wp14:editId="406305EB">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1363308B" w14:textId="77777777" w:rsidR="00104943" w:rsidRDefault="00104943" w:rsidP="00104943">
      <w:pPr>
        <w:jc w:val="center"/>
      </w:pPr>
    </w:p>
    <w:p w14:paraId="5F49F413" w14:textId="77777777" w:rsidR="00104943" w:rsidRPr="00100894" w:rsidRDefault="00104943" w:rsidP="00104943">
      <w:pPr>
        <w:jc w:val="center"/>
        <w:rPr>
          <w:b/>
        </w:rPr>
      </w:pPr>
      <w:r w:rsidRPr="00100894">
        <w:rPr>
          <w:b/>
        </w:rPr>
        <w:t>CONSTITUTIONAL COURT OF SOUTH AFRICA</w:t>
      </w:r>
    </w:p>
    <w:p w14:paraId="332563DB" w14:textId="77777777" w:rsidR="00104943" w:rsidRPr="00100894" w:rsidRDefault="00104943" w:rsidP="00104943"/>
    <w:p w14:paraId="3C749210" w14:textId="77777777" w:rsidR="00104943" w:rsidRPr="0007028D" w:rsidRDefault="00104943" w:rsidP="00104943">
      <w:pPr>
        <w:jc w:val="center"/>
      </w:pPr>
      <w:r>
        <w:rPr>
          <w:b/>
        </w:rPr>
        <w:t>Competition Commission</w:t>
      </w:r>
      <w:r w:rsidRPr="00E17A92">
        <w:rPr>
          <w:b/>
        </w:rPr>
        <w:t xml:space="preserve"> v </w:t>
      </w:r>
      <w:r>
        <w:rPr>
          <w:b/>
        </w:rPr>
        <w:t>Beefcor Proprietary Limited and Another</w:t>
      </w:r>
    </w:p>
    <w:p w14:paraId="5F1450EB" w14:textId="77777777" w:rsidR="00104943" w:rsidRDefault="00104943" w:rsidP="00104943">
      <w:pPr>
        <w:tabs>
          <w:tab w:val="right" w:pos="9360"/>
        </w:tabs>
        <w:ind w:right="284"/>
        <w:rPr>
          <w:bCs/>
          <w:sz w:val="26"/>
          <w:szCs w:val="26"/>
          <w:lang w:val="en-GB"/>
        </w:rPr>
      </w:pPr>
    </w:p>
    <w:p w14:paraId="297130CC" w14:textId="77777777" w:rsidR="00104943" w:rsidRPr="00100894" w:rsidRDefault="00104943" w:rsidP="00104943">
      <w:pPr>
        <w:jc w:val="right"/>
        <w:rPr>
          <w:b/>
        </w:rPr>
      </w:pPr>
      <w:r w:rsidRPr="00100894">
        <w:rPr>
          <w:b/>
        </w:rPr>
        <w:t xml:space="preserve">CCT </w:t>
      </w:r>
      <w:r>
        <w:rPr>
          <w:b/>
        </w:rPr>
        <w:t>175/20</w:t>
      </w:r>
    </w:p>
    <w:p w14:paraId="7669CB63" w14:textId="77777777" w:rsidR="00104943" w:rsidRPr="00100894" w:rsidRDefault="00104943" w:rsidP="00104943">
      <w:pPr>
        <w:jc w:val="right"/>
        <w:rPr>
          <w:b/>
        </w:rPr>
      </w:pPr>
    </w:p>
    <w:p w14:paraId="53AC8788" w14:textId="77777777" w:rsidR="00104943" w:rsidRPr="00100894" w:rsidRDefault="00104943" w:rsidP="00104943">
      <w:pPr>
        <w:jc w:val="right"/>
        <w:rPr>
          <w:b/>
        </w:rPr>
      </w:pPr>
      <w:r w:rsidRPr="00100894">
        <w:rPr>
          <w:b/>
        </w:rPr>
        <w:t xml:space="preserve">Date of hearing: </w:t>
      </w:r>
      <w:r>
        <w:rPr>
          <w:b/>
        </w:rPr>
        <w:t>23 February 2021</w:t>
      </w:r>
    </w:p>
    <w:p w14:paraId="1CD83BE8" w14:textId="77777777" w:rsidR="00104943" w:rsidRPr="00100894" w:rsidRDefault="00104943" w:rsidP="00104943"/>
    <w:p w14:paraId="2E7F0268" w14:textId="77777777" w:rsidR="00104943" w:rsidRPr="00100894" w:rsidRDefault="00104943" w:rsidP="00104943">
      <w:r w:rsidRPr="00100894">
        <w:t>________________________________________________________________________</w:t>
      </w:r>
    </w:p>
    <w:p w14:paraId="598C226D" w14:textId="77777777" w:rsidR="00104943" w:rsidRPr="00100894" w:rsidRDefault="00104943" w:rsidP="00104943">
      <w:pPr>
        <w:jc w:val="center"/>
        <w:rPr>
          <w:b/>
        </w:rPr>
      </w:pPr>
    </w:p>
    <w:p w14:paraId="701196D9" w14:textId="77777777" w:rsidR="00104943" w:rsidRPr="00100894" w:rsidRDefault="00104943" w:rsidP="00104943">
      <w:pPr>
        <w:jc w:val="center"/>
        <w:rPr>
          <w:b/>
        </w:rPr>
      </w:pPr>
      <w:r w:rsidRPr="00100894">
        <w:rPr>
          <w:b/>
        </w:rPr>
        <w:t>MEDIA SUMMARY</w:t>
      </w:r>
    </w:p>
    <w:p w14:paraId="6DD4E835" w14:textId="77777777" w:rsidR="00104943" w:rsidRPr="00100894" w:rsidRDefault="00104943" w:rsidP="00104943">
      <w:pPr>
        <w:jc w:val="center"/>
      </w:pPr>
      <w:r w:rsidRPr="00100894">
        <w:t>________________________________________________________________________</w:t>
      </w:r>
    </w:p>
    <w:p w14:paraId="1BDD3051" w14:textId="77777777" w:rsidR="00104943" w:rsidRPr="00100894" w:rsidRDefault="00104943" w:rsidP="00104943">
      <w:pPr>
        <w:spacing w:line="360" w:lineRule="auto"/>
        <w:jc w:val="left"/>
      </w:pPr>
    </w:p>
    <w:p w14:paraId="0F935F08" w14:textId="77777777" w:rsidR="00104943" w:rsidRPr="00100894" w:rsidRDefault="00104943" w:rsidP="00104943">
      <w:pPr>
        <w:rPr>
          <w:i/>
        </w:rPr>
      </w:pPr>
      <w:r w:rsidRPr="00100894">
        <w:rPr>
          <w:i/>
        </w:rPr>
        <w:t>The following explanatory note is provided to assist the media in reporting this case and is not binding on the Constitutional Court or any member of the Court.</w:t>
      </w:r>
    </w:p>
    <w:p w14:paraId="23B173F3" w14:textId="77777777" w:rsidR="00104943" w:rsidRPr="00100894" w:rsidRDefault="00104943" w:rsidP="00104943">
      <w:pPr>
        <w:rPr>
          <w:sz w:val="28"/>
          <w:szCs w:val="28"/>
        </w:rPr>
      </w:pPr>
    </w:p>
    <w:p w14:paraId="69B9F409" w14:textId="77777777" w:rsidR="00104943" w:rsidRDefault="00104943" w:rsidP="00104943">
      <w:r>
        <w:t xml:space="preserve">On Tuesday 23 February 2021 at </w:t>
      </w:r>
      <w:r w:rsidRPr="00E17A92">
        <w:t>10h00</w:t>
      </w:r>
      <w:r>
        <w:t xml:space="preserve">, </w:t>
      </w:r>
      <w:r w:rsidRPr="00100894">
        <w:t xml:space="preserve">the Constitutional Court will hear </w:t>
      </w:r>
      <w:r w:rsidRPr="00E17A92">
        <w:t>an</w:t>
      </w:r>
      <w:r>
        <w:t xml:space="preserve"> application</w:t>
      </w:r>
      <w:r w:rsidRPr="00E17A92">
        <w:t xml:space="preserve"> </w:t>
      </w:r>
      <w:r w:rsidRPr="00145795">
        <w:t>for leave to appeal against the whole judgments and orders of the Competition Appeal Court and the Competition Tribunal dismissing the appeal and application for reins</w:t>
      </w:r>
      <w:r>
        <w:t>tatement of a referral that the applicant</w:t>
      </w:r>
      <w:r w:rsidRPr="00145795">
        <w:t xml:space="preserve"> had withdrawn</w:t>
      </w:r>
      <w:r>
        <w:t xml:space="preserve">.  </w:t>
      </w:r>
    </w:p>
    <w:p w14:paraId="1DD3F768" w14:textId="77777777" w:rsidR="00104943" w:rsidRDefault="00104943" w:rsidP="00104943"/>
    <w:p w14:paraId="67C7071A" w14:textId="77777777" w:rsidR="00104943" w:rsidRDefault="00104943" w:rsidP="00104943">
      <w:r w:rsidRPr="00145795">
        <w:t>This appeal concerns the effect of a withdrawal of a complaint before the Tribunal.  The complaint was initiated against the respondents in terms of section 49B(1) of the Competition Act</w:t>
      </w:r>
      <w:r>
        <w:t xml:space="preserve"> 89 of</w:t>
      </w:r>
      <w:r w:rsidRPr="00145795">
        <w:t xml:space="preserve"> 1998</w:t>
      </w:r>
      <w:r>
        <w:t xml:space="preserve">.  </w:t>
      </w:r>
      <w:r w:rsidRPr="00145795">
        <w:t xml:space="preserve">The respondents were alleged to have entered into a contract </w:t>
      </w:r>
      <w:r>
        <w:t xml:space="preserve">that </w:t>
      </w:r>
      <w:r w:rsidRPr="00145795">
        <w:t>amounted to a division of markets or an allocation of customers</w:t>
      </w:r>
      <w:r>
        <w:t>, which conduct was alleged to</w:t>
      </w:r>
      <w:r w:rsidRPr="00145795">
        <w:t xml:space="preserve"> </w:t>
      </w:r>
      <w:r>
        <w:t xml:space="preserve">be </w:t>
      </w:r>
      <w:r w:rsidRPr="00145795">
        <w:t>in contravention of s</w:t>
      </w:r>
      <w:r>
        <w:t>ection</w:t>
      </w:r>
      <w:r w:rsidRPr="00145795">
        <w:t xml:space="preserve"> 4(1)(b)(ii) of the Act. </w:t>
      </w:r>
      <w:r>
        <w:t xml:space="preserve"> </w:t>
      </w:r>
    </w:p>
    <w:p w14:paraId="596864BC" w14:textId="77777777" w:rsidR="00104943" w:rsidRDefault="00104943" w:rsidP="00104943"/>
    <w:p w14:paraId="14ED568B" w14:textId="77777777" w:rsidR="00104943" w:rsidRDefault="00104943" w:rsidP="00104943">
      <w:r w:rsidRPr="00145795">
        <w:t xml:space="preserve">The </w:t>
      </w:r>
      <w:r>
        <w:t>matter</w:t>
      </w:r>
      <w:r w:rsidRPr="00145795">
        <w:t xml:space="preserve"> was set down to be heard by the Tribunal</w:t>
      </w:r>
      <w:r>
        <w:t xml:space="preserve"> and a week before the hearing, the Commission </w:t>
      </w:r>
      <w:r w:rsidRPr="00672DA7">
        <w:t xml:space="preserve">communicated a desire to engage in settlement negotiations to the </w:t>
      </w:r>
      <w:r>
        <w:t xml:space="preserve">legal representatives of the </w:t>
      </w:r>
      <w:r w:rsidRPr="00672DA7">
        <w:t>respondents</w:t>
      </w:r>
      <w:r>
        <w:t>.  The legal representatives for the respondent’s indicated that their clients were willing to proceed</w:t>
      </w:r>
      <w:r w:rsidRPr="00672DA7">
        <w:t xml:space="preserve"> with the hearing</w:t>
      </w:r>
      <w:r>
        <w:t>,</w:t>
      </w:r>
      <w:r w:rsidRPr="00672DA7">
        <w:t xml:space="preserve"> but that they were not averse to discussing settlement on the morning prior to the hearing commencing.</w:t>
      </w:r>
      <w:r>
        <w:t xml:space="preserve">  The Commission filed a </w:t>
      </w:r>
      <w:r w:rsidRPr="00672DA7">
        <w:t>notice of withdrawal in accordance with the prescribed form (CT8)</w:t>
      </w:r>
      <w:r>
        <w:t xml:space="preserve"> for</w:t>
      </w:r>
      <w:r w:rsidRPr="00672DA7">
        <w:t xml:space="preserve"> settle</w:t>
      </w:r>
      <w:r>
        <w:t>ment negotiations.  T</w:t>
      </w:r>
      <w:r w:rsidRPr="00672DA7">
        <w:t>he Tribunal notified the parties that</w:t>
      </w:r>
      <w:r>
        <w:t>,</w:t>
      </w:r>
      <w:r w:rsidRPr="00672DA7">
        <w:t xml:space="preserve"> in view of the Commission’s withdrawal</w:t>
      </w:r>
      <w:r>
        <w:t>,</w:t>
      </w:r>
      <w:r w:rsidRPr="00672DA7">
        <w:t xml:space="preserve"> the matter had been removed from the roll</w:t>
      </w:r>
      <w:r>
        <w:t>.</w:t>
      </w:r>
      <w:r w:rsidRPr="00672DA7">
        <w:t xml:space="preserve"> </w:t>
      </w:r>
      <w:r>
        <w:t>T</w:t>
      </w:r>
      <w:r w:rsidRPr="00672DA7">
        <w:t xml:space="preserve">he Commission had not tendered costs and </w:t>
      </w:r>
      <w:r>
        <w:t xml:space="preserve">the Tribunal </w:t>
      </w:r>
      <w:r w:rsidRPr="00672DA7">
        <w:t xml:space="preserve">stated that if the Commission in future wished to reinstate the </w:t>
      </w:r>
      <w:r>
        <w:t>complaint</w:t>
      </w:r>
      <w:r w:rsidRPr="00672DA7">
        <w:t>, it should file an application for reinstatement.</w:t>
      </w:r>
      <w:r>
        <w:t xml:space="preserve">  </w:t>
      </w:r>
    </w:p>
    <w:p w14:paraId="701DC897" w14:textId="77777777" w:rsidR="00104943" w:rsidRDefault="00104943" w:rsidP="00104943"/>
    <w:p w14:paraId="41A54E9A" w14:textId="77777777" w:rsidR="00104943" w:rsidRDefault="00104943" w:rsidP="00104943">
      <w:r>
        <w:t xml:space="preserve">The contemplated settlement negotiations did not take place and two months later the </w:t>
      </w:r>
      <w:r w:rsidRPr="00672DA7">
        <w:t>Commission referred a new complaint to the Tribunal dealing with the same conduct complained of in the withdrawn referral.</w:t>
      </w:r>
      <w:r>
        <w:t xml:space="preserve">  </w:t>
      </w:r>
      <w:r w:rsidRPr="004173B2">
        <w:t xml:space="preserve">The respondents raised the point that </w:t>
      </w:r>
      <w:r>
        <w:t xml:space="preserve">the </w:t>
      </w:r>
      <w:r>
        <w:lastRenderedPageBreak/>
        <w:t xml:space="preserve">Commission was prohibited from referring the complaint because the proceedings before the Tribunal became ‘complete’ in terms of section 67(2) of the Act upon the withdrawal of the complaint.  </w:t>
      </w:r>
      <w:r w:rsidRPr="004173B2">
        <w:t>The Tribunal found that</w:t>
      </w:r>
      <w:r>
        <w:t xml:space="preserve"> the effect of the Commission's </w:t>
      </w:r>
      <w:r w:rsidRPr="004173B2">
        <w:t>notice</w:t>
      </w:r>
      <w:r>
        <w:t xml:space="preserve"> of withdrawal</w:t>
      </w:r>
      <w:r w:rsidRPr="004173B2">
        <w:t xml:space="preserve"> was a withdrawal of the case against the respondents and not merely a removal of the case from the Tribunal roll and </w:t>
      </w:r>
      <w:r>
        <w:t xml:space="preserve">that </w:t>
      </w:r>
      <w:r w:rsidRPr="004173B2">
        <w:t>such withdrawal did not amount to a settlement of the case against the respondents</w:t>
      </w:r>
      <w:r>
        <w:t xml:space="preserve">.  The Tribunal held that it was in fact </w:t>
      </w:r>
      <w:r w:rsidRPr="004173B2">
        <w:t>possible for a referral that had been withdrawn to be reinstated</w:t>
      </w:r>
      <w:r>
        <w:t xml:space="preserve"> if the Commission can</w:t>
      </w:r>
      <w:r w:rsidRPr="004173B2">
        <w:t xml:space="preserve"> show the requisite c</w:t>
      </w:r>
      <w:r>
        <w:t>hange</w:t>
      </w:r>
      <w:r w:rsidRPr="004173B2">
        <w:t xml:space="preserve"> </w:t>
      </w:r>
      <w:r>
        <w:t xml:space="preserve">in </w:t>
      </w:r>
      <w:r w:rsidRPr="004173B2">
        <w:t xml:space="preserve">circumstances </w:t>
      </w:r>
      <w:r>
        <w:t xml:space="preserve">required </w:t>
      </w:r>
      <w:r w:rsidRPr="004173B2">
        <w:t>to succeed in such an application</w:t>
      </w:r>
      <w:r>
        <w:t>.  The Tribunal dismissed the application for reinstatement.</w:t>
      </w:r>
    </w:p>
    <w:p w14:paraId="7DC54C9F" w14:textId="77777777" w:rsidR="00104943" w:rsidRDefault="00104943" w:rsidP="00104943"/>
    <w:p w14:paraId="1519786F" w14:textId="77777777" w:rsidR="00104943" w:rsidRDefault="00104943" w:rsidP="00104943">
      <w:r w:rsidRPr="00B4092A">
        <w:t xml:space="preserve">The Commission appealed </w:t>
      </w:r>
      <w:r>
        <w:t>to the</w:t>
      </w:r>
      <w:r w:rsidRPr="00B4092A">
        <w:t xml:space="preserve"> Competition Appeal Court</w:t>
      </w:r>
      <w:r>
        <w:t xml:space="preserve"> </w:t>
      </w:r>
      <w:r w:rsidRPr="00B4092A">
        <w:t xml:space="preserve">against the dismissal of the application to reinstate the referral and, as part of the appeal, </w:t>
      </w:r>
      <w:r>
        <w:t>argued that the proceedings were not completed.</w:t>
      </w:r>
      <w:r w:rsidRPr="00B4092A">
        <w:t xml:space="preserve"> </w:t>
      </w:r>
      <w:r>
        <w:t xml:space="preserve"> The </w:t>
      </w:r>
      <w:r w:rsidRPr="00145795">
        <w:t>Competition Appeal Court</w:t>
      </w:r>
      <w:r w:rsidRPr="00B4092A">
        <w:t xml:space="preserve"> held that withdrawal of the</w:t>
      </w:r>
      <w:r>
        <w:t xml:space="preserve"> complaint in this matter </w:t>
      </w:r>
      <w:r w:rsidRPr="00B4092A">
        <w:t>must be construed to have the effect that the proceedings are brought to an end and thus cannot be reinstated or referred again to the Tribunal.</w:t>
      </w:r>
      <w:r>
        <w:t xml:space="preserve">  The appeal was dismissed.</w:t>
      </w:r>
    </w:p>
    <w:p w14:paraId="0D2DF9CB" w14:textId="77777777" w:rsidR="00104943" w:rsidRDefault="00104943" w:rsidP="00104943"/>
    <w:p w14:paraId="37D48E74" w14:textId="77777777" w:rsidR="00104943" w:rsidRDefault="00104943" w:rsidP="00104943">
      <w:r>
        <w:t>The Constitutional Court now has to determine the implications of a withdrawal of a complaint by the Commission in the instance where it is sought to be reinstated at a later stage, as well as the meaning of ‘completed proceedings’</w:t>
      </w:r>
      <w:r w:rsidRPr="00B4092A">
        <w:t xml:space="preserve"> </w:t>
      </w:r>
      <w:r>
        <w:t>in terms</w:t>
      </w:r>
      <w:r w:rsidRPr="00B4092A">
        <w:t xml:space="preserve"> of section 67(2) of the Act</w:t>
      </w:r>
      <w:r>
        <w:t xml:space="preserve">. </w:t>
      </w:r>
    </w:p>
    <w:p w14:paraId="7069CA56" w14:textId="77777777" w:rsidR="00104943" w:rsidRDefault="00104943" w:rsidP="00104943"/>
    <w:p w14:paraId="2584290C" w14:textId="77777777" w:rsidR="00104943" w:rsidRDefault="00104943" w:rsidP="00104943">
      <w:r w:rsidRPr="00965AF2">
        <w:t>The Commission submits that the Competition Appeal Court erred in holding that a withd</w:t>
      </w:r>
      <w:r>
        <w:t>rawal of a referral amounts to ‘</w:t>
      </w:r>
      <w:r w:rsidRPr="00965AF2">
        <w:t>comple</w:t>
      </w:r>
      <w:r>
        <w:t>ted proceedings’</w:t>
      </w:r>
      <w:r w:rsidRPr="00965AF2">
        <w:t xml:space="preserve"> as envisage</w:t>
      </w:r>
      <w:r>
        <w:t xml:space="preserve">d in section 67(2) of the Act. </w:t>
      </w:r>
      <w:r w:rsidRPr="00965AF2">
        <w:t xml:space="preserve">The Commission </w:t>
      </w:r>
      <w:r>
        <w:t xml:space="preserve">further </w:t>
      </w:r>
      <w:r w:rsidRPr="00965AF2">
        <w:t>submits that it derives its powers to reinstate withdraw</w:t>
      </w:r>
      <w:r>
        <w:t>n</w:t>
      </w:r>
      <w:r w:rsidRPr="00965AF2">
        <w:t xml:space="preserve"> proceedings from the provisions of section 50 of the Act</w:t>
      </w:r>
      <w:r>
        <w:t xml:space="preserve"> and that </w:t>
      </w:r>
      <w:r w:rsidRPr="00965AF2">
        <w:t xml:space="preserve">it has unfettered power to refer a valid complaint to the Tribunal.  </w:t>
      </w:r>
    </w:p>
    <w:p w14:paraId="5A278919" w14:textId="77777777" w:rsidR="00104943" w:rsidRDefault="00104943" w:rsidP="00104943"/>
    <w:p w14:paraId="39C378D2" w14:textId="77777777" w:rsidR="00104943" w:rsidRDefault="00104943" w:rsidP="00104943">
      <w:r>
        <w:t xml:space="preserve">The first respondent </w:t>
      </w:r>
      <w:r w:rsidRPr="00965AF2">
        <w:t>submits that the Commission sought to obtain a unilateral unopposed postponement by withdrawing the complaint.  Otherwise, the Commission could have reinstated the matter on the same day that the purported se</w:t>
      </w:r>
      <w:r>
        <w:t xml:space="preserve">ttlement negotiations collapsed.  The second respondent submits that </w:t>
      </w:r>
      <w:r w:rsidRPr="00E2105F">
        <w:t xml:space="preserve">because the Commission opted to withdraw the </w:t>
      </w:r>
      <w:r>
        <w:t>complaint</w:t>
      </w:r>
      <w:r w:rsidRPr="00E2105F">
        <w:t xml:space="preserve">, this resulted in proceedings being </w:t>
      </w:r>
      <w:r>
        <w:t>‘</w:t>
      </w:r>
      <w:r w:rsidRPr="00E2105F">
        <w:t>completed</w:t>
      </w:r>
      <w:r>
        <w:t>’</w:t>
      </w:r>
      <w:r w:rsidRPr="00E2105F">
        <w:t xml:space="preserve"> before the Tribunal</w:t>
      </w:r>
      <w:r>
        <w:t xml:space="preserve">.  Both respondents also submit that the </w:t>
      </w:r>
      <w:r w:rsidRPr="00E2105F">
        <w:t xml:space="preserve">conduct </w:t>
      </w:r>
      <w:r>
        <w:t>of the Commission constitutes</w:t>
      </w:r>
      <w:r w:rsidRPr="00E2105F">
        <w:t xml:space="preserve"> an abuse of process.</w:t>
      </w:r>
    </w:p>
    <w:p w14:paraId="2C007E43" w14:textId="2B2E5C77" w:rsidR="00965AF2" w:rsidRPr="00104943" w:rsidRDefault="00965AF2" w:rsidP="00104943">
      <w:bookmarkStart w:id="0" w:name="_GoBack"/>
      <w:bookmarkEnd w:id="0"/>
    </w:p>
    <w:sectPr w:rsidR="00965AF2" w:rsidRPr="00104943" w:rsidSect="009F0F46">
      <w:pgSz w:w="12240" w:h="15840"/>
      <w:pgMar w:top="1440" w:right="1800" w:bottom="1276"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7799A7" w14:textId="77777777" w:rsidR="00ED01EC" w:rsidRDefault="00ED01EC" w:rsidP="00B32119">
      <w:r>
        <w:separator/>
      </w:r>
    </w:p>
  </w:endnote>
  <w:endnote w:type="continuationSeparator" w:id="0">
    <w:p w14:paraId="16843886" w14:textId="77777777" w:rsidR="00ED01EC" w:rsidRDefault="00ED01EC" w:rsidP="00B321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182304" w14:textId="77777777" w:rsidR="00ED01EC" w:rsidRDefault="00ED01EC" w:rsidP="00B32119">
      <w:r>
        <w:separator/>
      </w:r>
    </w:p>
  </w:footnote>
  <w:footnote w:type="continuationSeparator" w:id="0">
    <w:p w14:paraId="64F34D27" w14:textId="77777777" w:rsidR="00ED01EC" w:rsidRDefault="00ED01EC" w:rsidP="00B3211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TU3MzIzNjM2NjS0sDRU0lEKTi0uzszPAykwrAUAXx/XbiwAAAA="/>
  </w:docVars>
  <w:rsids>
    <w:rsidRoot w:val="009342A7"/>
    <w:rsid w:val="00006DE8"/>
    <w:rsid w:val="0001092A"/>
    <w:rsid w:val="00012C72"/>
    <w:rsid w:val="000152DC"/>
    <w:rsid w:val="00015637"/>
    <w:rsid w:val="00017302"/>
    <w:rsid w:val="000220FD"/>
    <w:rsid w:val="00023FA7"/>
    <w:rsid w:val="0003383F"/>
    <w:rsid w:val="00042529"/>
    <w:rsid w:val="00044771"/>
    <w:rsid w:val="000548D7"/>
    <w:rsid w:val="00055B29"/>
    <w:rsid w:val="00062A56"/>
    <w:rsid w:val="00063D7D"/>
    <w:rsid w:val="000654B1"/>
    <w:rsid w:val="0007028D"/>
    <w:rsid w:val="00070E99"/>
    <w:rsid w:val="000806AE"/>
    <w:rsid w:val="0009089C"/>
    <w:rsid w:val="00091F8C"/>
    <w:rsid w:val="00093CD0"/>
    <w:rsid w:val="00093E39"/>
    <w:rsid w:val="00094E7C"/>
    <w:rsid w:val="000965AF"/>
    <w:rsid w:val="000A36D1"/>
    <w:rsid w:val="000A36F3"/>
    <w:rsid w:val="000A3E78"/>
    <w:rsid w:val="000B1629"/>
    <w:rsid w:val="000D0467"/>
    <w:rsid w:val="000D09EA"/>
    <w:rsid w:val="000D35AE"/>
    <w:rsid w:val="000E2D16"/>
    <w:rsid w:val="000E5D1B"/>
    <w:rsid w:val="000F505F"/>
    <w:rsid w:val="00100894"/>
    <w:rsid w:val="00100B8E"/>
    <w:rsid w:val="00104943"/>
    <w:rsid w:val="00110C58"/>
    <w:rsid w:val="00113454"/>
    <w:rsid w:val="00117D6B"/>
    <w:rsid w:val="00122E3D"/>
    <w:rsid w:val="00125BE8"/>
    <w:rsid w:val="00143037"/>
    <w:rsid w:val="00145795"/>
    <w:rsid w:val="0015307D"/>
    <w:rsid w:val="00172A2C"/>
    <w:rsid w:val="00177687"/>
    <w:rsid w:val="00181DF6"/>
    <w:rsid w:val="0018233B"/>
    <w:rsid w:val="00182534"/>
    <w:rsid w:val="00194E27"/>
    <w:rsid w:val="001A204B"/>
    <w:rsid w:val="001A24C8"/>
    <w:rsid w:val="001E31D8"/>
    <w:rsid w:val="001E57F4"/>
    <w:rsid w:val="001E5F5A"/>
    <w:rsid w:val="001E7604"/>
    <w:rsid w:val="00200AB8"/>
    <w:rsid w:val="00215823"/>
    <w:rsid w:val="0022481B"/>
    <w:rsid w:val="00225092"/>
    <w:rsid w:val="002348C0"/>
    <w:rsid w:val="00234A3B"/>
    <w:rsid w:val="0023777A"/>
    <w:rsid w:val="002435AB"/>
    <w:rsid w:val="00250C27"/>
    <w:rsid w:val="00253986"/>
    <w:rsid w:val="00253F18"/>
    <w:rsid w:val="002705A8"/>
    <w:rsid w:val="002715F6"/>
    <w:rsid w:val="0027251B"/>
    <w:rsid w:val="002B3E1A"/>
    <w:rsid w:val="002D184B"/>
    <w:rsid w:val="002D7582"/>
    <w:rsid w:val="002E3C4F"/>
    <w:rsid w:val="002F0409"/>
    <w:rsid w:val="00305423"/>
    <w:rsid w:val="003123B8"/>
    <w:rsid w:val="0031792A"/>
    <w:rsid w:val="00323149"/>
    <w:rsid w:val="00323F9B"/>
    <w:rsid w:val="003255EA"/>
    <w:rsid w:val="0032682A"/>
    <w:rsid w:val="00331205"/>
    <w:rsid w:val="003313F6"/>
    <w:rsid w:val="00334E0F"/>
    <w:rsid w:val="0034274C"/>
    <w:rsid w:val="00357788"/>
    <w:rsid w:val="00365A5E"/>
    <w:rsid w:val="0037027B"/>
    <w:rsid w:val="003706CA"/>
    <w:rsid w:val="0037720A"/>
    <w:rsid w:val="003807A5"/>
    <w:rsid w:val="003845A8"/>
    <w:rsid w:val="003850ED"/>
    <w:rsid w:val="00386254"/>
    <w:rsid w:val="003954AD"/>
    <w:rsid w:val="003B2DF5"/>
    <w:rsid w:val="003B4484"/>
    <w:rsid w:val="003B73B4"/>
    <w:rsid w:val="003C40ED"/>
    <w:rsid w:val="003C47FD"/>
    <w:rsid w:val="003C5C34"/>
    <w:rsid w:val="003D1CF1"/>
    <w:rsid w:val="003F0347"/>
    <w:rsid w:val="003F1959"/>
    <w:rsid w:val="003F3E2F"/>
    <w:rsid w:val="004036FB"/>
    <w:rsid w:val="004065B7"/>
    <w:rsid w:val="00410075"/>
    <w:rsid w:val="004173B2"/>
    <w:rsid w:val="00420491"/>
    <w:rsid w:val="004209BD"/>
    <w:rsid w:val="00426812"/>
    <w:rsid w:val="004302FD"/>
    <w:rsid w:val="00430A5A"/>
    <w:rsid w:val="00430C6F"/>
    <w:rsid w:val="004426F8"/>
    <w:rsid w:val="00443E51"/>
    <w:rsid w:val="00450ABB"/>
    <w:rsid w:val="00455279"/>
    <w:rsid w:val="00456688"/>
    <w:rsid w:val="00465BDB"/>
    <w:rsid w:val="004830F1"/>
    <w:rsid w:val="00490008"/>
    <w:rsid w:val="00490F2C"/>
    <w:rsid w:val="004937E5"/>
    <w:rsid w:val="004A1AEE"/>
    <w:rsid w:val="004A3AF5"/>
    <w:rsid w:val="004A7EFF"/>
    <w:rsid w:val="004C5AD8"/>
    <w:rsid w:val="004C7EF7"/>
    <w:rsid w:val="004D716D"/>
    <w:rsid w:val="004F5485"/>
    <w:rsid w:val="005038A1"/>
    <w:rsid w:val="00511769"/>
    <w:rsid w:val="00524F3A"/>
    <w:rsid w:val="005257B9"/>
    <w:rsid w:val="00526226"/>
    <w:rsid w:val="005275CE"/>
    <w:rsid w:val="005307A5"/>
    <w:rsid w:val="00532739"/>
    <w:rsid w:val="0053527E"/>
    <w:rsid w:val="00537D15"/>
    <w:rsid w:val="00542C96"/>
    <w:rsid w:val="00556C67"/>
    <w:rsid w:val="005705CE"/>
    <w:rsid w:val="00571CD9"/>
    <w:rsid w:val="00573AEA"/>
    <w:rsid w:val="00575456"/>
    <w:rsid w:val="005851AB"/>
    <w:rsid w:val="0058759D"/>
    <w:rsid w:val="00587A53"/>
    <w:rsid w:val="00594B56"/>
    <w:rsid w:val="005A6719"/>
    <w:rsid w:val="005B2F2F"/>
    <w:rsid w:val="005B51EB"/>
    <w:rsid w:val="005C0624"/>
    <w:rsid w:val="005C7764"/>
    <w:rsid w:val="005D1333"/>
    <w:rsid w:val="005D26E3"/>
    <w:rsid w:val="005D724E"/>
    <w:rsid w:val="005E52AC"/>
    <w:rsid w:val="005E557D"/>
    <w:rsid w:val="005F322E"/>
    <w:rsid w:val="005F66C7"/>
    <w:rsid w:val="00603036"/>
    <w:rsid w:val="00611DC5"/>
    <w:rsid w:val="00616848"/>
    <w:rsid w:val="006242C5"/>
    <w:rsid w:val="00624FFE"/>
    <w:rsid w:val="006262B2"/>
    <w:rsid w:val="00626FA6"/>
    <w:rsid w:val="00630AA9"/>
    <w:rsid w:val="00631927"/>
    <w:rsid w:val="00642528"/>
    <w:rsid w:val="006474CE"/>
    <w:rsid w:val="006524D4"/>
    <w:rsid w:val="006543E3"/>
    <w:rsid w:val="00672DA7"/>
    <w:rsid w:val="006735C9"/>
    <w:rsid w:val="00674452"/>
    <w:rsid w:val="006749D6"/>
    <w:rsid w:val="00676CFE"/>
    <w:rsid w:val="00685C91"/>
    <w:rsid w:val="006879F3"/>
    <w:rsid w:val="00694175"/>
    <w:rsid w:val="006966FC"/>
    <w:rsid w:val="006A0AF7"/>
    <w:rsid w:val="006A7FB5"/>
    <w:rsid w:val="006B623D"/>
    <w:rsid w:val="006C2FE7"/>
    <w:rsid w:val="006E31E6"/>
    <w:rsid w:val="006E6A2F"/>
    <w:rsid w:val="006F29BF"/>
    <w:rsid w:val="006F5920"/>
    <w:rsid w:val="00702C32"/>
    <w:rsid w:val="007106E2"/>
    <w:rsid w:val="00712458"/>
    <w:rsid w:val="00716FAA"/>
    <w:rsid w:val="00720ACA"/>
    <w:rsid w:val="00722A4D"/>
    <w:rsid w:val="00746B37"/>
    <w:rsid w:val="00747234"/>
    <w:rsid w:val="00750F83"/>
    <w:rsid w:val="00752C8F"/>
    <w:rsid w:val="00754D6F"/>
    <w:rsid w:val="00762738"/>
    <w:rsid w:val="007659FF"/>
    <w:rsid w:val="007746CE"/>
    <w:rsid w:val="00775169"/>
    <w:rsid w:val="00776DFE"/>
    <w:rsid w:val="00780477"/>
    <w:rsid w:val="00780874"/>
    <w:rsid w:val="0078535D"/>
    <w:rsid w:val="00797F90"/>
    <w:rsid w:val="007B7B41"/>
    <w:rsid w:val="007C18A4"/>
    <w:rsid w:val="007C65D9"/>
    <w:rsid w:val="007D003C"/>
    <w:rsid w:val="007D37A2"/>
    <w:rsid w:val="007D6DF5"/>
    <w:rsid w:val="007E61FC"/>
    <w:rsid w:val="007F0EF4"/>
    <w:rsid w:val="007F7DCD"/>
    <w:rsid w:val="00801124"/>
    <w:rsid w:val="0081741F"/>
    <w:rsid w:val="00823B02"/>
    <w:rsid w:val="00823BEA"/>
    <w:rsid w:val="0083215D"/>
    <w:rsid w:val="00834D25"/>
    <w:rsid w:val="008351C8"/>
    <w:rsid w:val="0084198C"/>
    <w:rsid w:val="008546B4"/>
    <w:rsid w:val="0086048D"/>
    <w:rsid w:val="008639AE"/>
    <w:rsid w:val="00866508"/>
    <w:rsid w:val="00866B6B"/>
    <w:rsid w:val="00867767"/>
    <w:rsid w:val="0087005B"/>
    <w:rsid w:val="00881D33"/>
    <w:rsid w:val="00882096"/>
    <w:rsid w:val="008839E8"/>
    <w:rsid w:val="00883D6C"/>
    <w:rsid w:val="008943E7"/>
    <w:rsid w:val="008A5FDC"/>
    <w:rsid w:val="008B1777"/>
    <w:rsid w:val="008B532D"/>
    <w:rsid w:val="008B661D"/>
    <w:rsid w:val="008B7AF4"/>
    <w:rsid w:val="008C3682"/>
    <w:rsid w:val="008D24BC"/>
    <w:rsid w:val="008D3D39"/>
    <w:rsid w:val="008D425E"/>
    <w:rsid w:val="008E54C8"/>
    <w:rsid w:val="008F4B8F"/>
    <w:rsid w:val="0090690C"/>
    <w:rsid w:val="00910F26"/>
    <w:rsid w:val="00911DB9"/>
    <w:rsid w:val="00914A5D"/>
    <w:rsid w:val="00922660"/>
    <w:rsid w:val="00933D59"/>
    <w:rsid w:val="0093415D"/>
    <w:rsid w:val="009342A7"/>
    <w:rsid w:val="009544B2"/>
    <w:rsid w:val="0096072E"/>
    <w:rsid w:val="009642D7"/>
    <w:rsid w:val="00965AF2"/>
    <w:rsid w:val="00970CB9"/>
    <w:rsid w:val="009754CF"/>
    <w:rsid w:val="00982E4B"/>
    <w:rsid w:val="00992CAE"/>
    <w:rsid w:val="009A21E9"/>
    <w:rsid w:val="009B4F3C"/>
    <w:rsid w:val="009B57AD"/>
    <w:rsid w:val="009B7D1B"/>
    <w:rsid w:val="009C3B50"/>
    <w:rsid w:val="009D67E9"/>
    <w:rsid w:val="009E4433"/>
    <w:rsid w:val="009E5C52"/>
    <w:rsid w:val="009E7D9D"/>
    <w:rsid w:val="009F0F46"/>
    <w:rsid w:val="00A0140F"/>
    <w:rsid w:val="00A142B7"/>
    <w:rsid w:val="00A22E04"/>
    <w:rsid w:val="00A32744"/>
    <w:rsid w:val="00A37027"/>
    <w:rsid w:val="00A47D4A"/>
    <w:rsid w:val="00A51C04"/>
    <w:rsid w:val="00A51E59"/>
    <w:rsid w:val="00A55B9B"/>
    <w:rsid w:val="00A718F6"/>
    <w:rsid w:val="00A81378"/>
    <w:rsid w:val="00A8571D"/>
    <w:rsid w:val="00A875A1"/>
    <w:rsid w:val="00A93911"/>
    <w:rsid w:val="00A946F5"/>
    <w:rsid w:val="00AA0D1D"/>
    <w:rsid w:val="00AA17C0"/>
    <w:rsid w:val="00AA3378"/>
    <w:rsid w:val="00AA517A"/>
    <w:rsid w:val="00AC133D"/>
    <w:rsid w:val="00AC5170"/>
    <w:rsid w:val="00AC799A"/>
    <w:rsid w:val="00AD14A5"/>
    <w:rsid w:val="00AE4640"/>
    <w:rsid w:val="00AE79D9"/>
    <w:rsid w:val="00AF0A36"/>
    <w:rsid w:val="00AF4708"/>
    <w:rsid w:val="00AF67D4"/>
    <w:rsid w:val="00B01EB4"/>
    <w:rsid w:val="00B113DA"/>
    <w:rsid w:val="00B16B75"/>
    <w:rsid w:val="00B2229F"/>
    <w:rsid w:val="00B3177F"/>
    <w:rsid w:val="00B31B92"/>
    <w:rsid w:val="00B31E30"/>
    <w:rsid w:val="00B32119"/>
    <w:rsid w:val="00B36F54"/>
    <w:rsid w:val="00B4092A"/>
    <w:rsid w:val="00B428BE"/>
    <w:rsid w:val="00B4658E"/>
    <w:rsid w:val="00B62B8B"/>
    <w:rsid w:val="00B630F2"/>
    <w:rsid w:val="00B667D0"/>
    <w:rsid w:val="00B71B72"/>
    <w:rsid w:val="00B75813"/>
    <w:rsid w:val="00B80F33"/>
    <w:rsid w:val="00B97560"/>
    <w:rsid w:val="00BA4C52"/>
    <w:rsid w:val="00BB1F1E"/>
    <w:rsid w:val="00BB378B"/>
    <w:rsid w:val="00BB7220"/>
    <w:rsid w:val="00BB7490"/>
    <w:rsid w:val="00BC2FB3"/>
    <w:rsid w:val="00BD2999"/>
    <w:rsid w:val="00BE6FBD"/>
    <w:rsid w:val="00BF0B33"/>
    <w:rsid w:val="00BF7FF2"/>
    <w:rsid w:val="00C12733"/>
    <w:rsid w:val="00C140D4"/>
    <w:rsid w:val="00C14E9E"/>
    <w:rsid w:val="00C15790"/>
    <w:rsid w:val="00C27574"/>
    <w:rsid w:val="00C30D22"/>
    <w:rsid w:val="00C43D8A"/>
    <w:rsid w:val="00C44D82"/>
    <w:rsid w:val="00C45F8A"/>
    <w:rsid w:val="00C47F29"/>
    <w:rsid w:val="00C51AFC"/>
    <w:rsid w:val="00C536E8"/>
    <w:rsid w:val="00C55305"/>
    <w:rsid w:val="00C55A66"/>
    <w:rsid w:val="00C616DF"/>
    <w:rsid w:val="00C70B69"/>
    <w:rsid w:val="00C83020"/>
    <w:rsid w:val="00C85429"/>
    <w:rsid w:val="00C94CD1"/>
    <w:rsid w:val="00C96321"/>
    <w:rsid w:val="00CA21ED"/>
    <w:rsid w:val="00CA458C"/>
    <w:rsid w:val="00CB2E3D"/>
    <w:rsid w:val="00CB5343"/>
    <w:rsid w:val="00CC7D4D"/>
    <w:rsid w:val="00CD4DBE"/>
    <w:rsid w:val="00CE1309"/>
    <w:rsid w:val="00CE23D4"/>
    <w:rsid w:val="00CE51A0"/>
    <w:rsid w:val="00CF76C9"/>
    <w:rsid w:val="00D12501"/>
    <w:rsid w:val="00D200E8"/>
    <w:rsid w:val="00D2249B"/>
    <w:rsid w:val="00D276AF"/>
    <w:rsid w:val="00D356A3"/>
    <w:rsid w:val="00D40819"/>
    <w:rsid w:val="00D46A11"/>
    <w:rsid w:val="00D47EF8"/>
    <w:rsid w:val="00D528F2"/>
    <w:rsid w:val="00D5335F"/>
    <w:rsid w:val="00D553C8"/>
    <w:rsid w:val="00D634EE"/>
    <w:rsid w:val="00D64480"/>
    <w:rsid w:val="00D64E65"/>
    <w:rsid w:val="00D659C5"/>
    <w:rsid w:val="00D670FC"/>
    <w:rsid w:val="00D75BA8"/>
    <w:rsid w:val="00D81F8F"/>
    <w:rsid w:val="00D824A4"/>
    <w:rsid w:val="00D86239"/>
    <w:rsid w:val="00DA1235"/>
    <w:rsid w:val="00DB011F"/>
    <w:rsid w:val="00DB12FA"/>
    <w:rsid w:val="00DB1A44"/>
    <w:rsid w:val="00DB677B"/>
    <w:rsid w:val="00DC5CC1"/>
    <w:rsid w:val="00DD3019"/>
    <w:rsid w:val="00DD4C57"/>
    <w:rsid w:val="00DD5682"/>
    <w:rsid w:val="00DE5133"/>
    <w:rsid w:val="00DE7B41"/>
    <w:rsid w:val="00DF0C88"/>
    <w:rsid w:val="00E046C8"/>
    <w:rsid w:val="00E04FE7"/>
    <w:rsid w:val="00E07942"/>
    <w:rsid w:val="00E16435"/>
    <w:rsid w:val="00E17A92"/>
    <w:rsid w:val="00E2105F"/>
    <w:rsid w:val="00E27310"/>
    <w:rsid w:val="00E3316F"/>
    <w:rsid w:val="00E52FDA"/>
    <w:rsid w:val="00E53AE0"/>
    <w:rsid w:val="00E545EA"/>
    <w:rsid w:val="00E661EE"/>
    <w:rsid w:val="00E70F05"/>
    <w:rsid w:val="00E71A9E"/>
    <w:rsid w:val="00E736CB"/>
    <w:rsid w:val="00E75952"/>
    <w:rsid w:val="00E8342B"/>
    <w:rsid w:val="00E905F5"/>
    <w:rsid w:val="00E93F86"/>
    <w:rsid w:val="00E97F73"/>
    <w:rsid w:val="00EA113C"/>
    <w:rsid w:val="00EB0F3B"/>
    <w:rsid w:val="00EB5124"/>
    <w:rsid w:val="00EC30F9"/>
    <w:rsid w:val="00EC3DF4"/>
    <w:rsid w:val="00ED01EC"/>
    <w:rsid w:val="00ED5B69"/>
    <w:rsid w:val="00EE10EC"/>
    <w:rsid w:val="00EE5AC0"/>
    <w:rsid w:val="00EE7EF0"/>
    <w:rsid w:val="00F02A0E"/>
    <w:rsid w:val="00F04568"/>
    <w:rsid w:val="00F04EC0"/>
    <w:rsid w:val="00F43565"/>
    <w:rsid w:val="00F43ADD"/>
    <w:rsid w:val="00F50679"/>
    <w:rsid w:val="00F5283F"/>
    <w:rsid w:val="00F52D12"/>
    <w:rsid w:val="00F55913"/>
    <w:rsid w:val="00F56833"/>
    <w:rsid w:val="00F70E31"/>
    <w:rsid w:val="00F7354E"/>
    <w:rsid w:val="00F74A3C"/>
    <w:rsid w:val="00F77A10"/>
    <w:rsid w:val="00F91C22"/>
    <w:rsid w:val="00FB2AFF"/>
    <w:rsid w:val="00FB3D42"/>
    <w:rsid w:val="00FB43E0"/>
    <w:rsid w:val="00FC212B"/>
    <w:rsid w:val="00FC2754"/>
    <w:rsid w:val="00FC3C42"/>
    <w:rsid w:val="00FD2D52"/>
    <w:rsid w:val="00FE00A5"/>
    <w:rsid w:val="00FF1E6E"/>
    <w:rsid w:val="00FF4500"/>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DE3E2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Header">
    <w:name w:val="header"/>
    <w:basedOn w:val="Normal"/>
    <w:link w:val="HeaderChar"/>
    <w:unhideWhenUsed/>
    <w:rsid w:val="00B32119"/>
    <w:pPr>
      <w:tabs>
        <w:tab w:val="center" w:pos="4680"/>
        <w:tab w:val="right" w:pos="9360"/>
      </w:tabs>
    </w:pPr>
  </w:style>
  <w:style w:type="character" w:customStyle="1" w:styleId="HeaderChar">
    <w:name w:val="Header Char"/>
    <w:basedOn w:val="DefaultParagraphFont"/>
    <w:link w:val="Header"/>
    <w:rsid w:val="00B32119"/>
    <w:rPr>
      <w:sz w:val="24"/>
      <w:szCs w:val="24"/>
      <w:lang w:eastAsia="en-US"/>
    </w:rPr>
  </w:style>
  <w:style w:type="paragraph" w:styleId="Footer">
    <w:name w:val="footer"/>
    <w:basedOn w:val="Normal"/>
    <w:link w:val="FooterChar"/>
    <w:unhideWhenUsed/>
    <w:rsid w:val="00B32119"/>
    <w:pPr>
      <w:tabs>
        <w:tab w:val="center" w:pos="4680"/>
        <w:tab w:val="right" w:pos="9360"/>
      </w:tabs>
    </w:pPr>
  </w:style>
  <w:style w:type="character" w:customStyle="1" w:styleId="FooterChar">
    <w:name w:val="Footer Char"/>
    <w:basedOn w:val="DefaultParagraphFont"/>
    <w:link w:val="Footer"/>
    <w:rsid w:val="00B32119"/>
    <w:rPr>
      <w:sz w:val="24"/>
      <w:szCs w:val="24"/>
      <w:lang w:eastAsia="en-US"/>
    </w:rPr>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Normal"/>
    <w:link w:val="FootnoteTextChar"/>
    <w:unhideWhenUsed/>
    <w:qFormat/>
    <w:rsid w:val="007D003C"/>
    <w:rPr>
      <w:rFonts w:eastAsia="Calibri"/>
      <w:sz w:val="20"/>
      <w:szCs w:val="20"/>
    </w:rPr>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rsid w:val="007D003C"/>
    <w:rPr>
      <w:rFonts w:eastAsia="Calibri"/>
      <w:lang w:eastAsia="en-US"/>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
    <w:basedOn w:val="DefaultParagraphFont"/>
    <w:unhideWhenUsed/>
    <w:qFormat/>
    <w:rsid w:val="007D003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A60A608-54F0-5F4E-991B-6DD2646BAB3F}">
  <we:reference id="wa200001011" version="1.1.0.0" store="en-US" storeType="OMEX"/>
  <we:alternateReferences>
    <we:reference id="wa200001011" version="1.1.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D172A87-EA67-467B-A1DA-8F9AE3A7F0E3}">
  <ds:schemaRefs>
    <ds:schemaRef ds:uri="http://schemas.openxmlformats.org/officeDocument/2006/bibliography"/>
  </ds:schemaRefs>
</ds:datastoreItem>
</file>

<file path=customXml/itemProps2.xml><?xml version="1.0" encoding="utf-8"?>
<ds:datastoreItem xmlns:ds="http://schemas.openxmlformats.org/officeDocument/2006/customXml" ds:itemID="{D9D557AC-34DF-45E5-B906-E63255984D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703</Words>
  <Characters>4009</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2021-02-15T08:50:00Z</dcterms:created>
  <dcterms:modified xsi:type="dcterms:W3CDTF">2021-02-22T05:53:00Z</dcterms:modified>
</cp:coreProperties>
</file>