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7F6A9C" w14:textId="77777777" w:rsidR="00F5283F" w:rsidRDefault="00CA458C" w:rsidP="00720ACA">
      <w:pPr>
        <w:jc w:val="center"/>
      </w:pPr>
      <w:r w:rsidRPr="00CA458C">
        <w:rPr>
          <w:noProof/>
          <w:lang w:val="en-US"/>
        </w:rPr>
        <w:drawing>
          <wp:inline distT="0" distB="0" distL="0" distR="0" wp14:anchorId="6B77023A" wp14:editId="4F9D48F4">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4B29E92B" w14:textId="77777777" w:rsidR="00F5283F" w:rsidRDefault="00F5283F" w:rsidP="00720ACA">
      <w:pPr>
        <w:jc w:val="center"/>
      </w:pPr>
    </w:p>
    <w:p w14:paraId="21E2F243" w14:textId="77777777"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14:paraId="1A74AD70" w14:textId="77777777" w:rsidR="001E5F5A" w:rsidRPr="00100894" w:rsidRDefault="001E5F5A" w:rsidP="00AE4640"/>
    <w:p w14:paraId="092E64E7" w14:textId="6DC2F2E7" w:rsidR="006966FC" w:rsidRPr="0007028D" w:rsidRDefault="00430A5A" w:rsidP="00430A5A">
      <w:pPr>
        <w:jc w:val="right"/>
      </w:pPr>
      <w:r>
        <w:rPr>
          <w:b/>
        </w:rPr>
        <w:t>Agnes Sithole and Another</w:t>
      </w:r>
      <w:r w:rsidR="0007028D" w:rsidRPr="00E17A92">
        <w:rPr>
          <w:b/>
        </w:rPr>
        <w:t xml:space="preserve"> v </w:t>
      </w:r>
      <w:r>
        <w:rPr>
          <w:b/>
        </w:rPr>
        <w:t xml:space="preserve">Gideon Sithole and Another </w:t>
      </w:r>
    </w:p>
    <w:p w14:paraId="53E1A2C5" w14:textId="77777777" w:rsidR="006966FC" w:rsidRDefault="006966FC" w:rsidP="006966FC">
      <w:pPr>
        <w:tabs>
          <w:tab w:val="right" w:pos="9360"/>
        </w:tabs>
        <w:ind w:right="284"/>
        <w:rPr>
          <w:bCs/>
          <w:sz w:val="26"/>
          <w:szCs w:val="26"/>
          <w:lang w:val="en-GB"/>
        </w:rPr>
      </w:pPr>
    </w:p>
    <w:p w14:paraId="122E49E5" w14:textId="68D9C015" w:rsidR="00E07942" w:rsidRPr="00100894" w:rsidRDefault="00D40819" w:rsidP="00720ACA">
      <w:pPr>
        <w:jc w:val="right"/>
        <w:rPr>
          <w:b/>
        </w:rPr>
      </w:pPr>
      <w:r w:rsidRPr="00100894">
        <w:rPr>
          <w:b/>
        </w:rPr>
        <w:t>CCT</w:t>
      </w:r>
      <w:r w:rsidR="00720ACA" w:rsidRPr="00100894">
        <w:rPr>
          <w:b/>
        </w:rPr>
        <w:t xml:space="preserve"> </w:t>
      </w:r>
      <w:r w:rsidR="00430A5A">
        <w:rPr>
          <w:b/>
        </w:rPr>
        <w:t>23</w:t>
      </w:r>
      <w:r w:rsidR="00E17A92">
        <w:rPr>
          <w:b/>
        </w:rPr>
        <w:t>/20</w:t>
      </w:r>
    </w:p>
    <w:p w14:paraId="14D58001" w14:textId="77777777" w:rsidR="00D40819" w:rsidRPr="00100894" w:rsidRDefault="00D40819" w:rsidP="00720ACA">
      <w:pPr>
        <w:jc w:val="right"/>
        <w:rPr>
          <w:b/>
        </w:rPr>
      </w:pPr>
    </w:p>
    <w:p w14:paraId="5D9C6779" w14:textId="4FB12425" w:rsidR="00E07942" w:rsidRPr="00100894" w:rsidRDefault="00E07942" w:rsidP="00720ACA">
      <w:pPr>
        <w:jc w:val="right"/>
        <w:rPr>
          <w:b/>
        </w:rPr>
      </w:pPr>
      <w:r w:rsidRPr="00100894">
        <w:rPr>
          <w:b/>
        </w:rPr>
        <w:t xml:space="preserve">Date of hearing: </w:t>
      </w:r>
      <w:r w:rsidR="00E75952">
        <w:rPr>
          <w:b/>
        </w:rPr>
        <w:t>29</w:t>
      </w:r>
      <w:r w:rsidR="00E17A92">
        <w:rPr>
          <w:b/>
        </w:rPr>
        <w:t xml:space="preserve"> September 2020</w:t>
      </w:r>
    </w:p>
    <w:p w14:paraId="543A873D" w14:textId="77777777" w:rsidR="00823B02" w:rsidRPr="00100894" w:rsidRDefault="00823B02" w:rsidP="00AE4640"/>
    <w:p w14:paraId="646319C8" w14:textId="77777777" w:rsidR="001E5F5A" w:rsidRPr="00100894" w:rsidRDefault="00526226" w:rsidP="00AE4640">
      <w:r w:rsidRPr="00100894">
        <w:t>________________________________________________________________________</w:t>
      </w:r>
    </w:p>
    <w:p w14:paraId="48E0F9B4" w14:textId="77777777" w:rsidR="00526226" w:rsidRPr="00100894" w:rsidRDefault="00526226" w:rsidP="00526226">
      <w:pPr>
        <w:jc w:val="center"/>
        <w:rPr>
          <w:b/>
        </w:rPr>
      </w:pPr>
    </w:p>
    <w:p w14:paraId="79D84561" w14:textId="77777777" w:rsidR="00526226" w:rsidRPr="00100894" w:rsidRDefault="001E5F5A" w:rsidP="00526226">
      <w:pPr>
        <w:jc w:val="center"/>
        <w:rPr>
          <w:b/>
        </w:rPr>
      </w:pPr>
      <w:r w:rsidRPr="00100894">
        <w:rPr>
          <w:b/>
        </w:rPr>
        <w:t>MEDIA SUMMARY</w:t>
      </w:r>
    </w:p>
    <w:p w14:paraId="78EA9604" w14:textId="77777777" w:rsidR="00526226" w:rsidRPr="00100894" w:rsidRDefault="00526226" w:rsidP="00526226">
      <w:pPr>
        <w:jc w:val="center"/>
      </w:pPr>
      <w:r w:rsidRPr="00100894">
        <w:t>________________________________________________________________________</w:t>
      </w:r>
    </w:p>
    <w:p w14:paraId="5A8A1A5A" w14:textId="77777777" w:rsidR="001E5F5A" w:rsidRPr="00100894" w:rsidRDefault="001E5F5A" w:rsidP="008B532D">
      <w:pPr>
        <w:spacing w:line="360" w:lineRule="auto"/>
        <w:jc w:val="left"/>
      </w:pPr>
    </w:p>
    <w:p w14:paraId="7F21D51E" w14:textId="77777777"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14:paraId="4FF9EBB7" w14:textId="77777777" w:rsidR="001E5F5A" w:rsidRPr="00100894" w:rsidRDefault="001E5F5A" w:rsidP="006474CE">
      <w:pPr>
        <w:rPr>
          <w:sz w:val="28"/>
          <w:szCs w:val="28"/>
        </w:rPr>
      </w:pPr>
    </w:p>
    <w:p w14:paraId="41D4A339" w14:textId="72F40487" w:rsidR="00F77A10" w:rsidRDefault="006474CE" w:rsidP="00DE5133">
      <w:r>
        <w:t xml:space="preserve">On </w:t>
      </w:r>
      <w:r w:rsidR="00E905F5">
        <w:t>29</w:t>
      </w:r>
      <w:r w:rsidR="00E17A92">
        <w:t xml:space="preserve"> September 2020 </w:t>
      </w:r>
      <w:r w:rsidR="00AC799A">
        <w:t xml:space="preserve">at </w:t>
      </w:r>
      <w:r w:rsidR="0007028D" w:rsidRPr="00E17A92">
        <w:t>10</w:t>
      </w:r>
      <w:r w:rsidR="00AC799A" w:rsidRPr="00E17A92">
        <w:t>h00</w:t>
      </w:r>
      <w:r w:rsidR="00E17A92">
        <w:t>,</w:t>
      </w:r>
      <w:r w:rsidR="00AC799A">
        <w:t xml:space="preserve"> </w:t>
      </w:r>
      <w:r w:rsidR="000D35AE" w:rsidRPr="00100894">
        <w:t xml:space="preserve">the </w:t>
      </w:r>
      <w:r w:rsidR="008C3682" w:rsidRPr="00100894">
        <w:t xml:space="preserve">Constitutional Court </w:t>
      </w:r>
      <w:r w:rsidR="000D35AE" w:rsidRPr="00100894">
        <w:t xml:space="preserve">will hear </w:t>
      </w:r>
      <w:r w:rsidR="00E17A92" w:rsidRPr="00E17A92">
        <w:t xml:space="preserve">an application for confirmation of </w:t>
      </w:r>
      <w:r w:rsidR="009B4F3C">
        <w:t>an</w:t>
      </w:r>
      <w:r w:rsidR="00E17A92" w:rsidRPr="00E17A92">
        <w:t xml:space="preserve"> order </w:t>
      </w:r>
      <w:r w:rsidR="009B4F3C" w:rsidRPr="009B4F3C">
        <w:t>of constitutional invalidity made</w:t>
      </w:r>
      <w:r w:rsidR="00E17A92" w:rsidRPr="00E17A92">
        <w:t xml:space="preserve"> by </w:t>
      </w:r>
      <w:r w:rsidR="003706CA">
        <w:t xml:space="preserve">the </w:t>
      </w:r>
      <w:r w:rsidR="00E17A92" w:rsidRPr="00E17A92">
        <w:t>High Court of South Africa,</w:t>
      </w:r>
      <w:r w:rsidR="00DB677B">
        <w:t xml:space="preserve"> Kwazulu-</w:t>
      </w:r>
      <w:r w:rsidR="00EB5124">
        <w:t>Natal Local Division: Durban.  The High Court</w:t>
      </w:r>
      <w:r w:rsidR="00E17A92" w:rsidRPr="00E17A92">
        <w:t xml:space="preserve"> declared</w:t>
      </w:r>
      <w:r w:rsidR="00EB5124">
        <w:t xml:space="preserve"> section 21(2)(a) of the Matrimonial Property Act 88 of 1984 (</w:t>
      </w:r>
      <w:r w:rsidR="003706CA">
        <w:t>t</w:t>
      </w:r>
      <w:r w:rsidR="00EB5124">
        <w:t xml:space="preserve">he MPA) unconstitutional and invalid to the extent that </w:t>
      </w:r>
      <w:r w:rsidR="00542C96">
        <w:t xml:space="preserve">it </w:t>
      </w:r>
      <w:r w:rsidR="00EB5124">
        <w:t>maintain</w:t>
      </w:r>
      <w:r w:rsidR="00542C96">
        <w:t>s</w:t>
      </w:r>
      <w:r w:rsidR="00EB5124">
        <w:t xml:space="preserve"> and perpetuate</w:t>
      </w:r>
      <w:r w:rsidR="00542C96">
        <w:t>s</w:t>
      </w:r>
      <w:r w:rsidR="00EB5124">
        <w:t xml:space="preserve"> the </w:t>
      </w:r>
      <w:r w:rsidR="00430A5A">
        <w:t>discrimination</w:t>
      </w:r>
      <w:r w:rsidR="00EB5124">
        <w:t xml:space="preserve"> created by section 22(6) of the Bla</w:t>
      </w:r>
      <w:r w:rsidR="00015637">
        <w:t>ck Administration Act 38 of 1927</w:t>
      </w:r>
      <w:r w:rsidR="00EB5124">
        <w:t xml:space="preserve"> (the BAA)</w:t>
      </w:r>
      <w:r w:rsidR="008D425E">
        <w:t>,</w:t>
      </w:r>
      <w:r w:rsidR="00EB5124">
        <w:t xml:space="preserve"> in that marriages of black couples, entered into under the BAA before 1988, are automatically out of community of property.</w:t>
      </w:r>
    </w:p>
    <w:p w14:paraId="15869016" w14:textId="77777777" w:rsidR="00F77A10" w:rsidRDefault="00F77A10" w:rsidP="00DE5133"/>
    <w:p w14:paraId="4901A9B6" w14:textId="5BCB5C4F" w:rsidR="00143037" w:rsidRDefault="00DB677B" w:rsidP="00BF7FF2">
      <w:r>
        <w:t>In 1972</w:t>
      </w:r>
      <w:r w:rsidR="00D528F2" w:rsidRPr="00D528F2">
        <w:t>,</w:t>
      </w:r>
      <w:r>
        <w:t xml:space="preserve"> Agnes Sithole married Gideon Sithole</w:t>
      </w:r>
      <w:r w:rsidR="003706CA">
        <w:t>. B</w:t>
      </w:r>
      <w:r>
        <w:t>etween 1972 and 1985, Agnes Sithole stayed at home and raised the</w:t>
      </w:r>
      <w:r w:rsidR="00FF1E6E">
        <w:t>ir</w:t>
      </w:r>
      <w:r>
        <w:t xml:space="preserve"> </w:t>
      </w:r>
      <w:r w:rsidR="00430A5A">
        <w:t>children</w:t>
      </w:r>
      <w:r w:rsidR="008D425E">
        <w:t>; she</w:t>
      </w:r>
      <w:r>
        <w:t xml:space="preserve"> conducted</w:t>
      </w:r>
      <w:r w:rsidR="00E53AE0">
        <w:t xml:space="preserve"> a</w:t>
      </w:r>
      <w:r>
        <w:t xml:space="preserve"> home-based business, selling clothing. </w:t>
      </w:r>
      <w:r w:rsidRPr="00626FA6">
        <w:t xml:space="preserve">In 1985, she commenced employment as a project manager at an </w:t>
      </w:r>
      <w:r w:rsidR="00430A5A" w:rsidRPr="00626FA6">
        <w:t>engineering</w:t>
      </w:r>
      <w:r w:rsidRPr="00626FA6">
        <w:t xml:space="preserve"> firm but continued operating her clothing business</w:t>
      </w:r>
      <w:r w:rsidR="008D425E">
        <w:t>. Her</w:t>
      </w:r>
      <w:r>
        <w:t xml:space="preserve"> income was used to pay for </w:t>
      </w:r>
      <w:r w:rsidR="008D425E">
        <w:t xml:space="preserve">the </w:t>
      </w:r>
      <w:r>
        <w:t>education of the</w:t>
      </w:r>
      <w:r w:rsidR="00FF1E6E">
        <w:t>ir</w:t>
      </w:r>
      <w:r>
        <w:t xml:space="preserve"> </w:t>
      </w:r>
      <w:r w:rsidR="00CF76C9">
        <w:t>children, family</w:t>
      </w:r>
      <w:r w:rsidR="000A3E78">
        <w:t xml:space="preserve"> and household </w:t>
      </w:r>
      <w:r w:rsidR="003B2DF5">
        <w:t>expenses</w:t>
      </w:r>
      <w:r w:rsidR="00430A5A">
        <w:t>.</w:t>
      </w:r>
      <w:r w:rsidR="003B2DF5">
        <w:t xml:space="preserve"> In 2000</w:t>
      </w:r>
      <w:r w:rsidR="00626FA6">
        <w:t>,</w:t>
      </w:r>
      <w:r w:rsidR="003B2DF5">
        <w:t xml:space="preserve"> they purchased their family hom</w:t>
      </w:r>
      <w:r w:rsidR="00D64480">
        <w:t xml:space="preserve">e </w:t>
      </w:r>
      <w:r w:rsidR="00B667D0" w:rsidRPr="00626FA6">
        <w:t xml:space="preserve">and this </w:t>
      </w:r>
      <w:r w:rsidR="003B2DF5" w:rsidRPr="00626FA6">
        <w:t>was registered in Mr Sithole’s name. During the past few years</w:t>
      </w:r>
      <w:r w:rsidR="008D425E" w:rsidRPr="00626FA6">
        <w:t>,</w:t>
      </w:r>
      <w:r w:rsidR="003B2DF5" w:rsidRPr="00626FA6">
        <w:t xml:space="preserve"> their relationship deteriorated allegedly </w:t>
      </w:r>
      <w:r w:rsidR="00B667D0" w:rsidRPr="00626FA6">
        <w:t xml:space="preserve">because </w:t>
      </w:r>
      <w:r w:rsidR="003B2DF5" w:rsidRPr="00626FA6">
        <w:t>Mr Sithole was engaged in extra-marital affairs</w:t>
      </w:r>
      <w:r w:rsidR="000152DC" w:rsidRPr="00626FA6">
        <w:t>.</w:t>
      </w:r>
      <w:r w:rsidR="003B2DF5" w:rsidRPr="00626FA6">
        <w:t xml:space="preserve"> </w:t>
      </w:r>
      <w:r w:rsidR="000965AF" w:rsidRPr="00626FA6">
        <w:t xml:space="preserve">At some point </w:t>
      </w:r>
      <w:r w:rsidR="003B2DF5" w:rsidRPr="00626FA6">
        <w:t>Mr Sithole threatened to sell the property</w:t>
      </w:r>
      <w:r w:rsidR="008D425E" w:rsidRPr="00626FA6">
        <w:t>.</w:t>
      </w:r>
      <w:r w:rsidR="000965AF" w:rsidRPr="00626FA6">
        <w:t xml:space="preserve"> She disagreed with this.</w:t>
      </w:r>
      <w:r w:rsidR="000152DC" w:rsidRPr="00626FA6">
        <w:t xml:space="preserve"> </w:t>
      </w:r>
      <w:r w:rsidR="0009089C">
        <w:t xml:space="preserve">At </w:t>
      </w:r>
      <w:r w:rsidR="000965AF" w:rsidRPr="00626FA6">
        <w:t xml:space="preserve">some stage </w:t>
      </w:r>
      <w:r w:rsidR="00E53AE0" w:rsidRPr="00626FA6">
        <w:t xml:space="preserve">Mrs Sithole </w:t>
      </w:r>
      <w:r w:rsidR="00933D59" w:rsidRPr="00626FA6">
        <w:t>s</w:t>
      </w:r>
      <w:r w:rsidR="000965AF" w:rsidRPr="00626FA6">
        <w:t>ought</w:t>
      </w:r>
      <w:r w:rsidR="00933D59" w:rsidRPr="00626FA6">
        <w:t xml:space="preserve"> </w:t>
      </w:r>
      <w:r w:rsidR="00E53AE0" w:rsidRPr="00626FA6">
        <w:t>legal advice and launc</w:t>
      </w:r>
      <w:r w:rsidR="00933D59" w:rsidRPr="00626FA6">
        <w:t>h</w:t>
      </w:r>
      <w:r w:rsidR="000965AF" w:rsidRPr="00626FA6">
        <w:t>ed</w:t>
      </w:r>
      <w:r w:rsidR="00E53AE0" w:rsidRPr="00626FA6">
        <w:t xml:space="preserve"> </w:t>
      </w:r>
      <w:r w:rsidR="005C0624" w:rsidRPr="00626FA6">
        <w:t xml:space="preserve">an application for </w:t>
      </w:r>
      <w:r w:rsidR="003706CA" w:rsidRPr="00626FA6">
        <w:t xml:space="preserve">a </w:t>
      </w:r>
      <w:r w:rsidR="005C0624" w:rsidRPr="00626FA6">
        <w:t xml:space="preserve">protection order </w:t>
      </w:r>
      <w:r w:rsidR="00E53AE0" w:rsidRPr="00626FA6">
        <w:t>in the Pinetown Magistrates Court</w:t>
      </w:r>
      <w:r w:rsidR="008D425E" w:rsidRPr="00626FA6">
        <w:t xml:space="preserve">; </w:t>
      </w:r>
      <w:r w:rsidR="000965AF" w:rsidRPr="00797F90">
        <w:t>in order to ensure her protection.</w:t>
      </w:r>
      <w:r w:rsidR="000965AF" w:rsidRPr="00626FA6">
        <w:t xml:space="preserve"> S</w:t>
      </w:r>
      <w:r w:rsidR="008D425E" w:rsidRPr="00626FA6">
        <w:t>he</w:t>
      </w:r>
      <w:r w:rsidR="00E53AE0" w:rsidRPr="00626FA6">
        <w:t xml:space="preserve"> learn</w:t>
      </w:r>
      <w:r w:rsidR="005C0624" w:rsidRPr="00626FA6">
        <w:t>ed</w:t>
      </w:r>
      <w:r w:rsidR="000965AF" w:rsidRPr="00626FA6">
        <w:t>, during these proceedings</w:t>
      </w:r>
      <w:r w:rsidR="005C0624" w:rsidRPr="00626FA6">
        <w:t xml:space="preserve"> </w:t>
      </w:r>
      <w:r w:rsidR="00E53AE0" w:rsidRPr="00626FA6">
        <w:t>that she was married out of comm</w:t>
      </w:r>
      <w:r w:rsidR="00E53AE0">
        <w:t xml:space="preserve">unity of property and that her husband did not need her consent to sell the property. </w:t>
      </w:r>
      <w:r w:rsidR="00D553C8">
        <w:t xml:space="preserve">Mr Sithole’s threat to sell the property continued until Mrs Sithole sought and obtained an order interdicting and </w:t>
      </w:r>
      <w:r w:rsidR="00430A5A">
        <w:t>restraining</w:t>
      </w:r>
      <w:r w:rsidR="00D553C8">
        <w:t xml:space="preserve"> Mr Sithole from selling the </w:t>
      </w:r>
      <w:r w:rsidR="003706CA">
        <w:t>h</w:t>
      </w:r>
      <w:r w:rsidR="00D553C8">
        <w:t xml:space="preserve">ouse or in any manner </w:t>
      </w:r>
      <w:r w:rsidR="00430A5A">
        <w:t>alienating</w:t>
      </w:r>
      <w:r w:rsidR="00D553C8">
        <w:t xml:space="preserve"> the property pending the finalisation of the application. Mrs Sithole is a devoted member of </w:t>
      </w:r>
      <w:r w:rsidR="00110C58">
        <w:t xml:space="preserve">the </w:t>
      </w:r>
      <w:r w:rsidR="00D553C8">
        <w:t xml:space="preserve">Roman Catholic Church and divorce in her church is discouraged and </w:t>
      </w:r>
      <w:r w:rsidR="00430A5A">
        <w:t>frowned</w:t>
      </w:r>
      <w:r w:rsidR="00D553C8">
        <w:t xml:space="preserve"> upon</w:t>
      </w:r>
      <w:r w:rsidR="008D425E">
        <w:t>. She</w:t>
      </w:r>
      <w:r w:rsidR="00D553C8">
        <w:t xml:space="preserve"> entertains hope </w:t>
      </w:r>
      <w:r w:rsidR="000965AF" w:rsidRPr="0009089C">
        <w:t>of</w:t>
      </w:r>
      <w:r w:rsidR="00D553C8">
        <w:t xml:space="preserve"> reconciling with her husband. She is therefore not willing to divorce her husband </w:t>
      </w:r>
      <w:r w:rsidR="008D425E">
        <w:t>to</w:t>
      </w:r>
      <w:r w:rsidR="00D553C8">
        <w:t xml:space="preserve"> secure an equitable </w:t>
      </w:r>
      <w:r w:rsidR="00D553C8">
        <w:lastRenderedPageBreak/>
        <w:t xml:space="preserve">distribution of the parties by utilising the remedy as contained in section 7(3) to (5) of the Divorce Act. </w:t>
      </w:r>
      <w:r w:rsidR="005C0624">
        <w:t xml:space="preserve">The </w:t>
      </w:r>
      <w:r w:rsidR="005C7764">
        <w:t>a</w:t>
      </w:r>
      <w:r w:rsidR="005C0624">
        <w:t>pplicants</w:t>
      </w:r>
      <w:r w:rsidR="000965AF">
        <w:t xml:space="preserve">, </w:t>
      </w:r>
      <w:r w:rsidR="000965AF" w:rsidRPr="00626FA6">
        <w:t>Mrs Sithole and the Commission for Gender Equality</w:t>
      </w:r>
      <w:r w:rsidR="005C0624" w:rsidRPr="00626FA6">
        <w:t xml:space="preserve"> jointly</w:t>
      </w:r>
      <w:r w:rsidR="00D553C8" w:rsidRPr="00626FA6">
        <w:t xml:space="preserve"> brought an application before the High Court to declare sections 21(1) and 21(2)(a) of the MPA unconstitutional and invalid. </w:t>
      </w:r>
      <w:r w:rsidR="00B71B72" w:rsidRPr="00626FA6">
        <w:t>They</w:t>
      </w:r>
      <w:r w:rsidR="0009089C">
        <w:t xml:space="preserve"> </w:t>
      </w:r>
      <w:r w:rsidR="0009089C" w:rsidRPr="00797F90">
        <w:t>claimed</w:t>
      </w:r>
      <w:r w:rsidR="003B73B4" w:rsidRPr="00626FA6">
        <w:t xml:space="preserve"> that wom</w:t>
      </w:r>
      <w:r w:rsidR="00B71B72" w:rsidRPr="00626FA6">
        <w:t>e</w:t>
      </w:r>
      <w:r w:rsidR="003B73B4" w:rsidRPr="00626FA6">
        <w:t xml:space="preserve">n who </w:t>
      </w:r>
      <w:r w:rsidR="00D2249B" w:rsidRPr="00626FA6">
        <w:t>are</w:t>
      </w:r>
      <w:r w:rsidR="003B73B4" w:rsidRPr="00626FA6">
        <w:t xml:space="preserve"> unable to divorce </w:t>
      </w:r>
      <w:r w:rsidR="00D2249B" w:rsidRPr="00626FA6">
        <w:t xml:space="preserve">their </w:t>
      </w:r>
      <w:r w:rsidR="003B73B4" w:rsidRPr="00626FA6">
        <w:t>husband</w:t>
      </w:r>
      <w:r w:rsidR="006A7FB5" w:rsidRPr="00626FA6">
        <w:t>s</w:t>
      </w:r>
      <w:r w:rsidR="003B73B4" w:rsidRPr="00626FA6">
        <w:t xml:space="preserve"> or to change the proprietary </w:t>
      </w:r>
      <w:r w:rsidR="005C7764" w:rsidRPr="00626FA6">
        <w:t>regime</w:t>
      </w:r>
      <w:r w:rsidR="003B73B4" w:rsidRPr="00626FA6">
        <w:t xml:space="preserve"> of their </w:t>
      </w:r>
      <w:r w:rsidR="00430A5A" w:rsidRPr="00626FA6">
        <w:t>marriage</w:t>
      </w:r>
      <w:r w:rsidR="003B73B4" w:rsidRPr="00626FA6">
        <w:t xml:space="preserve"> will continue to suff</w:t>
      </w:r>
      <w:r w:rsidR="00430A5A" w:rsidRPr="00626FA6">
        <w:t>e</w:t>
      </w:r>
      <w:r w:rsidR="003B73B4" w:rsidRPr="00626FA6">
        <w:t>r the discriminatory impact of section 22(6) of the BAA</w:t>
      </w:r>
      <w:r w:rsidR="00D2249B" w:rsidRPr="00626FA6">
        <w:t xml:space="preserve">. </w:t>
      </w:r>
      <w:r w:rsidR="00747234" w:rsidRPr="00797F90">
        <w:t>The applicants claimed that</w:t>
      </w:r>
      <w:r w:rsidR="00747234">
        <w:t xml:space="preserve"> section </w:t>
      </w:r>
      <w:r w:rsidR="00D2249B" w:rsidRPr="00626FA6">
        <w:t>22(6) of the BAA disadvantaged black women by providing that except in limited circumstances</w:t>
      </w:r>
      <w:r w:rsidR="008D425E" w:rsidRPr="00626FA6">
        <w:t>,</w:t>
      </w:r>
      <w:r w:rsidR="00D2249B" w:rsidRPr="00626FA6">
        <w:t xml:space="preserve"> their marriage would be out of </w:t>
      </w:r>
      <w:r w:rsidR="00110C58" w:rsidRPr="00626FA6">
        <w:t>c</w:t>
      </w:r>
      <w:r w:rsidR="00D2249B" w:rsidRPr="00626FA6">
        <w:t>ommunity of property</w:t>
      </w:r>
      <w:r w:rsidR="00747234">
        <w:t xml:space="preserve">, </w:t>
      </w:r>
      <w:r w:rsidR="00747234" w:rsidRPr="00797F90">
        <w:t>it subsequently denied hundreds of thousands of black women the protection that is afforded by a marriage in community of property</w:t>
      </w:r>
      <w:r w:rsidR="00D2249B" w:rsidRPr="00626FA6">
        <w:t xml:space="preserve">. The Marriage and Matrimonial </w:t>
      </w:r>
      <w:r w:rsidR="0037027B" w:rsidRPr="00626FA6">
        <w:t>Property</w:t>
      </w:r>
      <w:r w:rsidR="00D2249B" w:rsidRPr="00626FA6">
        <w:t xml:space="preserve"> </w:t>
      </w:r>
      <w:r w:rsidR="00143037" w:rsidRPr="00626FA6">
        <w:t>Law Amendment Act (the Amendment Act) repealed section 22(6) of the BAA</w:t>
      </w:r>
      <w:r w:rsidR="008D425E" w:rsidRPr="00626FA6">
        <w:t xml:space="preserve">; </w:t>
      </w:r>
      <w:r w:rsidR="000965AF" w:rsidRPr="00626FA6">
        <w:t>but</w:t>
      </w:r>
      <w:r w:rsidR="00143037" w:rsidRPr="00626FA6">
        <w:t xml:space="preserve"> did not end the disadvantage suffered by black women who had married before 1988</w:t>
      </w:r>
      <w:r w:rsidR="005C7764" w:rsidRPr="00626FA6">
        <w:t xml:space="preserve"> as</w:t>
      </w:r>
      <w:r w:rsidR="00143037" w:rsidRPr="00626FA6">
        <w:t xml:space="preserve"> the default po</w:t>
      </w:r>
      <w:r w:rsidR="006A7FB5" w:rsidRPr="00626FA6">
        <w:t>sitio</w:t>
      </w:r>
      <w:r w:rsidR="000965AF" w:rsidRPr="00626FA6">
        <w:t xml:space="preserve">n in such marriages is that they are </w:t>
      </w:r>
      <w:r w:rsidR="00B71B72" w:rsidRPr="00626FA6">
        <w:t>out of community of property</w:t>
      </w:r>
      <w:r w:rsidR="000965AF" w:rsidRPr="00626FA6">
        <w:t>.</w:t>
      </w:r>
    </w:p>
    <w:p w14:paraId="69A63939" w14:textId="77777777" w:rsidR="00DB677B" w:rsidRDefault="00DB677B" w:rsidP="00BF7FF2"/>
    <w:p w14:paraId="59366C4B" w14:textId="0D558480" w:rsidR="00542C96" w:rsidRDefault="0023777A" w:rsidP="004937E5">
      <w:r>
        <w:t xml:space="preserve">The High Court </w:t>
      </w:r>
      <w:r w:rsidR="005D26E3">
        <w:t xml:space="preserve">found </w:t>
      </w:r>
      <w:r w:rsidR="005D26E3" w:rsidRPr="00626FA6">
        <w:t>in their favour. It held</w:t>
      </w:r>
      <w:r w:rsidRPr="00626FA6">
        <w:t xml:space="preserve"> that</w:t>
      </w:r>
      <w:r w:rsidR="00E3316F">
        <w:t xml:space="preserve"> the provision</w:t>
      </w:r>
      <w:r>
        <w:t xml:space="preserve"> o</w:t>
      </w:r>
      <w:r w:rsidR="00E04FE7">
        <w:t>f</w:t>
      </w:r>
      <w:r>
        <w:t xml:space="preserve"> section 21(2)(a) </w:t>
      </w:r>
      <w:r w:rsidR="00E04FE7">
        <w:t>differentiate</w:t>
      </w:r>
      <w:r w:rsidR="005D26E3">
        <w:t>s</w:t>
      </w:r>
      <w:r>
        <w:t xml:space="preserve"> between black spouses who </w:t>
      </w:r>
      <w:r w:rsidR="000D0467">
        <w:t>entered</w:t>
      </w:r>
      <w:r>
        <w:t xml:space="preserve"> </w:t>
      </w:r>
      <w:r w:rsidR="000D0467">
        <w:t xml:space="preserve">into </w:t>
      </w:r>
      <w:r w:rsidR="008839E8">
        <w:t>marriage before 198</w:t>
      </w:r>
      <w:r>
        <w:t xml:space="preserve">8 and black spouses who </w:t>
      </w:r>
      <w:r w:rsidR="00E04FE7">
        <w:t>entered</w:t>
      </w:r>
      <w:r>
        <w:t xml:space="preserve"> into</w:t>
      </w:r>
      <w:r w:rsidR="00DF0C88">
        <w:t xml:space="preserve"> marriage</w:t>
      </w:r>
      <w:r>
        <w:t xml:space="preserve"> after 1988. </w:t>
      </w:r>
      <w:r w:rsidR="00D670FC">
        <w:t>The High Court held that section 22(6) of the BAA only precluded black couples from having their marriage in community of property and black couples did not enjoy the legal protection afforded by</w:t>
      </w:r>
      <w:r w:rsidR="005C7764">
        <w:t xml:space="preserve"> a</w:t>
      </w:r>
      <w:r w:rsidR="00D670FC">
        <w:t xml:space="preserve"> marriage in community of property</w:t>
      </w:r>
      <w:r w:rsidR="00110C58">
        <w:t xml:space="preserve"> that all other South Africans enjoyed</w:t>
      </w:r>
      <w:r w:rsidR="00D670FC">
        <w:t xml:space="preserve">. </w:t>
      </w:r>
      <w:r>
        <w:t xml:space="preserve">The </w:t>
      </w:r>
      <w:r w:rsidR="005C7764">
        <w:t>High C</w:t>
      </w:r>
      <w:r>
        <w:t xml:space="preserve">ourt further held </w:t>
      </w:r>
      <w:r w:rsidR="00B71B72">
        <w:t xml:space="preserve">that section 21(2)(a) discriminated against black persons </w:t>
      </w:r>
      <w:r w:rsidR="008839E8">
        <w:t>married before 198</w:t>
      </w:r>
      <w:r w:rsidR="00B71B72">
        <w:t>8</w:t>
      </w:r>
      <w:r w:rsidR="008D425E">
        <w:t>.</w:t>
      </w:r>
      <w:r w:rsidR="005851AB">
        <w:t xml:space="preserve"> </w:t>
      </w:r>
      <w:r w:rsidR="008D425E">
        <w:t>T</w:t>
      </w:r>
      <w:r w:rsidR="005851AB">
        <w:t>he discrimination</w:t>
      </w:r>
      <w:r w:rsidR="008D425E">
        <w:t>,</w:t>
      </w:r>
      <w:r w:rsidR="005851AB">
        <w:t xml:space="preserve"> the court stated</w:t>
      </w:r>
      <w:r w:rsidR="008D425E">
        <w:t>,</w:t>
      </w:r>
      <w:r w:rsidR="005851AB">
        <w:t xml:space="preserve"> hinders the enjoyment of constitutional rights of black women in South Africa</w:t>
      </w:r>
      <w:r w:rsidR="00DF0C88">
        <w:t xml:space="preserve"> as it denies women the protection which is afforded by a marriage in </w:t>
      </w:r>
      <w:r w:rsidR="005C7764">
        <w:t>c</w:t>
      </w:r>
      <w:r w:rsidR="00BB378B">
        <w:t xml:space="preserve">ommunity of property, this the court stated amounted to </w:t>
      </w:r>
      <w:r w:rsidR="00BB378B" w:rsidRPr="00797F90">
        <w:t>indirect unfair discrimination against women on the grounds of sex</w:t>
      </w:r>
      <w:r w:rsidR="00C55305">
        <w:t>.</w:t>
      </w:r>
      <w:r w:rsidR="00CF76C9">
        <w:t xml:space="preserve"> </w:t>
      </w:r>
      <w:r w:rsidR="00C55305">
        <w:t>S</w:t>
      </w:r>
      <w:r w:rsidR="00CF76C9">
        <w:t xml:space="preserve">uch </w:t>
      </w:r>
      <w:r w:rsidR="008D425E">
        <w:t>situation</w:t>
      </w:r>
      <w:r w:rsidR="00DF0C88">
        <w:t xml:space="preserve"> renders them dependent on their husbands who generally control the majority of the family’s wealth and assets. The </w:t>
      </w:r>
      <w:r w:rsidR="00754D6F">
        <w:t>High Court</w:t>
      </w:r>
      <w:r w:rsidR="00BB378B">
        <w:t xml:space="preserve"> accordingly stated that </w:t>
      </w:r>
      <w:r w:rsidR="00DF0C88">
        <w:t>section 21(2)(a) p</w:t>
      </w:r>
      <w:r w:rsidR="008546B4">
        <w:t xml:space="preserve">reserves and continues </w:t>
      </w:r>
      <w:r w:rsidR="00DF0C88">
        <w:t>the discrimination created by section 22(6) of the BAA</w:t>
      </w:r>
      <w:r w:rsidR="000D0467">
        <w:t xml:space="preserve">. </w:t>
      </w:r>
      <w:r w:rsidR="00575456">
        <w:t xml:space="preserve">The High Court </w:t>
      </w:r>
      <w:r w:rsidR="000D0467">
        <w:t>accord</w:t>
      </w:r>
      <w:r w:rsidR="00575456">
        <w:t>ing</w:t>
      </w:r>
      <w:r w:rsidR="000D0467">
        <w:t>ly declared section 21(2)(a) of the MPA unconstitutional and declared that all marriages of black persons concluded out of community of property under s</w:t>
      </w:r>
      <w:r w:rsidR="008546B4">
        <w:t>ection</w:t>
      </w:r>
      <w:r w:rsidR="000D0467">
        <w:t xml:space="preserve"> 22(6) of the BAA before 1988 </w:t>
      </w:r>
      <w:r w:rsidR="00420491">
        <w:t xml:space="preserve">are </w:t>
      </w:r>
      <w:r w:rsidR="000D0467">
        <w:t xml:space="preserve">declared to be marriages in community of property. </w:t>
      </w:r>
    </w:p>
    <w:p w14:paraId="620DA1D9" w14:textId="078885F8" w:rsidR="006A7FB5" w:rsidRDefault="006A7FB5" w:rsidP="004937E5">
      <w:pPr>
        <w:tabs>
          <w:tab w:val="left" w:pos="6675"/>
        </w:tabs>
      </w:pPr>
      <w:r>
        <w:tab/>
      </w:r>
    </w:p>
    <w:p w14:paraId="730394F9" w14:textId="57D7DC01" w:rsidR="00023FA7" w:rsidRDefault="00F04EC0" w:rsidP="004937E5">
      <w:r>
        <w:t xml:space="preserve">Before the Constitutional Court, the applicants </w:t>
      </w:r>
      <w:r w:rsidR="000152DC">
        <w:t>contend</w:t>
      </w:r>
      <w:r>
        <w:t xml:space="preserve"> that </w:t>
      </w:r>
      <w:r w:rsidR="00CF76C9">
        <w:t>section</w:t>
      </w:r>
      <w:r w:rsidR="00FF1E6E">
        <w:t xml:space="preserve"> </w:t>
      </w:r>
      <w:r>
        <w:t>21(2)(a) of the MPA is unconstitutional as it</w:t>
      </w:r>
      <w:r w:rsidR="00420491">
        <w:t xml:space="preserve"> </w:t>
      </w:r>
      <w:r w:rsidR="00FF4500">
        <w:t>maintains</w:t>
      </w:r>
      <w:r>
        <w:t xml:space="preserve"> and </w:t>
      </w:r>
      <w:r w:rsidR="00C55305">
        <w:t>perpetuates</w:t>
      </w:r>
      <w:r>
        <w:t xml:space="preserve"> the racial and gender discrimination against black women which was created by the</w:t>
      </w:r>
      <w:r w:rsidR="00BC2FB3">
        <w:t xml:space="preserve"> repealed</w:t>
      </w:r>
      <w:r>
        <w:t xml:space="preserve"> section 22(6) of the BAA</w:t>
      </w:r>
      <w:r w:rsidR="00A946F5">
        <w:t>. The</w:t>
      </w:r>
      <w:r w:rsidR="00BC2FB3">
        <w:t>y contend further that</w:t>
      </w:r>
      <w:r w:rsidR="00A946F5">
        <w:t xml:space="preserve"> </w:t>
      </w:r>
      <w:r w:rsidR="00110C58">
        <w:t xml:space="preserve">the </w:t>
      </w:r>
      <w:r w:rsidR="00A946F5">
        <w:t>impugned provision</w:t>
      </w:r>
      <w:r w:rsidR="00110C58">
        <w:t>s</w:t>
      </w:r>
      <w:r w:rsidR="00A946F5">
        <w:t xml:space="preserve"> subsequently </w:t>
      </w:r>
      <w:r w:rsidR="00110C58">
        <w:t>infringe</w:t>
      </w:r>
      <w:r w:rsidR="00A946F5">
        <w:t xml:space="preserve"> on the right to equality, dignity, right to access to housing and health care services</w:t>
      </w:r>
      <w:r w:rsidR="00EE5AC0">
        <w:t>.</w:t>
      </w:r>
      <w:r w:rsidR="00D64480">
        <w:t xml:space="preserve"> </w:t>
      </w:r>
      <w:r w:rsidR="00BC2FB3">
        <w:t xml:space="preserve">They submit that marriage in community of property is advantageous to women. </w:t>
      </w:r>
      <w:r w:rsidR="00D64480">
        <w:t xml:space="preserve">They contend that the High Court </w:t>
      </w:r>
      <w:r w:rsidR="00110C58">
        <w:t xml:space="preserve">order </w:t>
      </w:r>
      <w:r w:rsidR="00D64480">
        <w:t xml:space="preserve">should be </w:t>
      </w:r>
      <w:r w:rsidR="00626FA6">
        <w:t>confirmed,</w:t>
      </w:r>
      <w:r w:rsidR="00D64480">
        <w:t xml:space="preserve"> and that the declaration of invalidity should be retrospective in effect</w:t>
      </w:r>
      <w:r w:rsidR="008D425E">
        <w:t xml:space="preserve">. The applicants further submit that </w:t>
      </w:r>
      <w:r w:rsidR="00D64480">
        <w:t>it should be declared that all marriages concluded out of community of property under section 22(6) of the BAA are converted to marriages in community of property.</w:t>
      </w:r>
      <w:r w:rsidR="007E61FC">
        <w:t xml:space="preserve"> The first respondent submits that the provisions of section 21(2)(a) ought not be declared invalid as the </w:t>
      </w:r>
      <w:r w:rsidR="00C27574">
        <w:t xml:space="preserve">first </w:t>
      </w:r>
      <w:bookmarkStart w:id="0" w:name="_GoBack"/>
      <w:bookmarkEnd w:id="0"/>
      <w:r w:rsidR="007E61FC">
        <w:t>applicant is afforded recourse under section 7(3)(b) of the Divorce Act 70 of 1979, alternatively, the section should be varied to cater for the occurrence where the married couple would have chosen a marriage out of community of property for religious and other reasons.</w:t>
      </w:r>
      <w:r w:rsidR="00D64480">
        <w:t xml:space="preserve"> </w:t>
      </w:r>
    </w:p>
    <w:sectPr w:rsidR="00023FA7" w:rsidSect="009F0F46">
      <w:pgSz w:w="12240" w:h="15840"/>
      <w:pgMar w:top="1440" w:right="1800" w:bottom="1276"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979E0E" w14:textId="77777777" w:rsidR="006F29BF" w:rsidRDefault="006F29BF" w:rsidP="00B32119">
      <w:r>
        <w:separator/>
      </w:r>
    </w:p>
  </w:endnote>
  <w:endnote w:type="continuationSeparator" w:id="0">
    <w:p w14:paraId="749412BD" w14:textId="77777777" w:rsidR="006F29BF" w:rsidRDefault="006F29BF" w:rsidP="00B321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D688E5" w14:textId="77777777" w:rsidR="006F29BF" w:rsidRDefault="006F29BF" w:rsidP="00B32119">
      <w:r>
        <w:separator/>
      </w:r>
    </w:p>
  </w:footnote>
  <w:footnote w:type="continuationSeparator" w:id="0">
    <w:p w14:paraId="1A42AADC" w14:textId="77777777" w:rsidR="006F29BF" w:rsidRDefault="006F29BF" w:rsidP="00B3211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TU3MzIzNjM2NjS0sDRU0lEKTi0uzszPAykwrAUAXx/XbiwAAAA="/>
  </w:docVars>
  <w:rsids>
    <w:rsidRoot w:val="009342A7"/>
    <w:rsid w:val="000152DC"/>
    <w:rsid w:val="00015637"/>
    <w:rsid w:val="00017302"/>
    <w:rsid w:val="00023FA7"/>
    <w:rsid w:val="0003383F"/>
    <w:rsid w:val="00042529"/>
    <w:rsid w:val="00044771"/>
    <w:rsid w:val="000548D7"/>
    <w:rsid w:val="00055B29"/>
    <w:rsid w:val="000654B1"/>
    <w:rsid w:val="0007028D"/>
    <w:rsid w:val="00070E99"/>
    <w:rsid w:val="000806AE"/>
    <w:rsid w:val="0009089C"/>
    <w:rsid w:val="00091F8C"/>
    <w:rsid w:val="00093E39"/>
    <w:rsid w:val="00094E7C"/>
    <w:rsid w:val="000965AF"/>
    <w:rsid w:val="000A36D1"/>
    <w:rsid w:val="000A36F3"/>
    <w:rsid w:val="000A3E78"/>
    <w:rsid w:val="000D0467"/>
    <w:rsid w:val="000D09EA"/>
    <w:rsid w:val="000D35AE"/>
    <w:rsid w:val="000E2D16"/>
    <w:rsid w:val="00100894"/>
    <w:rsid w:val="00100B8E"/>
    <w:rsid w:val="00110C58"/>
    <w:rsid w:val="00113454"/>
    <w:rsid w:val="00117D6B"/>
    <w:rsid w:val="00122E3D"/>
    <w:rsid w:val="00125BE8"/>
    <w:rsid w:val="00143037"/>
    <w:rsid w:val="0015307D"/>
    <w:rsid w:val="00172A2C"/>
    <w:rsid w:val="00181DF6"/>
    <w:rsid w:val="001A204B"/>
    <w:rsid w:val="001A24C8"/>
    <w:rsid w:val="001E31D8"/>
    <w:rsid w:val="001E57F4"/>
    <w:rsid w:val="001E5F5A"/>
    <w:rsid w:val="001E7604"/>
    <w:rsid w:val="00200AB8"/>
    <w:rsid w:val="00215823"/>
    <w:rsid w:val="0022481B"/>
    <w:rsid w:val="002348C0"/>
    <w:rsid w:val="0023777A"/>
    <w:rsid w:val="002435AB"/>
    <w:rsid w:val="00250C27"/>
    <w:rsid w:val="00253986"/>
    <w:rsid w:val="00253F18"/>
    <w:rsid w:val="002705A8"/>
    <w:rsid w:val="002715F6"/>
    <w:rsid w:val="0027251B"/>
    <w:rsid w:val="002B3E1A"/>
    <w:rsid w:val="002D184B"/>
    <w:rsid w:val="002D7582"/>
    <w:rsid w:val="002E3C4F"/>
    <w:rsid w:val="00305423"/>
    <w:rsid w:val="003123B8"/>
    <w:rsid w:val="0031792A"/>
    <w:rsid w:val="00323149"/>
    <w:rsid w:val="003255EA"/>
    <w:rsid w:val="0032682A"/>
    <w:rsid w:val="00331205"/>
    <w:rsid w:val="00334E0F"/>
    <w:rsid w:val="0034274C"/>
    <w:rsid w:val="00357788"/>
    <w:rsid w:val="0037027B"/>
    <w:rsid w:val="003706CA"/>
    <w:rsid w:val="0037720A"/>
    <w:rsid w:val="003807A5"/>
    <w:rsid w:val="003845A8"/>
    <w:rsid w:val="003850ED"/>
    <w:rsid w:val="00386254"/>
    <w:rsid w:val="003B2DF5"/>
    <w:rsid w:val="003B4484"/>
    <w:rsid w:val="003B73B4"/>
    <w:rsid w:val="003C40ED"/>
    <w:rsid w:val="003D1CF1"/>
    <w:rsid w:val="003F0347"/>
    <w:rsid w:val="003F1959"/>
    <w:rsid w:val="003F3E2F"/>
    <w:rsid w:val="004036FB"/>
    <w:rsid w:val="004065B7"/>
    <w:rsid w:val="00410075"/>
    <w:rsid w:val="00420491"/>
    <w:rsid w:val="004209BD"/>
    <w:rsid w:val="004302FD"/>
    <w:rsid w:val="00430A5A"/>
    <w:rsid w:val="00430C6F"/>
    <w:rsid w:val="004426F8"/>
    <w:rsid w:val="00450ABB"/>
    <w:rsid w:val="00456688"/>
    <w:rsid w:val="00465BDB"/>
    <w:rsid w:val="004830F1"/>
    <w:rsid w:val="00490F2C"/>
    <w:rsid w:val="004937E5"/>
    <w:rsid w:val="004A1AEE"/>
    <w:rsid w:val="004C5AD8"/>
    <w:rsid w:val="004C7EF7"/>
    <w:rsid w:val="004D716D"/>
    <w:rsid w:val="004F5485"/>
    <w:rsid w:val="005038A1"/>
    <w:rsid w:val="00511769"/>
    <w:rsid w:val="00524F3A"/>
    <w:rsid w:val="005257B9"/>
    <w:rsid w:val="00526226"/>
    <w:rsid w:val="005275CE"/>
    <w:rsid w:val="005307A5"/>
    <w:rsid w:val="00532739"/>
    <w:rsid w:val="0053527E"/>
    <w:rsid w:val="00542C96"/>
    <w:rsid w:val="00556C67"/>
    <w:rsid w:val="00571CD9"/>
    <w:rsid w:val="00573AEA"/>
    <w:rsid w:val="00575456"/>
    <w:rsid w:val="005851AB"/>
    <w:rsid w:val="0058759D"/>
    <w:rsid w:val="00587A53"/>
    <w:rsid w:val="00594B56"/>
    <w:rsid w:val="005A6719"/>
    <w:rsid w:val="005B2F2F"/>
    <w:rsid w:val="005B51EB"/>
    <w:rsid w:val="005C0624"/>
    <w:rsid w:val="005C7764"/>
    <w:rsid w:val="005D1333"/>
    <w:rsid w:val="005D26E3"/>
    <w:rsid w:val="005E52AC"/>
    <w:rsid w:val="005E557D"/>
    <w:rsid w:val="005F322E"/>
    <w:rsid w:val="005F66C7"/>
    <w:rsid w:val="00616848"/>
    <w:rsid w:val="00624FFE"/>
    <w:rsid w:val="00626FA6"/>
    <w:rsid w:val="00630AA9"/>
    <w:rsid w:val="00642528"/>
    <w:rsid w:val="006474CE"/>
    <w:rsid w:val="006524D4"/>
    <w:rsid w:val="006543E3"/>
    <w:rsid w:val="006735C9"/>
    <w:rsid w:val="00674452"/>
    <w:rsid w:val="006749D6"/>
    <w:rsid w:val="00676CFE"/>
    <w:rsid w:val="00685C91"/>
    <w:rsid w:val="006879F3"/>
    <w:rsid w:val="00694175"/>
    <w:rsid w:val="006966FC"/>
    <w:rsid w:val="006A7FB5"/>
    <w:rsid w:val="006C2FE7"/>
    <w:rsid w:val="006E31E6"/>
    <w:rsid w:val="006E6A2F"/>
    <w:rsid w:val="006F29BF"/>
    <w:rsid w:val="007106E2"/>
    <w:rsid w:val="00712458"/>
    <w:rsid w:val="00716FAA"/>
    <w:rsid w:val="00720ACA"/>
    <w:rsid w:val="00722A4D"/>
    <w:rsid w:val="00747234"/>
    <w:rsid w:val="00750F83"/>
    <w:rsid w:val="00752C8F"/>
    <w:rsid w:val="00754D6F"/>
    <w:rsid w:val="00762738"/>
    <w:rsid w:val="007659FF"/>
    <w:rsid w:val="007746CE"/>
    <w:rsid w:val="00775169"/>
    <w:rsid w:val="00780477"/>
    <w:rsid w:val="00780874"/>
    <w:rsid w:val="0078535D"/>
    <w:rsid w:val="00797F90"/>
    <w:rsid w:val="007B7B41"/>
    <w:rsid w:val="007C65D9"/>
    <w:rsid w:val="007D37A2"/>
    <w:rsid w:val="007D6DF5"/>
    <w:rsid w:val="007E61FC"/>
    <w:rsid w:val="007F0EF4"/>
    <w:rsid w:val="007F7DCD"/>
    <w:rsid w:val="00801124"/>
    <w:rsid w:val="0081741F"/>
    <w:rsid w:val="00823B02"/>
    <w:rsid w:val="0083215D"/>
    <w:rsid w:val="00834D25"/>
    <w:rsid w:val="008351C8"/>
    <w:rsid w:val="0084198C"/>
    <w:rsid w:val="008546B4"/>
    <w:rsid w:val="0086048D"/>
    <w:rsid w:val="008639AE"/>
    <w:rsid w:val="00866508"/>
    <w:rsid w:val="00866B6B"/>
    <w:rsid w:val="00867767"/>
    <w:rsid w:val="0087005B"/>
    <w:rsid w:val="00881D33"/>
    <w:rsid w:val="00882096"/>
    <w:rsid w:val="008839E8"/>
    <w:rsid w:val="00883D6C"/>
    <w:rsid w:val="008943E7"/>
    <w:rsid w:val="008A5FDC"/>
    <w:rsid w:val="008B1777"/>
    <w:rsid w:val="008B532D"/>
    <w:rsid w:val="008C3682"/>
    <w:rsid w:val="008D24BC"/>
    <w:rsid w:val="008D3D39"/>
    <w:rsid w:val="008D425E"/>
    <w:rsid w:val="008E54C8"/>
    <w:rsid w:val="008F4B8F"/>
    <w:rsid w:val="0090690C"/>
    <w:rsid w:val="00910F26"/>
    <w:rsid w:val="00911DB9"/>
    <w:rsid w:val="00914A5D"/>
    <w:rsid w:val="00933D59"/>
    <w:rsid w:val="0093415D"/>
    <w:rsid w:val="009342A7"/>
    <w:rsid w:val="009544B2"/>
    <w:rsid w:val="0096072E"/>
    <w:rsid w:val="009642D7"/>
    <w:rsid w:val="00992CAE"/>
    <w:rsid w:val="009B4F3C"/>
    <w:rsid w:val="009B7D1B"/>
    <w:rsid w:val="009E7D9D"/>
    <w:rsid w:val="009F0F46"/>
    <w:rsid w:val="00A0140F"/>
    <w:rsid w:val="00A142B7"/>
    <w:rsid w:val="00A32744"/>
    <w:rsid w:val="00A37027"/>
    <w:rsid w:val="00A47D4A"/>
    <w:rsid w:val="00A51C04"/>
    <w:rsid w:val="00A55B9B"/>
    <w:rsid w:val="00A81378"/>
    <w:rsid w:val="00A8571D"/>
    <w:rsid w:val="00A946F5"/>
    <w:rsid w:val="00AA17C0"/>
    <w:rsid w:val="00AA3378"/>
    <w:rsid w:val="00AC133D"/>
    <w:rsid w:val="00AC5170"/>
    <w:rsid w:val="00AC799A"/>
    <w:rsid w:val="00AD14A5"/>
    <w:rsid w:val="00AE4640"/>
    <w:rsid w:val="00AF0A36"/>
    <w:rsid w:val="00AF67D4"/>
    <w:rsid w:val="00B3177F"/>
    <w:rsid w:val="00B31B92"/>
    <w:rsid w:val="00B32119"/>
    <w:rsid w:val="00B36F54"/>
    <w:rsid w:val="00B428BE"/>
    <w:rsid w:val="00B4658E"/>
    <w:rsid w:val="00B62B8B"/>
    <w:rsid w:val="00B630F2"/>
    <w:rsid w:val="00B667D0"/>
    <w:rsid w:val="00B71B72"/>
    <w:rsid w:val="00B75813"/>
    <w:rsid w:val="00B80F33"/>
    <w:rsid w:val="00B97560"/>
    <w:rsid w:val="00BA4C52"/>
    <w:rsid w:val="00BB378B"/>
    <w:rsid w:val="00BC2FB3"/>
    <w:rsid w:val="00BE6FBD"/>
    <w:rsid w:val="00BF0B33"/>
    <w:rsid w:val="00BF7FF2"/>
    <w:rsid w:val="00C140D4"/>
    <w:rsid w:val="00C14E9E"/>
    <w:rsid w:val="00C15790"/>
    <w:rsid w:val="00C27574"/>
    <w:rsid w:val="00C43D8A"/>
    <w:rsid w:val="00C44D82"/>
    <w:rsid w:val="00C45F8A"/>
    <w:rsid w:val="00C47F29"/>
    <w:rsid w:val="00C51AFC"/>
    <w:rsid w:val="00C536E8"/>
    <w:rsid w:val="00C55305"/>
    <w:rsid w:val="00C55A66"/>
    <w:rsid w:val="00C616DF"/>
    <w:rsid w:val="00C70B69"/>
    <w:rsid w:val="00C85429"/>
    <w:rsid w:val="00C96321"/>
    <w:rsid w:val="00CA21ED"/>
    <w:rsid w:val="00CA458C"/>
    <w:rsid w:val="00CB2E3D"/>
    <w:rsid w:val="00CC7D4D"/>
    <w:rsid w:val="00CE23D4"/>
    <w:rsid w:val="00CE51A0"/>
    <w:rsid w:val="00CF76C9"/>
    <w:rsid w:val="00D12501"/>
    <w:rsid w:val="00D200E8"/>
    <w:rsid w:val="00D2249B"/>
    <w:rsid w:val="00D356A3"/>
    <w:rsid w:val="00D40819"/>
    <w:rsid w:val="00D47EF8"/>
    <w:rsid w:val="00D528F2"/>
    <w:rsid w:val="00D553C8"/>
    <w:rsid w:val="00D634EE"/>
    <w:rsid w:val="00D64480"/>
    <w:rsid w:val="00D64E65"/>
    <w:rsid w:val="00D659C5"/>
    <w:rsid w:val="00D670FC"/>
    <w:rsid w:val="00D81F8F"/>
    <w:rsid w:val="00D86239"/>
    <w:rsid w:val="00DB011F"/>
    <w:rsid w:val="00DB12FA"/>
    <w:rsid w:val="00DB1A44"/>
    <w:rsid w:val="00DB677B"/>
    <w:rsid w:val="00DD5682"/>
    <w:rsid w:val="00DE5133"/>
    <w:rsid w:val="00DE7B41"/>
    <w:rsid w:val="00DF0C88"/>
    <w:rsid w:val="00E04FE7"/>
    <w:rsid w:val="00E07942"/>
    <w:rsid w:val="00E17A92"/>
    <w:rsid w:val="00E27310"/>
    <w:rsid w:val="00E3316F"/>
    <w:rsid w:val="00E52FDA"/>
    <w:rsid w:val="00E53AE0"/>
    <w:rsid w:val="00E545EA"/>
    <w:rsid w:val="00E661EE"/>
    <w:rsid w:val="00E71A9E"/>
    <w:rsid w:val="00E736CB"/>
    <w:rsid w:val="00E75952"/>
    <w:rsid w:val="00E8342B"/>
    <w:rsid w:val="00E905F5"/>
    <w:rsid w:val="00E93F86"/>
    <w:rsid w:val="00E97F73"/>
    <w:rsid w:val="00EA113C"/>
    <w:rsid w:val="00EB5124"/>
    <w:rsid w:val="00EC30F9"/>
    <w:rsid w:val="00EC3DF4"/>
    <w:rsid w:val="00ED5B69"/>
    <w:rsid w:val="00EE10EC"/>
    <w:rsid w:val="00EE5AC0"/>
    <w:rsid w:val="00EE7EF0"/>
    <w:rsid w:val="00F04568"/>
    <w:rsid w:val="00F04EC0"/>
    <w:rsid w:val="00F43565"/>
    <w:rsid w:val="00F43ADD"/>
    <w:rsid w:val="00F50679"/>
    <w:rsid w:val="00F5283F"/>
    <w:rsid w:val="00F55913"/>
    <w:rsid w:val="00F70E31"/>
    <w:rsid w:val="00F74A3C"/>
    <w:rsid w:val="00F77A10"/>
    <w:rsid w:val="00F91C22"/>
    <w:rsid w:val="00FB2AFF"/>
    <w:rsid w:val="00FB3D42"/>
    <w:rsid w:val="00FB43E0"/>
    <w:rsid w:val="00FC2754"/>
    <w:rsid w:val="00FC3C42"/>
    <w:rsid w:val="00FD2D52"/>
    <w:rsid w:val="00FE00A5"/>
    <w:rsid w:val="00FF1E6E"/>
    <w:rsid w:val="00FF4500"/>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E3E2C8"/>
  <w15:docId w15:val="{D10642F7-ABDD-4A2B-A780-49930643DA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Header">
    <w:name w:val="header"/>
    <w:basedOn w:val="Normal"/>
    <w:link w:val="HeaderChar"/>
    <w:unhideWhenUsed/>
    <w:rsid w:val="00B32119"/>
    <w:pPr>
      <w:tabs>
        <w:tab w:val="center" w:pos="4680"/>
        <w:tab w:val="right" w:pos="9360"/>
      </w:tabs>
    </w:pPr>
  </w:style>
  <w:style w:type="character" w:customStyle="1" w:styleId="HeaderChar">
    <w:name w:val="Header Char"/>
    <w:basedOn w:val="DefaultParagraphFont"/>
    <w:link w:val="Header"/>
    <w:rsid w:val="00B32119"/>
    <w:rPr>
      <w:sz w:val="24"/>
      <w:szCs w:val="24"/>
      <w:lang w:eastAsia="en-US"/>
    </w:rPr>
  </w:style>
  <w:style w:type="paragraph" w:styleId="Footer">
    <w:name w:val="footer"/>
    <w:basedOn w:val="Normal"/>
    <w:link w:val="FooterChar"/>
    <w:unhideWhenUsed/>
    <w:rsid w:val="00B32119"/>
    <w:pPr>
      <w:tabs>
        <w:tab w:val="center" w:pos="4680"/>
        <w:tab w:val="right" w:pos="9360"/>
      </w:tabs>
    </w:pPr>
  </w:style>
  <w:style w:type="character" w:customStyle="1" w:styleId="FooterChar">
    <w:name w:val="Footer Char"/>
    <w:basedOn w:val="DefaultParagraphFont"/>
    <w:link w:val="Footer"/>
    <w:rsid w:val="00B32119"/>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Committees\Media%20Committee\PRE-HEARING%20MEDIA%20SUMMAR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A60A608-54F0-5F4E-991B-6DD2646BAB3F}">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840186F-F867-4A4E-8D7F-F300123A5954}">
  <ds:schemaRefs>
    <ds:schemaRef ds:uri="http://schemas.openxmlformats.org/officeDocument/2006/bibliography"/>
  </ds:schemaRefs>
</ds:datastoreItem>
</file>

<file path=customXml/itemProps2.xml><?xml version="1.0" encoding="utf-8"?>
<ds:datastoreItem xmlns:ds="http://schemas.openxmlformats.org/officeDocument/2006/customXml" ds:itemID="{6DE97501-B0CB-4E88-A44B-35F7C50854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PRE-HEARING MEDIA SUMMARY TEMPLATE</Template>
  <TotalTime>2</TotalTime>
  <Pages>2</Pages>
  <Words>948</Words>
  <Characters>5406</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6342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dc:creator>Mihlali  Matibe</dc:creator>
  <cp:lastModifiedBy>Clarrence Mangena</cp:lastModifiedBy>
  <cp:revision>3</cp:revision>
  <cp:lastPrinted>2020-09-04T09:56:00Z</cp:lastPrinted>
  <dcterms:created xsi:type="dcterms:W3CDTF">2020-09-28T10:31:00Z</dcterms:created>
  <dcterms:modified xsi:type="dcterms:W3CDTF">2020-09-28T11:41:00Z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documentId_1591</vt:lpwstr>
  </property>
</Properties>
</file>