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4AD0" w:rsidRDefault="009F4AD0" w:rsidP="000A40B5">
      <w:pPr>
        <w:spacing w:line="360" w:lineRule="auto"/>
        <w:jc w:val="center"/>
        <w:rPr>
          <w:b/>
        </w:rPr>
      </w:pPr>
      <w:r w:rsidRPr="003E7F7D">
        <w:rPr>
          <w:b/>
        </w:rPr>
        <w:t>THE CONSTITUTIONAL COURT OF SOUTH AFRICA</w:t>
      </w:r>
    </w:p>
    <w:p w:rsidR="009F4AD0" w:rsidRDefault="009F4AD0" w:rsidP="000A40B5">
      <w:pPr>
        <w:spacing w:line="360" w:lineRule="auto"/>
        <w:jc w:val="center"/>
        <w:rPr>
          <w:b/>
        </w:rPr>
      </w:pPr>
    </w:p>
    <w:p w:rsidR="009F4AD0" w:rsidRDefault="009F4AD0" w:rsidP="000A40B5">
      <w:pPr>
        <w:spacing w:line="360" w:lineRule="auto"/>
        <w:jc w:val="right"/>
        <w:rPr>
          <w:b/>
        </w:rPr>
      </w:pPr>
      <w:r>
        <w:rPr>
          <w:b/>
        </w:rPr>
        <w:t xml:space="preserve">CASE </w:t>
      </w:r>
      <w:proofErr w:type="spellStart"/>
      <w:r>
        <w:rPr>
          <w:b/>
        </w:rPr>
        <w:t>CCT</w:t>
      </w:r>
      <w:proofErr w:type="spellEnd"/>
      <w:r>
        <w:rPr>
          <w:b/>
        </w:rPr>
        <w:t xml:space="preserve"> 13/20</w:t>
      </w:r>
    </w:p>
    <w:p w:rsidR="009F4AD0" w:rsidRDefault="009F4AD0" w:rsidP="000A40B5">
      <w:pPr>
        <w:pStyle w:val="Parties"/>
        <w:spacing w:line="360" w:lineRule="auto"/>
        <w:rPr>
          <w:b/>
        </w:rPr>
      </w:pPr>
    </w:p>
    <w:p w:rsidR="009F4AD0" w:rsidRDefault="009F4AD0" w:rsidP="000A40B5">
      <w:pPr>
        <w:pStyle w:val="Parties"/>
        <w:spacing w:line="360" w:lineRule="auto"/>
      </w:pPr>
    </w:p>
    <w:p w:rsidR="009F4AD0" w:rsidRDefault="009F4AD0" w:rsidP="000A40B5">
      <w:pPr>
        <w:pStyle w:val="Parties"/>
        <w:spacing w:line="360" w:lineRule="auto"/>
      </w:pPr>
      <w:r>
        <w:t>In the matter between:</w:t>
      </w:r>
    </w:p>
    <w:p w:rsidR="009F4AD0" w:rsidRDefault="009F4AD0" w:rsidP="000A40B5">
      <w:pPr>
        <w:pStyle w:val="Parties"/>
        <w:spacing w:line="360" w:lineRule="auto"/>
      </w:pPr>
    </w:p>
    <w:p w:rsidR="009F4AD0" w:rsidRPr="00323D7F" w:rsidRDefault="009F4AD0" w:rsidP="000A40B5">
      <w:pPr>
        <w:pStyle w:val="Parties"/>
        <w:spacing w:line="360" w:lineRule="auto"/>
        <w:rPr>
          <w:b/>
          <w:bCs/>
        </w:rPr>
      </w:pPr>
      <w:r w:rsidRPr="001777B9">
        <w:rPr>
          <w:b/>
          <w:bCs/>
        </w:rPr>
        <w:t xml:space="preserve">JONATHAN DUBULA </w:t>
      </w:r>
      <w:proofErr w:type="spellStart"/>
      <w:r w:rsidRPr="001777B9">
        <w:rPr>
          <w:b/>
          <w:bCs/>
        </w:rPr>
        <w:t>QWELANE</w:t>
      </w:r>
      <w:proofErr w:type="spellEnd"/>
      <w:r>
        <w:rPr>
          <w:b/>
        </w:rPr>
        <w:tab/>
      </w:r>
      <w:r>
        <w:t>Applicant</w:t>
      </w:r>
    </w:p>
    <w:p w:rsidR="009F4AD0" w:rsidRDefault="009F4AD0" w:rsidP="000A40B5">
      <w:pPr>
        <w:pStyle w:val="Parties"/>
        <w:spacing w:line="360" w:lineRule="auto"/>
      </w:pPr>
    </w:p>
    <w:p w:rsidR="009F4AD0" w:rsidRDefault="009F4AD0" w:rsidP="000A40B5">
      <w:pPr>
        <w:pStyle w:val="Parties"/>
        <w:spacing w:line="360" w:lineRule="auto"/>
      </w:pPr>
      <w:r>
        <w:t>and</w:t>
      </w:r>
    </w:p>
    <w:p w:rsidR="009F4AD0" w:rsidRDefault="009F4AD0" w:rsidP="000A40B5">
      <w:pPr>
        <w:pStyle w:val="Parties"/>
        <w:spacing w:line="360" w:lineRule="auto"/>
        <w:rPr>
          <w:b/>
        </w:rPr>
      </w:pPr>
    </w:p>
    <w:p w:rsidR="009F4AD0" w:rsidRDefault="009F4AD0" w:rsidP="000A40B5">
      <w:pPr>
        <w:pStyle w:val="Parties"/>
        <w:spacing w:line="360" w:lineRule="auto"/>
      </w:pPr>
      <w:r w:rsidRPr="001777B9">
        <w:rPr>
          <w:b/>
          <w:bCs/>
        </w:rPr>
        <w:t>SOUTH AFRICAN HUMAN RIGHTS COMMISSION</w:t>
      </w:r>
      <w:r>
        <w:rPr>
          <w:b/>
        </w:rPr>
        <w:tab/>
      </w:r>
      <w:r w:rsidRPr="001777B9">
        <w:rPr>
          <w:bCs/>
        </w:rPr>
        <w:t>First</w:t>
      </w:r>
      <w:r>
        <w:rPr>
          <w:b/>
        </w:rPr>
        <w:t xml:space="preserve"> </w:t>
      </w:r>
      <w:r>
        <w:t>Respondent</w:t>
      </w:r>
    </w:p>
    <w:p w:rsidR="009F4AD0" w:rsidRDefault="009F4AD0" w:rsidP="000A40B5">
      <w:pPr>
        <w:pStyle w:val="Parties"/>
        <w:spacing w:line="360" w:lineRule="auto"/>
      </w:pPr>
    </w:p>
    <w:p w:rsidR="009F4AD0" w:rsidRDefault="009F4AD0" w:rsidP="000A40B5">
      <w:pPr>
        <w:pStyle w:val="Parties"/>
        <w:spacing w:line="360" w:lineRule="auto"/>
      </w:pPr>
      <w:r w:rsidRPr="001777B9">
        <w:rPr>
          <w:b/>
          <w:bCs/>
        </w:rPr>
        <w:t>MINISTER OF JUSTICE</w:t>
      </w:r>
      <w:r>
        <w:tab/>
        <w:t>Second Respondent</w:t>
      </w:r>
    </w:p>
    <w:p w:rsidR="009F4AD0" w:rsidRDefault="009F4AD0" w:rsidP="000A40B5">
      <w:pPr>
        <w:pStyle w:val="Parties"/>
        <w:spacing w:line="360" w:lineRule="auto"/>
      </w:pPr>
    </w:p>
    <w:p w:rsidR="009F4AD0" w:rsidRDefault="004933C7" w:rsidP="000A40B5">
      <w:pPr>
        <w:pStyle w:val="Parties"/>
        <w:spacing w:line="360" w:lineRule="auto"/>
      </w:pPr>
      <w:r>
        <w:rPr>
          <w:b/>
          <w:bCs/>
        </w:rPr>
        <w:t xml:space="preserve">SA </w:t>
      </w:r>
      <w:r w:rsidR="009F4AD0" w:rsidRPr="00740D7B">
        <w:rPr>
          <w:b/>
          <w:bCs/>
        </w:rPr>
        <w:t>HOLOCAUST AND GENOCIDE</w:t>
      </w:r>
      <w:r w:rsidR="00EF0A9F">
        <w:rPr>
          <w:b/>
          <w:bCs/>
        </w:rPr>
        <w:t xml:space="preserve"> </w:t>
      </w:r>
      <w:r w:rsidR="009F4AD0" w:rsidRPr="00740D7B">
        <w:rPr>
          <w:b/>
          <w:bCs/>
        </w:rPr>
        <w:t>FOUNDATION</w:t>
      </w:r>
      <w:r w:rsidR="009F4AD0">
        <w:tab/>
        <w:t>First Amicus Curiae</w:t>
      </w:r>
    </w:p>
    <w:p w:rsidR="009F4AD0" w:rsidRDefault="009F4AD0" w:rsidP="000A40B5">
      <w:pPr>
        <w:pStyle w:val="Parties"/>
        <w:spacing w:line="360" w:lineRule="auto"/>
      </w:pPr>
    </w:p>
    <w:p w:rsidR="009F4AD0" w:rsidRDefault="009F4AD0" w:rsidP="000A40B5">
      <w:pPr>
        <w:pStyle w:val="Parties"/>
        <w:spacing w:line="360" w:lineRule="auto"/>
      </w:pPr>
      <w:r>
        <w:rPr>
          <w:b/>
          <w:bCs/>
        </w:rPr>
        <w:t>PSYCHOLOGICAL SOCIETY OF SOUTH AFRICA</w:t>
      </w:r>
      <w:r>
        <w:rPr>
          <w:b/>
          <w:bCs/>
        </w:rPr>
        <w:tab/>
      </w:r>
      <w:r w:rsidRPr="00A20391">
        <w:t>Second Amicus Curiae</w:t>
      </w:r>
    </w:p>
    <w:p w:rsidR="009F4AD0" w:rsidRDefault="009F4AD0" w:rsidP="000A40B5">
      <w:pPr>
        <w:pStyle w:val="Parties"/>
        <w:spacing w:line="360" w:lineRule="auto"/>
      </w:pPr>
    </w:p>
    <w:p w:rsidR="009F4AD0" w:rsidRDefault="009F4AD0" w:rsidP="000A40B5">
      <w:pPr>
        <w:pStyle w:val="Parties"/>
        <w:spacing w:line="360" w:lineRule="auto"/>
      </w:pPr>
      <w:r>
        <w:rPr>
          <w:b/>
          <w:bCs/>
        </w:rPr>
        <w:t>WOMEN’S LEGAL CENTRE TRUST</w:t>
      </w:r>
      <w:r>
        <w:rPr>
          <w:b/>
          <w:bCs/>
        </w:rPr>
        <w:tab/>
      </w:r>
      <w:r w:rsidRPr="006B4FFE">
        <w:t>Third Amicus Curiae</w:t>
      </w:r>
    </w:p>
    <w:p w:rsidR="009F4AD0" w:rsidRDefault="009F4AD0" w:rsidP="000A40B5">
      <w:pPr>
        <w:pStyle w:val="Parties"/>
        <w:spacing w:line="360" w:lineRule="auto"/>
      </w:pPr>
    </w:p>
    <w:p w:rsidR="009F4AD0" w:rsidRPr="00323D7F" w:rsidRDefault="009F4AD0" w:rsidP="000A40B5">
      <w:pPr>
        <w:pStyle w:val="Parties"/>
        <w:spacing w:line="360" w:lineRule="auto"/>
        <w:rPr>
          <w:b/>
          <w:bCs/>
        </w:rPr>
      </w:pPr>
      <w:r>
        <w:rPr>
          <w:b/>
          <w:bCs/>
        </w:rPr>
        <w:t>SOUTHERN AFRICA LITIGATION CENTRE</w:t>
      </w:r>
      <w:r>
        <w:rPr>
          <w:b/>
          <w:bCs/>
        </w:rPr>
        <w:tab/>
      </w:r>
      <w:r w:rsidRPr="00323D7F">
        <w:t>Fourth Amicus Curiae</w:t>
      </w:r>
    </w:p>
    <w:p w:rsidR="009F4AD0" w:rsidRDefault="009F4AD0" w:rsidP="000A40B5">
      <w:pPr>
        <w:pStyle w:val="Parties"/>
        <w:spacing w:line="360" w:lineRule="auto"/>
      </w:pPr>
    </w:p>
    <w:p w:rsidR="009F4AD0" w:rsidRDefault="00EF0A9F" w:rsidP="000A40B5">
      <w:pPr>
        <w:pStyle w:val="TramLines"/>
        <w:spacing w:line="360" w:lineRule="auto"/>
      </w:pPr>
      <w:r>
        <w:t xml:space="preserve">SA </w:t>
      </w:r>
      <w:r w:rsidR="001007B2">
        <w:t xml:space="preserve">HOLOCAUST AND GENOCIDE FOUNDATION’S </w:t>
      </w:r>
      <w:r w:rsidR="009F4AD0">
        <w:t>SUBMISSIONS</w:t>
      </w:r>
    </w:p>
    <w:p w:rsidR="001007B2" w:rsidRDefault="001007B2">
      <w:pPr>
        <w:spacing w:before="240"/>
        <w:ind w:left="567" w:hanging="567"/>
        <w:rPr>
          <w:iCs/>
          <w:color w:val="000000"/>
          <w:szCs w:val="22"/>
        </w:rPr>
      </w:pPr>
      <w:r>
        <w:br w:type="page"/>
      </w:r>
    </w:p>
    <w:p w:rsidR="001007B2" w:rsidRPr="001007B2" w:rsidRDefault="001007B2" w:rsidP="001007B2">
      <w:pPr>
        <w:pStyle w:val="1"/>
        <w:numPr>
          <w:ilvl w:val="0"/>
          <w:numId w:val="0"/>
        </w:numPr>
        <w:ind w:left="567"/>
      </w:pPr>
    </w:p>
    <w:sdt>
      <w:sdtPr>
        <w:rPr>
          <w:rFonts w:ascii="Arial" w:eastAsia="Times New Roman" w:hAnsi="Arial" w:cs="Times New Roman"/>
          <w:color w:val="auto"/>
          <w:sz w:val="24"/>
          <w:szCs w:val="16"/>
        </w:rPr>
        <w:id w:val="-1766068339"/>
        <w:docPartObj>
          <w:docPartGallery w:val="Table of Contents"/>
          <w:docPartUnique/>
        </w:docPartObj>
      </w:sdtPr>
      <w:sdtEndPr>
        <w:rPr>
          <w:b/>
          <w:bCs/>
          <w:noProof/>
          <w:szCs w:val="28"/>
        </w:rPr>
      </w:sdtEndPr>
      <w:sdtContent>
        <w:p w:rsidR="009F4AD0" w:rsidRPr="004B5487" w:rsidRDefault="009F4AD0" w:rsidP="009F4AD0">
          <w:pPr>
            <w:pStyle w:val="TOCHeading"/>
            <w:jc w:val="center"/>
            <w:rPr>
              <w:rFonts w:ascii="Arial" w:hAnsi="Arial" w:cs="Arial"/>
              <w:b/>
              <w:bCs/>
              <w:color w:val="auto"/>
              <w:sz w:val="24"/>
              <w:szCs w:val="24"/>
            </w:rPr>
          </w:pPr>
          <w:r w:rsidRPr="004B5487">
            <w:rPr>
              <w:rFonts w:ascii="Arial" w:hAnsi="Arial" w:cs="Arial"/>
              <w:b/>
              <w:bCs/>
              <w:color w:val="auto"/>
              <w:sz w:val="24"/>
              <w:szCs w:val="24"/>
            </w:rPr>
            <w:t>TABLE OF CONTENTS</w:t>
          </w:r>
        </w:p>
        <w:p w:rsidR="009F4AD0" w:rsidRPr="00E545BC" w:rsidRDefault="009F4AD0" w:rsidP="009F4AD0">
          <w:pPr>
            <w:rPr>
              <w:rFonts w:cs="Arial"/>
              <w:szCs w:val="28"/>
              <w:lang w:val="en-US"/>
            </w:rPr>
          </w:pPr>
        </w:p>
        <w:p w:rsidR="00E06712" w:rsidRDefault="009F4AD0">
          <w:pPr>
            <w:pStyle w:val="TOC1"/>
            <w:tabs>
              <w:tab w:val="right" w:leader="dot" w:pos="9038"/>
            </w:tabs>
            <w:rPr>
              <w:rFonts w:asciiTheme="minorHAnsi" w:eastAsiaTheme="minorEastAsia" w:hAnsiTheme="minorHAnsi" w:cstheme="minorBidi"/>
              <w:b w:val="0"/>
              <w:noProof/>
              <w:szCs w:val="22"/>
              <w:lang w:eastAsia="en-GB"/>
            </w:rPr>
          </w:pPr>
          <w:r w:rsidRPr="00E545BC">
            <w:rPr>
              <w:rFonts w:cs="Arial"/>
              <w:sz w:val="28"/>
              <w:szCs w:val="28"/>
            </w:rPr>
            <w:fldChar w:fldCharType="begin"/>
          </w:r>
          <w:r w:rsidRPr="00E545BC">
            <w:rPr>
              <w:rFonts w:cs="Arial"/>
              <w:sz w:val="28"/>
              <w:szCs w:val="28"/>
            </w:rPr>
            <w:instrText xml:space="preserve"> TOC \o "1-3" \h \z \u </w:instrText>
          </w:r>
          <w:r w:rsidRPr="00E545BC">
            <w:rPr>
              <w:rFonts w:cs="Arial"/>
              <w:sz w:val="28"/>
              <w:szCs w:val="28"/>
            </w:rPr>
            <w:fldChar w:fldCharType="separate"/>
          </w:r>
          <w:hyperlink w:anchor="_Toc37319375" w:history="1">
            <w:r w:rsidR="00E06712" w:rsidRPr="008E639D">
              <w:rPr>
                <w:rStyle w:val="Hyperlink"/>
                <w:noProof/>
              </w:rPr>
              <w:t>INTRODUCTION</w:t>
            </w:r>
            <w:r w:rsidR="00E06712">
              <w:rPr>
                <w:noProof/>
                <w:webHidden/>
              </w:rPr>
              <w:tab/>
            </w:r>
            <w:r w:rsidR="00E06712">
              <w:rPr>
                <w:noProof/>
                <w:webHidden/>
              </w:rPr>
              <w:fldChar w:fldCharType="begin"/>
            </w:r>
            <w:r w:rsidR="00E06712">
              <w:rPr>
                <w:noProof/>
                <w:webHidden/>
              </w:rPr>
              <w:instrText xml:space="preserve"> PAGEREF _Toc37319375 \h </w:instrText>
            </w:r>
            <w:r w:rsidR="00E06712">
              <w:rPr>
                <w:noProof/>
                <w:webHidden/>
              </w:rPr>
            </w:r>
            <w:r w:rsidR="00E06712">
              <w:rPr>
                <w:noProof/>
                <w:webHidden/>
              </w:rPr>
              <w:fldChar w:fldCharType="separate"/>
            </w:r>
            <w:r w:rsidR="00E06712">
              <w:rPr>
                <w:noProof/>
                <w:webHidden/>
              </w:rPr>
              <w:t>2</w:t>
            </w:r>
            <w:r w:rsidR="00E06712">
              <w:rPr>
                <w:noProof/>
                <w:webHidden/>
              </w:rPr>
              <w:fldChar w:fldCharType="end"/>
            </w:r>
          </w:hyperlink>
        </w:p>
        <w:p w:rsidR="00E06712" w:rsidRDefault="00E06712">
          <w:pPr>
            <w:pStyle w:val="TOC1"/>
            <w:tabs>
              <w:tab w:val="right" w:leader="dot" w:pos="9038"/>
            </w:tabs>
            <w:rPr>
              <w:rFonts w:asciiTheme="minorHAnsi" w:eastAsiaTheme="minorEastAsia" w:hAnsiTheme="minorHAnsi" w:cstheme="minorBidi"/>
              <w:b w:val="0"/>
              <w:noProof/>
              <w:szCs w:val="22"/>
              <w:lang w:eastAsia="en-GB"/>
            </w:rPr>
          </w:pPr>
          <w:hyperlink w:anchor="_Toc37319376" w:history="1">
            <w:r w:rsidRPr="008E639D">
              <w:rPr>
                <w:rStyle w:val="Hyperlink"/>
                <w:noProof/>
              </w:rPr>
              <w:t>SECTION 10(1) OF THE EQUALITY ACT</w:t>
            </w:r>
            <w:r>
              <w:rPr>
                <w:noProof/>
                <w:webHidden/>
              </w:rPr>
              <w:tab/>
            </w:r>
            <w:r>
              <w:rPr>
                <w:noProof/>
                <w:webHidden/>
              </w:rPr>
              <w:fldChar w:fldCharType="begin"/>
            </w:r>
            <w:r>
              <w:rPr>
                <w:noProof/>
                <w:webHidden/>
              </w:rPr>
              <w:instrText xml:space="preserve"> PAGEREF _Toc37319376 \h </w:instrText>
            </w:r>
            <w:r>
              <w:rPr>
                <w:noProof/>
                <w:webHidden/>
              </w:rPr>
            </w:r>
            <w:r>
              <w:rPr>
                <w:noProof/>
                <w:webHidden/>
              </w:rPr>
              <w:fldChar w:fldCharType="separate"/>
            </w:r>
            <w:r>
              <w:rPr>
                <w:noProof/>
                <w:webHidden/>
              </w:rPr>
              <w:t>4</w:t>
            </w:r>
            <w:r>
              <w:rPr>
                <w:noProof/>
                <w:webHidden/>
              </w:rPr>
              <w:fldChar w:fldCharType="end"/>
            </w:r>
          </w:hyperlink>
        </w:p>
        <w:p w:rsidR="00E06712" w:rsidRDefault="00E06712">
          <w:pPr>
            <w:pStyle w:val="TOC2"/>
            <w:tabs>
              <w:tab w:val="right" w:leader="dot" w:pos="9038"/>
            </w:tabs>
            <w:rPr>
              <w:rFonts w:asciiTheme="minorHAnsi" w:eastAsiaTheme="minorEastAsia" w:hAnsiTheme="minorHAnsi" w:cstheme="minorBidi"/>
              <w:i w:val="0"/>
              <w:noProof/>
              <w:szCs w:val="22"/>
              <w:lang w:eastAsia="en-GB"/>
            </w:rPr>
          </w:pPr>
          <w:hyperlink w:anchor="_Toc37319377" w:history="1">
            <w:r w:rsidRPr="008E639D">
              <w:rPr>
                <w:rStyle w:val="Hyperlink"/>
                <w:noProof/>
              </w:rPr>
              <w:t>The meaning of “hurtful” and “harmful”</w:t>
            </w:r>
            <w:r>
              <w:rPr>
                <w:noProof/>
                <w:webHidden/>
              </w:rPr>
              <w:tab/>
            </w:r>
            <w:r>
              <w:rPr>
                <w:noProof/>
                <w:webHidden/>
              </w:rPr>
              <w:fldChar w:fldCharType="begin"/>
            </w:r>
            <w:r>
              <w:rPr>
                <w:noProof/>
                <w:webHidden/>
              </w:rPr>
              <w:instrText xml:space="preserve"> PAGEREF _Toc37319377 \h </w:instrText>
            </w:r>
            <w:r>
              <w:rPr>
                <w:noProof/>
                <w:webHidden/>
              </w:rPr>
            </w:r>
            <w:r>
              <w:rPr>
                <w:noProof/>
                <w:webHidden/>
              </w:rPr>
              <w:fldChar w:fldCharType="separate"/>
            </w:r>
            <w:r>
              <w:rPr>
                <w:noProof/>
                <w:webHidden/>
              </w:rPr>
              <w:t>6</w:t>
            </w:r>
            <w:r>
              <w:rPr>
                <w:noProof/>
                <w:webHidden/>
              </w:rPr>
              <w:fldChar w:fldCharType="end"/>
            </w:r>
          </w:hyperlink>
        </w:p>
        <w:p w:rsidR="00E06712" w:rsidRDefault="00E06712">
          <w:pPr>
            <w:pStyle w:val="TOC2"/>
            <w:tabs>
              <w:tab w:val="right" w:leader="dot" w:pos="9038"/>
            </w:tabs>
            <w:rPr>
              <w:rFonts w:asciiTheme="minorHAnsi" w:eastAsiaTheme="minorEastAsia" w:hAnsiTheme="minorHAnsi" w:cstheme="minorBidi"/>
              <w:i w:val="0"/>
              <w:noProof/>
              <w:szCs w:val="22"/>
              <w:lang w:eastAsia="en-GB"/>
            </w:rPr>
          </w:pPr>
          <w:hyperlink w:anchor="_Toc37319378" w:history="1">
            <w:r w:rsidRPr="008E639D">
              <w:rPr>
                <w:rStyle w:val="Hyperlink"/>
                <w:noProof/>
              </w:rPr>
              <w:t>An objective standard</w:t>
            </w:r>
            <w:r>
              <w:rPr>
                <w:noProof/>
                <w:webHidden/>
              </w:rPr>
              <w:tab/>
            </w:r>
            <w:r>
              <w:rPr>
                <w:noProof/>
                <w:webHidden/>
              </w:rPr>
              <w:fldChar w:fldCharType="begin"/>
            </w:r>
            <w:r>
              <w:rPr>
                <w:noProof/>
                <w:webHidden/>
              </w:rPr>
              <w:instrText xml:space="preserve"> PAGEREF _Toc37319378 \h </w:instrText>
            </w:r>
            <w:r>
              <w:rPr>
                <w:noProof/>
                <w:webHidden/>
              </w:rPr>
            </w:r>
            <w:r>
              <w:rPr>
                <w:noProof/>
                <w:webHidden/>
              </w:rPr>
              <w:fldChar w:fldCharType="separate"/>
            </w:r>
            <w:r>
              <w:rPr>
                <w:noProof/>
                <w:webHidden/>
              </w:rPr>
              <w:t>6</w:t>
            </w:r>
            <w:r>
              <w:rPr>
                <w:noProof/>
                <w:webHidden/>
              </w:rPr>
              <w:fldChar w:fldCharType="end"/>
            </w:r>
          </w:hyperlink>
        </w:p>
        <w:p w:rsidR="00E06712" w:rsidRDefault="00E06712">
          <w:pPr>
            <w:pStyle w:val="TOC2"/>
            <w:tabs>
              <w:tab w:val="right" w:leader="dot" w:pos="9038"/>
            </w:tabs>
            <w:rPr>
              <w:rFonts w:asciiTheme="minorHAnsi" w:eastAsiaTheme="minorEastAsia" w:hAnsiTheme="minorHAnsi" w:cstheme="minorBidi"/>
              <w:i w:val="0"/>
              <w:noProof/>
              <w:szCs w:val="22"/>
              <w:lang w:eastAsia="en-GB"/>
            </w:rPr>
          </w:pPr>
          <w:hyperlink w:anchor="_Toc37319379" w:history="1">
            <w:r w:rsidRPr="008E639D">
              <w:rPr>
                <w:rStyle w:val="Hyperlink"/>
                <w:noProof/>
              </w:rPr>
              <w:t>Disjunctive or conjunctive</w:t>
            </w:r>
            <w:r>
              <w:rPr>
                <w:noProof/>
                <w:webHidden/>
              </w:rPr>
              <w:tab/>
            </w:r>
            <w:r>
              <w:rPr>
                <w:noProof/>
                <w:webHidden/>
              </w:rPr>
              <w:fldChar w:fldCharType="begin"/>
            </w:r>
            <w:r>
              <w:rPr>
                <w:noProof/>
                <w:webHidden/>
              </w:rPr>
              <w:instrText xml:space="preserve"> PAGEREF _Toc37319379 \h </w:instrText>
            </w:r>
            <w:r>
              <w:rPr>
                <w:noProof/>
                <w:webHidden/>
              </w:rPr>
            </w:r>
            <w:r>
              <w:rPr>
                <w:noProof/>
                <w:webHidden/>
              </w:rPr>
              <w:fldChar w:fldCharType="separate"/>
            </w:r>
            <w:r>
              <w:rPr>
                <w:noProof/>
                <w:webHidden/>
              </w:rPr>
              <w:t>7</w:t>
            </w:r>
            <w:r>
              <w:rPr>
                <w:noProof/>
                <w:webHidden/>
              </w:rPr>
              <w:fldChar w:fldCharType="end"/>
            </w:r>
          </w:hyperlink>
        </w:p>
        <w:p w:rsidR="00E06712" w:rsidRDefault="00E06712">
          <w:pPr>
            <w:pStyle w:val="TOC1"/>
            <w:tabs>
              <w:tab w:val="right" w:leader="dot" w:pos="9038"/>
            </w:tabs>
            <w:rPr>
              <w:rFonts w:asciiTheme="minorHAnsi" w:eastAsiaTheme="minorEastAsia" w:hAnsiTheme="minorHAnsi" w:cstheme="minorBidi"/>
              <w:b w:val="0"/>
              <w:noProof/>
              <w:szCs w:val="22"/>
              <w:lang w:eastAsia="en-GB"/>
            </w:rPr>
          </w:pPr>
          <w:hyperlink w:anchor="_Toc37319380" w:history="1">
            <w:r w:rsidRPr="008E639D">
              <w:rPr>
                <w:rStyle w:val="Hyperlink"/>
                <w:noProof/>
              </w:rPr>
              <w:t>SECTION 10(1) IS CONSTITUTIONALLY MANDATED</w:t>
            </w:r>
            <w:r>
              <w:rPr>
                <w:noProof/>
                <w:webHidden/>
              </w:rPr>
              <w:tab/>
            </w:r>
            <w:r>
              <w:rPr>
                <w:noProof/>
                <w:webHidden/>
              </w:rPr>
              <w:fldChar w:fldCharType="begin"/>
            </w:r>
            <w:r>
              <w:rPr>
                <w:noProof/>
                <w:webHidden/>
              </w:rPr>
              <w:instrText xml:space="preserve"> PAGEREF _Toc37319380 \h </w:instrText>
            </w:r>
            <w:r>
              <w:rPr>
                <w:noProof/>
                <w:webHidden/>
              </w:rPr>
            </w:r>
            <w:r>
              <w:rPr>
                <w:noProof/>
                <w:webHidden/>
              </w:rPr>
              <w:fldChar w:fldCharType="separate"/>
            </w:r>
            <w:r>
              <w:rPr>
                <w:noProof/>
                <w:webHidden/>
              </w:rPr>
              <w:t>9</w:t>
            </w:r>
            <w:r>
              <w:rPr>
                <w:noProof/>
                <w:webHidden/>
              </w:rPr>
              <w:fldChar w:fldCharType="end"/>
            </w:r>
          </w:hyperlink>
        </w:p>
        <w:p w:rsidR="00E06712" w:rsidRDefault="00E06712">
          <w:pPr>
            <w:pStyle w:val="TOC1"/>
            <w:tabs>
              <w:tab w:val="right" w:leader="dot" w:pos="9038"/>
            </w:tabs>
            <w:rPr>
              <w:rFonts w:asciiTheme="minorHAnsi" w:eastAsiaTheme="minorEastAsia" w:hAnsiTheme="minorHAnsi" w:cstheme="minorBidi"/>
              <w:b w:val="0"/>
              <w:noProof/>
              <w:szCs w:val="22"/>
              <w:lang w:eastAsia="en-GB"/>
            </w:rPr>
          </w:pPr>
          <w:hyperlink w:anchor="_Toc37319381" w:history="1">
            <w:r w:rsidRPr="008E639D">
              <w:rPr>
                <w:rStyle w:val="Hyperlink"/>
                <w:noProof/>
              </w:rPr>
              <w:t>BALANCING EQUALITY AND FREEDOM OF EXPRESSION</w:t>
            </w:r>
            <w:r>
              <w:rPr>
                <w:noProof/>
                <w:webHidden/>
              </w:rPr>
              <w:tab/>
            </w:r>
            <w:r>
              <w:rPr>
                <w:noProof/>
                <w:webHidden/>
              </w:rPr>
              <w:fldChar w:fldCharType="begin"/>
            </w:r>
            <w:r>
              <w:rPr>
                <w:noProof/>
                <w:webHidden/>
              </w:rPr>
              <w:instrText xml:space="preserve"> PAGEREF _Toc37319381 \h </w:instrText>
            </w:r>
            <w:r>
              <w:rPr>
                <w:noProof/>
                <w:webHidden/>
              </w:rPr>
            </w:r>
            <w:r>
              <w:rPr>
                <w:noProof/>
                <w:webHidden/>
              </w:rPr>
              <w:fldChar w:fldCharType="separate"/>
            </w:r>
            <w:r>
              <w:rPr>
                <w:noProof/>
                <w:webHidden/>
              </w:rPr>
              <w:t>9</w:t>
            </w:r>
            <w:r>
              <w:rPr>
                <w:noProof/>
                <w:webHidden/>
              </w:rPr>
              <w:fldChar w:fldCharType="end"/>
            </w:r>
          </w:hyperlink>
        </w:p>
        <w:p w:rsidR="00E06712" w:rsidRDefault="00E06712">
          <w:pPr>
            <w:pStyle w:val="TOC1"/>
            <w:tabs>
              <w:tab w:val="right" w:leader="dot" w:pos="9038"/>
            </w:tabs>
            <w:rPr>
              <w:rFonts w:asciiTheme="minorHAnsi" w:eastAsiaTheme="minorEastAsia" w:hAnsiTheme="minorHAnsi" w:cstheme="minorBidi"/>
              <w:b w:val="0"/>
              <w:noProof/>
              <w:szCs w:val="22"/>
              <w:lang w:eastAsia="en-GB"/>
            </w:rPr>
          </w:pPr>
          <w:hyperlink w:anchor="_Toc37319382" w:history="1">
            <w:r w:rsidRPr="008E639D">
              <w:rPr>
                <w:rStyle w:val="Hyperlink"/>
                <w:noProof/>
              </w:rPr>
              <w:t>JUSTIFICATION ANALYSIS</w:t>
            </w:r>
            <w:r>
              <w:rPr>
                <w:noProof/>
                <w:webHidden/>
              </w:rPr>
              <w:tab/>
            </w:r>
            <w:r>
              <w:rPr>
                <w:noProof/>
                <w:webHidden/>
              </w:rPr>
              <w:fldChar w:fldCharType="begin"/>
            </w:r>
            <w:r>
              <w:rPr>
                <w:noProof/>
                <w:webHidden/>
              </w:rPr>
              <w:instrText xml:space="preserve"> PAGEREF _Toc37319382 \h </w:instrText>
            </w:r>
            <w:r>
              <w:rPr>
                <w:noProof/>
                <w:webHidden/>
              </w:rPr>
            </w:r>
            <w:r>
              <w:rPr>
                <w:noProof/>
                <w:webHidden/>
              </w:rPr>
              <w:fldChar w:fldCharType="separate"/>
            </w:r>
            <w:r>
              <w:rPr>
                <w:noProof/>
                <w:webHidden/>
              </w:rPr>
              <w:t>11</w:t>
            </w:r>
            <w:r>
              <w:rPr>
                <w:noProof/>
                <w:webHidden/>
              </w:rPr>
              <w:fldChar w:fldCharType="end"/>
            </w:r>
          </w:hyperlink>
        </w:p>
        <w:p w:rsidR="00E06712" w:rsidRDefault="00E06712">
          <w:pPr>
            <w:pStyle w:val="TOC1"/>
            <w:tabs>
              <w:tab w:val="right" w:leader="dot" w:pos="9038"/>
            </w:tabs>
            <w:rPr>
              <w:rFonts w:asciiTheme="minorHAnsi" w:eastAsiaTheme="minorEastAsia" w:hAnsiTheme="minorHAnsi" w:cstheme="minorBidi"/>
              <w:b w:val="0"/>
              <w:noProof/>
              <w:szCs w:val="22"/>
              <w:lang w:eastAsia="en-GB"/>
            </w:rPr>
          </w:pPr>
          <w:hyperlink w:anchor="_Toc37319383" w:history="1">
            <w:r w:rsidRPr="008E639D">
              <w:rPr>
                <w:rStyle w:val="Hyperlink"/>
                <w:noProof/>
              </w:rPr>
              <w:t>REMEDY</w:t>
            </w:r>
            <w:r>
              <w:rPr>
                <w:noProof/>
                <w:webHidden/>
              </w:rPr>
              <w:tab/>
            </w:r>
            <w:r>
              <w:rPr>
                <w:noProof/>
                <w:webHidden/>
              </w:rPr>
              <w:fldChar w:fldCharType="begin"/>
            </w:r>
            <w:r>
              <w:rPr>
                <w:noProof/>
                <w:webHidden/>
              </w:rPr>
              <w:instrText xml:space="preserve"> PAGEREF _Toc37319383 \h </w:instrText>
            </w:r>
            <w:r>
              <w:rPr>
                <w:noProof/>
                <w:webHidden/>
              </w:rPr>
            </w:r>
            <w:r>
              <w:rPr>
                <w:noProof/>
                <w:webHidden/>
              </w:rPr>
              <w:fldChar w:fldCharType="separate"/>
            </w:r>
            <w:r>
              <w:rPr>
                <w:noProof/>
                <w:webHidden/>
              </w:rPr>
              <w:t>13</w:t>
            </w:r>
            <w:r>
              <w:rPr>
                <w:noProof/>
                <w:webHidden/>
              </w:rPr>
              <w:fldChar w:fldCharType="end"/>
            </w:r>
          </w:hyperlink>
        </w:p>
        <w:p w:rsidR="00E06712" w:rsidRDefault="00E06712">
          <w:pPr>
            <w:pStyle w:val="TOC1"/>
            <w:tabs>
              <w:tab w:val="right" w:leader="dot" w:pos="9038"/>
            </w:tabs>
            <w:rPr>
              <w:rFonts w:asciiTheme="minorHAnsi" w:eastAsiaTheme="minorEastAsia" w:hAnsiTheme="minorHAnsi" w:cstheme="minorBidi"/>
              <w:b w:val="0"/>
              <w:noProof/>
              <w:szCs w:val="22"/>
              <w:lang w:eastAsia="en-GB"/>
            </w:rPr>
          </w:pPr>
          <w:hyperlink w:anchor="_Toc37319384" w:history="1">
            <w:r w:rsidRPr="008E639D">
              <w:rPr>
                <w:rStyle w:val="Hyperlink"/>
                <w:noProof/>
              </w:rPr>
              <w:t xml:space="preserve">THE IMPLICATIONS FOR </w:t>
            </w:r>
            <w:r w:rsidRPr="008E639D">
              <w:rPr>
                <w:rStyle w:val="Hyperlink"/>
                <w:i/>
                <w:noProof/>
              </w:rPr>
              <w:t>MASUKU</w:t>
            </w:r>
            <w:r>
              <w:rPr>
                <w:noProof/>
                <w:webHidden/>
              </w:rPr>
              <w:tab/>
            </w:r>
            <w:r>
              <w:rPr>
                <w:noProof/>
                <w:webHidden/>
              </w:rPr>
              <w:fldChar w:fldCharType="begin"/>
            </w:r>
            <w:r>
              <w:rPr>
                <w:noProof/>
                <w:webHidden/>
              </w:rPr>
              <w:instrText xml:space="preserve"> PAGEREF _Toc37319384 \h </w:instrText>
            </w:r>
            <w:r>
              <w:rPr>
                <w:noProof/>
                <w:webHidden/>
              </w:rPr>
            </w:r>
            <w:r>
              <w:rPr>
                <w:noProof/>
                <w:webHidden/>
              </w:rPr>
              <w:fldChar w:fldCharType="separate"/>
            </w:r>
            <w:r>
              <w:rPr>
                <w:noProof/>
                <w:webHidden/>
              </w:rPr>
              <w:t>17</w:t>
            </w:r>
            <w:r>
              <w:rPr>
                <w:noProof/>
                <w:webHidden/>
              </w:rPr>
              <w:fldChar w:fldCharType="end"/>
            </w:r>
          </w:hyperlink>
        </w:p>
        <w:p w:rsidR="00E06712" w:rsidRDefault="00E06712">
          <w:pPr>
            <w:pStyle w:val="TOC1"/>
            <w:tabs>
              <w:tab w:val="right" w:leader="dot" w:pos="9038"/>
            </w:tabs>
            <w:rPr>
              <w:rFonts w:asciiTheme="minorHAnsi" w:eastAsiaTheme="minorEastAsia" w:hAnsiTheme="minorHAnsi" w:cstheme="minorBidi"/>
              <w:b w:val="0"/>
              <w:noProof/>
              <w:szCs w:val="22"/>
              <w:lang w:eastAsia="en-GB"/>
            </w:rPr>
          </w:pPr>
          <w:hyperlink w:anchor="_Toc37319385" w:history="1">
            <w:r w:rsidRPr="008E639D">
              <w:rPr>
                <w:rStyle w:val="Hyperlink"/>
                <w:noProof/>
              </w:rPr>
              <w:t>CONCLUSION</w:t>
            </w:r>
            <w:r>
              <w:rPr>
                <w:noProof/>
                <w:webHidden/>
              </w:rPr>
              <w:tab/>
            </w:r>
            <w:r>
              <w:rPr>
                <w:noProof/>
                <w:webHidden/>
              </w:rPr>
              <w:fldChar w:fldCharType="begin"/>
            </w:r>
            <w:r>
              <w:rPr>
                <w:noProof/>
                <w:webHidden/>
              </w:rPr>
              <w:instrText xml:space="preserve"> PAGEREF _Toc37319385 \h </w:instrText>
            </w:r>
            <w:r>
              <w:rPr>
                <w:noProof/>
                <w:webHidden/>
              </w:rPr>
            </w:r>
            <w:r>
              <w:rPr>
                <w:noProof/>
                <w:webHidden/>
              </w:rPr>
              <w:fldChar w:fldCharType="separate"/>
            </w:r>
            <w:r>
              <w:rPr>
                <w:noProof/>
                <w:webHidden/>
              </w:rPr>
              <w:t>18</w:t>
            </w:r>
            <w:r>
              <w:rPr>
                <w:noProof/>
                <w:webHidden/>
              </w:rPr>
              <w:fldChar w:fldCharType="end"/>
            </w:r>
          </w:hyperlink>
        </w:p>
        <w:p w:rsidR="0014433A" w:rsidRDefault="009F4AD0" w:rsidP="009F4AD0">
          <w:pPr>
            <w:rPr>
              <w:rFonts w:cs="Arial"/>
              <w:b/>
              <w:bCs/>
              <w:noProof/>
              <w:szCs w:val="28"/>
            </w:rPr>
          </w:pPr>
          <w:r w:rsidRPr="00E545BC">
            <w:rPr>
              <w:rFonts w:cs="Arial"/>
              <w:b/>
              <w:bCs/>
              <w:noProof/>
              <w:szCs w:val="28"/>
            </w:rPr>
            <w:fldChar w:fldCharType="end"/>
          </w:r>
        </w:p>
        <w:p w:rsidR="0014433A" w:rsidRDefault="0014433A">
          <w:pPr>
            <w:spacing w:before="240"/>
            <w:ind w:left="567" w:hanging="567"/>
            <w:rPr>
              <w:rFonts w:cs="Arial"/>
              <w:b/>
              <w:bCs/>
              <w:noProof/>
              <w:szCs w:val="28"/>
            </w:rPr>
          </w:pPr>
          <w:r>
            <w:rPr>
              <w:rFonts w:cs="Arial"/>
              <w:b/>
              <w:bCs/>
              <w:noProof/>
              <w:szCs w:val="28"/>
            </w:rPr>
            <w:br w:type="page"/>
          </w:r>
          <w:bookmarkStart w:id="0" w:name="_GoBack"/>
          <w:bookmarkEnd w:id="0"/>
        </w:p>
        <w:p w:rsidR="0014433A" w:rsidRDefault="00E06712" w:rsidP="0014433A">
          <w:pPr>
            <w:rPr>
              <w:b/>
              <w:bCs/>
              <w:noProof/>
            </w:rPr>
          </w:pPr>
        </w:p>
      </w:sdtContent>
    </w:sdt>
    <w:p w:rsidR="009F4AD0" w:rsidRPr="003B556B" w:rsidRDefault="009F4AD0" w:rsidP="009F4AD0">
      <w:pPr>
        <w:pStyle w:val="Heading1"/>
      </w:pPr>
      <w:bookmarkStart w:id="1" w:name="_Toc37319375"/>
      <w:r w:rsidRPr="003B556B">
        <w:t>INTRODUCTION</w:t>
      </w:r>
      <w:bookmarkEnd w:id="1"/>
    </w:p>
    <w:p w:rsidR="00D1000E" w:rsidRDefault="00EF39E7" w:rsidP="00D1000E">
      <w:pPr>
        <w:pStyle w:val="1"/>
        <w:numPr>
          <w:ilvl w:val="0"/>
          <w:numId w:val="1"/>
        </w:numPr>
        <w:tabs>
          <w:tab w:val="clear" w:pos="567"/>
        </w:tabs>
        <w:ind w:left="0"/>
      </w:pPr>
      <w:r>
        <w:t>Chapter 2 of t</w:t>
      </w:r>
      <w:r w:rsidR="00D1000E">
        <w:t>he Equality Act</w:t>
      </w:r>
      <w:r w:rsidR="00D96DBA">
        <w:rPr>
          <w:rStyle w:val="FootnoteReference"/>
        </w:rPr>
        <w:footnoteReference w:id="1"/>
      </w:r>
      <w:r w:rsidR="00D1000E">
        <w:t xml:space="preserve"> is the product of the mandatory injunction in s</w:t>
      </w:r>
      <w:r w:rsidR="001E265F">
        <w:t>ection</w:t>
      </w:r>
      <w:r w:rsidR="00D1000E">
        <w:t xml:space="preserve"> 9(4) of the Constitution that “[n]</w:t>
      </w:r>
      <w:proofErr w:type="spellStart"/>
      <w:r w:rsidR="00D1000E" w:rsidRPr="00B972C8">
        <w:t>ational</w:t>
      </w:r>
      <w:proofErr w:type="spellEnd"/>
      <w:r w:rsidR="00D1000E" w:rsidRPr="00B972C8">
        <w:t xml:space="preserve"> legislation must be enacted to prevent or prohibit unfair discrimination</w:t>
      </w:r>
      <w:r w:rsidR="00D1000E">
        <w:t>”</w:t>
      </w:r>
      <w:r w:rsidR="00D1000E" w:rsidRPr="00B972C8">
        <w:t>.</w:t>
      </w:r>
      <w:r w:rsidR="00D1000E">
        <w:t xml:space="preserve">  Section 10(1)</w:t>
      </w:r>
      <w:r w:rsidR="00D1000E" w:rsidRPr="007E0C62">
        <w:t xml:space="preserve"> </w:t>
      </w:r>
      <w:r w:rsidR="00D1000E">
        <w:t xml:space="preserve">is the </w:t>
      </w:r>
      <w:r>
        <w:t xml:space="preserve">chapter’s </w:t>
      </w:r>
      <w:r w:rsidR="00D1000E">
        <w:t>primary mechanism to prevent or prohibit unfair discrimination caused by speech.</w:t>
      </w:r>
    </w:p>
    <w:p w:rsidR="0053026E" w:rsidRDefault="006E4FA9" w:rsidP="009F4AD0">
      <w:pPr>
        <w:pStyle w:val="1"/>
        <w:numPr>
          <w:ilvl w:val="0"/>
          <w:numId w:val="1"/>
        </w:numPr>
        <w:tabs>
          <w:tab w:val="clear" w:pos="567"/>
        </w:tabs>
        <w:ind w:left="0"/>
      </w:pPr>
      <w:r>
        <w:t xml:space="preserve">The </w:t>
      </w:r>
      <w:r w:rsidR="00D1000E">
        <w:t>principal</w:t>
      </w:r>
      <w:r>
        <w:t xml:space="preserve"> legal question in this case is whether s 10(1) of the Equality Act finds the balance between </w:t>
      </w:r>
      <w:r w:rsidR="00B972C8">
        <w:t xml:space="preserve">rights – </w:t>
      </w:r>
      <w:r>
        <w:t>equality</w:t>
      </w:r>
      <w:r w:rsidR="00B972C8">
        <w:t xml:space="preserve"> and dignity</w:t>
      </w:r>
      <w:r w:rsidR="00D96DBA">
        <w:t>,</w:t>
      </w:r>
      <w:r w:rsidR="00B972C8">
        <w:t xml:space="preserve"> on the one hand</w:t>
      </w:r>
      <w:r w:rsidR="00D96DBA">
        <w:t>,</w:t>
      </w:r>
      <w:r>
        <w:t xml:space="preserve"> and freedom of expression</w:t>
      </w:r>
      <w:r w:rsidR="00D96DBA">
        <w:t>,</w:t>
      </w:r>
      <w:r w:rsidR="00B972C8">
        <w:t xml:space="preserve"> on the other –</w:t>
      </w:r>
      <w:r>
        <w:t xml:space="preserve"> in a constitutionally permissible manner. </w:t>
      </w:r>
      <w:r w:rsidR="00D96DBA">
        <w:t xml:space="preserve"> </w:t>
      </w:r>
      <w:r>
        <w:t xml:space="preserve">Accordingly, this case </w:t>
      </w:r>
      <w:r w:rsidR="00B972C8">
        <w:t>does</w:t>
      </w:r>
      <w:r w:rsidR="00877DA3">
        <w:t xml:space="preserve"> not</w:t>
      </w:r>
      <w:r w:rsidR="004933C7">
        <w:t xml:space="preserve"> merely</w:t>
      </w:r>
      <w:r w:rsidR="00B972C8">
        <w:t xml:space="preserve"> </w:t>
      </w:r>
      <w:r w:rsidR="00D1000E">
        <w:t>call for an</w:t>
      </w:r>
      <w:r w:rsidR="00B972C8">
        <w:t xml:space="preserve"> </w:t>
      </w:r>
      <w:r w:rsidR="00D1000E">
        <w:t>analysis of the extent to which s 10(1) limits</w:t>
      </w:r>
      <w:r>
        <w:t xml:space="preserve"> the</w:t>
      </w:r>
      <w:r w:rsidR="00877DA3">
        <w:t xml:space="preserve"> right to freedom of expression.</w:t>
      </w:r>
      <w:r>
        <w:t xml:space="preserve"> </w:t>
      </w:r>
      <w:r w:rsidR="00877DA3">
        <w:t xml:space="preserve"> R</w:t>
      </w:r>
      <w:r w:rsidR="00D1000E">
        <w:t xml:space="preserve">ather, </w:t>
      </w:r>
      <w:r>
        <w:t xml:space="preserve">it </w:t>
      </w:r>
      <w:r w:rsidR="00D1000E">
        <w:t xml:space="preserve">concerns </w:t>
      </w:r>
      <w:r w:rsidR="00877DA3">
        <w:t>how</w:t>
      </w:r>
      <w:r w:rsidR="00D1000E">
        <w:t xml:space="preserve"> the </w:t>
      </w:r>
      <w:r w:rsidR="00833F87">
        <w:t>l</w:t>
      </w:r>
      <w:r w:rsidR="00D96DBA">
        <w:t xml:space="preserve">egislature </w:t>
      </w:r>
      <w:r w:rsidR="00D1000E">
        <w:t xml:space="preserve">has </w:t>
      </w:r>
      <w:r w:rsidR="00877DA3">
        <w:t>accomplished</w:t>
      </w:r>
      <w:r w:rsidR="00D1000E">
        <w:t xml:space="preserve"> its constitutional mandate – the very purpose of the </w:t>
      </w:r>
      <w:r w:rsidR="00EF0A9F">
        <w:t xml:space="preserve">Equality </w:t>
      </w:r>
      <w:r w:rsidR="00D1000E">
        <w:t>Act – with particular regard to the right to freedom of expression.</w:t>
      </w:r>
    </w:p>
    <w:p w:rsidR="009F4AD0" w:rsidRDefault="0053026E" w:rsidP="00254E19">
      <w:pPr>
        <w:pStyle w:val="1"/>
        <w:numPr>
          <w:ilvl w:val="0"/>
          <w:numId w:val="1"/>
        </w:numPr>
        <w:tabs>
          <w:tab w:val="clear" w:pos="567"/>
        </w:tabs>
        <w:ind w:left="0"/>
      </w:pPr>
      <w:r>
        <w:t xml:space="preserve">The South African Holocaust and Genocide Foundation joins this matter as an </w:t>
      </w:r>
      <w:r w:rsidRPr="0053026E">
        <w:rPr>
          <w:i/>
        </w:rPr>
        <w:t>amicus</w:t>
      </w:r>
      <w:r>
        <w:t>, as it did in</w:t>
      </w:r>
      <w:r w:rsidR="0036366A">
        <w:t xml:space="preserve"> the pending case of</w:t>
      </w:r>
      <w:r>
        <w:t xml:space="preserve"> </w:t>
      </w:r>
      <w:r w:rsidRPr="0053026E">
        <w:rPr>
          <w:i/>
        </w:rPr>
        <w:t>Masuku</w:t>
      </w:r>
      <w:r w:rsidR="0036366A">
        <w:t>.</w:t>
      </w:r>
      <w:r w:rsidR="0036366A">
        <w:rPr>
          <w:rStyle w:val="FootnoteReference"/>
        </w:rPr>
        <w:footnoteReference w:id="2"/>
      </w:r>
      <w:r>
        <w:t xml:space="preserve"> </w:t>
      </w:r>
      <w:r w:rsidR="00D96DBA">
        <w:t xml:space="preserve"> </w:t>
      </w:r>
      <w:r w:rsidR="00254E19">
        <w:t xml:space="preserve">The </w:t>
      </w:r>
      <w:r w:rsidR="009F4AD0">
        <w:t xml:space="preserve">Foundation researches and promotes awareness of, among other things, the genesis of genocide. </w:t>
      </w:r>
      <w:r w:rsidR="00D96DBA">
        <w:t xml:space="preserve"> </w:t>
      </w:r>
      <w:r w:rsidR="009F4AD0">
        <w:t xml:space="preserve">Whether in Germany in the 1930s or Rwanda in the 1990s, genocide always begins with words. </w:t>
      </w:r>
      <w:r w:rsidR="00D96DBA">
        <w:t xml:space="preserve"> </w:t>
      </w:r>
      <w:r w:rsidR="009F4AD0">
        <w:t>Words lay the basis for the persecution of vulnerable groups.</w:t>
      </w:r>
    </w:p>
    <w:p w:rsidR="009F4AD0" w:rsidRDefault="006E4FA9" w:rsidP="005F718D">
      <w:pPr>
        <w:pStyle w:val="1"/>
        <w:numPr>
          <w:ilvl w:val="0"/>
          <w:numId w:val="1"/>
        </w:numPr>
        <w:tabs>
          <w:tab w:val="clear" w:pos="567"/>
        </w:tabs>
        <w:ind w:left="0"/>
      </w:pPr>
      <w:r>
        <w:t xml:space="preserve">Both this case and </w:t>
      </w:r>
      <w:r w:rsidRPr="00A130F3">
        <w:rPr>
          <w:i/>
        </w:rPr>
        <w:t>Masuku</w:t>
      </w:r>
      <w:r>
        <w:t xml:space="preserve"> concern the </w:t>
      </w:r>
      <w:r w:rsidR="005F718D">
        <w:t xml:space="preserve">use of speech in the </w:t>
      </w:r>
      <w:r>
        <w:t>persecution of vulnerable groups</w:t>
      </w:r>
      <w:r w:rsidR="0036366A">
        <w:t xml:space="preserve"> – </w:t>
      </w:r>
      <w:r>
        <w:t xml:space="preserve">the </w:t>
      </w:r>
      <w:proofErr w:type="spellStart"/>
      <w:r>
        <w:t>LGBTI</w:t>
      </w:r>
      <w:proofErr w:type="spellEnd"/>
      <w:r>
        <w:t xml:space="preserve"> </w:t>
      </w:r>
      <w:r w:rsidR="00A130F3">
        <w:t xml:space="preserve">and Jewish communities – and whether s 10(1) prohibits </w:t>
      </w:r>
      <w:r w:rsidR="005F718D">
        <w:t>that speech</w:t>
      </w:r>
      <w:r>
        <w:t xml:space="preserve">. </w:t>
      </w:r>
      <w:r w:rsidR="00D96DBA">
        <w:t xml:space="preserve"> </w:t>
      </w:r>
      <w:r w:rsidR="00A130F3">
        <w:t xml:space="preserve">Since the Court will determine the proper ambit and constitutionality of s 10 of the Equality Act in the present matter, its outcome will impact significantly on </w:t>
      </w:r>
      <w:r w:rsidR="00A130F3" w:rsidRPr="00A130F3">
        <w:rPr>
          <w:i/>
        </w:rPr>
        <w:t>Masuku</w:t>
      </w:r>
      <w:r w:rsidR="00A130F3">
        <w:t xml:space="preserve"> and on </w:t>
      </w:r>
      <w:r w:rsidR="005F718D">
        <w:t>any number of</w:t>
      </w:r>
      <w:r w:rsidR="00A130F3">
        <w:t xml:space="preserve"> pending </w:t>
      </w:r>
      <w:r w:rsidR="005F718D">
        <w:t>(</w:t>
      </w:r>
      <w:r w:rsidR="00A130F3">
        <w:t>and future</w:t>
      </w:r>
      <w:r w:rsidR="005F718D">
        <w:t>)</w:t>
      </w:r>
      <w:r w:rsidR="00A130F3">
        <w:t xml:space="preserve"> hate speech cases.</w:t>
      </w:r>
    </w:p>
    <w:p w:rsidR="009F4AD0" w:rsidRDefault="009F4AD0" w:rsidP="009F4AD0">
      <w:pPr>
        <w:pStyle w:val="1"/>
        <w:numPr>
          <w:ilvl w:val="0"/>
          <w:numId w:val="1"/>
        </w:numPr>
        <w:tabs>
          <w:tab w:val="clear" w:pos="567"/>
        </w:tabs>
        <w:ind w:left="0"/>
      </w:pPr>
      <w:r>
        <w:t xml:space="preserve">We </w:t>
      </w:r>
      <w:r w:rsidR="00B661B7">
        <w:t>make the following submissions</w:t>
      </w:r>
      <w:r>
        <w:t>:</w:t>
      </w:r>
    </w:p>
    <w:p w:rsidR="00094FEA" w:rsidRDefault="00925C35" w:rsidP="004018F0">
      <w:pPr>
        <w:pStyle w:val="2"/>
      </w:pPr>
      <w:r>
        <w:t>P</w:t>
      </w:r>
      <w:r w:rsidR="008534F9">
        <w:t>roperly interpreted,</w:t>
      </w:r>
      <w:r w:rsidR="004018F0">
        <w:t xml:space="preserve"> </w:t>
      </w:r>
      <w:r w:rsidR="004933C7">
        <w:t xml:space="preserve">the prohibition in s 10(1) is mandated and indeed required by s 9(4) of the Constitution. </w:t>
      </w:r>
      <w:r w:rsidR="00D96DBA">
        <w:t xml:space="preserve"> </w:t>
      </w:r>
      <w:r w:rsidR="004933C7">
        <w:t>It accordingly</w:t>
      </w:r>
      <w:r w:rsidR="00A11002">
        <w:t xml:space="preserve"> does not </w:t>
      </w:r>
      <w:r>
        <w:t>affect</w:t>
      </w:r>
      <w:r w:rsidR="00A11002">
        <w:t xml:space="preserve"> speech that enjoys constitutional protection</w:t>
      </w:r>
      <w:r w:rsidR="009D1865">
        <w:t>.</w:t>
      </w:r>
      <w:r w:rsidR="00A73B61">
        <w:t xml:space="preserve"> </w:t>
      </w:r>
      <w:r w:rsidR="00D96DBA">
        <w:t xml:space="preserve"> </w:t>
      </w:r>
      <w:r w:rsidR="00A11002">
        <w:t>The</w:t>
      </w:r>
      <w:r w:rsidR="00DD67D5">
        <w:t xml:space="preserve"> enquiry into the constitutionality of s 10(1) ends there.</w:t>
      </w:r>
    </w:p>
    <w:p w:rsidR="009F4AD0" w:rsidRPr="006D3C53" w:rsidRDefault="00A73B61" w:rsidP="00A75AF7">
      <w:pPr>
        <w:pStyle w:val="2"/>
      </w:pPr>
      <w:r>
        <w:t xml:space="preserve">If, however, </w:t>
      </w:r>
      <w:r w:rsidR="00A11002">
        <w:t>the Court finds that</w:t>
      </w:r>
      <w:r>
        <w:t xml:space="preserve"> s</w:t>
      </w:r>
      <w:r w:rsidR="00A11002">
        <w:t xml:space="preserve"> </w:t>
      </w:r>
      <w:r>
        <w:t xml:space="preserve">10(1) </w:t>
      </w:r>
      <w:r w:rsidR="00A11002">
        <w:t xml:space="preserve">prohibits constitutionally protected </w:t>
      </w:r>
      <w:r w:rsidR="00A11002" w:rsidRPr="00925C35">
        <w:t>speech</w:t>
      </w:r>
      <w:r w:rsidR="00A11002">
        <w:t xml:space="preserve">, it does not follow that the section offends the Constitution, as the </w:t>
      </w:r>
      <w:r w:rsidR="00833F87">
        <w:t>l</w:t>
      </w:r>
      <w:r w:rsidR="00D96DBA">
        <w:t xml:space="preserve">egislature </w:t>
      </w:r>
      <w:r>
        <w:t>may limit the right to freedom of expression</w:t>
      </w:r>
      <w:r w:rsidR="00A11002">
        <w:t xml:space="preserve"> within </w:t>
      </w:r>
      <w:r w:rsidR="00A75AF7">
        <w:t>c</w:t>
      </w:r>
      <w:r w:rsidR="00A11002">
        <w:t>onstitution</w:t>
      </w:r>
      <w:r w:rsidR="00A75AF7">
        <w:t>al bounds</w:t>
      </w:r>
      <w:r w:rsidR="00A11002">
        <w:t xml:space="preserve">.  </w:t>
      </w:r>
      <w:r w:rsidR="00925C35">
        <w:t>The</w:t>
      </w:r>
      <w:r w:rsidR="00A75AF7">
        <w:t xml:space="preserve"> question </w:t>
      </w:r>
      <w:r w:rsidR="00925C35">
        <w:t>then is whether P</w:t>
      </w:r>
      <w:r w:rsidR="00A75AF7">
        <w:t xml:space="preserve">arliament has found </w:t>
      </w:r>
      <w:r w:rsidR="00A11002">
        <w:t>an appropriate balance between the competing rights of dignity and equality on the one hand and freedom of expression on the other.</w:t>
      </w:r>
      <w:r w:rsidR="00A75AF7">
        <w:t xml:space="preserve">  We submit, particularly in the light of Parliament’s considerable latitude in this regard, </w:t>
      </w:r>
      <w:r w:rsidR="00925C35">
        <w:t>that it has</w:t>
      </w:r>
      <w:r w:rsidR="00A75AF7">
        <w:t xml:space="preserve"> so.</w:t>
      </w:r>
    </w:p>
    <w:p w:rsidR="00A75AF7" w:rsidRDefault="00A75AF7" w:rsidP="00562762">
      <w:pPr>
        <w:pStyle w:val="2"/>
      </w:pPr>
      <w:r>
        <w:t>If, however, the Court finds that s 10(1) infringes s 16(1) of the Constitution, then</w:t>
      </w:r>
      <w:r w:rsidR="00925C35">
        <w:t xml:space="preserve"> we submit that</w:t>
      </w:r>
      <w:r>
        <w:t xml:space="preserve"> the infringement </w:t>
      </w:r>
      <w:r w:rsidR="00925C35">
        <w:t>is</w:t>
      </w:r>
      <w:r>
        <w:t xml:space="preserve"> justified in terms of</w:t>
      </w:r>
      <w:r w:rsidR="00925C35">
        <w:t xml:space="preserve"> a</w:t>
      </w:r>
      <w:r>
        <w:t xml:space="preserve"> limitation</w:t>
      </w:r>
      <w:r w:rsidR="00925C35">
        <w:t>s</w:t>
      </w:r>
      <w:r>
        <w:t xml:space="preserve"> analysis.</w:t>
      </w:r>
    </w:p>
    <w:p w:rsidR="00877DA3" w:rsidRDefault="002E21B5" w:rsidP="00F9691E">
      <w:pPr>
        <w:pStyle w:val="2"/>
      </w:pPr>
      <w:r>
        <w:t>If</w:t>
      </w:r>
      <w:r w:rsidR="00925C35">
        <w:t xml:space="preserve"> n</w:t>
      </w:r>
      <w:r w:rsidR="00F9691E">
        <w:t xml:space="preserve">one of these arguments succeed </w:t>
      </w:r>
      <w:r w:rsidR="00925C35">
        <w:t>and the</w:t>
      </w:r>
      <w:r w:rsidR="00A75AF7">
        <w:t xml:space="preserve"> Court </w:t>
      </w:r>
      <w:r w:rsidR="00925C35">
        <w:t>declares s</w:t>
      </w:r>
      <w:r w:rsidR="00A75AF7">
        <w:t xml:space="preserve"> </w:t>
      </w:r>
      <w:r w:rsidR="009F4AD0">
        <w:t xml:space="preserve">10(1) invalid, </w:t>
      </w:r>
      <w:r w:rsidR="00A75AF7">
        <w:t xml:space="preserve">we submit that </w:t>
      </w:r>
      <w:r w:rsidR="009F4AD0">
        <w:t>it would be just and equitable to suspend the declaration of invalidity for a period, coupled with an interim reading-in</w:t>
      </w:r>
      <w:r w:rsidR="00F9691E">
        <w:t xml:space="preserve"> of a provision that prohibits expression</w:t>
      </w:r>
      <w:r w:rsidR="00877DA3">
        <w:t xml:space="preserve"> that does not enjoy constitutional protection</w:t>
      </w:r>
      <w:r w:rsidR="009F4AD0">
        <w:t xml:space="preserve">. </w:t>
      </w:r>
      <w:r w:rsidR="00925C35">
        <w:t>Without such an order, the Court would leave a</w:t>
      </w:r>
      <w:r>
        <w:t>n impermissible</w:t>
      </w:r>
      <w:r w:rsidR="00925C35">
        <w:t xml:space="preserve"> constitutional lacuna with regard to any number of pending and future cases</w:t>
      </w:r>
      <w:r w:rsidR="00F9691E">
        <w:t xml:space="preserve">, including Mr </w:t>
      </w:r>
      <w:proofErr w:type="spellStart"/>
      <w:r w:rsidR="00F9691E">
        <w:t>Qwelane’s</w:t>
      </w:r>
      <w:proofErr w:type="spellEnd"/>
      <w:r w:rsidR="00925C35">
        <w:t>.</w:t>
      </w:r>
    </w:p>
    <w:p w:rsidR="00925C35" w:rsidRDefault="00877DA3" w:rsidP="00F9691E">
      <w:pPr>
        <w:pStyle w:val="2"/>
      </w:pPr>
      <w:r>
        <w:t xml:space="preserve">Finally, we submit that the </w:t>
      </w:r>
      <w:r w:rsidR="00F9691E">
        <w:t>case against Mr Masuku</w:t>
      </w:r>
      <w:r>
        <w:t xml:space="preserve"> </w:t>
      </w:r>
      <w:r w:rsidR="00F9691E">
        <w:t xml:space="preserve">remains intact </w:t>
      </w:r>
      <w:r>
        <w:t>even if this Court does not uphold the appeal.</w:t>
      </w:r>
    </w:p>
    <w:p w:rsidR="004A1E77" w:rsidRPr="00D73FF9" w:rsidRDefault="007F0A21" w:rsidP="00877DA3">
      <w:pPr>
        <w:pStyle w:val="Heading1"/>
      </w:pPr>
      <w:bookmarkStart w:id="2" w:name="_Toc37319376"/>
      <w:r w:rsidRPr="00D73FF9">
        <w:t>SECTION</w:t>
      </w:r>
      <w:r w:rsidR="00056C32" w:rsidRPr="00D73FF9">
        <w:t xml:space="preserve"> </w:t>
      </w:r>
      <w:r w:rsidRPr="00D73FF9">
        <w:t xml:space="preserve">10(1) </w:t>
      </w:r>
      <w:r w:rsidR="00D73FF9">
        <w:t>OF THE EQUALITY ACT</w:t>
      </w:r>
      <w:bookmarkEnd w:id="2"/>
    </w:p>
    <w:p w:rsidR="00A760D7" w:rsidRPr="00E80E2C" w:rsidRDefault="00A760D7" w:rsidP="00877DA3">
      <w:pPr>
        <w:pStyle w:val="1"/>
        <w:keepNext/>
        <w:numPr>
          <w:ilvl w:val="0"/>
          <w:numId w:val="1"/>
        </w:numPr>
        <w:tabs>
          <w:tab w:val="clear" w:pos="567"/>
        </w:tabs>
        <w:spacing w:line="240" w:lineRule="auto"/>
        <w:ind w:left="0"/>
      </w:pPr>
      <w:r w:rsidRPr="00E80E2C">
        <w:t>Section 10 (1) reads:</w:t>
      </w:r>
    </w:p>
    <w:p w:rsidR="00A760D7" w:rsidRPr="00E4673A" w:rsidRDefault="00A760D7" w:rsidP="00871C3C">
      <w:pPr>
        <w:pStyle w:val="Quote"/>
      </w:pPr>
      <w:r w:rsidRPr="00E4673A">
        <w:t>“Subject to the proviso in section 12, no person may publish, propagate, advocate or communicate words based on one or more of the prohibited grounds,</w:t>
      </w:r>
      <w:r w:rsidRPr="00E4673A">
        <w:rPr>
          <w:rStyle w:val="FootnoteReference"/>
          <w:szCs w:val="24"/>
        </w:rPr>
        <w:footnoteReference w:id="3"/>
      </w:r>
      <w:r w:rsidRPr="00E4673A">
        <w:t xml:space="preserve"> against any person, that could reasonably be construed to demonstrate a clear intention to</w:t>
      </w:r>
      <w:r w:rsidR="00581004">
        <w:rPr>
          <w:rFonts w:cs="Arial"/>
        </w:rPr>
        <w:t>—</w:t>
      </w:r>
    </w:p>
    <w:p w:rsidR="00A760D7" w:rsidRPr="00E4673A" w:rsidRDefault="00A760D7" w:rsidP="00871C3C">
      <w:pPr>
        <w:pStyle w:val="Quote"/>
      </w:pPr>
      <w:r w:rsidRPr="00E4673A">
        <w:t>(a) be hurtful;</w:t>
      </w:r>
    </w:p>
    <w:p w:rsidR="00A760D7" w:rsidRPr="00E4673A" w:rsidRDefault="00A760D7" w:rsidP="00871C3C">
      <w:pPr>
        <w:pStyle w:val="Quote"/>
      </w:pPr>
      <w:r w:rsidRPr="00E4673A">
        <w:t>(b) be harmful or to incite harm;</w:t>
      </w:r>
    </w:p>
    <w:p w:rsidR="00A760D7" w:rsidRPr="00E4673A" w:rsidRDefault="00A760D7" w:rsidP="00871C3C">
      <w:pPr>
        <w:pStyle w:val="Quote"/>
        <w:rPr>
          <w:sz w:val="20"/>
          <w:szCs w:val="20"/>
        </w:rPr>
      </w:pPr>
      <w:r w:rsidRPr="00E4673A">
        <w:t>(c) promote or propagate hatred.”</w:t>
      </w:r>
    </w:p>
    <w:p w:rsidR="00D73FF9" w:rsidRPr="00D73FF9" w:rsidRDefault="00D73FF9" w:rsidP="00871C3C">
      <w:pPr>
        <w:pStyle w:val="1"/>
        <w:widowControl w:val="0"/>
        <w:numPr>
          <w:ilvl w:val="0"/>
          <w:numId w:val="0"/>
        </w:numPr>
        <w:rPr>
          <w:b/>
        </w:rPr>
      </w:pPr>
      <w:r w:rsidRPr="00D73FF9">
        <w:rPr>
          <w:b/>
        </w:rPr>
        <w:t>Constitutional Context</w:t>
      </w:r>
    </w:p>
    <w:p w:rsidR="00AC55AC" w:rsidRPr="009645DD" w:rsidRDefault="004A1E77" w:rsidP="00871C3C">
      <w:pPr>
        <w:pStyle w:val="1"/>
        <w:widowControl w:val="0"/>
        <w:numPr>
          <w:ilvl w:val="0"/>
          <w:numId w:val="1"/>
        </w:numPr>
        <w:tabs>
          <w:tab w:val="clear" w:pos="567"/>
        </w:tabs>
        <w:ind w:left="0"/>
      </w:pPr>
      <w:r w:rsidRPr="009645DD">
        <w:t>The Equality Act is the mean</w:t>
      </w:r>
      <w:r w:rsidR="00E9739D" w:rsidRPr="009645DD">
        <w:t xml:space="preserve">s by which </w:t>
      </w:r>
      <w:r w:rsidR="00771A6C" w:rsidRPr="009645DD">
        <w:t>P</w:t>
      </w:r>
      <w:r w:rsidRPr="009645DD">
        <w:t xml:space="preserve">arliament </w:t>
      </w:r>
      <w:r w:rsidR="004249D5">
        <w:t>pursued</w:t>
      </w:r>
      <w:r w:rsidRPr="009645DD">
        <w:t xml:space="preserve"> its constitutional mandate </w:t>
      </w:r>
      <w:r w:rsidR="004933C7">
        <w:t>and duty</w:t>
      </w:r>
      <w:r w:rsidR="004249D5">
        <w:t xml:space="preserve"> to “</w:t>
      </w:r>
      <w:r w:rsidR="004249D5" w:rsidRPr="004249D5">
        <w:t>prevent or prohibit unfair discrimination</w:t>
      </w:r>
      <w:r w:rsidR="004249D5">
        <w:t>”</w:t>
      </w:r>
      <w:r w:rsidR="009645DD">
        <w:rPr>
          <w:rStyle w:val="FootnoteReference"/>
        </w:rPr>
        <w:footnoteReference w:id="4"/>
      </w:r>
      <w:r w:rsidRPr="009645DD">
        <w:t xml:space="preserve"> and to </w:t>
      </w:r>
      <w:r w:rsidR="004933C7">
        <w:t xml:space="preserve">promote and </w:t>
      </w:r>
      <w:r w:rsidR="00581004">
        <w:t>fulfil</w:t>
      </w:r>
      <w:r w:rsidR="004933C7">
        <w:t xml:space="preserve"> </w:t>
      </w:r>
      <w:r w:rsidRPr="009645DD">
        <w:t>the right to human dignity enshrined in s 10.</w:t>
      </w:r>
    </w:p>
    <w:p w:rsidR="004A1E77" w:rsidRPr="00FE441C" w:rsidRDefault="004249D5" w:rsidP="00FE441C">
      <w:pPr>
        <w:pStyle w:val="1"/>
        <w:numPr>
          <w:ilvl w:val="0"/>
          <w:numId w:val="1"/>
        </w:numPr>
        <w:tabs>
          <w:tab w:val="clear" w:pos="567"/>
        </w:tabs>
        <w:ind w:left="0"/>
        <w:rPr>
          <w:lang w:val="en-ZA"/>
        </w:rPr>
      </w:pPr>
      <w:r>
        <w:rPr>
          <w:lang w:val="en-ZA"/>
        </w:rPr>
        <w:t>Since the</w:t>
      </w:r>
      <w:r w:rsidR="00FE441C" w:rsidRPr="00FE441C">
        <w:rPr>
          <w:lang w:val="en-ZA"/>
        </w:rPr>
        <w:t xml:space="preserve"> right</w:t>
      </w:r>
      <w:r w:rsidR="00FE441C">
        <w:rPr>
          <w:lang w:val="en-ZA"/>
        </w:rPr>
        <w:t xml:space="preserve"> to </w:t>
      </w:r>
      <w:r>
        <w:rPr>
          <w:lang w:val="en-ZA"/>
        </w:rPr>
        <w:t>equality</w:t>
      </w:r>
      <w:r w:rsidR="00FE441C" w:rsidRPr="00FE441C">
        <w:rPr>
          <w:lang w:val="en-ZA"/>
        </w:rPr>
        <w:t xml:space="preserve"> entitles everyone to “</w:t>
      </w:r>
      <w:r w:rsidR="00FE441C" w:rsidRPr="004249D5">
        <w:rPr>
          <w:lang w:val="en-ZA"/>
        </w:rPr>
        <w:t>equal concern and respect across difference</w:t>
      </w:r>
      <w:r>
        <w:rPr>
          <w:lang w:val="en-ZA"/>
        </w:rPr>
        <w:t>”,</w:t>
      </w:r>
      <w:r w:rsidR="00FE441C" w:rsidRPr="00FE441C">
        <w:rPr>
          <w:vertAlign w:val="superscript"/>
          <w:lang w:val="en-ZA"/>
        </w:rPr>
        <w:footnoteReference w:id="5"/>
      </w:r>
      <w:r w:rsidR="00FE441C">
        <w:rPr>
          <w:lang w:val="en-ZA"/>
        </w:rPr>
        <w:t xml:space="preserve"> </w:t>
      </w:r>
      <w:r>
        <w:rPr>
          <w:lang w:val="en-ZA"/>
        </w:rPr>
        <w:t xml:space="preserve">it </w:t>
      </w:r>
      <w:r w:rsidR="00FE441C">
        <w:rPr>
          <w:lang w:val="en-ZA"/>
        </w:rPr>
        <w:t xml:space="preserve">is bound </w:t>
      </w:r>
      <w:r>
        <w:rPr>
          <w:lang w:val="en-ZA"/>
        </w:rPr>
        <w:t>inextricably to</w:t>
      </w:r>
      <w:r w:rsidR="00FE441C">
        <w:rPr>
          <w:lang w:val="en-ZA"/>
        </w:rPr>
        <w:t xml:space="preserve"> the right to dignity</w:t>
      </w:r>
      <w:r>
        <w:rPr>
          <w:lang w:val="en-ZA"/>
        </w:rPr>
        <w:t>.</w:t>
      </w:r>
    </w:p>
    <w:p w:rsidR="004A1E77" w:rsidRPr="009645DD" w:rsidRDefault="004A1E77" w:rsidP="00871C3C">
      <w:pPr>
        <w:pStyle w:val="Quote"/>
      </w:pPr>
      <w:r w:rsidRPr="009645DD">
        <w:t xml:space="preserve">“A constant refrain in our Constitution is that our society aims at the restoration of human dignity because of the many years of oppression and disadvantage. </w:t>
      </w:r>
      <w:r w:rsidR="00581004">
        <w:t xml:space="preserve"> </w:t>
      </w:r>
      <w:r w:rsidRPr="009645DD">
        <w:t xml:space="preserve">While it is not suggested that there is a hierarchy of rights it cannot be gainsaid that dignity occupies a central position. </w:t>
      </w:r>
      <w:r w:rsidR="00581004">
        <w:t xml:space="preserve"> </w:t>
      </w:r>
      <w:r w:rsidRPr="009645DD">
        <w:t xml:space="preserve">After all, that was the whole aim of the struggle against apartheid </w:t>
      </w:r>
      <w:r w:rsidR="00581004">
        <w:t>–</w:t>
      </w:r>
      <w:r w:rsidRPr="009645DD">
        <w:t xml:space="preserve"> the restoration of human dignity, equality and freedom. </w:t>
      </w:r>
      <w:r w:rsidR="00581004">
        <w:t xml:space="preserve"> </w:t>
      </w:r>
      <w:r w:rsidRPr="009645DD">
        <w:t>If human dignity is regarded as foundational in our Constitution, a corollary thereto must be that it must be jealously guarded and protected.”</w:t>
      </w:r>
      <w:r w:rsidRPr="009645DD">
        <w:rPr>
          <w:rStyle w:val="FootnoteReference"/>
          <w:i w:val="0"/>
        </w:rPr>
        <w:footnoteReference w:id="6"/>
      </w:r>
    </w:p>
    <w:p w:rsidR="00AC55AC" w:rsidRPr="00FE441C" w:rsidRDefault="00AC55AC" w:rsidP="00FE441C">
      <w:pPr>
        <w:pStyle w:val="1"/>
        <w:numPr>
          <w:ilvl w:val="0"/>
          <w:numId w:val="1"/>
        </w:numPr>
        <w:tabs>
          <w:tab w:val="clear" w:pos="567"/>
        </w:tabs>
        <w:ind w:left="0"/>
        <w:rPr>
          <w:lang w:val="en-ZA"/>
        </w:rPr>
      </w:pPr>
      <w:r w:rsidRPr="009645DD">
        <w:t>The preamble</w:t>
      </w:r>
      <w:r w:rsidR="004249D5">
        <w:t xml:space="preserve"> to</w:t>
      </w:r>
      <w:r w:rsidR="009645DD">
        <w:t xml:space="preserve"> the</w:t>
      </w:r>
      <w:r w:rsidR="00FF6EC2">
        <w:t xml:space="preserve"> Equality</w:t>
      </w:r>
      <w:r w:rsidR="009645DD">
        <w:t xml:space="preserve"> Act</w:t>
      </w:r>
      <w:r w:rsidRPr="009645DD">
        <w:t xml:space="preserve"> </w:t>
      </w:r>
      <w:r w:rsidR="009645DD">
        <w:rPr>
          <w:lang w:val="en-ZA"/>
        </w:rPr>
        <w:t xml:space="preserve">recognises </w:t>
      </w:r>
      <w:r w:rsidRPr="009645DD">
        <w:rPr>
          <w:lang w:val="en-ZA"/>
        </w:rPr>
        <w:t>that the consolidation of our democracy requires proactive intervention to eradicate social and economic inequalities, especially those that are systemic in nature.</w:t>
      </w:r>
      <w:r w:rsidR="00FE441C">
        <w:rPr>
          <w:lang w:val="en-ZA"/>
        </w:rPr>
        <w:t xml:space="preserve"> </w:t>
      </w:r>
      <w:r w:rsidR="00E752C0">
        <w:rPr>
          <w:lang w:val="en-ZA"/>
        </w:rPr>
        <w:t xml:space="preserve"> </w:t>
      </w:r>
      <w:r w:rsidR="00FE441C">
        <w:rPr>
          <w:lang w:val="en-ZA"/>
        </w:rPr>
        <w:t xml:space="preserve">The </w:t>
      </w:r>
      <w:r w:rsidR="00FF6EC2">
        <w:rPr>
          <w:lang w:val="en-ZA"/>
        </w:rPr>
        <w:t xml:space="preserve">Equality </w:t>
      </w:r>
      <w:r w:rsidR="00FE441C">
        <w:rPr>
          <w:lang w:val="en-ZA"/>
        </w:rPr>
        <w:t xml:space="preserve">Act </w:t>
      </w:r>
      <w:r w:rsidR="00FE441C" w:rsidRPr="00FE441C">
        <w:rPr>
          <w:lang w:val="en-ZA"/>
        </w:rPr>
        <w:t>endeavours to facilitate the transition to a democratic society, united in diversity, marked by human relations that are caring and compassionate, and guided by the principles of equality, fairness, equity, social progress, justice, human dignity and freedom.</w:t>
      </w:r>
    </w:p>
    <w:p w:rsidR="00F15488" w:rsidRPr="00F15488" w:rsidRDefault="00771A6C" w:rsidP="00AC55AC">
      <w:pPr>
        <w:pStyle w:val="1"/>
        <w:numPr>
          <w:ilvl w:val="0"/>
          <w:numId w:val="1"/>
        </w:numPr>
        <w:tabs>
          <w:tab w:val="clear" w:pos="567"/>
        </w:tabs>
        <w:ind w:left="0"/>
        <w:rPr>
          <w:lang w:val="en-ZA"/>
        </w:rPr>
      </w:pPr>
      <w:r w:rsidRPr="009645DD">
        <w:rPr>
          <w:lang w:val="en-ZA"/>
        </w:rPr>
        <w:t>Chapter 2 of the Equality Act</w:t>
      </w:r>
      <w:r w:rsidR="00FE441C">
        <w:rPr>
          <w:lang w:val="en-ZA"/>
        </w:rPr>
        <w:t xml:space="preserve"> fulfils this purpose by</w:t>
      </w:r>
      <w:r w:rsidRPr="009645DD">
        <w:rPr>
          <w:lang w:val="en-ZA"/>
        </w:rPr>
        <w:t xml:space="preserve"> </w:t>
      </w:r>
      <w:r w:rsidR="00FE441C">
        <w:rPr>
          <w:lang w:val="en-ZA"/>
        </w:rPr>
        <w:t>identifying the</w:t>
      </w:r>
      <w:r w:rsidR="00F15488">
        <w:rPr>
          <w:lang w:val="en-ZA"/>
        </w:rPr>
        <w:t xml:space="preserve"> acts and </w:t>
      </w:r>
      <w:r w:rsidRPr="009645DD">
        <w:rPr>
          <w:lang w:val="en-ZA"/>
        </w:rPr>
        <w:t xml:space="preserve">speech that </w:t>
      </w:r>
      <w:r w:rsidR="000D232F">
        <w:rPr>
          <w:lang w:val="en-ZA"/>
        </w:rPr>
        <w:t xml:space="preserve">discriminate against people and demean them for what they are. </w:t>
      </w:r>
      <w:r w:rsidR="00E752C0">
        <w:rPr>
          <w:lang w:val="en-ZA"/>
        </w:rPr>
        <w:t xml:space="preserve"> </w:t>
      </w:r>
      <w:r w:rsidR="000D232F">
        <w:rPr>
          <w:lang w:val="en-ZA"/>
        </w:rPr>
        <w:t>It</w:t>
      </w:r>
      <w:r w:rsidR="00AC55AC" w:rsidRPr="009645DD">
        <w:rPr>
          <w:lang w:val="en-ZA"/>
        </w:rPr>
        <w:t xml:space="preserve"> calls this speech “hate speech”.</w:t>
      </w:r>
      <w:r w:rsidR="00E752C0">
        <w:rPr>
          <w:lang w:val="en-ZA"/>
        </w:rPr>
        <w:t xml:space="preserve"> </w:t>
      </w:r>
      <w:r w:rsidR="00AC55AC" w:rsidRPr="009645DD">
        <w:rPr>
          <w:shd w:val="clear" w:color="auto" w:fill="FFFFFF"/>
          <w:lang w:val="en-ZA"/>
        </w:rPr>
        <w:t xml:space="preserve"> Hate speech </w:t>
      </w:r>
      <w:r w:rsidR="009645DD">
        <w:rPr>
          <w:shd w:val="clear" w:color="auto" w:fill="FFFFFF"/>
          <w:lang w:val="en-ZA"/>
        </w:rPr>
        <w:t>assaults the dignity of those it</w:t>
      </w:r>
      <w:r w:rsidR="00F15488">
        <w:rPr>
          <w:shd w:val="clear" w:color="auto" w:fill="FFFFFF"/>
          <w:lang w:val="en-ZA"/>
        </w:rPr>
        <w:t xml:space="preserve"> targets; it undermines the core of who they are; it characterises them as less </w:t>
      </w:r>
      <w:r w:rsidR="00640061">
        <w:rPr>
          <w:shd w:val="clear" w:color="auto" w:fill="FFFFFF"/>
          <w:lang w:val="en-ZA"/>
        </w:rPr>
        <w:t xml:space="preserve">than </w:t>
      </w:r>
      <w:r w:rsidR="00F15488">
        <w:rPr>
          <w:shd w:val="clear" w:color="auto" w:fill="FFFFFF"/>
          <w:lang w:val="en-ZA"/>
        </w:rPr>
        <w:t>human.</w:t>
      </w:r>
      <w:r w:rsidR="00AC55AC" w:rsidRPr="009645DD">
        <w:rPr>
          <w:shd w:val="clear" w:color="auto" w:fill="FFFFFF"/>
          <w:lang w:val="en-ZA"/>
        </w:rPr>
        <w:t xml:space="preserve"> </w:t>
      </w:r>
      <w:r w:rsidR="00E752C0">
        <w:rPr>
          <w:shd w:val="clear" w:color="auto" w:fill="FFFFFF"/>
          <w:lang w:val="en-ZA"/>
        </w:rPr>
        <w:t xml:space="preserve"> </w:t>
      </w:r>
      <w:r w:rsidR="00AC55AC" w:rsidRPr="009645DD">
        <w:rPr>
          <w:shd w:val="clear" w:color="auto" w:fill="FFFFFF"/>
          <w:lang w:val="en-ZA"/>
        </w:rPr>
        <w:t>H</w:t>
      </w:r>
      <w:r w:rsidR="00AC55AC" w:rsidRPr="009645DD">
        <w:t>ate speech travels beyond mere offensiveness.</w:t>
      </w:r>
      <w:r w:rsidR="00E752C0">
        <w:t xml:space="preserve"> </w:t>
      </w:r>
      <w:r w:rsidR="00AC55AC" w:rsidRPr="009645DD">
        <w:t xml:space="preserve"> It erodes the core of human dignit</w:t>
      </w:r>
      <w:r w:rsidR="00F15488">
        <w:t>y</w:t>
      </w:r>
      <w:r w:rsidR="00AC55AC" w:rsidRPr="009645DD">
        <w:t xml:space="preserve"> and</w:t>
      </w:r>
      <w:r w:rsidR="00F15488">
        <w:t>, in so doing,</w:t>
      </w:r>
      <w:r w:rsidR="00AC55AC" w:rsidRPr="009645DD">
        <w:t xml:space="preserve"> </w:t>
      </w:r>
      <w:r w:rsidR="00F15488">
        <w:t>violates the right to equality of the most vulnerable groups of our society</w:t>
      </w:r>
      <w:r w:rsidR="00AC55AC" w:rsidRPr="009645DD">
        <w:t>.</w:t>
      </w:r>
    </w:p>
    <w:p w:rsidR="00A760D7" w:rsidRPr="00635B96" w:rsidRDefault="00F15488" w:rsidP="00AC55AC">
      <w:pPr>
        <w:pStyle w:val="1"/>
        <w:numPr>
          <w:ilvl w:val="0"/>
          <w:numId w:val="1"/>
        </w:numPr>
        <w:tabs>
          <w:tab w:val="clear" w:pos="567"/>
        </w:tabs>
        <w:ind w:left="0"/>
        <w:rPr>
          <w:rFonts w:cs="Arial"/>
          <w:color w:val="auto"/>
          <w:szCs w:val="24"/>
          <w:shd w:val="clear" w:color="auto" w:fill="FFFFFF"/>
        </w:rPr>
      </w:pPr>
      <w:r>
        <w:rPr>
          <w:rFonts w:cs="Arial"/>
          <w:color w:val="auto"/>
          <w:szCs w:val="24"/>
          <w:shd w:val="clear" w:color="auto" w:fill="FFFFFF"/>
        </w:rPr>
        <w:t xml:space="preserve">In </w:t>
      </w:r>
      <w:r w:rsidRPr="00F15488">
        <w:rPr>
          <w:rFonts w:cs="Arial"/>
          <w:i/>
          <w:color w:val="auto"/>
          <w:szCs w:val="24"/>
          <w:shd w:val="clear" w:color="auto" w:fill="FFFFFF"/>
        </w:rPr>
        <w:t>Masuku</w:t>
      </w:r>
      <w:r>
        <w:rPr>
          <w:rFonts w:cs="Arial"/>
          <w:color w:val="auto"/>
          <w:szCs w:val="24"/>
          <w:shd w:val="clear" w:color="auto" w:fill="FFFFFF"/>
        </w:rPr>
        <w:t xml:space="preserve">, the Foundation adduced expert evidence </w:t>
      </w:r>
      <w:r w:rsidR="00635B96">
        <w:rPr>
          <w:rFonts w:cs="Arial"/>
          <w:color w:val="auto"/>
          <w:szCs w:val="24"/>
          <w:shd w:val="clear" w:color="auto" w:fill="FFFFFF"/>
        </w:rPr>
        <w:t>that explained how hate speech</w:t>
      </w:r>
      <w:r w:rsidR="00635B96">
        <w:t xml:space="preserve"> lays the basis for the persecution of vulnerable groups. </w:t>
      </w:r>
      <w:r w:rsidR="00E752C0">
        <w:t xml:space="preserve"> </w:t>
      </w:r>
      <w:r w:rsidR="00635B96" w:rsidRPr="00635B96">
        <w:t xml:space="preserve">The first stage of genocide is always words. </w:t>
      </w:r>
      <w:r w:rsidR="00E752C0">
        <w:t xml:space="preserve"> </w:t>
      </w:r>
      <w:r w:rsidR="00635B96" w:rsidRPr="00635B96">
        <w:t>Words are used to dehumanise the victim</w:t>
      </w:r>
      <w:r w:rsidR="00635B96">
        <w:t xml:space="preserve"> group </w:t>
      </w:r>
      <w:r w:rsidR="00635B96" w:rsidRPr="00635B96">
        <w:rPr>
          <w:rFonts w:cs="Arial"/>
          <w:color w:val="auto"/>
          <w:szCs w:val="24"/>
          <w:shd w:val="clear" w:color="auto" w:fill="FFFFFF"/>
        </w:rPr>
        <w:t xml:space="preserve">to create an “us and them” polarisation. </w:t>
      </w:r>
      <w:r w:rsidR="00E752C0">
        <w:rPr>
          <w:rFonts w:cs="Arial"/>
          <w:color w:val="auto"/>
          <w:szCs w:val="24"/>
          <w:shd w:val="clear" w:color="auto" w:fill="FFFFFF"/>
        </w:rPr>
        <w:t xml:space="preserve"> </w:t>
      </w:r>
      <w:r w:rsidR="00635B96" w:rsidRPr="00635B96">
        <w:rPr>
          <w:rFonts w:cs="Arial"/>
          <w:color w:val="auto"/>
          <w:szCs w:val="24"/>
          <w:shd w:val="clear" w:color="auto" w:fill="FFFFFF"/>
        </w:rPr>
        <w:t>The “them” become</w:t>
      </w:r>
      <w:r w:rsidR="00E752C0">
        <w:rPr>
          <w:rFonts w:cs="Arial"/>
          <w:color w:val="auto"/>
          <w:szCs w:val="24"/>
          <w:shd w:val="clear" w:color="auto" w:fill="FFFFFF"/>
        </w:rPr>
        <w:t>s</w:t>
      </w:r>
      <w:r w:rsidR="00635B96" w:rsidRPr="00635B96">
        <w:rPr>
          <w:rFonts w:cs="Arial"/>
          <w:color w:val="auto"/>
          <w:szCs w:val="24"/>
          <w:shd w:val="clear" w:color="auto" w:fill="FFFFFF"/>
        </w:rPr>
        <w:t xml:space="preserve"> an acceptable target of violence because leaders have repeatedly described them as less human than the rest of society. </w:t>
      </w:r>
      <w:r w:rsidR="00E752C0">
        <w:rPr>
          <w:rFonts w:cs="Arial"/>
          <w:color w:val="auto"/>
          <w:szCs w:val="24"/>
          <w:shd w:val="clear" w:color="auto" w:fill="FFFFFF"/>
        </w:rPr>
        <w:t xml:space="preserve"> </w:t>
      </w:r>
      <w:r w:rsidR="00635B96" w:rsidRPr="00635B96">
        <w:rPr>
          <w:rFonts w:cs="Arial"/>
          <w:color w:val="auto"/>
          <w:szCs w:val="24"/>
          <w:shd w:val="clear" w:color="auto" w:fill="FFFFFF"/>
        </w:rPr>
        <w:t>Polarisation and dehumanisation are necessary precursors to the violence which follows</w:t>
      </w:r>
      <w:r w:rsidR="00635B96">
        <w:rPr>
          <w:rFonts w:cs="Arial"/>
          <w:color w:val="auto"/>
          <w:szCs w:val="24"/>
          <w:shd w:val="clear" w:color="auto" w:fill="FFFFFF"/>
        </w:rPr>
        <w:t>.</w:t>
      </w:r>
      <w:r w:rsidR="00635B96" w:rsidRPr="00635B96">
        <w:rPr>
          <w:rFonts w:cs="Arial"/>
          <w:color w:val="auto"/>
          <w:szCs w:val="24"/>
          <w:shd w:val="clear" w:color="auto" w:fill="FFFFFF"/>
        </w:rPr>
        <w:t xml:space="preserve"> </w:t>
      </w:r>
    </w:p>
    <w:p w:rsidR="00A760D7" w:rsidRPr="009645DD" w:rsidRDefault="00A760D7" w:rsidP="00E4673A">
      <w:pPr>
        <w:pStyle w:val="Heading2"/>
        <w:rPr>
          <w:i w:val="0"/>
        </w:rPr>
      </w:pPr>
      <w:bookmarkStart w:id="3" w:name="_Toc37319377"/>
      <w:r w:rsidRPr="009645DD">
        <w:rPr>
          <w:i w:val="0"/>
        </w:rPr>
        <w:t xml:space="preserve">The meaning of </w:t>
      </w:r>
      <w:r w:rsidR="00AC55AC" w:rsidRPr="009645DD">
        <w:rPr>
          <w:i w:val="0"/>
        </w:rPr>
        <w:t>“</w:t>
      </w:r>
      <w:r w:rsidRPr="009645DD">
        <w:rPr>
          <w:i w:val="0"/>
        </w:rPr>
        <w:t>hurtful</w:t>
      </w:r>
      <w:r w:rsidR="00AC55AC" w:rsidRPr="009645DD">
        <w:rPr>
          <w:i w:val="0"/>
        </w:rPr>
        <w:t>”</w:t>
      </w:r>
      <w:r w:rsidRPr="009645DD">
        <w:rPr>
          <w:i w:val="0"/>
        </w:rPr>
        <w:t xml:space="preserve"> and </w:t>
      </w:r>
      <w:r w:rsidR="00AC55AC" w:rsidRPr="009645DD">
        <w:rPr>
          <w:i w:val="0"/>
        </w:rPr>
        <w:t>“</w:t>
      </w:r>
      <w:r w:rsidRPr="009645DD">
        <w:rPr>
          <w:i w:val="0"/>
        </w:rPr>
        <w:t>harmful</w:t>
      </w:r>
      <w:r w:rsidR="00AC55AC" w:rsidRPr="009645DD">
        <w:rPr>
          <w:i w:val="0"/>
        </w:rPr>
        <w:t>”</w:t>
      </w:r>
      <w:bookmarkEnd w:id="3"/>
    </w:p>
    <w:p w:rsidR="00762AA9" w:rsidRPr="009645DD" w:rsidRDefault="00AC55AC" w:rsidP="00AC55AC">
      <w:pPr>
        <w:pStyle w:val="1"/>
        <w:numPr>
          <w:ilvl w:val="0"/>
          <w:numId w:val="1"/>
        </w:numPr>
        <w:tabs>
          <w:tab w:val="clear" w:pos="567"/>
        </w:tabs>
        <w:ind w:left="0"/>
      </w:pPr>
      <w:r w:rsidRPr="009645DD">
        <w:rPr>
          <w:lang w:val="en-ZA"/>
        </w:rPr>
        <w:t>The words “hurtful” and “</w:t>
      </w:r>
      <w:r w:rsidR="000D232F">
        <w:rPr>
          <w:lang w:val="en-ZA"/>
        </w:rPr>
        <w:t>harmful</w:t>
      </w:r>
      <w:r w:rsidRPr="009645DD">
        <w:rPr>
          <w:lang w:val="en-ZA"/>
        </w:rPr>
        <w:t xml:space="preserve">” </w:t>
      </w:r>
      <w:r w:rsidR="006215DC">
        <w:rPr>
          <w:lang w:val="en-ZA"/>
        </w:rPr>
        <w:t xml:space="preserve">(in </w:t>
      </w:r>
      <w:proofErr w:type="spellStart"/>
      <w:r w:rsidR="006215DC">
        <w:rPr>
          <w:lang w:val="en-ZA"/>
        </w:rPr>
        <w:t>ss</w:t>
      </w:r>
      <w:proofErr w:type="spellEnd"/>
      <w:r w:rsidR="006215DC">
        <w:rPr>
          <w:lang w:val="en-ZA"/>
        </w:rPr>
        <w:t xml:space="preserve"> 10(1)(a) and (b)) </w:t>
      </w:r>
      <w:r w:rsidRPr="009645DD">
        <w:rPr>
          <w:lang w:val="en-ZA"/>
        </w:rPr>
        <w:t xml:space="preserve">ordinarily carry a wide range of meaning, from </w:t>
      </w:r>
      <w:r w:rsidR="00635B96">
        <w:rPr>
          <w:lang w:val="en-ZA"/>
        </w:rPr>
        <w:t>mere</w:t>
      </w:r>
      <w:r w:rsidR="00D1115C">
        <w:rPr>
          <w:lang w:val="en-ZA"/>
        </w:rPr>
        <w:t>ly</w:t>
      </w:r>
      <w:r w:rsidR="00635B96">
        <w:rPr>
          <w:lang w:val="en-ZA"/>
        </w:rPr>
        <w:t xml:space="preserve"> </w:t>
      </w:r>
      <w:r w:rsidR="00695C86">
        <w:rPr>
          <w:lang w:val="en-ZA"/>
        </w:rPr>
        <w:t>unkind</w:t>
      </w:r>
      <w:r w:rsidR="00635B96">
        <w:rPr>
          <w:lang w:val="en-ZA"/>
        </w:rPr>
        <w:t xml:space="preserve"> and </w:t>
      </w:r>
      <w:r w:rsidR="00695C86">
        <w:rPr>
          <w:lang w:val="en-ZA"/>
        </w:rPr>
        <w:t>spiteful</w:t>
      </w:r>
      <w:r w:rsidRPr="009645DD">
        <w:rPr>
          <w:lang w:val="en-ZA"/>
        </w:rPr>
        <w:t xml:space="preserve"> to </w:t>
      </w:r>
      <w:r w:rsidR="00695C86">
        <w:rPr>
          <w:lang w:val="en-ZA"/>
        </w:rPr>
        <w:t>repulsive and intolerable</w:t>
      </w:r>
      <w:r w:rsidRPr="009645DD">
        <w:rPr>
          <w:lang w:val="en-ZA"/>
        </w:rPr>
        <w:t xml:space="preserve">.  Against the backdrop of the constitutional context and purpose of the </w:t>
      </w:r>
      <w:r w:rsidR="005104C6">
        <w:rPr>
          <w:lang w:val="en-ZA"/>
        </w:rPr>
        <w:t xml:space="preserve">Equality </w:t>
      </w:r>
      <w:r w:rsidRPr="009645DD">
        <w:rPr>
          <w:lang w:val="en-ZA"/>
        </w:rPr>
        <w:t>Act, however, the</w:t>
      </w:r>
      <w:r w:rsidR="00695C86">
        <w:rPr>
          <w:lang w:val="en-ZA"/>
        </w:rPr>
        <w:t>se</w:t>
      </w:r>
      <w:r w:rsidRPr="009645DD">
        <w:rPr>
          <w:lang w:val="en-ZA"/>
        </w:rPr>
        <w:t xml:space="preserve"> words must be understood as referring </w:t>
      </w:r>
      <w:r w:rsidR="00695C86">
        <w:rPr>
          <w:lang w:val="en-ZA"/>
        </w:rPr>
        <w:t xml:space="preserve">only </w:t>
      </w:r>
      <w:r w:rsidRPr="009645DD">
        <w:rPr>
          <w:lang w:val="en-ZA"/>
        </w:rPr>
        <w:t xml:space="preserve">to </w:t>
      </w:r>
      <w:r w:rsidR="00695C86">
        <w:rPr>
          <w:lang w:val="en-ZA"/>
        </w:rPr>
        <w:t xml:space="preserve">the most egregious </w:t>
      </w:r>
      <w:r w:rsidRPr="009645DD">
        <w:rPr>
          <w:lang w:val="en-ZA"/>
        </w:rPr>
        <w:t>speech</w:t>
      </w:r>
      <w:r w:rsidR="00695C86">
        <w:rPr>
          <w:lang w:val="en-ZA"/>
        </w:rPr>
        <w:t>; that which</w:t>
      </w:r>
      <w:r w:rsidRPr="009645DD">
        <w:rPr>
          <w:lang w:val="en-ZA"/>
        </w:rPr>
        <w:t xml:space="preserve"> </w:t>
      </w:r>
      <w:r w:rsidR="00635B96">
        <w:rPr>
          <w:lang w:val="en-ZA"/>
        </w:rPr>
        <w:t xml:space="preserve">erodes the core of human dignity.  This means that s 10(1) targets only speech </w:t>
      </w:r>
      <w:r w:rsidR="00CC079E">
        <w:rPr>
          <w:lang w:val="en-ZA"/>
        </w:rPr>
        <w:t>that</w:t>
      </w:r>
      <w:r w:rsidRPr="009645DD">
        <w:rPr>
          <w:lang w:val="en-ZA"/>
        </w:rPr>
        <w:t xml:space="preserve"> causes severe psychological hurt, that harms </w:t>
      </w:r>
      <w:r w:rsidR="000D232F">
        <w:rPr>
          <w:lang w:val="en-ZA"/>
        </w:rPr>
        <w:t xml:space="preserve">or </w:t>
      </w:r>
      <w:r w:rsidR="00D1115C">
        <w:rPr>
          <w:lang w:val="en-ZA"/>
        </w:rPr>
        <w:t>incites harm, and</w:t>
      </w:r>
      <w:r w:rsidRPr="009645DD">
        <w:rPr>
          <w:lang w:val="en-ZA"/>
        </w:rPr>
        <w:t xml:space="preserve"> that propagates hatred </w:t>
      </w:r>
      <w:r w:rsidR="00635B96">
        <w:rPr>
          <w:lang w:val="en-ZA"/>
        </w:rPr>
        <w:t xml:space="preserve">that </w:t>
      </w:r>
      <w:r w:rsidRPr="009645DD">
        <w:rPr>
          <w:lang w:val="en-ZA"/>
        </w:rPr>
        <w:t>undermines our constitutional project to provide substantive equality for all.</w:t>
      </w:r>
    </w:p>
    <w:p w:rsidR="00430693" w:rsidRPr="00E4673A" w:rsidRDefault="008556B7" w:rsidP="00E4673A">
      <w:pPr>
        <w:pStyle w:val="Heading2"/>
        <w:rPr>
          <w:i w:val="0"/>
        </w:rPr>
      </w:pPr>
      <w:bookmarkStart w:id="4" w:name="_Toc37319378"/>
      <w:r w:rsidRPr="009645DD">
        <w:rPr>
          <w:i w:val="0"/>
        </w:rPr>
        <w:t>A</w:t>
      </w:r>
      <w:r w:rsidR="00430693" w:rsidRPr="009645DD">
        <w:rPr>
          <w:i w:val="0"/>
        </w:rPr>
        <w:t>n objective standard</w:t>
      </w:r>
      <w:bookmarkEnd w:id="4"/>
    </w:p>
    <w:p w:rsidR="00223085" w:rsidRPr="00E4673A" w:rsidRDefault="00223085" w:rsidP="00223085">
      <w:pPr>
        <w:pStyle w:val="1"/>
        <w:numPr>
          <w:ilvl w:val="0"/>
          <w:numId w:val="1"/>
        </w:numPr>
        <w:tabs>
          <w:tab w:val="clear" w:pos="567"/>
        </w:tabs>
        <w:ind w:left="0"/>
      </w:pPr>
      <w:r w:rsidRPr="00223085">
        <w:rPr>
          <w:lang w:val="en-ZA"/>
        </w:rPr>
        <w:t xml:space="preserve">The test for hate </w:t>
      </w:r>
      <w:r w:rsidR="006215DC" w:rsidRPr="00223085">
        <w:rPr>
          <w:lang w:val="en-ZA"/>
        </w:rPr>
        <w:t>speech</w:t>
      </w:r>
      <w:r w:rsidRPr="00223085">
        <w:rPr>
          <w:lang w:val="en-ZA"/>
        </w:rPr>
        <w:t xml:space="preserve"> in s 10(1) is whether the impugned speech “could be reasonably construed to demonstrate a clear intention to incite harm”. </w:t>
      </w:r>
      <w:r w:rsidR="00E752C0">
        <w:rPr>
          <w:lang w:val="en-ZA"/>
        </w:rPr>
        <w:t xml:space="preserve"> </w:t>
      </w:r>
      <w:r w:rsidRPr="006E370A">
        <w:t xml:space="preserve">The </w:t>
      </w:r>
      <w:proofErr w:type="spellStart"/>
      <w:r>
        <w:t>SCA</w:t>
      </w:r>
      <w:proofErr w:type="spellEnd"/>
      <w:r>
        <w:t xml:space="preserve"> interpreted this phrase as establishing a </w:t>
      </w:r>
      <w:r w:rsidRPr="006E370A">
        <w:t>“</w:t>
      </w:r>
      <w:r w:rsidRPr="00E4673A">
        <w:t>subjective opinion of a reasonable person hearing the words</w:t>
      </w:r>
      <w:r w:rsidRPr="006E370A">
        <w:t>”.</w:t>
      </w:r>
      <w:r w:rsidRPr="006E370A">
        <w:rPr>
          <w:rStyle w:val="FootnoteReference"/>
          <w:rFonts w:cs="Arial"/>
          <w:color w:val="auto"/>
          <w:szCs w:val="24"/>
        </w:rPr>
        <w:footnoteReference w:id="7"/>
      </w:r>
    </w:p>
    <w:p w:rsidR="00223085" w:rsidRPr="00223085" w:rsidRDefault="00223085" w:rsidP="004D5DF8">
      <w:pPr>
        <w:pStyle w:val="1"/>
        <w:numPr>
          <w:ilvl w:val="0"/>
          <w:numId w:val="1"/>
        </w:numPr>
        <w:tabs>
          <w:tab w:val="clear" w:pos="567"/>
        </w:tabs>
        <w:ind w:left="0"/>
        <w:rPr>
          <w:lang w:val="en-ZA"/>
        </w:rPr>
      </w:pPr>
      <w:r w:rsidRPr="00223085">
        <w:rPr>
          <w:lang w:val="en-ZA"/>
        </w:rPr>
        <w:t xml:space="preserve">In </w:t>
      </w:r>
      <w:proofErr w:type="spellStart"/>
      <w:r w:rsidRPr="00223085">
        <w:rPr>
          <w:i/>
          <w:lang w:val="en-ZA"/>
        </w:rPr>
        <w:t>Khumalo</w:t>
      </w:r>
      <w:proofErr w:type="spellEnd"/>
      <w:r w:rsidRPr="00223085">
        <w:rPr>
          <w:lang w:val="en-ZA"/>
        </w:rPr>
        <w:t>,</w:t>
      </w:r>
      <w:r w:rsidRPr="00223085">
        <w:rPr>
          <w:vertAlign w:val="superscript"/>
        </w:rPr>
        <w:footnoteReference w:id="8"/>
      </w:r>
      <w:r w:rsidRPr="00223085">
        <w:rPr>
          <w:lang w:val="en-ZA"/>
        </w:rPr>
        <w:t xml:space="preserve"> Sutherland J interpreted this “tortuous phrase” </w:t>
      </w:r>
      <w:r>
        <w:rPr>
          <w:lang w:val="en-ZA"/>
        </w:rPr>
        <w:t>as setting an objective standard</w:t>
      </w:r>
      <w:r w:rsidRPr="00223085">
        <w:rPr>
          <w:lang w:val="en-ZA"/>
        </w:rPr>
        <w:t xml:space="preserve">. </w:t>
      </w:r>
      <w:r w:rsidR="00E752C0">
        <w:rPr>
          <w:lang w:val="en-ZA"/>
        </w:rPr>
        <w:t xml:space="preserve"> </w:t>
      </w:r>
      <w:r w:rsidRPr="00223085">
        <w:rPr>
          <w:lang w:val="en-ZA"/>
        </w:rPr>
        <w:t>The learned judge found that the question the court must ask is whether the harm could be incited by the effect of the speech on the reasonable reader or audience and not whether the intention of the speaker was to incite harm.</w:t>
      </w:r>
      <w:r w:rsidRPr="00223085">
        <w:rPr>
          <w:vertAlign w:val="superscript"/>
        </w:rPr>
        <w:footnoteReference w:id="9"/>
      </w:r>
      <w:r w:rsidRPr="00223085">
        <w:rPr>
          <w:lang w:val="en-ZA"/>
        </w:rPr>
        <w:t xml:space="preserve">  He added that</w:t>
      </w:r>
      <w:r w:rsidR="00C93E4C">
        <w:rPr>
          <w:lang w:val="en-ZA"/>
        </w:rPr>
        <w:t xml:space="preserve"> – </w:t>
      </w:r>
    </w:p>
    <w:p w:rsidR="00223085" w:rsidRPr="00223085" w:rsidRDefault="00223085" w:rsidP="00871C3C">
      <w:pPr>
        <w:pStyle w:val="Quote"/>
        <w:rPr>
          <w:lang w:val="en-ZA"/>
        </w:rPr>
      </w:pPr>
      <w:r w:rsidRPr="00223085">
        <w:rPr>
          <w:lang w:val="en-ZA"/>
        </w:rPr>
        <w:t>“</w:t>
      </w:r>
      <w:r w:rsidR="00E752C0">
        <w:rPr>
          <w:lang w:val="en-ZA"/>
        </w:rPr>
        <w:t>t</w:t>
      </w:r>
      <w:r w:rsidR="00E752C0" w:rsidRPr="00223085">
        <w:rPr>
          <w:lang w:val="en-ZA"/>
        </w:rPr>
        <w:t xml:space="preserve">he </w:t>
      </w:r>
      <w:r w:rsidRPr="00223085">
        <w:rPr>
          <w:lang w:val="en-ZA"/>
        </w:rPr>
        <w:t xml:space="preserve">standard of the reasonable person, applied to s 10(1), means, therefore, whether a reasonable person could conclude (not inevitably should conclude) that the words mean the author had a clear intention to bring about the prohibited consequences. </w:t>
      </w:r>
      <w:r w:rsidR="00E752C0">
        <w:rPr>
          <w:lang w:val="en-ZA"/>
        </w:rPr>
        <w:t xml:space="preserve"> </w:t>
      </w:r>
      <w:r w:rsidRPr="00223085">
        <w:rPr>
          <w:lang w:val="en-ZA"/>
        </w:rPr>
        <w:t>Words obviously mean what they imply.”</w:t>
      </w:r>
      <w:r w:rsidRPr="00223085">
        <w:rPr>
          <w:vertAlign w:val="superscript"/>
        </w:rPr>
        <w:footnoteReference w:id="10"/>
      </w:r>
    </w:p>
    <w:p w:rsidR="00223085" w:rsidRPr="00223085" w:rsidRDefault="00223085" w:rsidP="00223085">
      <w:pPr>
        <w:pStyle w:val="1"/>
        <w:numPr>
          <w:ilvl w:val="0"/>
          <w:numId w:val="1"/>
        </w:numPr>
        <w:tabs>
          <w:tab w:val="clear" w:pos="567"/>
        </w:tabs>
        <w:ind w:left="0"/>
        <w:rPr>
          <w:lang w:val="en-ZA"/>
        </w:rPr>
      </w:pPr>
      <w:r w:rsidRPr="00223085">
        <w:rPr>
          <w:lang w:val="en-ZA"/>
        </w:rPr>
        <w:t xml:space="preserve">We respectfully commend this approach, which is </w:t>
      </w:r>
      <w:r w:rsidR="00DD163D">
        <w:rPr>
          <w:lang w:val="en-ZA"/>
        </w:rPr>
        <w:t xml:space="preserve">in </w:t>
      </w:r>
      <w:r w:rsidRPr="00223085">
        <w:rPr>
          <w:lang w:val="en-ZA"/>
        </w:rPr>
        <w:t xml:space="preserve">line with the tests our courts apply in defamation and </w:t>
      </w:r>
      <w:r w:rsidRPr="006215DC">
        <w:rPr>
          <w:i/>
          <w:lang w:val="en-ZA"/>
        </w:rPr>
        <w:t>injuria</w:t>
      </w:r>
      <w:r w:rsidRPr="00223085">
        <w:rPr>
          <w:lang w:val="en-ZA"/>
        </w:rPr>
        <w:t xml:space="preserve"> cases.</w:t>
      </w:r>
      <w:r w:rsidRPr="00223085">
        <w:rPr>
          <w:vertAlign w:val="superscript"/>
        </w:rPr>
        <w:footnoteReference w:id="11"/>
      </w:r>
    </w:p>
    <w:p w:rsidR="007D5DCC" w:rsidRPr="00E4673A" w:rsidRDefault="004D5DF8" w:rsidP="00E4673A">
      <w:pPr>
        <w:pStyle w:val="Heading2"/>
        <w:rPr>
          <w:i w:val="0"/>
        </w:rPr>
      </w:pPr>
      <w:bookmarkStart w:id="5" w:name="_Toc37319379"/>
      <w:r w:rsidRPr="00E4673A">
        <w:rPr>
          <w:i w:val="0"/>
        </w:rPr>
        <w:t>Disjunctive or conjunctive</w:t>
      </w:r>
      <w:bookmarkEnd w:id="5"/>
    </w:p>
    <w:p w:rsidR="007D5DCC" w:rsidRPr="00283466" w:rsidRDefault="007D5DCC" w:rsidP="007D5DCC">
      <w:pPr>
        <w:pStyle w:val="1"/>
        <w:numPr>
          <w:ilvl w:val="0"/>
          <w:numId w:val="1"/>
        </w:numPr>
        <w:tabs>
          <w:tab w:val="clear" w:pos="567"/>
        </w:tabs>
        <w:ind w:left="0"/>
        <w:rPr>
          <w:rFonts w:cs="Arial"/>
          <w:color w:val="auto"/>
          <w:szCs w:val="24"/>
        </w:rPr>
      </w:pPr>
      <w:r>
        <w:rPr>
          <w:rFonts w:cs="Arial"/>
          <w:color w:val="auto"/>
          <w:szCs w:val="24"/>
        </w:rPr>
        <w:t xml:space="preserve">The </w:t>
      </w:r>
      <w:proofErr w:type="spellStart"/>
      <w:r>
        <w:rPr>
          <w:rFonts w:cs="Arial"/>
          <w:color w:val="auto"/>
          <w:szCs w:val="24"/>
        </w:rPr>
        <w:t>SCA</w:t>
      </w:r>
      <w:proofErr w:type="spellEnd"/>
      <w:r>
        <w:rPr>
          <w:rFonts w:cs="Arial"/>
          <w:color w:val="auto"/>
          <w:szCs w:val="24"/>
        </w:rPr>
        <w:t xml:space="preserve"> held that </w:t>
      </w:r>
      <w:r>
        <w:t xml:space="preserve">the requirements in section 10(1)(a) to (c) </w:t>
      </w:r>
      <w:r w:rsidR="006215DC">
        <w:t>can only</w:t>
      </w:r>
      <w:r>
        <w:t xml:space="preserve"> be read disjunctively</w:t>
      </w:r>
      <w:r w:rsidR="006215DC">
        <w:t xml:space="preserve">.  Since </w:t>
      </w:r>
      <w:r w:rsidR="00424C88">
        <w:t xml:space="preserve">s 10(1) prohibits </w:t>
      </w:r>
      <w:r w:rsidR="006215DC">
        <w:t xml:space="preserve">words that are merely hateful or harmful, the Court reasoned, </w:t>
      </w:r>
      <w:r w:rsidR="004D5DF8">
        <w:t>the bar for determining what constitutes hate speech is set too low</w:t>
      </w:r>
      <w:r w:rsidR="006215DC">
        <w:t>, and the section is accordingly unconstitutional.</w:t>
      </w:r>
      <w:r w:rsidR="004D5DF8">
        <w:rPr>
          <w:rStyle w:val="FootnoteReference"/>
        </w:rPr>
        <w:footnoteReference w:id="12"/>
      </w:r>
    </w:p>
    <w:p w:rsidR="007D5DCC" w:rsidRPr="006E370A" w:rsidRDefault="004D5DF8" w:rsidP="004D5DF8">
      <w:pPr>
        <w:pStyle w:val="1"/>
        <w:numPr>
          <w:ilvl w:val="0"/>
          <w:numId w:val="1"/>
        </w:numPr>
        <w:tabs>
          <w:tab w:val="clear" w:pos="567"/>
        </w:tabs>
        <w:ind w:left="0"/>
        <w:rPr>
          <w:rFonts w:cs="Arial"/>
          <w:color w:val="auto"/>
          <w:szCs w:val="24"/>
        </w:rPr>
      </w:pPr>
      <w:r>
        <w:t xml:space="preserve">The analysis of the </w:t>
      </w:r>
      <w:proofErr w:type="spellStart"/>
      <w:r>
        <w:t>SCA</w:t>
      </w:r>
      <w:proofErr w:type="spellEnd"/>
      <w:r>
        <w:t xml:space="preserve">, </w:t>
      </w:r>
      <w:r w:rsidR="007D5DCC">
        <w:t xml:space="preserve">with respect, </w:t>
      </w:r>
      <w:r w:rsidR="00345F6C">
        <w:t>disregards</w:t>
      </w:r>
      <w:r>
        <w:t xml:space="preserve"> the imperative of s 39(2) of the Constitution that, when interpreting legislation, courts are required to promote the spirit, purport and objects of the Bill of Rights.</w:t>
      </w:r>
      <w:r w:rsidR="00E752C0">
        <w:t xml:space="preserve"> </w:t>
      </w:r>
      <w:r w:rsidR="007D5DCC">
        <w:t xml:space="preserve"> </w:t>
      </w:r>
      <w:r>
        <w:t>This means that</w:t>
      </w:r>
      <w:r w:rsidR="007D5DCC">
        <w:t xml:space="preserve"> an interpretation that falls within constitutional bounds must be preferred to one that does not, </w:t>
      </w:r>
      <w:r w:rsidR="007D5DCC" w:rsidRPr="006F5520">
        <w:t xml:space="preserve">provided that such an interpretation can be reasonably ascribed to the </w:t>
      </w:r>
      <w:r w:rsidR="007D5DCC">
        <w:t>relevant provision.</w:t>
      </w:r>
      <w:r w:rsidR="007D5DCC" w:rsidRPr="006E370A">
        <w:rPr>
          <w:rStyle w:val="FootnoteReference"/>
          <w:rFonts w:cs="Arial"/>
          <w:color w:val="auto"/>
          <w:szCs w:val="24"/>
        </w:rPr>
        <w:footnoteReference w:id="13"/>
      </w:r>
      <w:r w:rsidR="007D5DCC">
        <w:rPr>
          <w:rFonts w:cs="Arial"/>
          <w:color w:val="auto"/>
          <w:szCs w:val="24"/>
        </w:rPr>
        <w:t xml:space="preserve"> </w:t>
      </w:r>
      <w:r w:rsidR="00E752C0">
        <w:rPr>
          <w:rFonts w:cs="Arial"/>
          <w:color w:val="auto"/>
          <w:szCs w:val="24"/>
        </w:rPr>
        <w:t xml:space="preserve"> </w:t>
      </w:r>
      <w:r w:rsidR="007D5DCC" w:rsidRPr="006E370A">
        <w:rPr>
          <w:rFonts w:cs="Arial"/>
          <w:color w:val="auto"/>
          <w:szCs w:val="24"/>
        </w:rPr>
        <w:t>Section</w:t>
      </w:r>
      <w:r w:rsidR="007A71EA">
        <w:rPr>
          <w:rFonts w:cs="Arial"/>
          <w:color w:val="auto"/>
          <w:szCs w:val="24"/>
        </w:rPr>
        <w:t> </w:t>
      </w:r>
      <w:r w:rsidR="007D5DCC" w:rsidRPr="006E370A">
        <w:rPr>
          <w:rFonts w:cs="Arial"/>
          <w:color w:val="auto"/>
          <w:szCs w:val="24"/>
        </w:rPr>
        <w:t xml:space="preserve">10(1) </w:t>
      </w:r>
      <w:r w:rsidR="007D5DCC" w:rsidRPr="006E370A">
        <w:rPr>
          <w:rFonts w:cs="Arial"/>
          <w:color w:val="auto"/>
          <w:szCs w:val="24"/>
          <w:shd w:val="clear" w:color="auto" w:fill="FFFFFF"/>
        </w:rPr>
        <w:t>must</w:t>
      </w:r>
      <w:r w:rsidR="007D5DCC">
        <w:rPr>
          <w:rFonts w:cs="Arial"/>
          <w:color w:val="auto"/>
          <w:szCs w:val="24"/>
          <w:shd w:val="clear" w:color="auto" w:fill="FFFFFF"/>
        </w:rPr>
        <w:t xml:space="preserve"> </w:t>
      </w:r>
      <w:r>
        <w:rPr>
          <w:rFonts w:cs="Arial"/>
          <w:color w:val="auto"/>
          <w:szCs w:val="24"/>
          <w:shd w:val="clear" w:color="auto" w:fill="FFFFFF"/>
        </w:rPr>
        <w:t xml:space="preserve">accordingly </w:t>
      </w:r>
      <w:r w:rsidR="007D5DCC">
        <w:rPr>
          <w:rFonts w:cs="Arial"/>
          <w:color w:val="auto"/>
          <w:szCs w:val="24"/>
          <w:shd w:val="clear" w:color="auto" w:fill="FFFFFF"/>
        </w:rPr>
        <w:t>be interpreted to</w:t>
      </w:r>
      <w:r w:rsidR="007D5DCC" w:rsidRPr="006E370A">
        <w:rPr>
          <w:rFonts w:cs="Arial"/>
          <w:color w:val="auto"/>
          <w:szCs w:val="24"/>
          <w:shd w:val="clear" w:color="auto" w:fill="FFFFFF"/>
        </w:rPr>
        <w:t xml:space="preserve"> “</w:t>
      </w:r>
      <w:r w:rsidR="007D5DCC" w:rsidRPr="00E4673A">
        <w:rPr>
          <w:rFonts w:cs="Arial"/>
          <w:color w:val="auto"/>
          <w:szCs w:val="24"/>
          <w:shd w:val="clear" w:color="auto" w:fill="FFFFFF"/>
        </w:rPr>
        <w:t>bear a meaning which is the least destructive of other entrenched rights and in this case free expression rights.</w:t>
      </w:r>
      <w:r w:rsidR="007D5DCC" w:rsidRPr="004D5DF8">
        <w:rPr>
          <w:rFonts w:cs="Arial"/>
          <w:color w:val="auto"/>
          <w:szCs w:val="24"/>
          <w:shd w:val="clear" w:color="auto" w:fill="FFFFFF"/>
        </w:rPr>
        <w:t>”</w:t>
      </w:r>
      <w:r w:rsidR="007D5DCC" w:rsidRPr="006E370A">
        <w:rPr>
          <w:rStyle w:val="FootnoteReference"/>
          <w:rFonts w:cs="Arial"/>
          <w:color w:val="auto"/>
          <w:szCs w:val="24"/>
          <w:shd w:val="clear" w:color="auto" w:fill="FFFFFF"/>
        </w:rPr>
        <w:footnoteReference w:id="14"/>
      </w:r>
    </w:p>
    <w:p w:rsidR="007D5DCC" w:rsidRPr="00D04CBD" w:rsidRDefault="007D5DCC" w:rsidP="007D5DCC">
      <w:pPr>
        <w:pStyle w:val="1"/>
        <w:numPr>
          <w:ilvl w:val="0"/>
          <w:numId w:val="1"/>
        </w:numPr>
        <w:tabs>
          <w:tab w:val="clear" w:pos="567"/>
        </w:tabs>
        <w:ind w:left="0"/>
      </w:pPr>
      <w:r w:rsidRPr="00D04CBD">
        <w:rPr>
          <w:color w:val="auto"/>
        </w:rPr>
        <w:t>While s 10 is phrased inelegantly, it can reasonably be read to be within constitutional bounds.</w:t>
      </w:r>
      <w:r w:rsidR="00E752C0">
        <w:rPr>
          <w:color w:val="auto"/>
        </w:rPr>
        <w:t xml:space="preserve"> </w:t>
      </w:r>
      <w:r w:rsidRPr="00D04CBD">
        <w:rPr>
          <w:color w:val="auto"/>
        </w:rPr>
        <w:t xml:space="preserve"> </w:t>
      </w:r>
      <w:r w:rsidR="00345F6C">
        <w:rPr>
          <w:color w:val="auto"/>
        </w:rPr>
        <w:t xml:space="preserve">It </w:t>
      </w:r>
      <w:r w:rsidR="0047403E">
        <w:rPr>
          <w:color w:val="auto"/>
        </w:rPr>
        <w:t>is</w:t>
      </w:r>
      <w:r w:rsidR="00345F6C">
        <w:rPr>
          <w:color w:val="auto"/>
        </w:rPr>
        <w:t xml:space="preserve"> possible to do so on a disjunctive reading, </w:t>
      </w:r>
      <w:r w:rsidR="00424C88">
        <w:rPr>
          <w:color w:val="auto"/>
        </w:rPr>
        <w:t xml:space="preserve">if the words </w:t>
      </w:r>
      <w:r w:rsidR="00424C88" w:rsidRPr="009645DD">
        <w:rPr>
          <w:lang w:val="en-ZA"/>
        </w:rPr>
        <w:t>“hurtful” and “hateful”</w:t>
      </w:r>
      <w:r w:rsidR="00424C88">
        <w:rPr>
          <w:lang w:val="en-ZA"/>
        </w:rPr>
        <w:t xml:space="preserve"> are confined to </w:t>
      </w:r>
      <w:r w:rsidR="000D232F">
        <w:rPr>
          <w:lang w:val="en-ZA"/>
        </w:rPr>
        <w:t xml:space="preserve">severe </w:t>
      </w:r>
      <w:r w:rsidR="00424C88">
        <w:rPr>
          <w:lang w:val="en-ZA"/>
        </w:rPr>
        <w:t>end</w:t>
      </w:r>
      <w:r w:rsidR="00F12893">
        <w:rPr>
          <w:lang w:val="en-ZA"/>
        </w:rPr>
        <w:t>s</w:t>
      </w:r>
      <w:r w:rsidR="00424C88">
        <w:rPr>
          <w:lang w:val="en-ZA"/>
        </w:rPr>
        <w:t xml:space="preserve"> of the spectrum of meaning they signify.</w:t>
      </w:r>
      <w:r w:rsidR="00424C88" w:rsidRPr="009645DD">
        <w:rPr>
          <w:lang w:val="en-ZA"/>
        </w:rPr>
        <w:t xml:space="preserve"> </w:t>
      </w:r>
      <w:r w:rsidR="00E752C0">
        <w:rPr>
          <w:lang w:val="en-ZA"/>
        </w:rPr>
        <w:t xml:space="preserve"> </w:t>
      </w:r>
      <w:r w:rsidR="00D17C0C">
        <w:rPr>
          <w:color w:val="auto"/>
        </w:rPr>
        <w:t>W</w:t>
      </w:r>
      <w:r w:rsidR="00345F6C">
        <w:rPr>
          <w:color w:val="auto"/>
        </w:rPr>
        <w:t xml:space="preserve">e </w:t>
      </w:r>
      <w:r w:rsidRPr="00D04CBD">
        <w:t>submit</w:t>
      </w:r>
      <w:r w:rsidR="008E265E">
        <w:t>,</w:t>
      </w:r>
      <w:r w:rsidRPr="00D04CBD">
        <w:t xml:space="preserve"> </w:t>
      </w:r>
      <w:r w:rsidR="00D17C0C">
        <w:t xml:space="preserve">however, </w:t>
      </w:r>
      <w:r w:rsidRPr="00D04CBD">
        <w:t>that</w:t>
      </w:r>
      <w:r w:rsidR="00424C88">
        <w:t xml:space="preserve"> </w:t>
      </w:r>
      <w:r w:rsidRPr="00D04CBD">
        <w:t xml:space="preserve">s 10(1) is </w:t>
      </w:r>
      <w:r w:rsidR="000D232F">
        <w:t xml:space="preserve">also </w:t>
      </w:r>
      <w:r w:rsidRPr="00D04CBD">
        <w:t xml:space="preserve">reasonably capable of </w:t>
      </w:r>
      <w:r w:rsidR="000D7236">
        <w:t>a conjunctive reading</w:t>
      </w:r>
      <w:r w:rsidR="000D232F">
        <w:t>.</w:t>
      </w:r>
      <w:r w:rsidR="000D7236">
        <w:t xml:space="preserve"> </w:t>
      </w:r>
      <w:r w:rsidR="00E752C0">
        <w:t xml:space="preserve"> </w:t>
      </w:r>
      <w:r w:rsidR="000D232F">
        <w:t xml:space="preserve">The </w:t>
      </w:r>
      <w:r w:rsidR="00407E2C">
        <w:t>C</w:t>
      </w:r>
      <w:r w:rsidR="00424C88">
        <w:t xml:space="preserve">ourt should </w:t>
      </w:r>
      <w:r w:rsidR="000D7236">
        <w:t>prefer this reading,</w:t>
      </w:r>
      <w:r w:rsidR="00407E2C">
        <w:t xml:space="preserve"> </w:t>
      </w:r>
      <w:r w:rsidR="000D232F">
        <w:t xml:space="preserve">if </w:t>
      </w:r>
      <w:r w:rsidR="008E265E">
        <w:t xml:space="preserve">this is </w:t>
      </w:r>
      <w:r w:rsidR="000D232F">
        <w:t xml:space="preserve">necessary </w:t>
      </w:r>
      <w:r w:rsidR="00424C88">
        <w:t xml:space="preserve">to render the </w:t>
      </w:r>
      <w:r w:rsidR="000D232F">
        <w:t xml:space="preserve">section </w:t>
      </w:r>
      <w:r w:rsidR="00407E2C">
        <w:t xml:space="preserve">consistent with </w:t>
      </w:r>
      <w:r w:rsidR="00407E2C" w:rsidRPr="00407E2C">
        <w:t>s 16 of the Constitution</w:t>
      </w:r>
      <w:r w:rsidR="000D7236">
        <w:t>.</w:t>
      </w:r>
    </w:p>
    <w:p w:rsidR="007D5DCC" w:rsidRPr="006E370A" w:rsidRDefault="00345F6C" w:rsidP="00E4673A">
      <w:pPr>
        <w:pStyle w:val="1"/>
        <w:numPr>
          <w:ilvl w:val="0"/>
          <w:numId w:val="1"/>
        </w:numPr>
        <w:tabs>
          <w:tab w:val="clear" w:pos="567"/>
        </w:tabs>
        <w:ind w:left="0"/>
      </w:pPr>
      <w:r>
        <w:t xml:space="preserve">The </w:t>
      </w:r>
      <w:proofErr w:type="spellStart"/>
      <w:r>
        <w:t>SCA’s</w:t>
      </w:r>
      <w:proofErr w:type="spellEnd"/>
      <w:r>
        <w:t xml:space="preserve"> </w:t>
      </w:r>
      <w:r w:rsidR="00426C8F">
        <w:t>conclusion</w:t>
      </w:r>
      <w:r w:rsidR="000D232F">
        <w:t>,</w:t>
      </w:r>
      <w:r w:rsidR="00426C8F">
        <w:t xml:space="preserve"> that </w:t>
      </w:r>
      <w:r>
        <w:t xml:space="preserve">s 10(1) </w:t>
      </w:r>
      <w:r w:rsidR="00426C8F">
        <w:t>must be read disjunctively</w:t>
      </w:r>
      <w:r w:rsidR="000D232F">
        <w:t>,</w:t>
      </w:r>
      <w:r>
        <w:t xml:space="preserve"> turned on t</w:t>
      </w:r>
      <w:r w:rsidR="007D5DCC" w:rsidRPr="006E370A">
        <w:t>he absence of the word “</w:t>
      </w:r>
      <w:r w:rsidR="007D5DCC" w:rsidRPr="00871C3C">
        <w:t>and</w:t>
      </w:r>
      <w:r w:rsidR="007D5DCC" w:rsidRPr="006E370A">
        <w:t>” after the semi-colons connecting the various subsections of</w:t>
      </w:r>
      <w:r w:rsidR="00EF39E7">
        <w:t xml:space="preserve"> the</w:t>
      </w:r>
      <w:r w:rsidR="007D5DCC" w:rsidRPr="006E370A">
        <w:t xml:space="preserve"> section</w:t>
      </w:r>
      <w:r w:rsidR="00426C8F">
        <w:t>, which</w:t>
      </w:r>
      <w:r w:rsidR="00EF39E7">
        <w:t>,</w:t>
      </w:r>
      <w:r w:rsidR="00426C8F">
        <w:t xml:space="preserve"> it held, precluded a conjunctive reading</w:t>
      </w:r>
      <w:r>
        <w:t>.</w:t>
      </w:r>
      <w:r w:rsidR="00E752C0">
        <w:rPr>
          <w:rStyle w:val="FootnoteReference"/>
        </w:rPr>
        <w:footnoteReference w:id="15"/>
      </w:r>
      <w:r>
        <w:t xml:space="preserve">  However, this cannot be the determining factor as t</w:t>
      </w:r>
      <w:r w:rsidR="007D5DCC" w:rsidRPr="006E370A">
        <w:t xml:space="preserve">here is </w:t>
      </w:r>
      <w:r w:rsidR="000D232F">
        <w:t xml:space="preserve">also not </w:t>
      </w:r>
      <w:r w:rsidR="00EF39E7">
        <w:t>a</w:t>
      </w:r>
      <w:r w:rsidR="000D232F">
        <w:t>n</w:t>
      </w:r>
      <w:r w:rsidR="007D5DCC" w:rsidRPr="006E370A">
        <w:t xml:space="preserve"> “</w:t>
      </w:r>
      <w:r w:rsidR="007D5DCC" w:rsidRPr="00871C3C">
        <w:t>or</w:t>
      </w:r>
      <w:r w:rsidR="007D5DCC" w:rsidRPr="006E370A">
        <w:t xml:space="preserve">” after the relevant semi-colons. </w:t>
      </w:r>
      <w:r w:rsidR="00E752C0">
        <w:t xml:space="preserve"> </w:t>
      </w:r>
      <w:r w:rsidR="00EF39E7">
        <w:t>This feature</w:t>
      </w:r>
      <w:r w:rsidR="00424C88">
        <w:t xml:space="preserve"> of the text is accordingly not decisive of the question whether the subsections </w:t>
      </w:r>
      <w:r w:rsidR="007466A3">
        <w:t>are disjunctive</w:t>
      </w:r>
      <w:r w:rsidR="00424C88">
        <w:t xml:space="preserve"> or conjunctive</w:t>
      </w:r>
      <w:r w:rsidR="00D1115C">
        <w:t xml:space="preserve">; </w:t>
      </w:r>
      <w:r w:rsidR="00EF39E7">
        <w:t>they</w:t>
      </w:r>
      <w:r w:rsidR="00D1115C">
        <w:t xml:space="preserve"> may be read either way without straining </w:t>
      </w:r>
      <w:r w:rsidR="00EF39E7">
        <w:t xml:space="preserve">their </w:t>
      </w:r>
      <w:r w:rsidR="00D1115C">
        <w:t>language.</w:t>
      </w:r>
    </w:p>
    <w:p w:rsidR="00D73FF9" w:rsidRDefault="00EF39E7" w:rsidP="00D73FF9">
      <w:pPr>
        <w:pStyle w:val="1"/>
        <w:numPr>
          <w:ilvl w:val="0"/>
          <w:numId w:val="1"/>
        </w:numPr>
        <w:tabs>
          <w:tab w:val="clear" w:pos="567"/>
        </w:tabs>
        <w:ind w:left="0"/>
      </w:pPr>
      <w:r>
        <w:t>W</w:t>
      </w:r>
      <w:r w:rsidR="000D7236">
        <w:t xml:space="preserve">e submit </w:t>
      </w:r>
      <w:r w:rsidR="00837378">
        <w:t xml:space="preserve">that </w:t>
      </w:r>
      <w:r w:rsidR="00407E2C" w:rsidRPr="00407E2C">
        <w:t xml:space="preserve">all three subsections of s 10(1) </w:t>
      </w:r>
      <w:r w:rsidR="000D232F">
        <w:t>may</w:t>
      </w:r>
      <w:r w:rsidR="000D232F" w:rsidRPr="00407E2C">
        <w:t xml:space="preserve"> </w:t>
      </w:r>
      <w:r w:rsidR="00407E2C" w:rsidRPr="00407E2C">
        <w:t>be read conjunctively</w:t>
      </w:r>
      <w:r w:rsidR="001A2941">
        <w:t>,</w:t>
      </w:r>
      <w:r w:rsidR="000D232F">
        <w:t xml:space="preserve"> if </w:t>
      </w:r>
      <w:r w:rsidR="001A2941">
        <w:t xml:space="preserve">this is </w:t>
      </w:r>
      <w:r w:rsidR="000D232F">
        <w:t>necessary</w:t>
      </w:r>
      <w:r w:rsidR="00407E2C" w:rsidRPr="00407E2C">
        <w:t xml:space="preserve"> to achieve the alignment that produces that consisten</w:t>
      </w:r>
      <w:r w:rsidR="000D7236">
        <w:t>cy.</w:t>
      </w:r>
      <w:r w:rsidR="00E752C0">
        <w:t xml:space="preserve"> </w:t>
      </w:r>
      <w:r w:rsidR="000D7236">
        <w:t xml:space="preserve"> </w:t>
      </w:r>
      <w:r w:rsidR="00D1115C">
        <w:t>On a conjunctive reading, pinning down</w:t>
      </w:r>
      <w:r w:rsidR="00A345BE">
        <w:t xml:space="preserve"> the</w:t>
      </w:r>
      <w:r w:rsidR="00D1115C">
        <w:t xml:space="preserve"> meanings of “hateful” and “harmful” is less important, as </w:t>
      </w:r>
      <w:r w:rsidR="00D17C0C">
        <w:t>all prohibited speech must “</w:t>
      </w:r>
      <w:r w:rsidR="00D17C0C" w:rsidRPr="00E4673A">
        <w:rPr>
          <w:szCs w:val="24"/>
        </w:rPr>
        <w:t>promote or propagate hatred</w:t>
      </w:r>
      <w:r w:rsidR="00D17C0C">
        <w:rPr>
          <w:szCs w:val="24"/>
        </w:rPr>
        <w:t>” and must “incite” harm.</w:t>
      </w:r>
      <w:r w:rsidR="000D7236">
        <w:rPr>
          <w:rStyle w:val="FootnoteReference"/>
        </w:rPr>
        <w:footnoteReference w:id="16"/>
      </w:r>
    </w:p>
    <w:p w:rsidR="00D73FF9" w:rsidRPr="00D73FF9" w:rsidRDefault="00D73FF9" w:rsidP="00D73FF9">
      <w:pPr>
        <w:pStyle w:val="Heading1"/>
      </w:pPr>
      <w:bookmarkStart w:id="6" w:name="_Toc37319380"/>
      <w:r w:rsidRPr="00D73FF9">
        <w:t xml:space="preserve">SECTION 10(1) </w:t>
      </w:r>
      <w:r w:rsidR="000D232F">
        <w:t>IS CONSTITUTIONALLY MANDATED</w:t>
      </w:r>
      <w:bookmarkEnd w:id="6"/>
    </w:p>
    <w:p w:rsidR="00D73FF9" w:rsidRDefault="000D232F" w:rsidP="00D73FF9">
      <w:pPr>
        <w:pStyle w:val="1"/>
        <w:numPr>
          <w:ilvl w:val="0"/>
          <w:numId w:val="1"/>
        </w:numPr>
        <w:tabs>
          <w:tab w:val="clear" w:pos="567"/>
        </w:tabs>
        <w:ind w:left="0"/>
      </w:pPr>
      <w:r>
        <w:t xml:space="preserve">If s 10(1) is conjunctively read, then it exceeds the bounds of s 16(2) of the Constitution in only one material respect. </w:t>
      </w:r>
      <w:r w:rsidR="00E752C0">
        <w:t xml:space="preserve"> </w:t>
      </w:r>
      <w:r>
        <w:t>That is that s 10(1) prohibits hate speech on all the</w:t>
      </w:r>
      <w:r w:rsidR="00EF39E7">
        <w:t xml:space="preserve"> defined</w:t>
      </w:r>
      <w:r>
        <w:t xml:space="preserve"> prohibited grounds</w:t>
      </w:r>
      <w:r>
        <w:rPr>
          <w:rStyle w:val="FootnoteReference"/>
        </w:rPr>
        <w:footnoteReference w:id="17"/>
      </w:r>
      <w:r w:rsidR="00D73FF9">
        <w:t xml:space="preserve"> </w:t>
      </w:r>
      <w:r>
        <w:t>and not only on those enumerated in s 16(2)</w:t>
      </w:r>
      <w:r w:rsidR="002365D5">
        <w:t>(c)</w:t>
      </w:r>
      <w:r>
        <w:t>.</w:t>
      </w:r>
      <w:r>
        <w:rPr>
          <w:rStyle w:val="FootnoteReference"/>
        </w:rPr>
        <w:footnoteReference w:id="18"/>
      </w:r>
    </w:p>
    <w:p w:rsidR="000D232F" w:rsidRDefault="000D232F" w:rsidP="00D73FF9">
      <w:pPr>
        <w:pStyle w:val="1"/>
        <w:numPr>
          <w:ilvl w:val="0"/>
          <w:numId w:val="1"/>
        </w:numPr>
        <w:tabs>
          <w:tab w:val="clear" w:pos="567"/>
        </w:tabs>
        <w:ind w:left="0"/>
      </w:pPr>
      <w:r>
        <w:t xml:space="preserve">But Parliament was not at liberty to confine its prohibition of hate speech to the grounds enumerated in s16(2). </w:t>
      </w:r>
      <w:r w:rsidR="00E752C0">
        <w:t xml:space="preserve"> </w:t>
      </w:r>
      <w:r>
        <w:t>Section 9(4) of the Constitution obliged it to prevent or prohibit all “</w:t>
      </w:r>
      <w:r w:rsidRPr="00871C3C">
        <w:rPr>
          <w:iCs w:val="0"/>
        </w:rPr>
        <w:t>unfair discrimination</w:t>
      </w:r>
      <w:r>
        <w:t xml:space="preserve">”. </w:t>
      </w:r>
      <w:r w:rsidR="00E752C0">
        <w:t xml:space="preserve"> </w:t>
      </w:r>
      <w:r>
        <w:t xml:space="preserve">It could only do so by extending its prohibition of hate speech </w:t>
      </w:r>
      <w:r w:rsidR="007B5E66">
        <w:t>to all the grounds of unfair discrimination enumerated in s 9(3).</w:t>
      </w:r>
      <w:r w:rsidR="007B5E66">
        <w:rPr>
          <w:rStyle w:val="FootnoteReference"/>
        </w:rPr>
        <w:footnoteReference w:id="19"/>
      </w:r>
      <w:r w:rsidR="007B5E66">
        <w:t xml:space="preserve"> </w:t>
      </w:r>
      <w:r w:rsidR="00E752C0">
        <w:t xml:space="preserve"> </w:t>
      </w:r>
      <w:r w:rsidR="007B5E66">
        <w:t>Section 10(1) is thus mandated and indeed required by the Constitution itself.</w:t>
      </w:r>
    </w:p>
    <w:p w:rsidR="00B87FEC" w:rsidRDefault="00657C2E" w:rsidP="00A345BE">
      <w:pPr>
        <w:pStyle w:val="Heading1"/>
      </w:pPr>
      <w:bookmarkStart w:id="7" w:name="_Toc37319381"/>
      <w:r>
        <w:t>BALANCING EQUALITY AND FREEDOM OF EXPRESSION</w:t>
      </w:r>
      <w:bookmarkEnd w:id="7"/>
    </w:p>
    <w:p w:rsidR="00FE40ED" w:rsidRPr="002E3858" w:rsidRDefault="00D2492F" w:rsidP="00A345BE">
      <w:pPr>
        <w:pStyle w:val="1"/>
        <w:numPr>
          <w:ilvl w:val="0"/>
          <w:numId w:val="1"/>
        </w:numPr>
        <w:tabs>
          <w:tab w:val="clear" w:pos="567"/>
        </w:tabs>
        <w:ind w:left="0"/>
      </w:pPr>
      <w:r>
        <w:t>Even</w:t>
      </w:r>
      <w:r w:rsidR="00FE40ED">
        <w:t xml:space="preserve"> </w:t>
      </w:r>
      <w:r w:rsidR="00657C2E">
        <w:t>if this Court finds that</w:t>
      </w:r>
      <w:r>
        <w:t xml:space="preserve"> s 10(1) </w:t>
      </w:r>
      <w:r w:rsidRPr="00657C2E">
        <w:t>does</w:t>
      </w:r>
      <w:r>
        <w:t xml:space="preserve"> prohibit expression protected under s 16(1)</w:t>
      </w:r>
      <w:r w:rsidR="00A345BE">
        <w:t xml:space="preserve"> of the </w:t>
      </w:r>
      <w:r w:rsidR="001007B2">
        <w:t>Constitution</w:t>
      </w:r>
      <w:r>
        <w:t xml:space="preserve">, </w:t>
      </w:r>
      <w:r w:rsidR="00FE40ED">
        <w:t>it does not necessarily</w:t>
      </w:r>
      <w:r>
        <w:t xml:space="preserve"> </w:t>
      </w:r>
      <w:r w:rsidR="00742C07">
        <w:t>violate the right to freedom of expression</w:t>
      </w:r>
      <w:r>
        <w:t>.</w:t>
      </w:r>
      <w:r w:rsidR="00E752C0">
        <w:t xml:space="preserve"> </w:t>
      </w:r>
      <w:r>
        <w:t xml:space="preserve"> </w:t>
      </w:r>
      <w:r w:rsidR="002E3858">
        <w:t>S</w:t>
      </w:r>
      <w:r w:rsidR="002E3858" w:rsidRPr="00D04B0F">
        <w:t xml:space="preserve">ection 16(2) </w:t>
      </w:r>
      <w:r w:rsidR="002E3858">
        <w:t>identifies</w:t>
      </w:r>
      <w:r w:rsidR="002E3858" w:rsidRPr="00D04B0F">
        <w:t xml:space="preserve"> certain forms of hate speech</w:t>
      </w:r>
      <w:r w:rsidR="002E3858">
        <w:t xml:space="preserve"> that</w:t>
      </w:r>
      <w:r w:rsidR="002E3858" w:rsidRPr="00D04B0F">
        <w:t xml:space="preserve"> are so beyond the pale that they would not, even at the first level of the constitutional en</w:t>
      </w:r>
      <w:r w:rsidR="00A345BE">
        <w:t xml:space="preserve">quiry, qualify for protection. </w:t>
      </w:r>
      <w:r w:rsidR="00E752C0">
        <w:t xml:space="preserve"> </w:t>
      </w:r>
      <w:r w:rsidR="00A345BE">
        <w:t>The existence of s 16(2)</w:t>
      </w:r>
      <w:r w:rsidR="00E058EF">
        <w:t xml:space="preserve"> does</w:t>
      </w:r>
      <w:r w:rsidR="002E3858" w:rsidRPr="00D04B0F">
        <w:t xml:space="preserve"> </w:t>
      </w:r>
      <w:r w:rsidR="002E3858" w:rsidRPr="002E3858">
        <w:t>not</w:t>
      </w:r>
      <w:r w:rsidR="002E3858" w:rsidRPr="00D04B0F">
        <w:t xml:space="preserve"> </w:t>
      </w:r>
      <w:r w:rsidR="00E058EF">
        <w:t xml:space="preserve">mean that </w:t>
      </w:r>
      <w:r w:rsidR="002E3858">
        <w:t>the legislature</w:t>
      </w:r>
      <w:r w:rsidR="002E3858" w:rsidRPr="00D04B0F">
        <w:t xml:space="preserve"> </w:t>
      </w:r>
      <w:r w:rsidR="00E058EF">
        <w:t>is barred</w:t>
      </w:r>
      <w:r w:rsidR="002E3858" w:rsidRPr="00D04B0F">
        <w:t xml:space="preserve"> </w:t>
      </w:r>
      <w:r w:rsidR="00E058EF">
        <w:t>from placing</w:t>
      </w:r>
      <w:r w:rsidR="002E3858">
        <w:t xml:space="preserve"> further limitations on </w:t>
      </w:r>
      <w:r w:rsidR="002E3858" w:rsidRPr="00D04B0F">
        <w:t>speech</w:t>
      </w:r>
      <w:r w:rsidR="00E058EF">
        <w:t>.</w:t>
      </w:r>
    </w:p>
    <w:p w:rsidR="00FE40ED" w:rsidRPr="00E4673A" w:rsidRDefault="00FE40ED" w:rsidP="00FE40ED">
      <w:pPr>
        <w:pStyle w:val="1"/>
        <w:numPr>
          <w:ilvl w:val="0"/>
          <w:numId w:val="1"/>
        </w:numPr>
        <w:tabs>
          <w:tab w:val="clear" w:pos="567"/>
        </w:tabs>
        <w:ind w:left="0"/>
      </w:pPr>
      <w:r w:rsidRPr="00E4673A">
        <w:t xml:space="preserve">Section 10(1) is </w:t>
      </w:r>
      <w:r w:rsidR="00A345BE">
        <w:t xml:space="preserve">located at the confluence of </w:t>
      </w:r>
      <w:r w:rsidR="00EF39E7">
        <w:t>three</w:t>
      </w:r>
      <w:r w:rsidR="00EF39E7" w:rsidRPr="00E4673A">
        <w:t xml:space="preserve"> </w:t>
      </w:r>
      <w:r w:rsidRPr="00E4673A">
        <w:t>rights</w:t>
      </w:r>
      <w:r w:rsidR="00657C2E">
        <w:t>, equality</w:t>
      </w:r>
      <w:r w:rsidR="00EF39E7">
        <w:t>,</w:t>
      </w:r>
      <w:r w:rsidR="00657C2E">
        <w:t xml:space="preserve"> dignity and freedom of expression, and </w:t>
      </w:r>
      <w:r w:rsidR="00B61BE0">
        <w:t>must give</w:t>
      </w:r>
      <w:r w:rsidR="00657C2E">
        <w:t xml:space="preserve"> sufficient regard to </w:t>
      </w:r>
      <w:r w:rsidR="00EF39E7">
        <w:t>all three</w:t>
      </w:r>
      <w:r w:rsidR="00657C2E">
        <w:t>.</w:t>
      </w:r>
      <w:r w:rsidRPr="00E4673A">
        <w:t xml:space="preserve"> </w:t>
      </w:r>
      <w:r w:rsidR="00E752C0">
        <w:t xml:space="preserve"> </w:t>
      </w:r>
      <w:r w:rsidR="00B61BE0">
        <w:t>O</w:t>
      </w:r>
      <w:r w:rsidRPr="00E4673A">
        <w:t xml:space="preserve">n the one hand, </w:t>
      </w:r>
      <w:r w:rsidR="00B61BE0">
        <w:t>the</w:t>
      </w:r>
      <w:r w:rsidR="00B61BE0" w:rsidRPr="00E4673A">
        <w:t xml:space="preserve"> constitutional mandate </w:t>
      </w:r>
      <w:r w:rsidR="00B61BE0">
        <w:t>of s 10(1)</w:t>
      </w:r>
      <w:r w:rsidR="00B61BE0" w:rsidRPr="00E4673A">
        <w:t xml:space="preserve"> to provide effective protection of the rights of vulnerable groups to equality and dignity</w:t>
      </w:r>
      <w:r w:rsidR="00B61BE0">
        <w:t xml:space="preserve">; </w:t>
      </w:r>
      <w:r w:rsidR="00B61BE0" w:rsidRPr="00E4673A">
        <w:t>on the other</w:t>
      </w:r>
      <w:r w:rsidR="00B61BE0">
        <w:t>, it</w:t>
      </w:r>
      <w:r w:rsidR="00B61BE0" w:rsidRPr="00E4673A">
        <w:t xml:space="preserve"> </w:t>
      </w:r>
      <w:r w:rsidRPr="00E4673A">
        <w:t>may not lim</w:t>
      </w:r>
      <w:r w:rsidR="00B61BE0">
        <w:t>it freedom of expression unduly in doing so.</w:t>
      </w:r>
      <w:r w:rsidR="00794F47" w:rsidRPr="00E4673A">
        <w:t xml:space="preserve"> </w:t>
      </w:r>
      <w:r w:rsidR="00E752C0">
        <w:t xml:space="preserve"> </w:t>
      </w:r>
      <w:r w:rsidR="00B61BE0">
        <w:t xml:space="preserve">Accordingly, this case does not turn on an analysis of whether s 10(1) violates the right to freedom of expression. </w:t>
      </w:r>
      <w:r w:rsidR="00794F47" w:rsidRPr="00E4673A">
        <w:t xml:space="preserve"> </w:t>
      </w:r>
      <w:r w:rsidR="00B61BE0">
        <w:t xml:space="preserve">Rather, the </w:t>
      </w:r>
      <w:r w:rsidR="00F570D3">
        <w:t>principal</w:t>
      </w:r>
      <w:r w:rsidR="00B61BE0">
        <w:t xml:space="preserve"> legal question is </w:t>
      </w:r>
      <w:r w:rsidR="00794F47" w:rsidRPr="00E4673A">
        <w:t xml:space="preserve">whether the section achieves an appropriate balance between the rights enshrined in </w:t>
      </w:r>
      <w:proofErr w:type="spellStart"/>
      <w:r w:rsidR="00A345BE" w:rsidRPr="00E4673A">
        <w:t>s</w:t>
      </w:r>
      <w:r w:rsidR="00A345BE">
        <w:t>s</w:t>
      </w:r>
      <w:proofErr w:type="spellEnd"/>
      <w:r w:rsidR="00A345BE" w:rsidRPr="00E4673A">
        <w:t xml:space="preserve"> 9</w:t>
      </w:r>
      <w:r w:rsidR="00EF39E7">
        <w:t>,</w:t>
      </w:r>
      <w:r w:rsidR="00A345BE">
        <w:t xml:space="preserve"> 10 </w:t>
      </w:r>
      <w:r w:rsidR="00A345BE" w:rsidRPr="00E4673A">
        <w:t xml:space="preserve">and </w:t>
      </w:r>
      <w:r w:rsidR="00794F47" w:rsidRPr="00E4673A">
        <w:t xml:space="preserve">16(1) </w:t>
      </w:r>
      <w:r w:rsidR="00A345BE">
        <w:t>of the Constitution.</w:t>
      </w:r>
    </w:p>
    <w:p w:rsidR="00FE40ED" w:rsidRPr="00E4673A" w:rsidRDefault="007F6031" w:rsidP="00E4673A">
      <w:pPr>
        <w:pStyle w:val="1"/>
        <w:numPr>
          <w:ilvl w:val="0"/>
          <w:numId w:val="1"/>
        </w:numPr>
        <w:tabs>
          <w:tab w:val="clear" w:pos="567"/>
        </w:tabs>
        <w:ind w:left="0"/>
      </w:pPr>
      <w:r w:rsidRPr="00E4673A">
        <w:t>If one assumes that the various rights in</w:t>
      </w:r>
      <w:r w:rsidR="00FE40ED" w:rsidRPr="00E4673A">
        <w:t xml:space="preserve"> the Bill of Rights are not inherently in conflict with one another</w:t>
      </w:r>
      <w:r w:rsidR="00AD7731" w:rsidRPr="00E4673A">
        <w:t xml:space="preserve">, but that, properly interpreted, rights in tension with one another can </w:t>
      </w:r>
      <w:r w:rsidR="00FE40ED" w:rsidRPr="00E4673A">
        <w:t xml:space="preserve">be </w:t>
      </w:r>
      <w:r w:rsidR="00AD7731" w:rsidRPr="00E4673A">
        <w:t xml:space="preserve">construed </w:t>
      </w:r>
      <w:r w:rsidR="00FE40ED" w:rsidRPr="00E4673A">
        <w:t xml:space="preserve">harmoniously, </w:t>
      </w:r>
      <w:r w:rsidR="00AD7731" w:rsidRPr="00E4673A">
        <w:t xml:space="preserve">then it follows that the Constitution itself envisages inherent boundaries on each right.  </w:t>
      </w:r>
      <w:r w:rsidR="00A345BE">
        <w:t>I</w:t>
      </w:r>
      <w:r w:rsidR="00AD7731" w:rsidRPr="00E4673A">
        <w:t xml:space="preserve">n this instance, </w:t>
      </w:r>
      <w:r w:rsidR="00A345BE">
        <w:t xml:space="preserve">it means that </w:t>
      </w:r>
      <w:r w:rsidR="00F570D3">
        <w:t xml:space="preserve">s 10(1) is </w:t>
      </w:r>
      <w:r w:rsidR="00F570D3" w:rsidRPr="00E4673A">
        <w:t>unconstitutional</w:t>
      </w:r>
      <w:r w:rsidR="00F570D3">
        <w:t xml:space="preserve"> only </w:t>
      </w:r>
      <w:r w:rsidR="00AD7731" w:rsidRPr="00E4673A">
        <w:t xml:space="preserve">if the balance </w:t>
      </w:r>
      <w:r w:rsidR="00F570D3">
        <w:t>it strikes</w:t>
      </w:r>
      <w:r w:rsidR="00AD7731" w:rsidRPr="00E4673A">
        <w:t xml:space="preserve"> </w:t>
      </w:r>
      <w:r w:rsidR="00F570D3">
        <w:t>limits</w:t>
      </w:r>
      <w:r w:rsidR="00AD7731" w:rsidRPr="00E4673A">
        <w:t xml:space="preserve"> the right to freedom of expression beyond </w:t>
      </w:r>
      <w:r w:rsidR="00F570D3">
        <w:t>that internal boundary.</w:t>
      </w:r>
    </w:p>
    <w:p w:rsidR="007C38AC" w:rsidRPr="00F570D3" w:rsidRDefault="00F570D3" w:rsidP="00F570D3">
      <w:pPr>
        <w:pStyle w:val="1"/>
        <w:numPr>
          <w:ilvl w:val="0"/>
          <w:numId w:val="1"/>
        </w:numPr>
        <w:tabs>
          <w:tab w:val="clear" w:pos="567"/>
        </w:tabs>
        <w:ind w:left="0"/>
        <w:rPr>
          <w:lang w:val="en-US"/>
        </w:rPr>
      </w:pPr>
      <w:r>
        <w:t xml:space="preserve">Where </w:t>
      </w:r>
      <w:r w:rsidR="00EF39E7">
        <w:t xml:space="preserve">the </w:t>
      </w:r>
      <w:r>
        <w:t xml:space="preserve">Constitution draws the internal boundaries of the various rights is a difficult question that we do not attempt to answer.  However, we submit that </w:t>
      </w:r>
      <w:r w:rsidR="007C38AC" w:rsidRPr="00E4673A">
        <w:t xml:space="preserve">Parliament must be afforded considerable latitude in </w:t>
      </w:r>
      <w:r>
        <w:t>determining</w:t>
      </w:r>
      <w:r w:rsidR="007C38AC" w:rsidRPr="00E4673A">
        <w:t xml:space="preserve"> how to strike the balance</w:t>
      </w:r>
      <w:r>
        <w:t>:</w:t>
      </w:r>
      <w:r w:rsidR="007C38AC" w:rsidRPr="00E4673A">
        <w:t xml:space="preserve"> “</w:t>
      </w:r>
      <w:r w:rsidR="007C38AC" w:rsidRPr="00F570D3">
        <w:rPr>
          <w:iCs w:val="0"/>
        </w:rPr>
        <w:t>it</w:t>
      </w:r>
      <w:r w:rsidR="007C38AC" w:rsidRPr="00E4673A">
        <w:t xml:space="preserve"> </w:t>
      </w:r>
      <w:r w:rsidR="007C38AC" w:rsidRPr="00F570D3">
        <w:rPr>
          <w:iCs w:val="0"/>
        </w:rPr>
        <w:t>is for Parliament to make legislative choices as long as they are rational and otherwise constitutionally compliant</w:t>
      </w:r>
      <w:r w:rsidR="007C38AC" w:rsidRPr="00E4673A">
        <w:t>.”</w:t>
      </w:r>
      <w:r w:rsidR="007C38AC" w:rsidRPr="00E4673A">
        <w:rPr>
          <w:rStyle w:val="FootnoteReference"/>
        </w:rPr>
        <w:footnoteReference w:id="20"/>
      </w:r>
      <w:r w:rsidR="007C38AC" w:rsidRPr="00E4673A">
        <w:t xml:space="preserve">  The </w:t>
      </w:r>
      <w:r w:rsidR="007C38AC" w:rsidRPr="00F570D3">
        <w:rPr>
          <w:lang w:val="en-US"/>
        </w:rPr>
        <w:t>requirement of rationality is restricted to the threshold question of whether the legislative measure is properly related to the public good it seeks to achieve</w:t>
      </w:r>
      <w:r>
        <w:rPr>
          <w:lang w:val="en-US"/>
        </w:rPr>
        <w:t xml:space="preserve">. </w:t>
      </w:r>
      <w:r w:rsidR="007C38AC" w:rsidRPr="00F570D3">
        <w:rPr>
          <w:lang w:val="en-US"/>
        </w:rPr>
        <w:t xml:space="preserve"> </w:t>
      </w:r>
      <w:r>
        <w:rPr>
          <w:lang w:val="en-US"/>
        </w:rPr>
        <w:t>Accordingly, the rationality inquiry</w:t>
      </w:r>
      <w:r w:rsidR="007C38AC" w:rsidRPr="00F570D3">
        <w:rPr>
          <w:lang w:val="en-US"/>
        </w:rPr>
        <w:t xml:space="preserve"> “is not directed at testing whether legislation is fair or reasonable or appropriate. </w:t>
      </w:r>
      <w:r w:rsidR="00E752C0">
        <w:rPr>
          <w:lang w:val="en-US"/>
        </w:rPr>
        <w:t xml:space="preserve"> </w:t>
      </w:r>
      <w:r w:rsidR="007C38AC" w:rsidRPr="00F570D3">
        <w:rPr>
          <w:lang w:val="en-US"/>
        </w:rPr>
        <w:t>Nor is it aimed at deciding whether there are other or even better means that could have been used.”</w:t>
      </w:r>
      <w:r w:rsidR="007C38AC" w:rsidRPr="00E4673A">
        <w:rPr>
          <w:rStyle w:val="FootnoteReference"/>
        </w:rPr>
        <w:footnoteReference w:id="21"/>
      </w:r>
    </w:p>
    <w:p w:rsidR="001F488A" w:rsidRDefault="001F488A" w:rsidP="007C38AC">
      <w:pPr>
        <w:pStyle w:val="1"/>
        <w:numPr>
          <w:ilvl w:val="0"/>
          <w:numId w:val="1"/>
        </w:numPr>
        <w:tabs>
          <w:tab w:val="clear" w:pos="567"/>
        </w:tabs>
        <w:ind w:left="0"/>
        <w:rPr>
          <w:lang w:val="en-US"/>
        </w:rPr>
      </w:pPr>
      <w:r>
        <w:rPr>
          <w:lang w:val="en-US"/>
        </w:rPr>
        <w:t xml:space="preserve">This means that, </w:t>
      </w:r>
      <w:r w:rsidR="00271F44">
        <w:rPr>
          <w:lang w:val="en-US"/>
        </w:rPr>
        <w:t>even if the ambit of</w:t>
      </w:r>
      <w:r>
        <w:rPr>
          <w:lang w:val="en-US"/>
        </w:rPr>
        <w:t xml:space="preserve"> </w:t>
      </w:r>
      <w:r w:rsidR="00C6449F">
        <w:rPr>
          <w:lang w:val="en-US"/>
        </w:rPr>
        <w:t>s 10(1)</w:t>
      </w:r>
      <w:r w:rsidR="00740E75">
        <w:rPr>
          <w:lang w:val="en-US"/>
        </w:rPr>
        <w:t xml:space="preserve"> is</w:t>
      </w:r>
      <w:r>
        <w:rPr>
          <w:lang w:val="en-US"/>
        </w:rPr>
        <w:t xml:space="preserve"> somewhat wider than </w:t>
      </w:r>
      <w:r w:rsidR="00740E75">
        <w:rPr>
          <w:lang w:val="en-US"/>
        </w:rPr>
        <w:t>the reach of</w:t>
      </w:r>
      <w:r w:rsidR="003C5518">
        <w:rPr>
          <w:lang w:val="en-US"/>
        </w:rPr>
        <w:t xml:space="preserve"> </w:t>
      </w:r>
      <w:r>
        <w:rPr>
          <w:lang w:val="en-US"/>
        </w:rPr>
        <w:t>s</w:t>
      </w:r>
      <w:r w:rsidR="00E752C0">
        <w:rPr>
          <w:lang w:val="en-US"/>
        </w:rPr>
        <w:t> </w:t>
      </w:r>
      <w:r>
        <w:rPr>
          <w:lang w:val="en-US"/>
        </w:rPr>
        <w:t xml:space="preserve">16(2) of the Constitution , this Court should </w:t>
      </w:r>
      <w:r w:rsidR="00271F44">
        <w:rPr>
          <w:lang w:val="en-US"/>
        </w:rPr>
        <w:t>be slow to</w:t>
      </w:r>
      <w:r w:rsidR="00106112" w:rsidRPr="00E4673A">
        <w:rPr>
          <w:lang w:val="en-US"/>
        </w:rPr>
        <w:t xml:space="preserve"> find that </w:t>
      </w:r>
      <w:r w:rsidR="00271F44">
        <w:rPr>
          <w:lang w:val="en-US"/>
        </w:rPr>
        <w:t>the Equality Act’s</w:t>
      </w:r>
      <w:r w:rsidR="00251F7F" w:rsidRPr="00E4673A">
        <w:rPr>
          <w:lang w:val="en-US"/>
        </w:rPr>
        <w:t xml:space="preserve"> limitation of</w:t>
      </w:r>
      <w:r w:rsidR="00106112" w:rsidRPr="00E4673A">
        <w:rPr>
          <w:lang w:val="en-US"/>
        </w:rPr>
        <w:t xml:space="preserve"> s 16(1) of the Constitution is beyond that which the Constitution imposes on itself.</w:t>
      </w:r>
    </w:p>
    <w:p w:rsidR="007C38AC" w:rsidRPr="00AC1D35" w:rsidRDefault="00251F7F" w:rsidP="007C38AC">
      <w:pPr>
        <w:pStyle w:val="1"/>
        <w:numPr>
          <w:ilvl w:val="0"/>
          <w:numId w:val="1"/>
        </w:numPr>
        <w:tabs>
          <w:tab w:val="clear" w:pos="567"/>
        </w:tabs>
        <w:ind w:left="0"/>
        <w:rPr>
          <w:lang w:val="en-US"/>
        </w:rPr>
      </w:pPr>
      <w:r w:rsidRPr="00E4673A">
        <w:rPr>
          <w:lang w:val="en-US"/>
        </w:rPr>
        <w:t xml:space="preserve">If we are wrong, however, then the Court must determine whether the limitation is justifiable in terms of s 36 of the </w:t>
      </w:r>
      <w:r w:rsidR="00AC1D35" w:rsidRPr="00AC1D35">
        <w:rPr>
          <w:lang w:val="en-US"/>
        </w:rPr>
        <w:t>Constitution</w:t>
      </w:r>
      <w:r w:rsidRPr="00E4673A">
        <w:rPr>
          <w:lang w:val="en-US"/>
        </w:rPr>
        <w:t>.</w:t>
      </w:r>
    </w:p>
    <w:p w:rsidR="00FE40ED" w:rsidRPr="001F488A" w:rsidRDefault="002E3858" w:rsidP="001F488A">
      <w:pPr>
        <w:pStyle w:val="Heading1"/>
      </w:pPr>
      <w:bookmarkStart w:id="8" w:name="_Toc37319382"/>
      <w:r>
        <w:t>JUSTIFICATION</w:t>
      </w:r>
      <w:r w:rsidR="001F488A" w:rsidRPr="001F488A">
        <w:t xml:space="preserve"> ANALYSIS</w:t>
      </w:r>
      <w:bookmarkEnd w:id="8"/>
    </w:p>
    <w:p w:rsidR="00251F7F" w:rsidRPr="00D04B0F" w:rsidRDefault="00251F7F" w:rsidP="001F488A">
      <w:pPr>
        <w:pStyle w:val="1"/>
        <w:numPr>
          <w:ilvl w:val="0"/>
          <w:numId w:val="1"/>
        </w:numPr>
        <w:tabs>
          <w:tab w:val="clear" w:pos="567"/>
        </w:tabs>
        <w:ind w:left="0"/>
        <w:rPr>
          <w:rFonts w:cs="Arial"/>
        </w:rPr>
      </w:pPr>
      <w:r w:rsidRPr="00D04B0F">
        <w:t xml:space="preserve">In </w:t>
      </w:r>
      <w:r w:rsidRPr="00D04B0F">
        <w:rPr>
          <w:i/>
        </w:rPr>
        <w:t>Islamic Unity Convention</w:t>
      </w:r>
      <w:r w:rsidRPr="00D04B0F">
        <w:t xml:space="preserve">, </w:t>
      </w:r>
      <w:r>
        <w:t>this</w:t>
      </w:r>
      <w:r w:rsidRPr="00D04B0F">
        <w:t xml:space="preserve"> Court recognised that limitations on speech not falling within the ambit of s 16(2) of the Constitution may be justified under s 36 of the Constitution:</w:t>
      </w:r>
    </w:p>
    <w:p w:rsidR="00251F7F" w:rsidRPr="00D04B0F" w:rsidRDefault="00251F7F" w:rsidP="00871C3C">
      <w:pPr>
        <w:pStyle w:val="Quote"/>
        <w:rPr>
          <w:sz w:val="22"/>
        </w:rPr>
      </w:pPr>
      <w:r w:rsidRPr="00E4673A">
        <w:t>“Where the state extends the scope of regulation beyond expression envisaged in section 16(2), it encroaches on the terrain of protected expression and can do so only if such regulation meets the justification criteria in section 36(1) of the Constitution</w:t>
      </w:r>
      <w:r w:rsidRPr="00D04B0F">
        <w:rPr>
          <w:sz w:val="22"/>
        </w:rPr>
        <w:t>.”</w:t>
      </w:r>
      <w:r w:rsidRPr="00D04B0F">
        <w:rPr>
          <w:sz w:val="22"/>
          <w:vertAlign w:val="superscript"/>
        </w:rPr>
        <w:footnoteReference w:id="22"/>
      </w:r>
    </w:p>
    <w:p w:rsidR="00251F7F" w:rsidRPr="00D04B0F" w:rsidRDefault="00251F7F" w:rsidP="002E3858">
      <w:pPr>
        <w:pStyle w:val="1"/>
        <w:numPr>
          <w:ilvl w:val="0"/>
          <w:numId w:val="1"/>
        </w:numPr>
        <w:tabs>
          <w:tab w:val="clear" w:pos="567"/>
        </w:tabs>
        <w:ind w:left="0"/>
      </w:pPr>
      <w:r w:rsidRPr="00D04B0F">
        <w:t>The Court reinforced this by explaining that:</w:t>
      </w:r>
    </w:p>
    <w:p w:rsidR="00251F7F" w:rsidRPr="00D04B0F" w:rsidRDefault="00251F7F" w:rsidP="00871C3C">
      <w:pPr>
        <w:pStyle w:val="Quote"/>
        <w:rPr>
          <w:sz w:val="22"/>
        </w:rPr>
      </w:pPr>
      <w:r w:rsidRPr="00D04B0F">
        <w:rPr>
          <w:sz w:val="22"/>
        </w:rPr>
        <w:t>“</w:t>
      </w:r>
      <w:r w:rsidRPr="00E4673A">
        <w:t xml:space="preserve">The right [in section 16(1)] is accordingly not absolute; it is, like other rights, subject to limitation </w:t>
      </w:r>
      <w:r w:rsidRPr="00E4673A">
        <w:rPr>
          <w:rFonts w:eastAsia="Calibri" w:cs="Arial"/>
        </w:rPr>
        <w:t>under</w:t>
      </w:r>
      <w:r w:rsidRPr="00E4673A">
        <w:t xml:space="preserve"> section 36(1) of the Constitution. Determining its parameters in any given case is therefore important.</w:t>
      </w:r>
      <w:r w:rsidRPr="00D04B0F">
        <w:rPr>
          <w:sz w:val="22"/>
        </w:rPr>
        <w:t>..”</w:t>
      </w:r>
      <w:r w:rsidRPr="00D04B0F">
        <w:rPr>
          <w:rStyle w:val="FootnoteReference"/>
          <w:sz w:val="22"/>
        </w:rPr>
        <w:footnoteReference w:id="23"/>
      </w:r>
    </w:p>
    <w:p w:rsidR="007C38AC" w:rsidRPr="00203EF9" w:rsidRDefault="00D10AC0" w:rsidP="00E4673A">
      <w:pPr>
        <w:pStyle w:val="1"/>
        <w:numPr>
          <w:ilvl w:val="0"/>
          <w:numId w:val="1"/>
        </w:numPr>
        <w:tabs>
          <w:tab w:val="clear" w:pos="567"/>
        </w:tabs>
        <w:ind w:left="0"/>
      </w:pPr>
      <w:r>
        <w:t>A</w:t>
      </w:r>
      <w:r w:rsidR="007C38AC">
        <w:t xml:space="preserve"> limitations analysis</w:t>
      </w:r>
      <w:r>
        <w:t xml:space="preserve"> proceeds from</w:t>
      </w:r>
      <w:r w:rsidR="007C38AC">
        <w:t xml:space="preserve"> t</w:t>
      </w:r>
      <w:r w:rsidR="007C38AC" w:rsidRPr="004018F0">
        <w:rPr>
          <w:lang w:val="en-ZA"/>
        </w:rPr>
        <w:t>he question</w:t>
      </w:r>
      <w:r w:rsidR="00271F44">
        <w:rPr>
          <w:lang w:val="en-ZA"/>
        </w:rPr>
        <w:t xml:space="preserve"> </w:t>
      </w:r>
      <w:r w:rsidR="007C38AC" w:rsidRPr="006E370A">
        <w:t>whether</w:t>
      </w:r>
      <w:r>
        <w:t xml:space="preserve"> s</w:t>
      </w:r>
      <w:r w:rsidR="007C38AC" w:rsidRPr="006E370A">
        <w:t xml:space="preserve"> 10</w:t>
      </w:r>
      <w:r w:rsidR="007C38AC">
        <w:t>(1</w:t>
      </w:r>
      <w:r>
        <w:t>) strikes</w:t>
      </w:r>
      <w:r w:rsidR="007C38AC" w:rsidRPr="006E370A">
        <w:t xml:space="preserve"> an appropriate balance betwee</w:t>
      </w:r>
      <w:r w:rsidR="007C38AC">
        <w:t>n its</w:t>
      </w:r>
      <w:r w:rsidR="007C38AC" w:rsidRPr="006E370A">
        <w:t xml:space="preserve"> purpose </w:t>
      </w:r>
      <w:r w:rsidR="007C38AC">
        <w:t>and</w:t>
      </w:r>
      <w:r w:rsidR="007C38AC" w:rsidRPr="006E370A">
        <w:t xml:space="preserve"> the </w:t>
      </w:r>
      <w:r w:rsidR="007C38AC">
        <w:t>limitation on free expression</w:t>
      </w:r>
      <w:r w:rsidR="007C38AC" w:rsidRPr="006E370A">
        <w:t>.</w:t>
      </w:r>
      <w:r w:rsidR="007C38AC" w:rsidRPr="006E370A">
        <w:rPr>
          <w:rStyle w:val="FootnoteReference"/>
          <w:rFonts w:cs="Arial"/>
          <w:szCs w:val="24"/>
        </w:rPr>
        <w:footnoteReference w:id="24"/>
      </w:r>
    </w:p>
    <w:p w:rsidR="00102115" w:rsidRPr="00FE441C" w:rsidRDefault="00D10AC0" w:rsidP="00FE441C">
      <w:pPr>
        <w:pStyle w:val="1"/>
        <w:numPr>
          <w:ilvl w:val="0"/>
          <w:numId w:val="1"/>
        </w:numPr>
        <w:tabs>
          <w:tab w:val="clear" w:pos="567"/>
        </w:tabs>
        <w:ind w:left="0"/>
        <w:rPr>
          <w:lang w:val="en-ZA"/>
        </w:rPr>
      </w:pPr>
      <w:r w:rsidRPr="00D10AC0">
        <w:t xml:space="preserve">The purpose of the </w:t>
      </w:r>
      <w:r>
        <w:t xml:space="preserve">Equality Act – </w:t>
      </w:r>
      <w:r w:rsidRPr="00D10AC0">
        <w:t xml:space="preserve">to eliminate discrimination and to protect the </w:t>
      </w:r>
      <w:r>
        <w:t xml:space="preserve">dignity of targeted groups – </w:t>
      </w:r>
      <w:r w:rsidR="00E058EF">
        <w:t>assumes a special importance as</w:t>
      </w:r>
      <w:r>
        <w:t xml:space="preserve"> it is determined by s 9 of the Constitution, rather than by </w:t>
      </w:r>
      <w:r w:rsidR="00E058EF">
        <w:t xml:space="preserve">the </w:t>
      </w:r>
      <w:r w:rsidR="00833F87">
        <w:t>l</w:t>
      </w:r>
      <w:r w:rsidR="00E058EF">
        <w:t>egislature</w:t>
      </w:r>
      <w:r>
        <w:t xml:space="preserve">.  </w:t>
      </w:r>
      <w:r w:rsidR="00E058EF">
        <w:rPr>
          <w:lang w:val="en-ZA"/>
        </w:rPr>
        <w:t>The</w:t>
      </w:r>
      <w:r w:rsidR="0023646C">
        <w:rPr>
          <w:lang w:val="en-ZA"/>
        </w:rPr>
        <w:t xml:space="preserve"> Equality</w:t>
      </w:r>
      <w:r w:rsidR="00E058EF">
        <w:rPr>
          <w:lang w:val="en-ZA"/>
        </w:rPr>
        <w:t xml:space="preserve"> Act</w:t>
      </w:r>
      <w:r w:rsidR="00FE441C" w:rsidRPr="00FE441C">
        <w:rPr>
          <w:lang w:val="en-ZA"/>
        </w:rPr>
        <w:t xml:space="preserve"> was so integral to the constitutional project that the Constitution provided that the legislation had to be enacted within three years of the date on which the new Constitution took effect.</w:t>
      </w:r>
      <w:r w:rsidR="00FE441C" w:rsidRPr="00FE441C">
        <w:rPr>
          <w:vertAlign w:val="superscript"/>
          <w:lang w:val="en-ZA"/>
        </w:rPr>
        <w:footnoteReference w:id="25"/>
      </w:r>
    </w:p>
    <w:p w:rsidR="00D10AC0" w:rsidRPr="002D5CDD" w:rsidRDefault="00D10AC0" w:rsidP="002D5CDD">
      <w:pPr>
        <w:pStyle w:val="1"/>
        <w:numPr>
          <w:ilvl w:val="0"/>
          <w:numId w:val="1"/>
        </w:numPr>
        <w:tabs>
          <w:tab w:val="clear" w:pos="567"/>
        </w:tabs>
        <w:ind w:left="0"/>
        <w:rPr>
          <w:lang w:val="en-US"/>
        </w:rPr>
      </w:pPr>
      <w:r>
        <w:t xml:space="preserve">The </w:t>
      </w:r>
      <w:r w:rsidR="00102115">
        <w:t xml:space="preserve">judgment </w:t>
      </w:r>
      <w:r w:rsidR="00C6449F">
        <w:t xml:space="preserve">of the </w:t>
      </w:r>
      <w:proofErr w:type="spellStart"/>
      <w:r w:rsidR="00C6449F">
        <w:t>SCA</w:t>
      </w:r>
      <w:proofErr w:type="spellEnd"/>
      <w:r w:rsidR="00C6449F">
        <w:t xml:space="preserve"> does</w:t>
      </w:r>
      <w:r>
        <w:t xml:space="preserve"> </w:t>
      </w:r>
      <w:r w:rsidR="00102115">
        <w:t xml:space="preserve">not </w:t>
      </w:r>
      <w:r w:rsidR="002D5CDD">
        <w:t xml:space="preserve">even </w:t>
      </w:r>
      <w:r w:rsidR="00271F44">
        <w:t>enquire</w:t>
      </w:r>
      <w:r w:rsidR="002D5CDD">
        <w:t xml:space="preserve"> whether</w:t>
      </w:r>
      <w:r w:rsidR="00102115">
        <w:t xml:space="preserve"> s</w:t>
      </w:r>
      <w:r w:rsidRPr="00D10AC0">
        <w:t xml:space="preserve"> 10</w:t>
      </w:r>
      <w:r w:rsidR="00271F44">
        <w:t>(1)</w:t>
      </w:r>
      <w:r w:rsidRPr="00D10AC0">
        <w:t xml:space="preserve"> reaches beyond </w:t>
      </w:r>
      <w:r w:rsidR="00E058EF">
        <w:t>the</w:t>
      </w:r>
      <w:r w:rsidRPr="00D10AC0">
        <w:t xml:space="preserve"> purpose</w:t>
      </w:r>
      <w:r w:rsidR="00E058EF">
        <w:t xml:space="preserve"> of the </w:t>
      </w:r>
      <w:r w:rsidR="00324614">
        <w:t xml:space="preserve">Equality </w:t>
      </w:r>
      <w:r w:rsidR="00E058EF">
        <w:t>Act</w:t>
      </w:r>
      <w:r w:rsidRPr="00D10AC0">
        <w:t xml:space="preserve"> or </w:t>
      </w:r>
      <w:r w:rsidR="002D5CDD">
        <w:t xml:space="preserve">whether </w:t>
      </w:r>
      <w:r w:rsidRPr="00D10AC0">
        <w:t>that purpose could be achieved by less restrictive means</w:t>
      </w:r>
      <w:r w:rsidR="002D5CDD">
        <w:t>.</w:t>
      </w:r>
      <w:r w:rsidRPr="00D10AC0">
        <w:t xml:space="preserve"> Instead, </w:t>
      </w:r>
      <w:r w:rsidRPr="00D10AC0">
        <w:rPr>
          <w:lang w:val="en-ZA"/>
        </w:rPr>
        <w:t xml:space="preserve">it </w:t>
      </w:r>
      <w:r>
        <w:rPr>
          <w:lang w:val="en-ZA"/>
        </w:rPr>
        <w:t xml:space="preserve">found that the section cannot be justified merely because it </w:t>
      </w:r>
      <w:r w:rsidR="002D5CDD">
        <w:rPr>
          <w:lang w:val="en-ZA"/>
        </w:rPr>
        <w:t>“</w:t>
      </w:r>
      <w:r w:rsidR="002D5CDD" w:rsidRPr="002D5CDD">
        <w:rPr>
          <w:lang w:val="en-US"/>
        </w:rPr>
        <w:t>travel</w:t>
      </w:r>
      <w:r w:rsidR="002D5CDD">
        <w:rPr>
          <w:lang w:val="en-US"/>
        </w:rPr>
        <w:t>[s]</w:t>
      </w:r>
      <w:r w:rsidR="002D5CDD" w:rsidRPr="002D5CDD">
        <w:rPr>
          <w:lang w:val="en-US"/>
        </w:rPr>
        <w:t xml:space="preserve"> far beyond the reach of the prohibition in</w:t>
      </w:r>
      <w:r w:rsidR="002D5CDD">
        <w:rPr>
          <w:lang w:val="en-US"/>
        </w:rPr>
        <w:t xml:space="preserve"> </w:t>
      </w:r>
      <w:r w:rsidR="002D5CDD" w:rsidRPr="002D5CDD">
        <w:rPr>
          <w:lang w:val="en-US"/>
        </w:rPr>
        <w:t>s 16 of the Constitution</w:t>
      </w:r>
      <w:r w:rsidR="002D5CDD" w:rsidRPr="002D5CDD">
        <w:rPr>
          <w:lang w:val="en-ZA"/>
        </w:rPr>
        <w:t>”</w:t>
      </w:r>
      <w:r w:rsidRPr="002D5CDD">
        <w:rPr>
          <w:lang w:val="en-ZA"/>
        </w:rPr>
        <w:t>.</w:t>
      </w:r>
      <w:r w:rsidR="002D5CDD">
        <w:rPr>
          <w:rStyle w:val="FootnoteReference"/>
        </w:rPr>
        <w:footnoteReference w:id="26"/>
      </w:r>
      <w:r w:rsidRPr="002D5CDD">
        <w:rPr>
          <w:lang w:val="en-ZA"/>
        </w:rPr>
        <w:t xml:space="preserve">  But</w:t>
      </w:r>
      <w:r w:rsidR="00102115" w:rsidRPr="002D5CDD">
        <w:rPr>
          <w:lang w:val="en-ZA"/>
        </w:rPr>
        <w:t xml:space="preserve"> </w:t>
      </w:r>
      <w:r w:rsidR="00C85ADB">
        <w:rPr>
          <w:lang w:val="en-ZA"/>
        </w:rPr>
        <w:t xml:space="preserve">s </w:t>
      </w:r>
      <w:r w:rsidR="00102115" w:rsidRPr="002D5CDD">
        <w:rPr>
          <w:lang w:val="en-ZA"/>
        </w:rPr>
        <w:t>10</w:t>
      </w:r>
      <w:r w:rsidR="00271F44">
        <w:rPr>
          <w:lang w:val="en-ZA"/>
        </w:rPr>
        <w:t>(1)</w:t>
      </w:r>
      <w:r w:rsidR="00102115" w:rsidRPr="002D5CDD">
        <w:rPr>
          <w:lang w:val="en-ZA"/>
        </w:rPr>
        <w:t xml:space="preserve"> is not unconstitutional merely because it prohibits </w:t>
      </w:r>
      <w:r w:rsidR="00234430">
        <w:rPr>
          <w:lang w:val="en-ZA"/>
        </w:rPr>
        <w:t>constitutionally protected speech.  The question is whether</w:t>
      </w:r>
      <w:r w:rsidRPr="002D5CDD">
        <w:rPr>
          <w:lang w:val="en-ZA"/>
        </w:rPr>
        <w:t xml:space="preserve"> </w:t>
      </w:r>
      <w:r w:rsidR="00102115" w:rsidRPr="002D5CDD">
        <w:rPr>
          <w:lang w:val="en-ZA"/>
        </w:rPr>
        <w:t>it</w:t>
      </w:r>
      <w:r w:rsidRPr="002D5CDD">
        <w:rPr>
          <w:lang w:val="en-ZA"/>
        </w:rPr>
        <w:t xml:space="preserve"> prohibits more speech than is reasonable and justifiable</w:t>
      </w:r>
      <w:r w:rsidR="00271F44">
        <w:rPr>
          <w:lang w:val="en-ZA"/>
        </w:rPr>
        <w:t xml:space="preserve"> in achieving its constitutionally prescribed purpose</w:t>
      </w:r>
      <w:r w:rsidRPr="002D5CDD">
        <w:rPr>
          <w:lang w:val="en-ZA"/>
        </w:rPr>
        <w:t>.</w:t>
      </w:r>
    </w:p>
    <w:p w:rsidR="006670D3" w:rsidRDefault="006670D3" w:rsidP="006670D3">
      <w:pPr>
        <w:pStyle w:val="1"/>
        <w:numPr>
          <w:ilvl w:val="0"/>
          <w:numId w:val="1"/>
        </w:numPr>
        <w:tabs>
          <w:tab w:val="clear" w:pos="567"/>
        </w:tabs>
        <w:ind w:left="0"/>
        <w:rPr>
          <w:rFonts w:cs="Arial"/>
          <w:lang w:val="en-ZA"/>
        </w:rPr>
      </w:pPr>
      <w:r>
        <w:rPr>
          <w:rFonts w:cs="Arial"/>
          <w:lang w:val="en-ZA"/>
        </w:rPr>
        <w:t>A justification analysis “involves the weighing up of competing values, and ultimately an assessment based on proportionality”.</w:t>
      </w:r>
      <w:r>
        <w:rPr>
          <w:rStyle w:val="FootnoteReference"/>
          <w:rFonts w:cs="Arial"/>
        </w:rPr>
        <w:footnoteReference w:id="27"/>
      </w:r>
      <w:r>
        <w:rPr>
          <w:rFonts w:cs="Arial"/>
          <w:lang w:val="en-ZA"/>
        </w:rPr>
        <w:t xml:space="preserve">  The </w:t>
      </w:r>
      <w:proofErr w:type="spellStart"/>
      <w:r>
        <w:rPr>
          <w:rFonts w:cs="Arial"/>
          <w:lang w:val="en-ZA"/>
        </w:rPr>
        <w:t>SCA</w:t>
      </w:r>
      <w:proofErr w:type="spellEnd"/>
      <w:r>
        <w:rPr>
          <w:rFonts w:cs="Arial"/>
          <w:lang w:val="en-ZA"/>
        </w:rPr>
        <w:t xml:space="preserve">, with respect, considered only one side of the scale – the nature and effect of the infringement </w:t>
      </w:r>
      <w:r w:rsidR="00701C85">
        <w:rPr>
          <w:rFonts w:cs="Arial"/>
          <w:lang w:val="en-ZA"/>
        </w:rPr>
        <w:t>– and left the other side – the purp</w:t>
      </w:r>
      <w:r w:rsidR="00234430">
        <w:rPr>
          <w:rFonts w:cs="Arial"/>
          <w:lang w:val="en-ZA"/>
        </w:rPr>
        <w:t>ose and</w:t>
      </w:r>
      <w:r w:rsidR="00701C85">
        <w:rPr>
          <w:rFonts w:cs="Arial"/>
          <w:lang w:val="en-ZA"/>
        </w:rPr>
        <w:t xml:space="preserve"> effects of the infringing provision – empty.</w:t>
      </w:r>
      <w:r w:rsidR="00234430">
        <w:rPr>
          <w:rFonts w:cs="Arial"/>
          <w:lang w:val="en-ZA"/>
        </w:rPr>
        <w:t xml:space="preserve"> </w:t>
      </w:r>
      <w:r w:rsidR="00C85ADB">
        <w:rPr>
          <w:rFonts w:cs="Arial"/>
          <w:lang w:val="en-ZA"/>
        </w:rPr>
        <w:t xml:space="preserve"> </w:t>
      </w:r>
      <w:r w:rsidR="00234430">
        <w:rPr>
          <w:rFonts w:cs="Arial"/>
          <w:lang w:val="en-ZA"/>
        </w:rPr>
        <w:t>The result of the balancing exercise, such as it was, was therefore inevitable.</w:t>
      </w:r>
    </w:p>
    <w:p w:rsidR="007C38AC" w:rsidRPr="006670D3" w:rsidRDefault="006670D3" w:rsidP="006670D3">
      <w:pPr>
        <w:pStyle w:val="1"/>
        <w:numPr>
          <w:ilvl w:val="0"/>
          <w:numId w:val="1"/>
        </w:numPr>
        <w:tabs>
          <w:tab w:val="clear" w:pos="567"/>
        </w:tabs>
        <w:ind w:left="0"/>
        <w:rPr>
          <w:rFonts w:cs="Arial"/>
          <w:lang w:val="en-ZA"/>
        </w:rPr>
      </w:pPr>
      <w:r>
        <w:rPr>
          <w:rFonts w:cs="Arial"/>
          <w:lang w:val="en-ZA"/>
        </w:rPr>
        <w:t>Taking into account the purpose of s</w:t>
      </w:r>
      <w:r w:rsidR="00C85ADB">
        <w:rPr>
          <w:rFonts w:cs="Arial"/>
          <w:lang w:val="en-ZA"/>
        </w:rPr>
        <w:t xml:space="preserve"> </w:t>
      </w:r>
      <w:r>
        <w:rPr>
          <w:rFonts w:cs="Arial"/>
          <w:lang w:val="en-ZA"/>
        </w:rPr>
        <w:t xml:space="preserve">10(1), we submit that the </w:t>
      </w:r>
      <w:r w:rsidR="00B84B2E" w:rsidRPr="00B84B2E">
        <w:rPr>
          <w:rFonts w:cs="Arial"/>
          <w:lang w:val="en-ZA"/>
        </w:rPr>
        <w:t>limitation</w:t>
      </w:r>
      <w:r w:rsidR="00C6449F">
        <w:rPr>
          <w:rFonts w:cs="Arial"/>
          <w:lang w:val="en-ZA"/>
        </w:rPr>
        <w:t xml:space="preserve"> that</w:t>
      </w:r>
      <w:r w:rsidR="00B84B2E" w:rsidRPr="00B84B2E">
        <w:rPr>
          <w:rFonts w:cs="Arial"/>
          <w:lang w:val="en-ZA"/>
        </w:rPr>
        <w:t xml:space="preserve"> </w:t>
      </w:r>
      <w:r>
        <w:rPr>
          <w:rFonts w:cs="Arial"/>
          <w:lang w:val="en-ZA"/>
        </w:rPr>
        <w:t>the prohibition imposes</w:t>
      </w:r>
      <w:r w:rsidR="00B84B2E" w:rsidRPr="00B84B2E">
        <w:rPr>
          <w:rFonts w:cs="Arial"/>
          <w:lang w:val="en-ZA"/>
        </w:rPr>
        <w:t xml:space="preserve"> on freedom of expression is demonstrably justified in a free and democratic society. </w:t>
      </w:r>
      <w:r w:rsidR="00C85ADB">
        <w:rPr>
          <w:rFonts w:cs="Arial"/>
          <w:lang w:val="en-ZA"/>
        </w:rPr>
        <w:t xml:space="preserve"> </w:t>
      </w:r>
      <w:r w:rsidR="00B84B2E" w:rsidRPr="00B84B2E">
        <w:rPr>
          <w:rFonts w:cs="Arial"/>
          <w:lang w:val="en-ZA"/>
        </w:rPr>
        <w:t>It appropriately balances the fundamental values underlying freedom of expression with competing </w:t>
      </w:r>
      <w:r>
        <w:rPr>
          <w:rFonts w:cs="Arial"/>
          <w:lang w:val="en-ZA"/>
        </w:rPr>
        <w:t>constitutional</w:t>
      </w:r>
      <w:r w:rsidR="00B84B2E" w:rsidRPr="00B84B2E">
        <w:rPr>
          <w:rFonts w:cs="Arial"/>
          <w:i/>
          <w:lang w:val="en-ZA"/>
        </w:rPr>
        <w:t> </w:t>
      </w:r>
      <w:r w:rsidR="00B84B2E" w:rsidRPr="00B84B2E">
        <w:rPr>
          <w:rFonts w:cs="Arial"/>
          <w:lang w:val="en-ZA"/>
        </w:rPr>
        <w:t>rights and other values essential to a free and democratic society, in this case a commitment to equality and respect for group identity and the inherent di</w:t>
      </w:r>
      <w:r>
        <w:rPr>
          <w:rFonts w:cs="Arial"/>
          <w:lang w:val="en-ZA"/>
        </w:rPr>
        <w:t>gnity owed to all human beings.</w:t>
      </w:r>
    </w:p>
    <w:p w:rsidR="009F4AD0" w:rsidRPr="006B6591" w:rsidRDefault="009F4AD0" w:rsidP="009F4AD0">
      <w:pPr>
        <w:pStyle w:val="Heading1"/>
      </w:pPr>
      <w:bookmarkStart w:id="9" w:name="_Toc37319383"/>
      <w:r>
        <w:t>REMEDY</w:t>
      </w:r>
      <w:bookmarkEnd w:id="9"/>
    </w:p>
    <w:p w:rsidR="00701C85" w:rsidRDefault="00701C85" w:rsidP="009F4AD0">
      <w:pPr>
        <w:pStyle w:val="1"/>
        <w:numPr>
          <w:ilvl w:val="0"/>
          <w:numId w:val="1"/>
        </w:numPr>
        <w:tabs>
          <w:tab w:val="clear" w:pos="567"/>
        </w:tabs>
        <w:ind w:left="0"/>
      </w:pPr>
      <w:r>
        <w:t>We have submitted that,</w:t>
      </w:r>
    </w:p>
    <w:p w:rsidR="00701C85" w:rsidRDefault="00701C85" w:rsidP="00D11FDC">
      <w:pPr>
        <w:pStyle w:val="2"/>
        <w:numPr>
          <w:ilvl w:val="0"/>
          <w:numId w:val="7"/>
        </w:numPr>
      </w:pPr>
      <w:r>
        <w:t>in the first instance, s 10</w:t>
      </w:r>
      <w:r w:rsidR="005A4DA0">
        <w:t>(1)</w:t>
      </w:r>
      <w:r>
        <w:t>, properly interpreted</w:t>
      </w:r>
      <w:r w:rsidR="005A4DA0">
        <w:t>,</w:t>
      </w:r>
      <w:r>
        <w:t xml:space="preserve"> </w:t>
      </w:r>
      <w:r w:rsidR="007B5E66">
        <w:t>is constitutionally mandated;</w:t>
      </w:r>
    </w:p>
    <w:p w:rsidR="005A4DA0" w:rsidRDefault="005A4DA0" w:rsidP="00D11FDC">
      <w:pPr>
        <w:pStyle w:val="2"/>
        <w:numPr>
          <w:ilvl w:val="0"/>
          <w:numId w:val="7"/>
        </w:numPr>
      </w:pPr>
      <w:r>
        <w:t>if s</w:t>
      </w:r>
      <w:r w:rsidR="00C85ADB">
        <w:t xml:space="preserve"> </w:t>
      </w:r>
      <w:r>
        <w:t>10(1) does limit expression protected by s 16(1), it is not necessarily unconstitutional, as the limitation goes no further than that the Constitution itself envisages</w:t>
      </w:r>
      <w:r w:rsidR="007B5E66">
        <w:t>;</w:t>
      </w:r>
    </w:p>
    <w:p w:rsidR="005A4DA0" w:rsidRDefault="005A4DA0" w:rsidP="00D11FDC">
      <w:pPr>
        <w:pStyle w:val="2"/>
        <w:numPr>
          <w:ilvl w:val="0"/>
          <w:numId w:val="7"/>
        </w:numPr>
      </w:pPr>
      <w:r>
        <w:t>if it does, however, then the limitations it imposes are justified in terms of s 36 of the Constitution.</w:t>
      </w:r>
    </w:p>
    <w:p w:rsidR="00701C85" w:rsidRPr="00C02082" w:rsidRDefault="00701C85" w:rsidP="009F4AD0">
      <w:pPr>
        <w:pStyle w:val="1"/>
        <w:numPr>
          <w:ilvl w:val="0"/>
          <w:numId w:val="1"/>
        </w:numPr>
        <w:tabs>
          <w:tab w:val="clear" w:pos="567"/>
        </w:tabs>
        <w:ind w:left="0"/>
      </w:pPr>
      <w:r>
        <w:t xml:space="preserve">This Court need only consider the question of remedy if we are wrong on all </w:t>
      </w:r>
      <w:r w:rsidR="005A4DA0">
        <w:t>three counts.</w:t>
      </w:r>
      <w:r w:rsidR="00C85ADB">
        <w:t xml:space="preserve"> </w:t>
      </w:r>
      <w:r w:rsidR="005A4DA0">
        <w:t xml:space="preserve"> In that event, the Court must declare s 10(1) invalid </w:t>
      </w:r>
      <w:r w:rsidR="00D7186E">
        <w:t>to the extent that it is inconsistent with the Constitution.</w:t>
      </w:r>
      <w:r w:rsidR="00D7186E">
        <w:rPr>
          <w:rStyle w:val="FootnoteReference"/>
          <w:lang w:eastAsia="en-ZA"/>
        </w:rPr>
        <w:footnoteReference w:id="28"/>
      </w:r>
      <w:r w:rsidR="00D7186E">
        <w:t xml:space="preserve"> </w:t>
      </w:r>
      <w:r w:rsidR="002272A9">
        <w:t xml:space="preserve"> </w:t>
      </w:r>
      <w:r w:rsidR="00D7186E">
        <w:t xml:space="preserve">The Court may then make any order that is just </w:t>
      </w:r>
      <w:r w:rsidR="00D7186E" w:rsidRPr="00C02082">
        <w:t>and equitable, including an order suspending the declaration of invalidity for a period.</w:t>
      </w:r>
      <w:r w:rsidR="00D7186E" w:rsidRPr="00C02082">
        <w:rPr>
          <w:rStyle w:val="FootnoteReference"/>
          <w:lang w:eastAsia="en-ZA"/>
        </w:rPr>
        <w:footnoteReference w:id="29"/>
      </w:r>
    </w:p>
    <w:p w:rsidR="009F4AD0" w:rsidRPr="00BA36B0" w:rsidRDefault="009F4AD0" w:rsidP="002272A9">
      <w:pPr>
        <w:pStyle w:val="1"/>
        <w:numPr>
          <w:ilvl w:val="0"/>
          <w:numId w:val="1"/>
        </w:numPr>
        <w:tabs>
          <w:tab w:val="clear" w:pos="567"/>
        </w:tabs>
        <w:ind w:left="0"/>
      </w:pPr>
      <w:r w:rsidRPr="00C02082">
        <w:t>We submit that</w:t>
      </w:r>
      <w:r w:rsidR="00D7186E" w:rsidRPr="00C02082">
        <w:t xml:space="preserve"> </w:t>
      </w:r>
      <w:r w:rsidRPr="00C02082">
        <w:t>it would be just and equitable to suspend the declaration of invalidity for a period, coupled with an interim reading-in order.</w:t>
      </w:r>
      <w:r w:rsidR="00D7186E" w:rsidRPr="00C02082">
        <w:t xml:space="preserve"> </w:t>
      </w:r>
      <w:r w:rsidR="002272A9">
        <w:t xml:space="preserve"> </w:t>
      </w:r>
      <w:r w:rsidR="00DE1438" w:rsidRPr="00C02082">
        <w:t>This</w:t>
      </w:r>
      <w:r w:rsidR="00D7186E">
        <w:t xml:space="preserve"> </w:t>
      </w:r>
      <w:r w:rsidR="00DE1438">
        <w:t xml:space="preserve">would </w:t>
      </w:r>
      <w:r w:rsidRPr="00F37CED">
        <w:t>avoid the disruptive effects of a declaration of constitutional invalidity</w:t>
      </w:r>
      <w:r w:rsidR="00D7186E">
        <w:t xml:space="preserve">, particularly </w:t>
      </w:r>
      <w:r w:rsidR="00DE1438">
        <w:t>since</w:t>
      </w:r>
      <w:r w:rsidR="002272A9">
        <w:t xml:space="preserve"> this is </w:t>
      </w:r>
      <w:r w:rsidR="00DD163D">
        <w:t xml:space="preserve">a </w:t>
      </w:r>
      <w:r w:rsidR="002272A9">
        <w:t xml:space="preserve">case in which </w:t>
      </w:r>
      <w:r w:rsidR="00D7186E" w:rsidRPr="000A6223">
        <w:t xml:space="preserve">the striking down of </w:t>
      </w:r>
      <w:r w:rsidR="00DE1438">
        <w:t>s 10(1)</w:t>
      </w:r>
      <w:r w:rsidR="00D7186E" w:rsidRPr="000A6223">
        <w:t xml:space="preserve"> would</w:t>
      </w:r>
      <w:r w:rsidR="00DE1438">
        <w:t xml:space="preserve"> otherwise</w:t>
      </w:r>
      <w:r w:rsidR="00D7186E" w:rsidRPr="000A6223">
        <w:t xml:space="preserve"> leave </w:t>
      </w:r>
      <w:r w:rsidR="00BA36B0">
        <w:t xml:space="preserve">a </w:t>
      </w:r>
      <w:r w:rsidR="00D7186E" w:rsidRPr="000A6223">
        <w:t>lacuna</w:t>
      </w:r>
      <w:r w:rsidR="00DE1438">
        <w:t>:</w:t>
      </w:r>
      <w:r w:rsidR="002272A9">
        <w:t xml:space="preserve"> as in </w:t>
      </w:r>
      <w:r w:rsidR="002272A9" w:rsidRPr="002272A9">
        <w:rPr>
          <w:i/>
        </w:rPr>
        <w:t>Herbert</w:t>
      </w:r>
      <w:r w:rsidR="002272A9">
        <w:t>,</w:t>
      </w:r>
      <w:r w:rsidR="00DE1438">
        <w:t xml:space="preserve"> “</w:t>
      </w:r>
      <w:r w:rsidR="00DE1438" w:rsidRPr="00DE1438">
        <w:t>the immediate operation of the order would create a void from which greater injustice or serious disruption of good governance would flow that the need to suspend would be warranted</w:t>
      </w:r>
      <w:r w:rsidR="00DE1438">
        <w:t>.”</w:t>
      </w:r>
      <w:r w:rsidR="00DE1438">
        <w:rPr>
          <w:rStyle w:val="FootnoteReference"/>
        </w:rPr>
        <w:footnoteReference w:id="30"/>
      </w:r>
    </w:p>
    <w:p w:rsidR="009F4AD0" w:rsidRDefault="009F4AD0" w:rsidP="009F4AD0">
      <w:pPr>
        <w:pStyle w:val="1"/>
        <w:numPr>
          <w:ilvl w:val="0"/>
          <w:numId w:val="1"/>
        </w:numPr>
        <w:tabs>
          <w:tab w:val="clear" w:pos="567"/>
        </w:tabs>
        <w:ind w:left="0"/>
      </w:pPr>
      <w:r>
        <w:t>T</w:t>
      </w:r>
      <w:r w:rsidR="00BA36B0">
        <w:t>he lacuna that would result from the striking</w:t>
      </w:r>
      <w:r>
        <w:t xml:space="preserve"> down </w:t>
      </w:r>
      <w:r w:rsidR="00BA36B0">
        <w:t xml:space="preserve">of </w:t>
      </w:r>
      <w:r>
        <w:t xml:space="preserve">s 10(1) with immediate effect </w:t>
      </w:r>
      <w:r w:rsidR="00BA36B0">
        <w:t>would be constitutionally impermissible</w:t>
      </w:r>
      <w:r w:rsidR="002272A9">
        <w:t>, as it</w:t>
      </w:r>
      <w:r>
        <w:t xml:space="preserve"> would mean that</w:t>
      </w:r>
      <w:r w:rsidR="002272A9">
        <w:t xml:space="preserve"> </w:t>
      </w:r>
      <w:r w:rsidR="00BA36B0">
        <w:t xml:space="preserve">the legislature would be unable to fulfil its </w:t>
      </w:r>
      <w:r w:rsidR="002272A9">
        <w:t>obligation</w:t>
      </w:r>
      <w:r w:rsidR="00BA36B0">
        <w:t xml:space="preserve"> under s 9 of the Constitution</w:t>
      </w:r>
      <w:r w:rsidR="002272A9">
        <w:t xml:space="preserve"> until it enacts a new prohibition on hate speech</w:t>
      </w:r>
      <w:r w:rsidR="00BA36B0">
        <w:t xml:space="preserve">.  </w:t>
      </w:r>
      <w:r w:rsidR="00513F71">
        <w:t xml:space="preserve">Mr </w:t>
      </w:r>
      <w:proofErr w:type="spellStart"/>
      <w:r w:rsidR="00513F71">
        <w:t>Qwelane</w:t>
      </w:r>
      <w:proofErr w:type="spellEnd"/>
      <w:r w:rsidR="00513F71">
        <w:t xml:space="preserve">, and others </w:t>
      </w:r>
      <w:r w:rsidR="002272A9">
        <w:t>in his position</w:t>
      </w:r>
      <w:r w:rsidR="00513F71" w:rsidRPr="00513F71">
        <w:t xml:space="preserve">, </w:t>
      </w:r>
      <w:r w:rsidR="00513F71">
        <w:t>could not</w:t>
      </w:r>
      <w:r w:rsidR="00513F71" w:rsidRPr="00513F71">
        <w:t xml:space="preserve"> be held to account at all</w:t>
      </w:r>
      <w:r w:rsidR="00513F71">
        <w:t>, notwithstanding the merits of the complaints against them</w:t>
      </w:r>
      <w:r w:rsidR="00513F71" w:rsidRPr="00513F71">
        <w:t>.</w:t>
      </w:r>
      <w:r w:rsidR="00513F71">
        <w:t xml:space="preserve"> </w:t>
      </w:r>
      <w:r w:rsidR="00C85ADB">
        <w:t xml:space="preserve"> </w:t>
      </w:r>
      <w:r w:rsidR="00513F71">
        <w:t>Hate-mongers could say what they like, and the state – and the Human Rights Commission in particular –</w:t>
      </w:r>
      <w:r w:rsidR="00BA36B0">
        <w:t xml:space="preserve"> would</w:t>
      </w:r>
      <w:r w:rsidR="00513F71">
        <w:t xml:space="preserve"> be forced</w:t>
      </w:r>
      <w:r w:rsidR="00BA36B0">
        <w:t xml:space="preserve"> to stand by helplessly, disabled from protecting the right to </w:t>
      </w:r>
      <w:r>
        <w:t>equality and dignity</w:t>
      </w:r>
      <w:r w:rsidR="00BA36B0">
        <w:t xml:space="preserve"> of the most vulnerable members</w:t>
      </w:r>
      <w:r w:rsidR="00DD163D">
        <w:t xml:space="preserve"> of</w:t>
      </w:r>
      <w:r w:rsidR="00BA36B0">
        <w:t xml:space="preserve"> society</w:t>
      </w:r>
      <w:r>
        <w:t>.</w:t>
      </w:r>
    </w:p>
    <w:p w:rsidR="00941C4A" w:rsidRDefault="009F4AD0" w:rsidP="009F4AD0">
      <w:pPr>
        <w:pStyle w:val="1"/>
        <w:numPr>
          <w:ilvl w:val="0"/>
          <w:numId w:val="1"/>
        </w:numPr>
        <w:tabs>
          <w:tab w:val="clear" w:pos="567"/>
        </w:tabs>
        <w:ind w:left="0"/>
      </w:pPr>
      <w:bookmarkStart w:id="10" w:name="_Ref37176892"/>
      <w:r>
        <w:t xml:space="preserve">The </w:t>
      </w:r>
      <w:r w:rsidR="00C02082">
        <w:t xml:space="preserve">Court can couple the suspension order with appropriate interim relief </w:t>
      </w:r>
      <w:r w:rsidR="00C02082" w:rsidRPr="00C02082">
        <w:t xml:space="preserve">to cater for the </w:t>
      </w:r>
      <w:r w:rsidR="00C02082">
        <w:t xml:space="preserve">rights of Mr </w:t>
      </w:r>
      <w:proofErr w:type="spellStart"/>
      <w:r w:rsidR="00C02082">
        <w:t>Qwelane</w:t>
      </w:r>
      <w:proofErr w:type="spellEnd"/>
      <w:r w:rsidRPr="00C02082">
        <w:t xml:space="preserve"> </w:t>
      </w:r>
      <w:r w:rsidR="00C02082">
        <w:t xml:space="preserve">(and </w:t>
      </w:r>
      <w:r w:rsidRPr="00C02082">
        <w:t>those similarly situated</w:t>
      </w:r>
      <w:r w:rsidR="00C02082">
        <w:t>)</w:t>
      </w:r>
      <w:r w:rsidR="00C02082" w:rsidRPr="00C02082">
        <w:t>.</w:t>
      </w:r>
      <w:r w:rsidR="00C02082" w:rsidRPr="00C02082">
        <w:rPr>
          <w:rStyle w:val="FootnoteReference"/>
        </w:rPr>
        <w:footnoteReference w:id="31"/>
      </w:r>
      <w:r w:rsidR="00C02082" w:rsidRPr="00C02082">
        <w:t xml:space="preserve"> </w:t>
      </w:r>
      <w:r w:rsidR="00C85ADB">
        <w:t xml:space="preserve"> </w:t>
      </w:r>
      <w:r w:rsidR="00941C4A">
        <w:t>If the</w:t>
      </w:r>
      <w:r w:rsidR="00C02082">
        <w:t xml:space="preserve"> Court severs s 10(1) of the Equality Act and reads</w:t>
      </w:r>
      <w:r w:rsidR="004F4E87">
        <w:t xml:space="preserve"> </w:t>
      </w:r>
      <w:r w:rsidR="00C02082">
        <w:t xml:space="preserve">in a prohibition of the </w:t>
      </w:r>
      <w:r w:rsidR="00941C4A">
        <w:t xml:space="preserve">types of speech listed in s 16(2)(c) of the Constitution, Mr </w:t>
      </w:r>
      <w:proofErr w:type="spellStart"/>
      <w:r w:rsidR="00941C4A">
        <w:t>Qwelane</w:t>
      </w:r>
      <w:proofErr w:type="spellEnd"/>
      <w:r w:rsidR="00941C4A">
        <w:t xml:space="preserve"> could not complain that his rights are violated.  That is because, as the </w:t>
      </w:r>
      <w:proofErr w:type="spellStart"/>
      <w:r w:rsidR="00941C4A">
        <w:t>SCA</w:t>
      </w:r>
      <w:proofErr w:type="spellEnd"/>
      <w:r w:rsidR="00941C4A">
        <w:t xml:space="preserve"> recognised</w:t>
      </w:r>
      <w:r w:rsidR="008A1D9D">
        <w:t xml:space="preserve"> – </w:t>
      </w:r>
      <w:bookmarkEnd w:id="10"/>
    </w:p>
    <w:p w:rsidR="009F4AD0" w:rsidRDefault="00941C4A" w:rsidP="00871C3C">
      <w:pPr>
        <w:pStyle w:val="Quote"/>
      </w:pPr>
      <w:r>
        <w:t>“</w:t>
      </w:r>
      <w:r w:rsidR="00C85ADB">
        <w:t>o</w:t>
      </w:r>
      <w:r w:rsidR="00C85ADB" w:rsidRPr="006F6808">
        <w:t xml:space="preserve">ne </w:t>
      </w:r>
      <w:r w:rsidRPr="006F6808">
        <w:t xml:space="preserve">can hardly argue that the legislature was not intent on ensuring at least the minimum protection by way of limitation of free expression in the terms set out in s 16(2)(c) and that would be in keeping with the framework of </w:t>
      </w:r>
      <w:proofErr w:type="spellStart"/>
      <w:r w:rsidRPr="006F6808">
        <w:t>PEPUDA</w:t>
      </w:r>
      <w:proofErr w:type="spellEnd"/>
      <w:r w:rsidRPr="006F6808">
        <w:t xml:space="preserve"> the object of which is to promote equality and regulate hate speech</w:t>
      </w:r>
      <w:r w:rsidRPr="00C77196">
        <w:t>.</w:t>
      </w:r>
      <w:r>
        <w:t>”</w:t>
      </w:r>
      <w:r>
        <w:rPr>
          <w:rStyle w:val="FootnoteReference"/>
        </w:rPr>
        <w:footnoteReference w:id="32"/>
      </w:r>
    </w:p>
    <w:p w:rsidR="00365242" w:rsidRDefault="00D90771" w:rsidP="00365242">
      <w:pPr>
        <w:pStyle w:val="1"/>
        <w:numPr>
          <w:ilvl w:val="0"/>
          <w:numId w:val="1"/>
        </w:numPr>
        <w:tabs>
          <w:tab w:val="clear" w:pos="567"/>
        </w:tabs>
        <w:ind w:left="0"/>
      </w:pPr>
      <w:r>
        <w:t xml:space="preserve">If the interim provisions </w:t>
      </w:r>
      <w:r w:rsidR="002272A9">
        <w:t xml:space="preserve">are </w:t>
      </w:r>
      <w:r>
        <w:t>largely</w:t>
      </w:r>
      <w:r w:rsidR="002272A9">
        <w:t xml:space="preserve"> restricted to</w:t>
      </w:r>
      <w:r>
        <w:t xml:space="preserve"> prohibit</w:t>
      </w:r>
      <w:r w:rsidR="002272A9">
        <w:t>ing</w:t>
      </w:r>
      <w:r>
        <w:t xml:space="preserve"> expression that is not constitutionally protected, </w:t>
      </w:r>
      <w:r w:rsidR="000A0B12">
        <w:t xml:space="preserve">there is no retrospective effect.  </w:t>
      </w:r>
      <w:r>
        <w:t xml:space="preserve">Mr </w:t>
      </w:r>
      <w:proofErr w:type="spellStart"/>
      <w:r>
        <w:t>Qwelane</w:t>
      </w:r>
      <w:proofErr w:type="spellEnd"/>
      <w:r>
        <w:t xml:space="preserve"> cannot be heard to say that</w:t>
      </w:r>
      <w:r w:rsidR="002272A9">
        <w:t xml:space="preserve"> </w:t>
      </w:r>
      <w:r>
        <w:t>he could not have been expected to know that he was susceptible to a hate speech complaint.</w:t>
      </w:r>
      <w:r w:rsidR="00C85ADB">
        <w:t xml:space="preserve"> </w:t>
      </w:r>
      <w:r>
        <w:t xml:space="preserve"> </w:t>
      </w:r>
      <w:r w:rsidR="00365242">
        <w:t>It is accordingly in no way analogous to a situation where a harsher punishment is imposed retrospectively for a crime committed</w:t>
      </w:r>
      <w:r w:rsidR="000A0B12">
        <w:t>,</w:t>
      </w:r>
      <w:r w:rsidR="00365242">
        <w:rPr>
          <w:rStyle w:val="FootnoteReference"/>
        </w:rPr>
        <w:footnoteReference w:id="33"/>
      </w:r>
      <w:r w:rsidR="00365242">
        <w:t xml:space="preserve"> </w:t>
      </w:r>
      <w:r w:rsidR="000A0B12">
        <w:t xml:space="preserve">contrary to the reasoning of the </w:t>
      </w:r>
      <w:proofErr w:type="spellStart"/>
      <w:r w:rsidR="000A0B12">
        <w:t>SCA</w:t>
      </w:r>
      <w:proofErr w:type="spellEnd"/>
      <w:r w:rsidR="000A0B12">
        <w:t>.</w:t>
      </w:r>
      <w:r w:rsidR="000A0B12">
        <w:rPr>
          <w:rStyle w:val="FootnoteReference"/>
        </w:rPr>
        <w:footnoteReference w:id="34"/>
      </w:r>
    </w:p>
    <w:p w:rsidR="00361C22" w:rsidRDefault="007B1AE7" w:rsidP="00CE4AF2">
      <w:pPr>
        <w:pStyle w:val="1"/>
        <w:numPr>
          <w:ilvl w:val="0"/>
          <w:numId w:val="1"/>
        </w:numPr>
        <w:tabs>
          <w:tab w:val="clear" w:pos="567"/>
        </w:tabs>
        <w:ind w:left="0"/>
      </w:pPr>
      <w:r>
        <w:t xml:space="preserve">What is left is the wording of the interim provision.  </w:t>
      </w:r>
      <w:r w:rsidR="00361C22">
        <w:t>Section 16(2)(c) of the Constitution excludes from the expression protected by s 16(1) “</w:t>
      </w:r>
      <w:r w:rsidR="00361C22" w:rsidRPr="00361C22">
        <w:t>advocacy of hatred that is based on race, ethnicity, gender or religion, and that constitutes incitement to cause harm.</w:t>
      </w:r>
      <w:r w:rsidR="00361C22">
        <w:t>”</w:t>
      </w:r>
    </w:p>
    <w:p w:rsidR="00CE4AF2" w:rsidRPr="00CE4AF2" w:rsidRDefault="00CE4AF2" w:rsidP="00CE4AF2">
      <w:pPr>
        <w:pStyle w:val="1"/>
        <w:numPr>
          <w:ilvl w:val="0"/>
          <w:numId w:val="1"/>
        </w:numPr>
        <w:tabs>
          <w:tab w:val="clear" w:pos="567"/>
        </w:tabs>
        <w:ind w:left="0"/>
      </w:pPr>
      <w:r w:rsidRPr="00CE4AF2">
        <w:t xml:space="preserve">The </w:t>
      </w:r>
      <w:proofErr w:type="spellStart"/>
      <w:r w:rsidRPr="00CE4AF2">
        <w:t>SCA</w:t>
      </w:r>
      <w:proofErr w:type="spellEnd"/>
      <w:r w:rsidRPr="00CE4AF2">
        <w:t xml:space="preserve"> </w:t>
      </w:r>
      <w:r>
        <w:t>formulated the interim provision (to be read s</w:t>
      </w:r>
      <w:r w:rsidRPr="00CE4AF2">
        <w:t xml:space="preserve"> 10(1)</w:t>
      </w:r>
      <w:r>
        <w:t>)</w:t>
      </w:r>
      <w:r w:rsidRPr="00CE4AF2">
        <w:t xml:space="preserve"> as follows:</w:t>
      </w:r>
    </w:p>
    <w:p w:rsidR="00CE4AF2" w:rsidRPr="00D45958" w:rsidRDefault="00CE4AF2" w:rsidP="00871C3C">
      <w:pPr>
        <w:pStyle w:val="Quote"/>
      </w:pPr>
      <w:r w:rsidRPr="00CE4AF2">
        <w:t>“</w:t>
      </w:r>
      <w:r w:rsidRPr="00D45958">
        <w:t xml:space="preserve">No person </w:t>
      </w:r>
      <w:r w:rsidRPr="00361C22">
        <w:t>may advocate hatred</w:t>
      </w:r>
      <w:r w:rsidRPr="00D45958">
        <w:t xml:space="preserve"> that is based on race, ethnicity, gender, religion or sexual orientation </w:t>
      </w:r>
      <w:r w:rsidRPr="00361C22">
        <w:t>and that constitutes incitement to cause harm</w:t>
      </w:r>
      <w:r w:rsidRPr="00D45958">
        <w:t>.”</w:t>
      </w:r>
    </w:p>
    <w:p w:rsidR="00CE4AF2" w:rsidRPr="00CE4AF2" w:rsidRDefault="00361C22" w:rsidP="00361C22">
      <w:pPr>
        <w:pStyle w:val="1"/>
        <w:numPr>
          <w:ilvl w:val="0"/>
          <w:numId w:val="1"/>
        </w:numPr>
        <w:tabs>
          <w:tab w:val="clear" w:pos="567"/>
        </w:tabs>
        <w:ind w:left="0"/>
      </w:pPr>
      <w:bookmarkStart w:id="11" w:name="_Ref37176899"/>
      <w:r>
        <w:t xml:space="preserve">Accordingly, the </w:t>
      </w:r>
      <w:proofErr w:type="spellStart"/>
      <w:r>
        <w:t>SCA’s</w:t>
      </w:r>
      <w:proofErr w:type="spellEnd"/>
      <w:r>
        <w:t xml:space="preserve"> formulation tracks the wording of s 16(2)(c), bar its addition of the ground of sexual orientation.</w:t>
      </w:r>
      <w:r w:rsidR="00C85ADB">
        <w:t xml:space="preserve"> </w:t>
      </w:r>
      <w:r>
        <w:t xml:space="preserve"> It would seem that the </w:t>
      </w:r>
      <w:proofErr w:type="spellStart"/>
      <w:r>
        <w:t>SCA</w:t>
      </w:r>
      <w:proofErr w:type="spellEnd"/>
      <w:r>
        <w:t xml:space="preserve"> added this ground to cater for the complaint at hand.</w:t>
      </w:r>
      <w:bookmarkEnd w:id="11"/>
    </w:p>
    <w:p w:rsidR="00CE4AF2" w:rsidRPr="007B1AE7" w:rsidRDefault="00361C22" w:rsidP="00CE4AF2">
      <w:pPr>
        <w:pStyle w:val="1"/>
        <w:numPr>
          <w:ilvl w:val="0"/>
          <w:numId w:val="1"/>
        </w:numPr>
        <w:tabs>
          <w:tab w:val="clear" w:pos="567"/>
        </w:tabs>
        <w:ind w:left="0"/>
      </w:pPr>
      <w:r>
        <w:t xml:space="preserve">We suggest </w:t>
      </w:r>
      <w:r w:rsidR="007B1AE7">
        <w:t>instead that</w:t>
      </w:r>
      <w:r>
        <w:t xml:space="preserve"> the provision include all the grounds of discrimination identified in s 9(3) of the Constitution.</w:t>
      </w:r>
      <w:r>
        <w:rPr>
          <w:rStyle w:val="FootnoteReference"/>
        </w:rPr>
        <w:footnoteReference w:id="35"/>
      </w:r>
      <w:r>
        <w:t xml:space="preserve"> </w:t>
      </w:r>
      <w:r w:rsidR="007B1AE7">
        <w:t xml:space="preserve"> </w:t>
      </w:r>
      <w:r>
        <w:t xml:space="preserve">That would </w:t>
      </w:r>
      <w:r w:rsidR="007B1AE7">
        <w:t>align</w:t>
      </w:r>
      <w:r>
        <w:t xml:space="preserve"> with </w:t>
      </w:r>
      <w:r w:rsidR="008F491B">
        <w:t xml:space="preserve">the constitutionally </w:t>
      </w:r>
      <w:r w:rsidR="008F491B" w:rsidRPr="007B1AE7">
        <w:t xml:space="preserve">mandated purpose </w:t>
      </w:r>
      <w:r w:rsidR="007B1AE7" w:rsidRPr="007B1AE7">
        <w:t xml:space="preserve">of the </w:t>
      </w:r>
      <w:r w:rsidR="008F491B" w:rsidRPr="007B1AE7">
        <w:t>Equality Act “to protect or advance persons, or categories of persons, disadvantaged by unfair discrimination may be taken.”</w:t>
      </w:r>
    </w:p>
    <w:p w:rsidR="007B1AE7" w:rsidRPr="007B1AE7" w:rsidRDefault="00F01E62" w:rsidP="007B1AE7">
      <w:pPr>
        <w:pStyle w:val="1"/>
        <w:numPr>
          <w:ilvl w:val="0"/>
          <w:numId w:val="1"/>
        </w:numPr>
        <w:tabs>
          <w:tab w:val="clear" w:pos="567"/>
        </w:tabs>
        <w:ind w:left="0"/>
      </w:pPr>
      <w:r>
        <w:t>We conclude</w:t>
      </w:r>
      <w:r w:rsidR="008F491B" w:rsidRPr="007B1AE7">
        <w:t xml:space="preserve"> that, on this basis, t</w:t>
      </w:r>
      <w:r w:rsidR="00D7186E" w:rsidRPr="007B1AE7">
        <w:t xml:space="preserve">he complaints against Mr </w:t>
      </w:r>
      <w:proofErr w:type="spellStart"/>
      <w:r w:rsidR="00D7186E" w:rsidRPr="007B1AE7">
        <w:t>Qwelane</w:t>
      </w:r>
      <w:proofErr w:type="spellEnd"/>
      <w:r w:rsidR="00D7186E" w:rsidRPr="007B1AE7">
        <w:t xml:space="preserve"> may properly be adjudicated on </w:t>
      </w:r>
      <w:r>
        <w:t>in terms</w:t>
      </w:r>
      <w:r w:rsidR="00D7186E" w:rsidRPr="007B1AE7">
        <w:t xml:space="preserve"> of the interim reading of section 10(1). </w:t>
      </w:r>
      <w:r w:rsidR="00CE4AF2" w:rsidRPr="007B1AE7">
        <w:t xml:space="preserve"> If the facts proved</w:t>
      </w:r>
      <w:r>
        <w:t xml:space="preserve"> at</w:t>
      </w:r>
      <w:r w:rsidR="00CE4AF2" w:rsidRPr="007B1AE7">
        <w:t xml:space="preserve"> </w:t>
      </w:r>
      <w:r w:rsidR="007B1AE7" w:rsidRPr="007B1AE7">
        <w:t>his trial</w:t>
      </w:r>
      <w:r w:rsidR="00CE4AF2" w:rsidRPr="007B1AE7">
        <w:t xml:space="preserve"> </w:t>
      </w:r>
      <w:r w:rsidR="00361C22" w:rsidRPr="007B1AE7">
        <w:t>meet the test prescribed by the</w:t>
      </w:r>
      <w:r w:rsidR="00CE4AF2" w:rsidRPr="007B1AE7">
        <w:t xml:space="preserve"> interim reading of section 10(1), liability ought to follow</w:t>
      </w:r>
      <w:r w:rsidR="007B1AE7" w:rsidRPr="007B1AE7">
        <w:t>.</w:t>
      </w:r>
    </w:p>
    <w:p w:rsidR="003B7486" w:rsidRDefault="007B1AE7" w:rsidP="003B7486">
      <w:pPr>
        <w:pStyle w:val="1"/>
        <w:numPr>
          <w:ilvl w:val="0"/>
          <w:numId w:val="1"/>
        </w:numPr>
        <w:tabs>
          <w:tab w:val="clear" w:pos="567"/>
        </w:tabs>
        <w:ind w:left="0"/>
      </w:pPr>
      <w:r w:rsidRPr="007B1AE7">
        <w:t xml:space="preserve">The Foundation aligns itself with the submissions of the Psychological Society of South Africa in this regard. </w:t>
      </w:r>
      <w:r w:rsidR="00C85ADB">
        <w:t xml:space="preserve"> </w:t>
      </w:r>
      <w:r w:rsidR="00B46EE0">
        <w:t xml:space="preserve">In the impugned article, Mr </w:t>
      </w:r>
      <w:proofErr w:type="spellStart"/>
      <w:r w:rsidR="00B46EE0">
        <w:t>Qwelane</w:t>
      </w:r>
      <w:proofErr w:type="spellEnd"/>
      <w:r w:rsidR="00B46EE0">
        <w:t xml:space="preserve"> branded the constitutional protection of hom</w:t>
      </w:r>
      <w:r w:rsidR="00F01E62">
        <w:t>osexuals</w:t>
      </w:r>
      <w:r w:rsidR="00B46EE0">
        <w:t xml:space="preserve"> a madness responsible for the erosion of the values of right-thinking people. </w:t>
      </w:r>
      <w:r w:rsidR="00C85ADB">
        <w:t xml:space="preserve"> </w:t>
      </w:r>
      <w:r w:rsidR="00B46EE0">
        <w:t>He</w:t>
      </w:r>
      <w:r w:rsidRPr="007B1AE7">
        <w:t xml:space="preserve"> </w:t>
      </w:r>
      <w:r w:rsidR="00B46EE0">
        <w:t xml:space="preserve">degraded </w:t>
      </w:r>
      <w:r w:rsidRPr="007B1AE7">
        <w:t xml:space="preserve">the very humanity of homosexuals, expressly </w:t>
      </w:r>
      <w:r w:rsidR="00B46EE0">
        <w:t xml:space="preserve">relegating the sexual act of same-sex couples to the realm of animalism. </w:t>
      </w:r>
      <w:r w:rsidR="008F491B" w:rsidRPr="007B1AE7">
        <w:t xml:space="preserve"> </w:t>
      </w:r>
      <w:r w:rsidR="00B46EE0" w:rsidRPr="007B1AE7">
        <w:t>Mr</w:t>
      </w:r>
      <w:r w:rsidR="00C85ADB">
        <w:t> </w:t>
      </w:r>
      <w:proofErr w:type="spellStart"/>
      <w:r w:rsidR="00B46EE0" w:rsidRPr="007B1AE7">
        <w:t>Qwelane’s</w:t>
      </w:r>
      <w:proofErr w:type="spellEnd"/>
      <w:r w:rsidR="00B46EE0" w:rsidRPr="007B1AE7">
        <w:t xml:space="preserve"> article </w:t>
      </w:r>
      <w:r w:rsidR="00B46EE0">
        <w:t xml:space="preserve">accordingly </w:t>
      </w:r>
      <w:r w:rsidR="00B46EE0" w:rsidRPr="007B1AE7">
        <w:t xml:space="preserve">advocated hatred against </w:t>
      </w:r>
      <w:r w:rsidR="00B46EE0">
        <w:t xml:space="preserve">people already </w:t>
      </w:r>
      <w:r w:rsidR="00B46EE0" w:rsidRPr="00B46EE0">
        <w:t>disadvantaged by unfair discrimination</w:t>
      </w:r>
      <w:r w:rsidR="00B46EE0" w:rsidRPr="007B1AE7">
        <w:t xml:space="preserve"> </w:t>
      </w:r>
      <w:r w:rsidR="00B46EE0">
        <w:t xml:space="preserve">in a manner </w:t>
      </w:r>
      <w:r w:rsidR="00B46EE0" w:rsidRPr="007B1AE7">
        <w:t>that constituted incitement to cause harm.</w:t>
      </w:r>
      <w:r w:rsidR="00C85ADB">
        <w:t xml:space="preserve"> </w:t>
      </w:r>
      <w:r w:rsidR="00B46EE0" w:rsidRPr="007B1AE7">
        <w:t xml:space="preserve"> </w:t>
      </w:r>
      <w:r w:rsidR="00B46EE0">
        <w:t>If the Equality Act is to achieve its purpose, he should be held to account.</w:t>
      </w:r>
    </w:p>
    <w:p w:rsidR="003B7486" w:rsidRPr="003B7486" w:rsidRDefault="001007B2" w:rsidP="001007B2">
      <w:pPr>
        <w:pStyle w:val="Heading1"/>
        <w:rPr>
          <w:b w:val="0"/>
        </w:rPr>
      </w:pPr>
      <w:bookmarkStart w:id="12" w:name="_Toc37319384"/>
      <w:r w:rsidRPr="001007B2">
        <w:t xml:space="preserve">THE IMPLICATIONS FOR </w:t>
      </w:r>
      <w:r w:rsidRPr="001007B2">
        <w:rPr>
          <w:i/>
        </w:rPr>
        <w:t>MASUKU</w:t>
      </w:r>
      <w:bookmarkEnd w:id="12"/>
    </w:p>
    <w:p w:rsidR="00C20341" w:rsidRDefault="003B7486" w:rsidP="007B1AE7">
      <w:pPr>
        <w:pStyle w:val="1"/>
        <w:numPr>
          <w:ilvl w:val="0"/>
          <w:numId w:val="1"/>
        </w:numPr>
        <w:tabs>
          <w:tab w:val="clear" w:pos="567"/>
        </w:tabs>
        <w:ind w:left="0"/>
      </w:pPr>
      <w:r>
        <w:t xml:space="preserve">We submit </w:t>
      </w:r>
      <w:r w:rsidR="00434F65">
        <w:t xml:space="preserve">that </w:t>
      </w:r>
      <w:r>
        <w:t xml:space="preserve">the order of the </w:t>
      </w:r>
      <w:proofErr w:type="spellStart"/>
      <w:r>
        <w:t>SCA</w:t>
      </w:r>
      <w:proofErr w:type="spellEnd"/>
      <w:r>
        <w:t xml:space="preserve"> does not affect this Court’s determination of the </w:t>
      </w:r>
      <w:r w:rsidRPr="003B7486">
        <w:rPr>
          <w:i/>
        </w:rPr>
        <w:t xml:space="preserve">Masuku </w:t>
      </w:r>
      <w:r>
        <w:t xml:space="preserve">case. </w:t>
      </w:r>
      <w:r w:rsidR="00C85ADB">
        <w:t xml:space="preserve"> </w:t>
      </w:r>
      <w:r>
        <w:t xml:space="preserve">The </w:t>
      </w:r>
      <w:r w:rsidR="00C20341">
        <w:t xml:space="preserve">law under which Mr </w:t>
      </w:r>
      <w:proofErr w:type="spellStart"/>
      <w:r w:rsidR="00C20341">
        <w:t>Masuku</w:t>
      </w:r>
      <w:r w:rsidR="007E7C7E">
        <w:t>’s</w:t>
      </w:r>
      <w:proofErr w:type="spellEnd"/>
      <w:r w:rsidR="007E7C7E">
        <w:t xml:space="preserve"> expression was judged</w:t>
      </w:r>
      <w:r w:rsidR="00C03B15">
        <w:t xml:space="preserve"> </w:t>
      </w:r>
      <w:r w:rsidR="00C20341">
        <w:t>always existed and is extant notwithstanding the</w:t>
      </w:r>
      <w:r>
        <w:t xml:space="preserve"> </w:t>
      </w:r>
      <w:proofErr w:type="spellStart"/>
      <w:r>
        <w:t>SCA</w:t>
      </w:r>
      <w:r w:rsidR="00C20341">
        <w:t>’s</w:t>
      </w:r>
      <w:proofErr w:type="spellEnd"/>
      <w:r w:rsidR="00C20341">
        <w:t xml:space="preserve"> order.</w:t>
      </w:r>
    </w:p>
    <w:p w:rsidR="0058085A" w:rsidRDefault="00C20341" w:rsidP="007B1AE7">
      <w:pPr>
        <w:pStyle w:val="1"/>
        <w:numPr>
          <w:ilvl w:val="0"/>
          <w:numId w:val="1"/>
        </w:numPr>
        <w:tabs>
          <w:tab w:val="clear" w:pos="567"/>
        </w:tabs>
        <w:ind w:left="0"/>
      </w:pPr>
      <w:r>
        <w:t xml:space="preserve">The Human Rights Commission’s complaint against Mr Masuku was that he advocated hatred on the basis of religion in a manner that amounted to incitement to cause harm.  That category of speech was always excluded from constitutional protection, as it expressly falls within the ambit of s 16(2) of the Constitution.  It similarly falls within the ambit of the interim provision the </w:t>
      </w:r>
      <w:proofErr w:type="spellStart"/>
      <w:r>
        <w:t>SCA</w:t>
      </w:r>
      <w:proofErr w:type="spellEnd"/>
      <w:r>
        <w:t xml:space="preserve"> </w:t>
      </w:r>
      <w:r w:rsidR="00775D6E">
        <w:t>formulated to replace</w:t>
      </w:r>
      <w:r>
        <w:t xml:space="preserve"> </w:t>
      </w:r>
      <w:r w:rsidR="00775D6E">
        <w:t>s10(1) of the Equality Act, pending a legislative amendment.</w:t>
      </w:r>
    </w:p>
    <w:p w:rsidR="003B7486" w:rsidRDefault="0058085A" w:rsidP="007B1AE7">
      <w:pPr>
        <w:pStyle w:val="1"/>
        <w:numPr>
          <w:ilvl w:val="0"/>
          <w:numId w:val="1"/>
        </w:numPr>
        <w:tabs>
          <w:tab w:val="clear" w:pos="567"/>
        </w:tabs>
        <w:ind w:left="0"/>
      </w:pPr>
      <w:r>
        <w:t xml:space="preserve">In argument, counsel for Mr Masuku explained that Mr Masuku had not challenged the constitutionality </w:t>
      </w:r>
      <w:r w:rsidR="000A0B12">
        <w:t xml:space="preserve">of s 10 of the </w:t>
      </w:r>
      <w:r w:rsidR="004974C1">
        <w:t xml:space="preserve">Equality </w:t>
      </w:r>
      <w:r w:rsidR="000A0B12">
        <w:t>Act</w:t>
      </w:r>
      <w:r>
        <w:t xml:space="preserve"> precisely because the charges brought against him went no wider than the formulation of “hate speech” in s 16(2)(c) of the </w:t>
      </w:r>
      <w:r w:rsidR="00DB284C">
        <w:t>Constitution</w:t>
      </w:r>
      <w:r>
        <w:t>.</w:t>
      </w:r>
    </w:p>
    <w:p w:rsidR="00C20341" w:rsidRDefault="00775D6E" w:rsidP="007B1AE7">
      <w:pPr>
        <w:pStyle w:val="1"/>
        <w:numPr>
          <w:ilvl w:val="0"/>
          <w:numId w:val="1"/>
        </w:numPr>
        <w:tabs>
          <w:tab w:val="clear" w:pos="567"/>
        </w:tabs>
        <w:ind w:left="0"/>
      </w:pPr>
      <w:r>
        <w:t>Accordingly, even if this Court dismisses the appeal in the present matter, it can still determine the complaint against Mr Masuku.</w:t>
      </w:r>
    </w:p>
    <w:p w:rsidR="00DB284C" w:rsidRDefault="00DB284C" w:rsidP="00651756">
      <w:pPr>
        <w:pStyle w:val="1"/>
        <w:numPr>
          <w:ilvl w:val="0"/>
          <w:numId w:val="1"/>
        </w:numPr>
        <w:tabs>
          <w:tab w:val="clear" w:pos="567"/>
        </w:tabs>
        <w:ind w:left="0"/>
        <w:rPr>
          <w:lang w:val="en-US"/>
        </w:rPr>
      </w:pPr>
      <w:r>
        <w:t xml:space="preserve">While the order of the </w:t>
      </w:r>
      <w:proofErr w:type="spellStart"/>
      <w:r>
        <w:t>SCA</w:t>
      </w:r>
      <w:proofErr w:type="spellEnd"/>
      <w:r>
        <w:t xml:space="preserve"> in </w:t>
      </w:r>
      <w:proofErr w:type="spellStart"/>
      <w:r w:rsidRPr="00DB284C">
        <w:rPr>
          <w:i/>
        </w:rPr>
        <w:t>Qwelane</w:t>
      </w:r>
      <w:proofErr w:type="spellEnd"/>
      <w:r>
        <w:t xml:space="preserve"> does not affect this Court’s determination of </w:t>
      </w:r>
      <w:r w:rsidRPr="00DB284C">
        <w:rPr>
          <w:i/>
        </w:rPr>
        <w:t>Masuku</w:t>
      </w:r>
      <w:r>
        <w:t xml:space="preserve">, the reasoning </w:t>
      </w:r>
      <w:r w:rsidR="00651756">
        <w:t>of</w:t>
      </w:r>
      <w:r>
        <w:t xml:space="preserve"> the judgment does. </w:t>
      </w:r>
      <w:r w:rsidR="00C85ADB">
        <w:t xml:space="preserve"> </w:t>
      </w:r>
      <w:r>
        <w:t xml:space="preserve">The </w:t>
      </w:r>
      <w:proofErr w:type="spellStart"/>
      <w:r>
        <w:t>SCA</w:t>
      </w:r>
      <w:proofErr w:type="spellEnd"/>
      <w:r>
        <w:t xml:space="preserve"> suspended the operation of its finding of constitutional invalidity and read</w:t>
      </w:r>
      <w:r w:rsidR="00F661A6">
        <w:t xml:space="preserve"> </w:t>
      </w:r>
      <w:r>
        <w:t>in an interim provision to replace s 10</w:t>
      </w:r>
      <w:r w:rsidR="00204303">
        <w:t>(1)</w:t>
      </w:r>
      <w:r w:rsidR="00651756">
        <w:t>,</w:t>
      </w:r>
      <w:r>
        <w:t xml:space="preserve"> ostensibly to prevent a constitutional lacuna from arising.  It confined the interim provision to prohibiting only speech excluded from constitutional protection</w:t>
      </w:r>
      <w:r w:rsidR="000A0B12">
        <w:t>, ostensibly</w:t>
      </w:r>
      <w:r w:rsidR="00651756">
        <w:t xml:space="preserve"> to </w:t>
      </w:r>
      <w:r>
        <w:t>avoid it having retrospective effect.  Yet</w:t>
      </w:r>
      <w:r w:rsidR="00651756">
        <w:t xml:space="preserve">, turning in on its own reasoning, the </w:t>
      </w:r>
      <w:proofErr w:type="spellStart"/>
      <w:r w:rsidR="00651756">
        <w:t>SCA</w:t>
      </w:r>
      <w:proofErr w:type="spellEnd"/>
      <w:r>
        <w:t xml:space="preserve"> found that </w:t>
      </w:r>
      <w:r w:rsidR="00651756">
        <w:t xml:space="preserve">the effect of its order is that the finding of the </w:t>
      </w:r>
      <w:r w:rsidR="004D5EBB">
        <w:t>E</w:t>
      </w:r>
      <w:r w:rsidR="00651756">
        <w:t xml:space="preserve">quality </w:t>
      </w:r>
      <w:r w:rsidR="004D5EBB">
        <w:t>C</w:t>
      </w:r>
      <w:r w:rsidR="00651756">
        <w:t>ourt against Mr</w:t>
      </w:r>
      <w:r w:rsidR="00C85ADB">
        <w:t> </w:t>
      </w:r>
      <w:proofErr w:type="spellStart"/>
      <w:r w:rsidR="00651756">
        <w:t>Qwelane</w:t>
      </w:r>
      <w:proofErr w:type="spellEnd"/>
      <w:r w:rsidR="00651756">
        <w:t xml:space="preserve"> must be set aside, as the interim provision “</w:t>
      </w:r>
      <w:r w:rsidR="00651756" w:rsidRPr="00651756">
        <w:rPr>
          <w:lang w:val="en-US"/>
        </w:rPr>
        <w:t>was not in that form</w:t>
      </w:r>
      <w:r w:rsidR="00651756">
        <w:rPr>
          <w:lang w:val="en-US"/>
        </w:rPr>
        <w:t xml:space="preserve"> when the article was published or the complaint adjudicated” and therefore that determining the complaint against </w:t>
      </w:r>
      <w:proofErr w:type="spellStart"/>
      <w:r w:rsidR="00651756">
        <w:rPr>
          <w:lang w:val="en-US"/>
        </w:rPr>
        <w:t>Mr</w:t>
      </w:r>
      <w:proofErr w:type="spellEnd"/>
      <w:r w:rsidR="00651756">
        <w:rPr>
          <w:lang w:val="en-US"/>
        </w:rPr>
        <w:t xml:space="preserve"> </w:t>
      </w:r>
      <w:proofErr w:type="spellStart"/>
      <w:r w:rsidR="00651756">
        <w:rPr>
          <w:lang w:val="en-US"/>
        </w:rPr>
        <w:t>Qwelane</w:t>
      </w:r>
      <w:proofErr w:type="spellEnd"/>
      <w:r w:rsidR="00651756">
        <w:rPr>
          <w:lang w:val="en-US"/>
        </w:rPr>
        <w:t xml:space="preserve"> in terms of the interim provision would offend the rule against retrospectivity.</w:t>
      </w:r>
      <w:r w:rsidR="00651756">
        <w:rPr>
          <w:rStyle w:val="FootnoteReference"/>
        </w:rPr>
        <w:footnoteReference w:id="36"/>
      </w:r>
    </w:p>
    <w:p w:rsidR="000A0B12" w:rsidRDefault="00651756" w:rsidP="00651756">
      <w:pPr>
        <w:pStyle w:val="1"/>
        <w:numPr>
          <w:ilvl w:val="0"/>
          <w:numId w:val="1"/>
        </w:numPr>
        <w:tabs>
          <w:tab w:val="clear" w:pos="567"/>
        </w:tabs>
        <w:ind w:left="0"/>
        <w:rPr>
          <w:lang w:val="en-US"/>
        </w:rPr>
      </w:pPr>
      <w:r>
        <w:rPr>
          <w:lang w:val="en-US"/>
        </w:rPr>
        <w:t xml:space="preserve">We submit with respect that the reasoning of the </w:t>
      </w:r>
      <w:proofErr w:type="spellStart"/>
      <w:r>
        <w:rPr>
          <w:lang w:val="en-US"/>
        </w:rPr>
        <w:t>SCA</w:t>
      </w:r>
      <w:proofErr w:type="spellEnd"/>
      <w:r>
        <w:rPr>
          <w:lang w:val="en-US"/>
        </w:rPr>
        <w:t xml:space="preserve"> is wrong in this regard. </w:t>
      </w:r>
      <w:r w:rsidR="00C85ADB">
        <w:rPr>
          <w:lang w:val="en-US"/>
        </w:rPr>
        <w:t xml:space="preserve"> </w:t>
      </w:r>
      <w:r w:rsidR="000A0B12">
        <w:rPr>
          <w:lang w:val="en-US"/>
        </w:rPr>
        <w:t xml:space="preserve">The terms of its own order required it to determine the complaint against </w:t>
      </w:r>
      <w:proofErr w:type="spellStart"/>
      <w:r w:rsidR="000A0B12">
        <w:rPr>
          <w:lang w:val="en-US"/>
        </w:rPr>
        <w:t>Mr</w:t>
      </w:r>
      <w:proofErr w:type="spellEnd"/>
      <w:r w:rsidR="000A0B12">
        <w:rPr>
          <w:lang w:val="en-US"/>
        </w:rPr>
        <w:t xml:space="preserve"> </w:t>
      </w:r>
      <w:proofErr w:type="spellStart"/>
      <w:r w:rsidR="000A0B12">
        <w:rPr>
          <w:lang w:val="en-US"/>
        </w:rPr>
        <w:t>Qwelane</w:t>
      </w:r>
      <w:proofErr w:type="spellEnd"/>
      <w:r w:rsidR="000A0B12">
        <w:rPr>
          <w:lang w:val="en-US"/>
        </w:rPr>
        <w:t xml:space="preserve"> in terms of the interim provision in order to obviate the lacuna it identified.</w:t>
      </w:r>
      <w:r w:rsidR="00C85ADB">
        <w:rPr>
          <w:lang w:val="en-US"/>
        </w:rPr>
        <w:t xml:space="preserve"> </w:t>
      </w:r>
      <w:r w:rsidR="000A0B12">
        <w:rPr>
          <w:lang w:val="en-US"/>
        </w:rPr>
        <w:t xml:space="preserve"> No issue of retrospectivity arises.  We refer to the section on remedy above and to paragraphs </w:t>
      </w:r>
      <w:r w:rsidR="000A0B12">
        <w:rPr>
          <w:lang w:val="en-US"/>
        </w:rPr>
        <w:fldChar w:fldCharType="begin"/>
      </w:r>
      <w:r w:rsidR="000A0B12">
        <w:rPr>
          <w:lang w:val="en-US"/>
        </w:rPr>
        <w:instrText xml:space="preserve"> REF _Ref37176892 \r \h </w:instrText>
      </w:r>
      <w:r w:rsidR="000A0B12">
        <w:rPr>
          <w:lang w:val="en-US"/>
        </w:rPr>
      </w:r>
      <w:r w:rsidR="000A0B12">
        <w:rPr>
          <w:lang w:val="en-US"/>
        </w:rPr>
        <w:fldChar w:fldCharType="separate"/>
      </w:r>
      <w:r w:rsidR="00DD163D">
        <w:rPr>
          <w:lang w:val="en-US"/>
        </w:rPr>
        <w:t>40</w:t>
      </w:r>
      <w:r w:rsidR="000A0B12">
        <w:rPr>
          <w:lang w:val="en-US"/>
        </w:rPr>
        <w:fldChar w:fldCharType="end"/>
      </w:r>
      <w:r w:rsidR="000A0B12">
        <w:rPr>
          <w:lang w:val="en-US"/>
        </w:rPr>
        <w:t xml:space="preserve"> to </w:t>
      </w:r>
      <w:r w:rsidR="000A0B12">
        <w:rPr>
          <w:lang w:val="en-US"/>
        </w:rPr>
        <w:fldChar w:fldCharType="begin"/>
      </w:r>
      <w:r w:rsidR="000A0B12">
        <w:rPr>
          <w:lang w:val="en-US"/>
        </w:rPr>
        <w:instrText xml:space="preserve"> REF _Ref37176899 \r \h </w:instrText>
      </w:r>
      <w:r w:rsidR="000A0B12">
        <w:rPr>
          <w:lang w:val="en-US"/>
        </w:rPr>
      </w:r>
      <w:r w:rsidR="000A0B12">
        <w:rPr>
          <w:lang w:val="en-US"/>
        </w:rPr>
        <w:fldChar w:fldCharType="separate"/>
      </w:r>
      <w:r w:rsidR="00DD163D">
        <w:rPr>
          <w:lang w:val="en-US"/>
        </w:rPr>
        <w:t>44</w:t>
      </w:r>
      <w:r w:rsidR="000A0B12">
        <w:rPr>
          <w:lang w:val="en-US"/>
        </w:rPr>
        <w:fldChar w:fldCharType="end"/>
      </w:r>
      <w:r w:rsidR="000A0B12">
        <w:rPr>
          <w:lang w:val="en-US"/>
        </w:rPr>
        <w:t xml:space="preserve"> in particular.</w:t>
      </w:r>
    </w:p>
    <w:p w:rsidR="009F4AD0" w:rsidRPr="00BF7B31" w:rsidRDefault="009F4AD0" w:rsidP="009F4AD0">
      <w:pPr>
        <w:pStyle w:val="Heading1"/>
      </w:pPr>
      <w:bookmarkStart w:id="13" w:name="_Toc37319385"/>
      <w:r w:rsidRPr="00BF7B31">
        <w:t>CONCLUSION</w:t>
      </w:r>
      <w:bookmarkEnd w:id="13"/>
    </w:p>
    <w:p w:rsidR="00141442" w:rsidRDefault="00651756" w:rsidP="009F4AD0">
      <w:pPr>
        <w:pStyle w:val="1"/>
        <w:numPr>
          <w:ilvl w:val="0"/>
          <w:numId w:val="1"/>
        </w:numPr>
        <w:tabs>
          <w:tab w:val="clear" w:pos="567"/>
        </w:tabs>
        <w:ind w:left="0"/>
      </w:pPr>
      <w:r>
        <w:t>The</w:t>
      </w:r>
      <w:r w:rsidR="00141442">
        <w:t xml:space="preserve"> Foundation asks that the Court upholds the appeal and reinstates the order of the High Court.</w:t>
      </w:r>
    </w:p>
    <w:p w:rsidR="009F4AD0" w:rsidRPr="000A40B5" w:rsidRDefault="004761AB" w:rsidP="000A40B5">
      <w:pPr>
        <w:pStyle w:val="1"/>
        <w:numPr>
          <w:ilvl w:val="0"/>
          <w:numId w:val="0"/>
        </w:numPr>
        <w:spacing w:before="0" w:line="360" w:lineRule="auto"/>
        <w:jc w:val="right"/>
      </w:pPr>
      <w:r>
        <w:t xml:space="preserve">Wim </w:t>
      </w:r>
      <w:proofErr w:type="spellStart"/>
      <w:r>
        <w:t>Treng</w:t>
      </w:r>
      <w:r w:rsidR="007B5E66" w:rsidRPr="000A40B5">
        <w:t>ove</w:t>
      </w:r>
      <w:proofErr w:type="spellEnd"/>
      <w:r w:rsidR="007B5E66" w:rsidRPr="000A40B5">
        <w:t xml:space="preserve"> S</w:t>
      </w:r>
      <w:r w:rsidR="007B5E66">
        <w:t>C</w:t>
      </w:r>
    </w:p>
    <w:p w:rsidR="009F4AD0" w:rsidRPr="000A40B5" w:rsidRDefault="007B5E66" w:rsidP="000A40B5">
      <w:pPr>
        <w:pStyle w:val="1"/>
        <w:numPr>
          <w:ilvl w:val="0"/>
          <w:numId w:val="0"/>
        </w:numPr>
        <w:spacing w:before="0" w:line="360" w:lineRule="auto"/>
        <w:jc w:val="right"/>
      </w:pPr>
      <w:r w:rsidRPr="000A40B5">
        <w:t>Carol Steinberg</w:t>
      </w:r>
    </w:p>
    <w:p w:rsidR="009F4AD0" w:rsidRPr="000A40B5" w:rsidRDefault="007B5E66" w:rsidP="000A40B5">
      <w:pPr>
        <w:pStyle w:val="1"/>
        <w:numPr>
          <w:ilvl w:val="0"/>
          <w:numId w:val="0"/>
        </w:numPr>
        <w:spacing w:before="0" w:line="360" w:lineRule="auto"/>
        <w:jc w:val="right"/>
      </w:pPr>
      <w:r w:rsidRPr="000A40B5">
        <w:t xml:space="preserve">Ingrid </w:t>
      </w:r>
      <w:proofErr w:type="spellStart"/>
      <w:r w:rsidRPr="000A40B5">
        <w:t>Cloete</w:t>
      </w:r>
      <w:proofErr w:type="spellEnd"/>
    </w:p>
    <w:p w:rsidR="009F4AD0" w:rsidRPr="000A40B5" w:rsidRDefault="007B5E66" w:rsidP="000A40B5">
      <w:pPr>
        <w:pStyle w:val="1"/>
        <w:numPr>
          <w:ilvl w:val="0"/>
          <w:numId w:val="0"/>
        </w:numPr>
        <w:spacing w:before="0" w:line="360" w:lineRule="auto"/>
        <w:jc w:val="right"/>
      </w:pPr>
      <w:proofErr w:type="spellStart"/>
      <w:r w:rsidRPr="000A40B5">
        <w:t>Mfundo</w:t>
      </w:r>
      <w:proofErr w:type="spellEnd"/>
      <w:r w:rsidRPr="000A40B5">
        <w:t xml:space="preserve"> </w:t>
      </w:r>
      <w:proofErr w:type="spellStart"/>
      <w:r w:rsidRPr="000A40B5">
        <w:t>Salukazana</w:t>
      </w:r>
      <w:proofErr w:type="spellEnd"/>
    </w:p>
    <w:p w:rsidR="009F4AD0" w:rsidRPr="008C0940" w:rsidRDefault="009F4AD0" w:rsidP="009F4AD0">
      <w:pPr>
        <w:pStyle w:val="1"/>
        <w:numPr>
          <w:ilvl w:val="0"/>
          <w:numId w:val="0"/>
        </w:numPr>
        <w:spacing w:before="0" w:line="240" w:lineRule="auto"/>
        <w:jc w:val="right"/>
        <w:rPr>
          <w:b/>
          <w:bCs/>
        </w:rPr>
      </w:pPr>
    </w:p>
    <w:p w:rsidR="009F4AD0" w:rsidRPr="006E370A" w:rsidRDefault="009F4AD0" w:rsidP="009F4AD0">
      <w:pPr>
        <w:keepNext/>
        <w:tabs>
          <w:tab w:val="right" w:pos="8364"/>
        </w:tabs>
        <w:jc w:val="right"/>
        <w:rPr>
          <w:rFonts w:cs="Arial"/>
        </w:rPr>
      </w:pPr>
      <w:r w:rsidRPr="006E370A">
        <w:rPr>
          <w:rFonts w:cs="Arial"/>
        </w:rPr>
        <w:t>Counsel for the South African Holocaust</w:t>
      </w:r>
    </w:p>
    <w:p w:rsidR="009F4AD0" w:rsidRDefault="009F4AD0" w:rsidP="009F4AD0">
      <w:pPr>
        <w:keepNext/>
        <w:tabs>
          <w:tab w:val="right" w:pos="8364"/>
        </w:tabs>
        <w:jc w:val="right"/>
        <w:rPr>
          <w:rFonts w:cs="Arial"/>
        </w:rPr>
      </w:pPr>
      <w:r w:rsidRPr="006E370A">
        <w:rPr>
          <w:rFonts w:cs="Arial"/>
        </w:rPr>
        <w:t>and Genocide Foundation</w:t>
      </w:r>
    </w:p>
    <w:p w:rsidR="007B5E66" w:rsidRPr="006E370A" w:rsidRDefault="007B5E66" w:rsidP="009F4AD0">
      <w:pPr>
        <w:keepNext/>
        <w:tabs>
          <w:tab w:val="right" w:pos="8364"/>
        </w:tabs>
        <w:jc w:val="right"/>
        <w:rPr>
          <w:rFonts w:cs="Arial"/>
        </w:rPr>
      </w:pPr>
    </w:p>
    <w:p w:rsidR="009F4AD0" w:rsidRDefault="009F4AD0" w:rsidP="009F4AD0">
      <w:pPr>
        <w:pStyle w:val="1"/>
        <w:numPr>
          <w:ilvl w:val="0"/>
          <w:numId w:val="0"/>
        </w:numPr>
        <w:spacing w:before="0" w:line="240" w:lineRule="auto"/>
        <w:jc w:val="right"/>
      </w:pPr>
      <w:r w:rsidRPr="00A4664C">
        <w:t xml:space="preserve">Chambers, </w:t>
      </w:r>
      <w:proofErr w:type="spellStart"/>
      <w:r w:rsidRPr="00A4664C">
        <w:t>Sandton</w:t>
      </w:r>
      <w:proofErr w:type="spellEnd"/>
    </w:p>
    <w:p w:rsidR="007B5E66" w:rsidRPr="00A4664C" w:rsidRDefault="007B5E66" w:rsidP="009F4AD0">
      <w:pPr>
        <w:pStyle w:val="1"/>
        <w:numPr>
          <w:ilvl w:val="0"/>
          <w:numId w:val="0"/>
        </w:numPr>
        <w:spacing w:before="0" w:line="240" w:lineRule="auto"/>
        <w:jc w:val="right"/>
      </w:pPr>
    </w:p>
    <w:p w:rsidR="009F4AD0" w:rsidRPr="00AF27D3" w:rsidRDefault="009F4AD0" w:rsidP="009F4AD0">
      <w:pPr>
        <w:pStyle w:val="1"/>
        <w:numPr>
          <w:ilvl w:val="0"/>
          <w:numId w:val="0"/>
        </w:numPr>
        <w:spacing w:before="0" w:line="240" w:lineRule="auto"/>
        <w:jc w:val="right"/>
      </w:pPr>
      <w:r>
        <w:t>9 April</w:t>
      </w:r>
      <w:r w:rsidRPr="00A4664C">
        <w:t xml:space="preserve"> 2020</w:t>
      </w:r>
    </w:p>
    <w:sectPr w:rsidR="009F4AD0" w:rsidRPr="00AF27D3" w:rsidSect="00871C3C">
      <w:footerReference w:type="default" r:id="rId8"/>
      <w:footerReference w:type="first" r:id="rId9"/>
      <w:pgSz w:w="11906" w:h="16838" w:code="9"/>
      <w:pgMar w:top="1440" w:right="1440" w:bottom="1440" w:left="1418"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4CBC" w:rsidRDefault="00974CBC" w:rsidP="00E84D4A">
      <w:r>
        <w:separator/>
      </w:r>
    </w:p>
  </w:endnote>
  <w:endnote w:type="continuationSeparator" w:id="0">
    <w:p w:rsidR="00974CBC" w:rsidRDefault="00974CBC" w:rsidP="00E84D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altName w:val="Palatino Linotype"/>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9655900"/>
      <w:docPartObj>
        <w:docPartGallery w:val="Page Numbers (Bottom of Page)"/>
        <w:docPartUnique/>
      </w:docPartObj>
    </w:sdtPr>
    <w:sdtEndPr>
      <w:rPr>
        <w:noProof/>
      </w:rPr>
    </w:sdtEndPr>
    <w:sdtContent>
      <w:p w:rsidR="001007B2" w:rsidRDefault="001007B2">
        <w:pPr>
          <w:pStyle w:val="Footer"/>
          <w:jc w:val="right"/>
        </w:pPr>
        <w:r>
          <w:fldChar w:fldCharType="begin"/>
        </w:r>
        <w:r>
          <w:instrText xml:space="preserve"> PAGE   \* MERGEFORMAT </w:instrText>
        </w:r>
        <w:r>
          <w:fldChar w:fldCharType="separate"/>
        </w:r>
        <w:r w:rsidR="00E06712">
          <w:rPr>
            <w:noProof/>
          </w:rPr>
          <w:t>18</w:t>
        </w:r>
        <w:r>
          <w:rPr>
            <w:noProof/>
          </w:rPr>
          <w:fldChar w:fldCharType="end"/>
        </w:r>
      </w:p>
    </w:sdtContent>
  </w:sdt>
  <w:p w:rsidR="001007B2" w:rsidRDefault="001007B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07B2" w:rsidRDefault="001007B2">
    <w:pPr>
      <w:pStyle w:val="Footer"/>
      <w:jc w:val="right"/>
    </w:pPr>
  </w:p>
  <w:p w:rsidR="001007B2" w:rsidRDefault="001007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4CBC" w:rsidRDefault="00974CBC" w:rsidP="00E84D4A">
      <w:r>
        <w:separator/>
      </w:r>
    </w:p>
  </w:footnote>
  <w:footnote w:type="continuationSeparator" w:id="0">
    <w:p w:rsidR="00974CBC" w:rsidRDefault="00974CBC" w:rsidP="00E84D4A">
      <w:r>
        <w:continuationSeparator/>
      </w:r>
    </w:p>
  </w:footnote>
  <w:footnote w:id="1">
    <w:p w:rsidR="00D96DBA" w:rsidRPr="00A130F3" w:rsidRDefault="00D96DBA" w:rsidP="00D96DBA">
      <w:pPr>
        <w:pStyle w:val="FootnoteText"/>
        <w:rPr>
          <w:lang w:val="en-US"/>
        </w:rPr>
      </w:pPr>
      <w:r>
        <w:rPr>
          <w:rStyle w:val="FootnoteReference"/>
        </w:rPr>
        <w:footnoteRef/>
      </w:r>
      <w:r>
        <w:t xml:space="preserve"> </w:t>
      </w:r>
      <w:r>
        <w:tab/>
      </w:r>
      <w:r w:rsidRPr="00A130F3">
        <w:t>Promotion of Equality and Prevention of Unfair Discrimination Act 4 of 2000</w:t>
      </w:r>
      <w:r w:rsidR="00581004">
        <w:t>.</w:t>
      </w:r>
    </w:p>
  </w:footnote>
  <w:footnote w:id="2">
    <w:p w:rsidR="001007B2" w:rsidRPr="0036366A" w:rsidRDefault="001007B2">
      <w:pPr>
        <w:pStyle w:val="FootnoteText"/>
        <w:rPr>
          <w:lang w:val="en-US"/>
        </w:rPr>
      </w:pPr>
      <w:r>
        <w:rPr>
          <w:rStyle w:val="FootnoteReference"/>
        </w:rPr>
        <w:footnoteRef/>
      </w:r>
      <w:r>
        <w:t xml:space="preserve"> </w:t>
      </w:r>
      <w:r>
        <w:rPr>
          <w:lang w:val="en-US"/>
        </w:rPr>
        <w:tab/>
      </w:r>
      <w:r>
        <w:t>C</w:t>
      </w:r>
      <w:r w:rsidRPr="0036366A">
        <w:t>ase number CCT14/2019</w:t>
      </w:r>
      <w:r w:rsidR="00581004">
        <w:t>.</w:t>
      </w:r>
    </w:p>
  </w:footnote>
  <w:footnote w:id="3">
    <w:p w:rsidR="001007B2" w:rsidRPr="00ED486C" w:rsidRDefault="001007B2" w:rsidP="00A760D7">
      <w:pPr>
        <w:pStyle w:val="FootnoteText"/>
        <w:rPr>
          <w:iCs/>
        </w:rPr>
      </w:pPr>
      <w:r>
        <w:rPr>
          <w:rStyle w:val="FootnoteReference"/>
        </w:rPr>
        <w:footnoteRef/>
      </w:r>
      <w:r>
        <w:t xml:space="preserve"> </w:t>
      </w:r>
      <w:r>
        <w:tab/>
      </w:r>
      <w:r w:rsidRPr="00ED486C">
        <w:rPr>
          <w:iCs/>
        </w:rPr>
        <w:t>The “prohibited grounds”, as defined in section 1, are</w:t>
      </w:r>
      <w:r w:rsidR="00D96DBA">
        <w:rPr>
          <w:iCs/>
        </w:rPr>
        <w:t>:</w:t>
      </w:r>
    </w:p>
    <w:p w:rsidR="001007B2" w:rsidRPr="00ED486C" w:rsidRDefault="001007B2">
      <w:pPr>
        <w:pStyle w:val="FootnoteText"/>
        <w:ind w:left="852"/>
        <w:rPr>
          <w:iCs/>
        </w:rPr>
      </w:pPr>
      <w:r w:rsidRPr="00ED486C">
        <w:rPr>
          <w:iCs/>
        </w:rPr>
        <w:t>“(a)</w:t>
      </w:r>
      <w:r w:rsidRPr="00ED486C">
        <w:rPr>
          <w:iCs/>
        </w:rPr>
        <w:tab/>
        <w:t>race, gender, sex, pregnancy, marital status, ethnic or social origin, colour, sexual orientation, age, disability, religion, conscience, belief, culture, language, birth and HIV/AIDS status; or</w:t>
      </w:r>
    </w:p>
    <w:p w:rsidR="001007B2" w:rsidRPr="00ED486C" w:rsidRDefault="001007B2" w:rsidP="00A760D7">
      <w:pPr>
        <w:pStyle w:val="FootnoteText"/>
        <w:ind w:left="852"/>
        <w:rPr>
          <w:iCs/>
        </w:rPr>
      </w:pPr>
      <w:r w:rsidRPr="00ED486C">
        <w:rPr>
          <w:iCs/>
        </w:rPr>
        <w:t>(b)</w:t>
      </w:r>
      <w:r w:rsidRPr="00ED486C">
        <w:rPr>
          <w:iCs/>
        </w:rPr>
        <w:tab/>
        <w:t>any other ground where discrimination based on that other ground</w:t>
      </w:r>
      <w:r w:rsidR="00581004">
        <w:rPr>
          <w:rFonts w:cs="Arial"/>
          <w:iCs/>
        </w:rPr>
        <w:t>—</w:t>
      </w:r>
    </w:p>
    <w:p w:rsidR="001007B2" w:rsidRPr="00ED486C" w:rsidRDefault="001007B2" w:rsidP="00871C3C">
      <w:pPr>
        <w:pStyle w:val="FootnoteText"/>
        <w:ind w:left="1004" w:hanging="152"/>
        <w:rPr>
          <w:iCs/>
        </w:rPr>
      </w:pPr>
      <w:r w:rsidRPr="00ED486C">
        <w:rPr>
          <w:iCs/>
        </w:rPr>
        <w:t>(i)</w:t>
      </w:r>
      <w:r w:rsidRPr="00ED486C">
        <w:rPr>
          <w:iCs/>
        </w:rPr>
        <w:tab/>
        <w:t>causes or perpetuates systemic disadvantage;</w:t>
      </w:r>
    </w:p>
    <w:p w:rsidR="001007B2" w:rsidRPr="00ED486C" w:rsidRDefault="001007B2" w:rsidP="00871C3C">
      <w:pPr>
        <w:pStyle w:val="FootnoteText"/>
        <w:ind w:left="1004" w:hanging="152"/>
        <w:rPr>
          <w:iCs/>
        </w:rPr>
      </w:pPr>
      <w:r w:rsidRPr="00ED486C">
        <w:rPr>
          <w:iCs/>
        </w:rPr>
        <w:t>(ii)</w:t>
      </w:r>
      <w:r w:rsidRPr="00ED486C">
        <w:rPr>
          <w:iCs/>
        </w:rPr>
        <w:tab/>
        <w:t>undermines human dignity; or</w:t>
      </w:r>
    </w:p>
    <w:p w:rsidR="001007B2" w:rsidRPr="00ED486C" w:rsidRDefault="001007B2" w:rsidP="00871C3C">
      <w:pPr>
        <w:pStyle w:val="FootnoteText"/>
        <w:ind w:left="1432" w:hanging="580"/>
        <w:rPr>
          <w:lang w:val="en-US"/>
        </w:rPr>
      </w:pPr>
      <w:r w:rsidRPr="00ED486C">
        <w:rPr>
          <w:iCs/>
        </w:rPr>
        <w:t>(iii)</w:t>
      </w:r>
      <w:r w:rsidRPr="00ED486C">
        <w:rPr>
          <w:iCs/>
        </w:rPr>
        <w:tab/>
        <w:t>adversely affects the equal enjoyment of a person</w:t>
      </w:r>
      <w:r w:rsidR="00D96DBA">
        <w:rPr>
          <w:iCs/>
        </w:rPr>
        <w:t>’</w:t>
      </w:r>
      <w:r w:rsidRPr="00ED486C">
        <w:rPr>
          <w:iCs/>
        </w:rPr>
        <w:t>s rights and freedoms in a serious manner that is comparable to discriminati</w:t>
      </w:r>
      <w:r>
        <w:rPr>
          <w:iCs/>
        </w:rPr>
        <w:t>on on a ground in paragraph (a)</w:t>
      </w:r>
      <w:r w:rsidR="00581004">
        <w:rPr>
          <w:iCs/>
        </w:rPr>
        <w:t>.</w:t>
      </w:r>
      <w:r>
        <w:rPr>
          <w:iCs/>
        </w:rPr>
        <w:t>”</w:t>
      </w:r>
    </w:p>
  </w:footnote>
  <w:footnote w:id="4">
    <w:p w:rsidR="001007B2" w:rsidRPr="00303D06" w:rsidRDefault="001007B2" w:rsidP="009645DD">
      <w:pPr>
        <w:pStyle w:val="FootnoteText"/>
        <w:rPr>
          <w:lang w:val="en-ZA"/>
        </w:rPr>
      </w:pPr>
      <w:r>
        <w:rPr>
          <w:rStyle w:val="FootnoteReference"/>
        </w:rPr>
        <w:footnoteRef/>
      </w:r>
      <w:r>
        <w:t xml:space="preserve"> </w:t>
      </w:r>
      <w:r>
        <w:rPr>
          <w:lang w:val="en-ZA"/>
        </w:rPr>
        <w:tab/>
      </w:r>
      <w:r w:rsidRPr="005F49E3">
        <w:rPr>
          <w:lang w:val="en-ZA"/>
        </w:rPr>
        <w:t xml:space="preserve">Section 9(2) of the Constitution requires Parliament to design measures to protect and advance persons disadvantaged by unfair discrimination.  Section 9(4) requires Parliament to enact legislation to prevent unfair discrimination. </w:t>
      </w:r>
      <w:r w:rsidR="00581004">
        <w:rPr>
          <w:lang w:val="en-ZA"/>
        </w:rPr>
        <w:t xml:space="preserve"> </w:t>
      </w:r>
      <w:r w:rsidRPr="005F49E3">
        <w:rPr>
          <w:lang w:val="en-ZA"/>
        </w:rPr>
        <w:t>That legislation is the Equality Act.</w:t>
      </w:r>
    </w:p>
  </w:footnote>
  <w:footnote w:id="5">
    <w:p w:rsidR="001007B2" w:rsidRPr="004C4B3E" w:rsidRDefault="001007B2" w:rsidP="00871C3C">
      <w:pPr>
        <w:pStyle w:val="FootnoteText"/>
      </w:pPr>
      <w:r w:rsidRPr="004C4B3E">
        <w:rPr>
          <w:rStyle w:val="FootnoteReference"/>
        </w:rPr>
        <w:footnoteRef/>
      </w:r>
      <w:r>
        <w:t xml:space="preserve"> </w:t>
      </w:r>
      <w:r>
        <w:tab/>
      </w:r>
      <w:r w:rsidRPr="004C4B3E">
        <w:rPr>
          <w:i/>
        </w:rPr>
        <w:t xml:space="preserve">Minister of Home Affairs and Another v </w:t>
      </w:r>
      <w:proofErr w:type="spellStart"/>
      <w:r w:rsidRPr="004C4B3E">
        <w:rPr>
          <w:i/>
        </w:rPr>
        <w:t>Fourie</w:t>
      </w:r>
      <w:proofErr w:type="spellEnd"/>
      <w:r w:rsidRPr="004C4B3E">
        <w:rPr>
          <w:i/>
        </w:rPr>
        <w:t xml:space="preserve"> and Another (Doctors for Life International and Others, Amici Curiae); Lesbian and Gay Equality Project and Others v Minister of Home Affairs and Others</w:t>
      </w:r>
      <w:r w:rsidRPr="004C4B3E">
        <w:t xml:space="preserve"> 2006 (1) SA 524 (CC) </w:t>
      </w:r>
      <w:r w:rsidRPr="00871C3C">
        <w:rPr>
          <w:lang w:val="en-ZA"/>
        </w:rPr>
        <w:t>paras</w:t>
      </w:r>
      <w:r w:rsidRPr="004C4B3E">
        <w:t xml:space="preserve"> 60–1</w:t>
      </w:r>
      <w:r w:rsidR="00581004">
        <w:t>.</w:t>
      </w:r>
    </w:p>
  </w:footnote>
  <w:footnote w:id="6">
    <w:p w:rsidR="001007B2" w:rsidRPr="00112E0D" w:rsidRDefault="001007B2" w:rsidP="004A1E77">
      <w:pPr>
        <w:pStyle w:val="FootnoteText"/>
        <w:rPr>
          <w:i/>
          <w:iCs/>
          <w:lang w:val="en-ZA"/>
        </w:rPr>
      </w:pPr>
      <w:r>
        <w:rPr>
          <w:rStyle w:val="FootnoteReference"/>
        </w:rPr>
        <w:footnoteRef/>
      </w:r>
      <w:r>
        <w:t xml:space="preserve"> </w:t>
      </w:r>
      <w:r>
        <w:rPr>
          <w:lang w:val="en-ZA"/>
        </w:rPr>
        <w:tab/>
      </w:r>
      <w:r w:rsidRPr="006E370A">
        <w:rPr>
          <w:rFonts w:cs="Arial"/>
          <w:i/>
          <w:szCs w:val="24"/>
        </w:rPr>
        <w:t>NM v Smith</w:t>
      </w:r>
      <w:r w:rsidR="00FF6EC2">
        <w:rPr>
          <w:rFonts w:cs="Arial"/>
          <w:i/>
          <w:szCs w:val="24"/>
        </w:rPr>
        <w:t xml:space="preserve"> and Others</w:t>
      </w:r>
      <w:r w:rsidRPr="006E370A">
        <w:rPr>
          <w:rFonts w:cs="Arial"/>
          <w:i/>
          <w:szCs w:val="24"/>
        </w:rPr>
        <w:t xml:space="preserve"> (Freedom of Expression Institute as Amicus Curiae)</w:t>
      </w:r>
      <w:r w:rsidRPr="006E370A">
        <w:rPr>
          <w:rFonts w:cs="Arial"/>
          <w:szCs w:val="24"/>
        </w:rPr>
        <w:t xml:space="preserve"> 2007 (5) SA 250 (CC) paras 49-5</w:t>
      </w:r>
      <w:r>
        <w:rPr>
          <w:rFonts w:cs="Arial"/>
          <w:szCs w:val="24"/>
        </w:rPr>
        <w:t>0</w:t>
      </w:r>
      <w:r w:rsidRPr="006E370A">
        <w:rPr>
          <w:rFonts w:cs="Arial"/>
          <w:szCs w:val="24"/>
        </w:rPr>
        <w:t>.</w:t>
      </w:r>
    </w:p>
  </w:footnote>
  <w:footnote w:id="7">
    <w:p w:rsidR="001007B2" w:rsidRPr="006E370A" w:rsidRDefault="001007B2" w:rsidP="00223085">
      <w:pPr>
        <w:pStyle w:val="FootnoteText"/>
      </w:pPr>
      <w:r w:rsidRPr="006E370A">
        <w:rPr>
          <w:rStyle w:val="FootnoteReference"/>
        </w:rPr>
        <w:footnoteRef/>
      </w:r>
      <w:r w:rsidRPr="006E370A">
        <w:t xml:space="preserve"> </w:t>
      </w:r>
      <w:r w:rsidRPr="006E370A">
        <w:tab/>
      </w:r>
      <w:proofErr w:type="spellStart"/>
      <w:r w:rsidRPr="006E370A">
        <w:t>SCA</w:t>
      </w:r>
      <w:proofErr w:type="spellEnd"/>
      <w:r w:rsidRPr="006E370A">
        <w:t xml:space="preserve"> judgment para 66.</w:t>
      </w:r>
    </w:p>
  </w:footnote>
  <w:footnote w:id="8">
    <w:p w:rsidR="001007B2" w:rsidRPr="00581004" w:rsidRDefault="001007B2" w:rsidP="00223085">
      <w:pPr>
        <w:pStyle w:val="FootnoteText"/>
        <w:rPr>
          <w:lang w:val="en-US"/>
        </w:rPr>
      </w:pPr>
      <w:r>
        <w:rPr>
          <w:rStyle w:val="FootnoteReference"/>
        </w:rPr>
        <w:footnoteRef/>
      </w:r>
      <w:r>
        <w:t xml:space="preserve"> </w:t>
      </w:r>
      <w:r>
        <w:rPr>
          <w:lang w:val="en-US"/>
        </w:rPr>
        <w:tab/>
      </w:r>
      <w:r w:rsidRPr="001007B2">
        <w:rPr>
          <w:i/>
          <w:lang w:val="en-US"/>
        </w:rPr>
        <w:t xml:space="preserve">South African Human Rights Commission v </w:t>
      </w:r>
      <w:proofErr w:type="spellStart"/>
      <w:r w:rsidRPr="001007B2">
        <w:rPr>
          <w:i/>
          <w:lang w:val="en-US"/>
        </w:rPr>
        <w:t>Khumalo</w:t>
      </w:r>
      <w:proofErr w:type="spellEnd"/>
      <w:r>
        <w:rPr>
          <w:lang w:val="en-US"/>
        </w:rPr>
        <w:t xml:space="preserve"> 2019 (1) SA 289 (</w:t>
      </w:r>
      <w:proofErr w:type="spellStart"/>
      <w:r>
        <w:rPr>
          <w:lang w:val="en-US"/>
        </w:rPr>
        <w:t>GJ</w:t>
      </w:r>
      <w:proofErr w:type="spellEnd"/>
      <w:r>
        <w:rPr>
          <w:lang w:val="en-US"/>
        </w:rPr>
        <w:t>) (“</w:t>
      </w:r>
      <w:proofErr w:type="spellStart"/>
      <w:r w:rsidRPr="001007B2">
        <w:rPr>
          <w:i/>
          <w:lang w:val="en-US"/>
        </w:rPr>
        <w:t>Khumalo</w:t>
      </w:r>
      <w:proofErr w:type="spellEnd"/>
      <w:r w:rsidRPr="00871C3C">
        <w:rPr>
          <w:lang w:val="en-US"/>
        </w:rPr>
        <w:t>”)</w:t>
      </w:r>
      <w:r w:rsidR="00581004">
        <w:rPr>
          <w:lang w:val="en-US"/>
        </w:rPr>
        <w:t>.</w:t>
      </w:r>
    </w:p>
  </w:footnote>
  <w:footnote w:id="9">
    <w:p w:rsidR="001007B2" w:rsidRPr="009E75F6" w:rsidRDefault="001007B2" w:rsidP="00223085">
      <w:pPr>
        <w:pStyle w:val="FootnoteText"/>
        <w:rPr>
          <w:lang w:val="en-US"/>
        </w:rPr>
      </w:pPr>
      <w:r>
        <w:rPr>
          <w:rStyle w:val="FootnoteReference"/>
        </w:rPr>
        <w:footnoteRef/>
      </w:r>
      <w:r>
        <w:t xml:space="preserve"> </w:t>
      </w:r>
      <w:r>
        <w:rPr>
          <w:lang w:val="en-US"/>
        </w:rPr>
        <w:tab/>
      </w:r>
      <w:proofErr w:type="spellStart"/>
      <w:r w:rsidRPr="001007B2">
        <w:rPr>
          <w:i/>
          <w:lang w:val="en-US"/>
        </w:rPr>
        <w:t>Khumalo</w:t>
      </w:r>
      <w:proofErr w:type="spellEnd"/>
      <w:r>
        <w:rPr>
          <w:lang w:val="en-US"/>
        </w:rPr>
        <w:t xml:space="preserve"> para</w:t>
      </w:r>
      <w:r w:rsidR="00581004">
        <w:rPr>
          <w:lang w:val="en-US"/>
        </w:rPr>
        <w:t xml:space="preserve"> </w:t>
      </w:r>
      <w:r>
        <w:rPr>
          <w:lang w:val="en-US"/>
        </w:rPr>
        <w:t>89</w:t>
      </w:r>
      <w:r w:rsidR="00581004">
        <w:rPr>
          <w:lang w:val="en-US"/>
        </w:rPr>
        <w:t>.</w:t>
      </w:r>
    </w:p>
  </w:footnote>
  <w:footnote w:id="10">
    <w:p w:rsidR="001007B2" w:rsidRPr="009E75F6" w:rsidRDefault="001007B2" w:rsidP="00223085">
      <w:pPr>
        <w:pStyle w:val="FootnoteText"/>
        <w:rPr>
          <w:lang w:val="en-US"/>
        </w:rPr>
      </w:pPr>
      <w:r>
        <w:rPr>
          <w:rStyle w:val="FootnoteReference"/>
        </w:rPr>
        <w:footnoteRef/>
      </w:r>
      <w:r>
        <w:t xml:space="preserve"> </w:t>
      </w:r>
      <w:r w:rsidRPr="001007B2">
        <w:rPr>
          <w:i/>
          <w:lang w:val="en-US"/>
        </w:rPr>
        <w:tab/>
      </w:r>
      <w:proofErr w:type="spellStart"/>
      <w:r w:rsidRPr="001007B2">
        <w:rPr>
          <w:i/>
          <w:lang w:val="en-US"/>
        </w:rPr>
        <w:t>Khumalo</w:t>
      </w:r>
      <w:proofErr w:type="spellEnd"/>
      <w:r>
        <w:rPr>
          <w:lang w:val="en-US"/>
        </w:rPr>
        <w:t xml:space="preserve"> para 88</w:t>
      </w:r>
      <w:r w:rsidR="00581004">
        <w:rPr>
          <w:lang w:val="en-US"/>
        </w:rPr>
        <w:t>.</w:t>
      </w:r>
    </w:p>
  </w:footnote>
  <w:footnote w:id="11">
    <w:p w:rsidR="001007B2" w:rsidRPr="00E86036" w:rsidRDefault="001007B2" w:rsidP="00223085">
      <w:pPr>
        <w:pStyle w:val="FootnoteText"/>
        <w:rPr>
          <w:lang w:val="en-US"/>
        </w:rPr>
      </w:pPr>
      <w:r>
        <w:rPr>
          <w:rStyle w:val="FootnoteReference"/>
        </w:rPr>
        <w:footnoteRef/>
      </w:r>
      <w:r>
        <w:t xml:space="preserve"> </w:t>
      </w:r>
      <w:r>
        <w:rPr>
          <w:lang w:val="en-US"/>
        </w:rPr>
        <w:tab/>
        <w:t xml:space="preserve">See, for example, </w:t>
      </w:r>
      <w:r w:rsidRPr="001007B2">
        <w:rPr>
          <w:i/>
          <w:lang w:val="en-US"/>
        </w:rPr>
        <w:t xml:space="preserve">Le Roux </w:t>
      </w:r>
      <w:r w:rsidR="004D77E6">
        <w:rPr>
          <w:i/>
          <w:lang w:val="en-US"/>
        </w:rPr>
        <w:t xml:space="preserve">and Others </w:t>
      </w:r>
      <w:r w:rsidRPr="001007B2">
        <w:rPr>
          <w:i/>
          <w:lang w:val="en-US"/>
        </w:rPr>
        <w:t xml:space="preserve">v </w:t>
      </w:r>
      <w:proofErr w:type="spellStart"/>
      <w:r w:rsidRPr="001007B2">
        <w:rPr>
          <w:i/>
          <w:lang w:val="en-US"/>
        </w:rPr>
        <w:t>Dey</w:t>
      </w:r>
      <w:proofErr w:type="spellEnd"/>
      <w:r w:rsidR="004D77E6">
        <w:rPr>
          <w:i/>
          <w:lang w:val="en-US"/>
        </w:rPr>
        <w:t xml:space="preserve"> </w:t>
      </w:r>
      <w:r>
        <w:rPr>
          <w:lang w:val="en-US"/>
        </w:rPr>
        <w:t xml:space="preserve"> </w:t>
      </w:r>
      <w:r w:rsidR="004D77E6" w:rsidRPr="004D77E6">
        <w:rPr>
          <w:lang w:val="en-US"/>
        </w:rPr>
        <w:t>(</w:t>
      </w:r>
      <w:r w:rsidR="004D77E6" w:rsidRPr="005C14B0">
        <w:rPr>
          <w:i/>
          <w:lang w:val="en-US"/>
        </w:rPr>
        <w:t>Freedom of Expression Institute and Restorative Justice Centre as amici curiae</w:t>
      </w:r>
      <w:r w:rsidR="004D77E6" w:rsidRPr="004D77E6">
        <w:rPr>
          <w:lang w:val="en-US"/>
        </w:rPr>
        <w:t xml:space="preserve">) </w:t>
      </w:r>
      <w:r>
        <w:rPr>
          <w:lang w:val="en-US"/>
        </w:rPr>
        <w:t xml:space="preserve">2011 (3) SA 274 (CC) para 89.  </w:t>
      </w:r>
    </w:p>
  </w:footnote>
  <w:footnote w:id="12">
    <w:p w:rsidR="001007B2" w:rsidRPr="00EC0874" w:rsidRDefault="001007B2" w:rsidP="004D5DF8">
      <w:pPr>
        <w:pStyle w:val="FootnoteText"/>
        <w:rPr>
          <w:lang w:val="en-ZA"/>
        </w:rPr>
      </w:pPr>
      <w:r>
        <w:rPr>
          <w:rStyle w:val="FootnoteReference"/>
        </w:rPr>
        <w:footnoteRef/>
      </w:r>
      <w:r>
        <w:t xml:space="preserve"> </w:t>
      </w:r>
      <w:r>
        <w:tab/>
      </w:r>
      <w:proofErr w:type="spellStart"/>
      <w:r>
        <w:t>SCA</w:t>
      </w:r>
      <w:proofErr w:type="spellEnd"/>
      <w:r>
        <w:t xml:space="preserve"> judgment para 64.</w:t>
      </w:r>
    </w:p>
  </w:footnote>
  <w:footnote w:id="13">
    <w:p w:rsidR="001007B2" w:rsidRPr="006E370A" w:rsidRDefault="001007B2" w:rsidP="007D5DCC">
      <w:pPr>
        <w:pStyle w:val="FootnoteText"/>
        <w:rPr>
          <w:rFonts w:cs="Arial"/>
          <w:szCs w:val="18"/>
          <w:lang w:val="en-ZA"/>
        </w:rPr>
      </w:pPr>
      <w:r w:rsidRPr="006E370A">
        <w:rPr>
          <w:rStyle w:val="FootnoteReference"/>
          <w:rFonts w:cs="Arial"/>
          <w:szCs w:val="18"/>
        </w:rPr>
        <w:footnoteRef/>
      </w:r>
      <w:r w:rsidRPr="006E370A">
        <w:rPr>
          <w:rFonts w:cs="Arial"/>
          <w:szCs w:val="18"/>
        </w:rPr>
        <w:t xml:space="preserve"> </w:t>
      </w:r>
      <w:r w:rsidRPr="006E370A">
        <w:rPr>
          <w:rFonts w:cs="Arial"/>
          <w:szCs w:val="18"/>
        </w:rPr>
        <w:tab/>
      </w:r>
      <w:r w:rsidRPr="006E370A">
        <w:rPr>
          <w:rFonts w:cs="Arial"/>
          <w:i/>
          <w:szCs w:val="18"/>
        </w:rPr>
        <w:t>Investigating Directorate: Serious Economic Offences v Hyundai Motor Distributors (Pty) Ltd</w:t>
      </w:r>
      <w:r w:rsidRPr="006E370A">
        <w:rPr>
          <w:rFonts w:cs="Arial"/>
          <w:szCs w:val="18"/>
        </w:rPr>
        <w:t xml:space="preserve"> 2001 (1) SA 545 (CC)</w:t>
      </w:r>
      <w:r>
        <w:rPr>
          <w:rFonts w:cs="Arial"/>
          <w:szCs w:val="18"/>
        </w:rPr>
        <w:t xml:space="preserve"> (“</w:t>
      </w:r>
      <w:r>
        <w:rPr>
          <w:rFonts w:cs="Arial"/>
          <w:i/>
          <w:iCs/>
          <w:szCs w:val="18"/>
        </w:rPr>
        <w:t>Hyundai</w:t>
      </w:r>
      <w:r>
        <w:rPr>
          <w:rFonts w:cs="Arial"/>
          <w:szCs w:val="18"/>
        </w:rPr>
        <w:t>”)</w:t>
      </w:r>
      <w:r w:rsidRPr="006E370A">
        <w:rPr>
          <w:rFonts w:cs="Arial"/>
          <w:szCs w:val="18"/>
        </w:rPr>
        <w:t xml:space="preserve"> para</w:t>
      </w:r>
      <w:r>
        <w:rPr>
          <w:rFonts w:cs="Arial"/>
          <w:szCs w:val="18"/>
        </w:rPr>
        <w:t>s</w:t>
      </w:r>
      <w:r w:rsidRPr="006E370A">
        <w:rPr>
          <w:rFonts w:cs="Arial"/>
          <w:szCs w:val="18"/>
        </w:rPr>
        <w:t xml:space="preserve"> 22-3</w:t>
      </w:r>
      <w:r>
        <w:rPr>
          <w:rFonts w:cs="Arial"/>
          <w:szCs w:val="18"/>
        </w:rPr>
        <w:t>.</w:t>
      </w:r>
    </w:p>
  </w:footnote>
  <w:footnote w:id="14">
    <w:p w:rsidR="001007B2" w:rsidRPr="006E370A" w:rsidRDefault="001007B2" w:rsidP="007D5DCC">
      <w:pPr>
        <w:pStyle w:val="FootnoteText"/>
        <w:rPr>
          <w:rFonts w:cs="Arial"/>
          <w:szCs w:val="18"/>
        </w:rPr>
      </w:pPr>
      <w:r w:rsidRPr="006E370A">
        <w:rPr>
          <w:rStyle w:val="FootnoteReference"/>
          <w:rFonts w:cs="Arial"/>
          <w:szCs w:val="18"/>
        </w:rPr>
        <w:footnoteRef/>
      </w:r>
      <w:r w:rsidRPr="006E370A">
        <w:rPr>
          <w:rFonts w:cs="Arial"/>
          <w:szCs w:val="18"/>
        </w:rPr>
        <w:t xml:space="preserve"> </w:t>
      </w:r>
      <w:r w:rsidRPr="006E370A">
        <w:rPr>
          <w:rFonts w:cs="Arial"/>
          <w:szCs w:val="18"/>
        </w:rPr>
        <w:tab/>
      </w:r>
      <w:r w:rsidRPr="00D734AD">
        <w:rPr>
          <w:rFonts w:cs="Arial"/>
          <w:i/>
          <w:szCs w:val="18"/>
        </w:rPr>
        <w:t xml:space="preserve">Laugh It Off Promotions CC v South African Breweries International (Finance) BV t/a </w:t>
      </w:r>
      <w:proofErr w:type="spellStart"/>
      <w:r w:rsidRPr="00D734AD">
        <w:rPr>
          <w:rFonts w:cs="Arial"/>
          <w:i/>
          <w:szCs w:val="18"/>
        </w:rPr>
        <w:t>Sabmark</w:t>
      </w:r>
      <w:proofErr w:type="spellEnd"/>
      <w:r w:rsidRPr="00D734AD">
        <w:rPr>
          <w:rFonts w:cs="Arial"/>
          <w:i/>
          <w:szCs w:val="18"/>
        </w:rPr>
        <w:t xml:space="preserve"> International</w:t>
      </w:r>
      <w:r w:rsidRPr="00D734AD">
        <w:rPr>
          <w:rFonts w:cs="Arial"/>
          <w:szCs w:val="18"/>
        </w:rPr>
        <w:t xml:space="preserve"> </w:t>
      </w:r>
      <w:r w:rsidRPr="006E370A">
        <w:rPr>
          <w:rFonts w:cs="Arial"/>
          <w:szCs w:val="18"/>
        </w:rPr>
        <w:t xml:space="preserve">2006 (1) SA 144 (CC) </w:t>
      </w:r>
      <w:r w:rsidRPr="00D734AD">
        <w:rPr>
          <w:rFonts w:cs="Arial"/>
          <w:szCs w:val="18"/>
        </w:rPr>
        <w:t xml:space="preserve">para 48.  See </w:t>
      </w:r>
      <w:r>
        <w:rPr>
          <w:rFonts w:cs="Arial"/>
          <w:szCs w:val="18"/>
        </w:rPr>
        <w:t xml:space="preserve">also </w:t>
      </w:r>
      <w:proofErr w:type="spellStart"/>
      <w:r w:rsidRPr="006E370A">
        <w:rPr>
          <w:rFonts w:cs="Arial"/>
          <w:bCs/>
          <w:i/>
          <w:szCs w:val="18"/>
        </w:rPr>
        <w:t>Khumalo</w:t>
      </w:r>
      <w:proofErr w:type="spellEnd"/>
      <w:r w:rsidRPr="006E370A">
        <w:rPr>
          <w:rFonts w:cs="Arial"/>
          <w:szCs w:val="18"/>
        </w:rPr>
        <w:t>.</w:t>
      </w:r>
    </w:p>
  </w:footnote>
  <w:footnote w:id="15">
    <w:p w:rsidR="00E752C0" w:rsidRDefault="00E752C0">
      <w:pPr>
        <w:pStyle w:val="FootnoteText"/>
      </w:pPr>
      <w:r>
        <w:rPr>
          <w:rStyle w:val="FootnoteReference"/>
        </w:rPr>
        <w:footnoteRef/>
      </w:r>
      <w:r>
        <w:t xml:space="preserve"> </w:t>
      </w:r>
      <w:r>
        <w:tab/>
      </w:r>
      <w:proofErr w:type="spellStart"/>
      <w:r>
        <w:t>SCA</w:t>
      </w:r>
      <w:proofErr w:type="spellEnd"/>
      <w:r>
        <w:t xml:space="preserve"> judgment para 64.</w:t>
      </w:r>
    </w:p>
  </w:footnote>
  <w:footnote w:id="16">
    <w:p w:rsidR="001007B2" w:rsidRPr="000D7236" w:rsidRDefault="001007B2">
      <w:pPr>
        <w:pStyle w:val="FootnoteText"/>
        <w:rPr>
          <w:lang w:val="en-US"/>
        </w:rPr>
      </w:pPr>
      <w:r>
        <w:rPr>
          <w:rStyle w:val="FootnoteReference"/>
        </w:rPr>
        <w:footnoteRef/>
      </w:r>
      <w:r>
        <w:t xml:space="preserve"> </w:t>
      </w:r>
      <w:r>
        <w:rPr>
          <w:lang w:val="en-US"/>
        </w:rPr>
        <w:tab/>
        <w:t xml:space="preserve">See </w:t>
      </w:r>
      <w:proofErr w:type="spellStart"/>
      <w:r w:rsidRPr="00871C3C">
        <w:rPr>
          <w:i/>
          <w:lang w:val="en-US"/>
        </w:rPr>
        <w:t>Khumalo</w:t>
      </w:r>
      <w:proofErr w:type="spellEnd"/>
      <w:r>
        <w:rPr>
          <w:lang w:val="en-US"/>
        </w:rPr>
        <w:t xml:space="preserve"> paras 81–3, where Sutherland J adopts a conjunctive reading </w:t>
      </w:r>
      <w:r w:rsidR="00B40695">
        <w:rPr>
          <w:lang w:val="en-US"/>
        </w:rPr>
        <w:t xml:space="preserve">and </w:t>
      </w:r>
      <w:r>
        <w:rPr>
          <w:lang w:val="en-US"/>
        </w:rPr>
        <w:t>notes the cases that have adopted a disjunctive meaning</w:t>
      </w:r>
      <w:r w:rsidR="00581004">
        <w:rPr>
          <w:lang w:val="en-US"/>
        </w:rPr>
        <w:t>.</w:t>
      </w:r>
    </w:p>
  </w:footnote>
  <w:footnote w:id="17">
    <w:p w:rsidR="000D232F" w:rsidRPr="000A40B5" w:rsidRDefault="000D232F">
      <w:pPr>
        <w:pStyle w:val="FootnoteText"/>
        <w:rPr>
          <w:lang w:val="en-ZA"/>
        </w:rPr>
      </w:pPr>
      <w:r>
        <w:rPr>
          <w:rStyle w:val="FootnoteReference"/>
        </w:rPr>
        <w:footnoteRef/>
      </w:r>
      <w:r>
        <w:t xml:space="preserve"> </w:t>
      </w:r>
      <w:r>
        <w:rPr>
          <w:lang w:val="en-ZA"/>
        </w:rPr>
        <w:tab/>
      </w:r>
      <w:r w:rsidR="00581004">
        <w:rPr>
          <w:lang w:val="en-ZA"/>
        </w:rPr>
        <w:t xml:space="preserve">Defined </w:t>
      </w:r>
      <w:r>
        <w:rPr>
          <w:lang w:val="en-ZA"/>
        </w:rPr>
        <w:t>in section 1(1) of the Equality Act</w:t>
      </w:r>
      <w:r w:rsidR="00581004">
        <w:rPr>
          <w:lang w:val="en-ZA"/>
        </w:rPr>
        <w:t>.</w:t>
      </w:r>
    </w:p>
  </w:footnote>
  <w:footnote w:id="18">
    <w:p w:rsidR="000D232F" w:rsidRPr="000A40B5" w:rsidRDefault="000D232F">
      <w:pPr>
        <w:pStyle w:val="FootnoteText"/>
        <w:rPr>
          <w:lang w:val="en-ZA"/>
        </w:rPr>
      </w:pPr>
      <w:r>
        <w:rPr>
          <w:rStyle w:val="FootnoteReference"/>
        </w:rPr>
        <w:footnoteRef/>
      </w:r>
      <w:r>
        <w:t xml:space="preserve"> </w:t>
      </w:r>
      <w:r>
        <w:rPr>
          <w:lang w:val="en-ZA"/>
        </w:rPr>
        <w:tab/>
      </w:r>
      <w:r w:rsidR="00581004">
        <w:rPr>
          <w:lang w:val="en-ZA"/>
        </w:rPr>
        <w:t>Race</w:t>
      </w:r>
      <w:r>
        <w:rPr>
          <w:lang w:val="en-ZA"/>
        </w:rPr>
        <w:t>, ethnicity, gender and religion</w:t>
      </w:r>
      <w:r w:rsidR="00581004">
        <w:rPr>
          <w:lang w:val="en-ZA"/>
        </w:rPr>
        <w:t>.</w:t>
      </w:r>
    </w:p>
  </w:footnote>
  <w:footnote w:id="19">
    <w:p w:rsidR="007B5E66" w:rsidRPr="000A40B5" w:rsidRDefault="007B5E66">
      <w:pPr>
        <w:pStyle w:val="FootnoteText"/>
        <w:rPr>
          <w:lang w:val="en-ZA"/>
        </w:rPr>
      </w:pPr>
      <w:r>
        <w:rPr>
          <w:rStyle w:val="FootnoteReference"/>
        </w:rPr>
        <w:footnoteRef/>
      </w:r>
      <w:r>
        <w:t xml:space="preserve"> </w:t>
      </w:r>
      <w:r>
        <w:rPr>
          <w:lang w:val="en-ZA"/>
        </w:rPr>
        <w:tab/>
        <w:t xml:space="preserve">Section 9(3) does not enumerate all the grounds of unfair discrimination but says that they include race, gender, sex, pregnancy, marital status, ethnic or social origin, colour, sexual orientation, age, disability, religion, conscience, belief, culture, language and </w:t>
      </w:r>
      <w:r w:rsidR="00581004">
        <w:rPr>
          <w:lang w:val="en-ZA"/>
        </w:rPr>
        <w:t>birth</w:t>
      </w:r>
      <w:r>
        <w:rPr>
          <w:lang w:val="en-ZA"/>
        </w:rPr>
        <w:t>.</w:t>
      </w:r>
    </w:p>
  </w:footnote>
  <w:footnote w:id="20">
    <w:p w:rsidR="001007B2" w:rsidRPr="000A40B5" w:rsidRDefault="001007B2" w:rsidP="00EF39E7">
      <w:pPr>
        <w:pStyle w:val="FootnoteText"/>
        <w:rPr>
          <w:i/>
          <w:iCs/>
          <w:lang w:val="en-ZA"/>
        </w:rPr>
      </w:pPr>
      <w:r>
        <w:rPr>
          <w:rStyle w:val="FootnoteReference"/>
        </w:rPr>
        <w:footnoteRef/>
      </w:r>
      <w:r>
        <w:t xml:space="preserve"> </w:t>
      </w:r>
      <w:r>
        <w:rPr>
          <w:lang w:val="en-ZA"/>
        </w:rPr>
        <w:tab/>
      </w:r>
      <w:r w:rsidR="00EF39E7">
        <w:rPr>
          <w:i/>
          <w:iCs/>
          <w:lang w:val="en-ZA"/>
        </w:rPr>
        <w:t xml:space="preserve">My Vote Counts v Speaker of the National Assembly </w:t>
      </w:r>
      <w:r w:rsidR="00EF39E7" w:rsidRPr="00871C3C">
        <w:rPr>
          <w:iCs/>
          <w:lang w:val="en-ZA"/>
        </w:rPr>
        <w:t>2016 (1) SA 132 (CC) para 155</w:t>
      </w:r>
      <w:r w:rsidR="00EF39E7">
        <w:rPr>
          <w:i/>
          <w:iCs/>
          <w:lang w:val="en-ZA"/>
        </w:rPr>
        <w:t xml:space="preserve">; </w:t>
      </w:r>
      <w:r w:rsidRPr="00662354">
        <w:rPr>
          <w:i/>
          <w:iCs/>
          <w:lang w:val="en-ZA"/>
        </w:rPr>
        <w:t>My Vote Counts NPC v Minister of Justice and Correctional Services</w:t>
      </w:r>
      <w:r w:rsidR="007343D0">
        <w:rPr>
          <w:i/>
          <w:iCs/>
          <w:lang w:val="en-ZA"/>
        </w:rPr>
        <w:t xml:space="preserve"> and Another</w:t>
      </w:r>
      <w:r w:rsidRPr="00662354">
        <w:rPr>
          <w:i/>
          <w:iCs/>
          <w:lang w:val="en-ZA"/>
        </w:rPr>
        <w:t xml:space="preserve"> </w:t>
      </w:r>
      <w:r w:rsidRPr="006C6E81">
        <w:rPr>
          <w:lang w:val="en-ZA"/>
        </w:rPr>
        <w:t>2018 (5) SA 380 (CC)</w:t>
      </w:r>
      <w:r>
        <w:rPr>
          <w:lang w:val="en-ZA"/>
        </w:rPr>
        <w:t xml:space="preserve"> para </w:t>
      </w:r>
      <w:r w:rsidR="00EF39E7">
        <w:rPr>
          <w:lang w:val="en-ZA"/>
        </w:rPr>
        <w:t>79</w:t>
      </w:r>
      <w:r>
        <w:t>.</w:t>
      </w:r>
    </w:p>
  </w:footnote>
  <w:footnote w:id="21">
    <w:p w:rsidR="001007B2" w:rsidRPr="001007B2" w:rsidRDefault="001007B2" w:rsidP="001007B2">
      <w:pPr>
        <w:pStyle w:val="FootnoteText"/>
        <w:rPr>
          <w:lang w:val="en-ZA"/>
        </w:rPr>
      </w:pPr>
      <w:r>
        <w:rPr>
          <w:rStyle w:val="FootnoteReference"/>
        </w:rPr>
        <w:footnoteRef/>
      </w:r>
      <w:r>
        <w:t xml:space="preserve"> </w:t>
      </w:r>
      <w:r>
        <w:rPr>
          <w:lang w:val="en-US"/>
        </w:rPr>
        <w:tab/>
      </w:r>
      <w:r w:rsidRPr="007F6031">
        <w:rPr>
          <w:i/>
          <w:iCs/>
          <w:lang w:val="en-ZA"/>
        </w:rPr>
        <w:t>Law Society of South Africa v Minister of Transport </w:t>
      </w:r>
      <w:r w:rsidRPr="007F6031">
        <w:rPr>
          <w:lang w:val="en-ZA"/>
        </w:rPr>
        <w:t>2011 (1) SA 400 (CC)</w:t>
      </w:r>
      <w:r>
        <w:rPr>
          <w:lang w:val="en-ZA"/>
        </w:rPr>
        <w:t xml:space="preserve"> para 35</w:t>
      </w:r>
      <w:r w:rsidR="00391C80">
        <w:rPr>
          <w:lang w:val="en-ZA"/>
        </w:rPr>
        <w:t>.</w:t>
      </w:r>
    </w:p>
  </w:footnote>
  <w:footnote w:id="22">
    <w:p w:rsidR="001007B2" w:rsidRPr="004C4B3E" w:rsidRDefault="001007B2" w:rsidP="00251F7F">
      <w:pPr>
        <w:pStyle w:val="FootnoteText"/>
        <w:spacing w:line="276" w:lineRule="auto"/>
        <w:rPr>
          <w:lang w:val="en-US"/>
        </w:rPr>
      </w:pPr>
      <w:r w:rsidRPr="004C4B3E">
        <w:rPr>
          <w:rStyle w:val="FootnoteReference"/>
        </w:rPr>
        <w:footnoteRef/>
      </w:r>
      <w:r w:rsidRPr="004C4B3E">
        <w:t xml:space="preserve"> </w:t>
      </w:r>
      <w:r w:rsidRPr="004C4B3E">
        <w:tab/>
      </w:r>
      <w:r w:rsidRPr="006B380E">
        <w:rPr>
          <w:bCs/>
          <w:i/>
        </w:rPr>
        <w:t>Islamic Unity Convention v Independent Broadcasting Authority</w:t>
      </w:r>
      <w:r>
        <w:rPr>
          <w:bCs/>
        </w:rPr>
        <w:t xml:space="preserve"> 2002 (4) SA 294</w:t>
      </w:r>
      <w:r w:rsidR="00581004">
        <w:rPr>
          <w:bCs/>
        </w:rPr>
        <w:t xml:space="preserve"> (CC)</w:t>
      </w:r>
      <w:r>
        <w:rPr>
          <w:bCs/>
        </w:rPr>
        <w:t xml:space="preserve"> </w:t>
      </w:r>
      <w:r w:rsidRPr="004C4B3E">
        <w:rPr>
          <w:bCs/>
        </w:rPr>
        <w:t>para 34.</w:t>
      </w:r>
    </w:p>
  </w:footnote>
  <w:footnote w:id="23">
    <w:p w:rsidR="001007B2" w:rsidRPr="004C4B3E" w:rsidRDefault="001007B2" w:rsidP="00251F7F">
      <w:pPr>
        <w:pStyle w:val="FootnoteText"/>
      </w:pPr>
      <w:r w:rsidRPr="004C4B3E">
        <w:rPr>
          <w:rStyle w:val="FootnoteReference"/>
        </w:rPr>
        <w:footnoteRef/>
      </w:r>
      <w:r w:rsidRPr="004C4B3E">
        <w:t xml:space="preserve"> </w:t>
      </w:r>
      <w:r w:rsidRPr="004C4B3E">
        <w:tab/>
      </w:r>
      <w:r w:rsidRPr="004C4B3E">
        <w:rPr>
          <w:bCs/>
          <w:i/>
        </w:rPr>
        <w:t>Islamic Unity Convention</w:t>
      </w:r>
      <w:r w:rsidRPr="004C4B3E">
        <w:rPr>
          <w:bCs/>
        </w:rPr>
        <w:t xml:space="preserve"> para 30.</w:t>
      </w:r>
    </w:p>
  </w:footnote>
  <w:footnote w:id="24">
    <w:p w:rsidR="001007B2" w:rsidRPr="006E370A" w:rsidRDefault="001007B2" w:rsidP="007C38AC">
      <w:pPr>
        <w:pStyle w:val="FootnoteText"/>
      </w:pPr>
      <w:r w:rsidRPr="006E370A">
        <w:rPr>
          <w:rStyle w:val="FootnoteReference"/>
        </w:rPr>
        <w:footnoteRef/>
      </w:r>
      <w:r w:rsidRPr="006E370A">
        <w:t xml:space="preserve"> </w:t>
      </w:r>
      <w:r w:rsidRPr="006E370A">
        <w:tab/>
        <w:t xml:space="preserve">See </w:t>
      </w:r>
      <w:proofErr w:type="spellStart"/>
      <w:r w:rsidRPr="006E370A">
        <w:rPr>
          <w:rFonts w:cs="Arial"/>
          <w:i/>
          <w:szCs w:val="24"/>
        </w:rPr>
        <w:t>Johncom</w:t>
      </w:r>
      <w:proofErr w:type="spellEnd"/>
      <w:r w:rsidRPr="006E370A">
        <w:rPr>
          <w:rFonts w:cs="Arial"/>
          <w:i/>
          <w:szCs w:val="24"/>
        </w:rPr>
        <w:t xml:space="preserve"> Media Investments Limited v M and Others</w:t>
      </w:r>
      <w:r w:rsidRPr="006E370A">
        <w:rPr>
          <w:rFonts w:cs="Arial"/>
          <w:szCs w:val="24"/>
        </w:rPr>
        <w:t xml:space="preserve"> 2009 (4) SA 7 (CC</w:t>
      </w:r>
      <w:r>
        <w:rPr>
          <w:rFonts w:cs="Arial"/>
          <w:szCs w:val="24"/>
        </w:rPr>
        <w:t>) paras 24-5</w:t>
      </w:r>
      <w:r w:rsidRPr="006E370A">
        <w:rPr>
          <w:rFonts w:cs="Arial"/>
          <w:szCs w:val="24"/>
        </w:rPr>
        <w:t>;</w:t>
      </w:r>
      <w:r w:rsidRPr="006E370A">
        <w:rPr>
          <w:rFonts w:cs="Arial"/>
          <w:i/>
          <w:szCs w:val="24"/>
        </w:rPr>
        <w:t xml:space="preserve"> Christian Education South Africa v Minister of Education</w:t>
      </w:r>
      <w:r w:rsidRPr="006E370A">
        <w:rPr>
          <w:rFonts w:cs="Arial"/>
          <w:szCs w:val="24"/>
        </w:rPr>
        <w:t xml:space="preserve"> 2000 (4) SA 757 (CC) paras 29-31</w:t>
      </w:r>
      <w:r>
        <w:rPr>
          <w:rFonts w:cs="Arial"/>
          <w:szCs w:val="24"/>
        </w:rPr>
        <w:t>.</w:t>
      </w:r>
    </w:p>
  </w:footnote>
  <w:footnote w:id="25">
    <w:p w:rsidR="001007B2" w:rsidRPr="004C4B3E" w:rsidRDefault="001007B2" w:rsidP="00FE441C">
      <w:pPr>
        <w:pStyle w:val="FootnoteText"/>
      </w:pPr>
      <w:r w:rsidRPr="004C4B3E">
        <w:rPr>
          <w:rStyle w:val="FootnoteReference"/>
        </w:rPr>
        <w:footnoteRef/>
      </w:r>
      <w:r w:rsidRPr="004C4B3E">
        <w:t xml:space="preserve"> </w:t>
      </w:r>
      <w:r w:rsidRPr="004C4B3E">
        <w:tab/>
        <w:t>Schedule 6 to the Constitution item 23(1).</w:t>
      </w:r>
    </w:p>
  </w:footnote>
  <w:footnote w:id="26">
    <w:p w:rsidR="001007B2" w:rsidRPr="002D5CDD" w:rsidRDefault="001007B2">
      <w:pPr>
        <w:pStyle w:val="FootnoteText"/>
        <w:rPr>
          <w:lang w:val="en-US"/>
        </w:rPr>
      </w:pPr>
      <w:r>
        <w:rPr>
          <w:rStyle w:val="FootnoteReference"/>
        </w:rPr>
        <w:footnoteRef/>
      </w:r>
      <w:r>
        <w:t xml:space="preserve"> </w:t>
      </w:r>
      <w:r>
        <w:rPr>
          <w:lang w:val="en-US"/>
        </w:rPr>
        <w:tab/>
      </w:r>
      <w:proofErr w:type="spellStart"/>
      <w:r>
        <w:rPr>
          <w:lang w:val="en-US"/>
        </w:rPr>
        <w:t>SCA</w:t>
      </w:r>
      <w:proofErr w:type="spellEnd"/>
      <w:r>
        <w:rPr>
          <w:lang w:val="en-US"/>
        </w:rPr>
        <w:t xml:space="preserve"> judgment para 78.</w:t>
      </w:r>
    </w:p>
  </w:footnote>
  <w:footnote w:id="27">
    <w:p w:rsidR="001007B2" w:rsidRPr="006670D3" w:rsidRDefault="001007B2">
      <w:pPr>
        <w:pStyle w:val="FootnoteText"/>
        <w:rPr>
          <w:lang w:val="en-US"/>
        </w:rPr>
      </w:pPr>
      <w:r>
        <w:rPr>
          <w:rStyle w:val="FootnoteReference"/>
        </w:rPr>
        <w:footnoteRef/>
      </w:r>
      <w:r>
        <w:t xml:space="preserve"> </w:t>
      </w:r>
      <w:r>
        <w:rPr>
          <w:lang w:val="en-US"/>
        </w:rPr>
        <w:tab/>
      </w:r>
      <w:r w:rsidRPr="008272DB">
        <w:rPr>
          <w:i/>
          <w:lang w:val="en-US"/>
        </w:rPr>
        <w:t xml:space="preserve">S v </w:t>
      </w:r>
      <w:proofErr w:type="spellStart"/>
      <w:r w:rsidRPr="008272DB">
        <w:rPr>
          <w:i/>
          <w:lang w:val="en-US"/>
        </w:rPr>
        <w:t>Makwanyan</w:t>
      </w:r>
      <w:r w:rsidR="00324614">
        <w:rPr>
          <w:i/>
          <w:lang w:val="en-US"/>
        </w:rPr>
        <w:t>e</w:t>
      </w:r>
      <w:proofErr w:type="spellEnd"/>
      <w:r>
        <w:rPr>
          <w:lang w:val="en-US"/>
        </w:rPr>
        <w:t xml:space="preserve"> 1995 (3) SA 391 </w:t>
      </w:r>
      <w:r w:rsidR="00581004">
        <w:rPr>
          <w:lang w:val="en-US"/>
        </w:rPr>
        <w:t>(</w:t>
      </w:r>
      <w:r>
        <w:rPr>
          <w:lang w:val="en-US"/>
        </w:rPr>
        <w:t>CC</w:t>
      </w:r>
      <w:r w:rsidR="00581004">
        <w:rPr>
          <w:lang w:val="en-US"/>
        </w:rPr>
        <w:t>)</w:t>
      </w:r>
      <w:r>
        <w:rPr>
          <w:lang w:val="en-US"/>
        </w:rPr>
        <w:t xml:space="preserve"> para 104</w:t>
      </w:r>
      <w:r w:rsidR="00581004">
        <w:rPr>
          <w:lang w:val="en-US"/>
        </w:rPr>
        <w:t>.</w:t>
      </w:r>
    </w:p>
  </w:footnote>
  <w:footnote w:id="28">
    <w:p w:rsidR="001007B2" w:rsidRPr="001370B7" w:rsidRDefault="001007B2" w:rsidP="00D7186E">
      <w:pPr>
        <w:pStyle w:val="FootnoteText"/>
        <w:rPr>
          <w:lang w:val="en-ZA"/>
        </w:rPr>
      </w:pPr>
      <w:r>
        <w:rPr>
          <w:rStyle w:val="FootnoteReference"/>
        </w:rPr>
        <w:footnoteRef/>
      </w:r>
      <w:r>
        <w:t xml:space="preserve"> </w:t>
      </w:r>
      <w:r>
        <w:rPr>
          <w:lang w:val="en-ZA"/>
        </w:rPr>
        <w:tab/>
        <w:t>Section 172(1)(a) of the Constitution.</w:t>
      </w:r>
    </w:p>
  </w:footnote>
  <w:footnote w:id="29">
    <w:p w:rsidR="001007B2" w:rsidRPr="00444BED" w:rsidRDefault="001007B2" w:rsidP="00D7186E">
      <w:pPr>
        <w:pStyle w:val="FootnoteText"/>
        <w:rPr>
          <w:lang w:val="en-ZA"/>
        </w:rPr>
      </w:pPr>
      <w:r>
        <w:rPr>
          <w:rStyle w:val="FootnoteReference"/>
        </w:rPr>
        <w:footnoteRef/>
      </w:r>
      <w:r>
        <w:t xml:space="preserve"> </w:t>
      </w:r>
      <w:r>
        <w:rPr>
          <w:lang w:val="en-ZA"/>
        </w:rPr>
        <w:tab/>
        <w:t>Section 172(1)(b) of the Constitution.</w:t>
      </w:r>
    </w:p>
  </w:footnote>
  <w:footnote w:id="30">
    <w:p w:rsidR="001007B2" w:rsidRPr="000E6F91" w:rsidRDefault="001007B2" w:rsidP="00DE1438">
      <w:pPr>
        <w:pStyle w:val="FootnoteText"/>
        <w:rPr>
          <w:lang w:val="en-ZA"/>
        </w:rPr>
      </w:pPr>
      <w:r>
        <w:rPr>
          <w:rStyle w:val="FootnoteReference"/>
        </w:rPr>
        <w:footnoteRef/>
      </w:r>
      <w:r>
        <w:t xml:space="preserve"> </w:t>
      </w:r>
      <w:r>
        <w:rPr>
          <w:lang w:val="en-ZA"/>
        </w:rPr>
        <w:tab/>
      </w:r>
      <w:r>
        <w:rPr>
          <w:i/>
          <w:iCs/>
          <w:lang w:val="en-ZA"/>
        </w:rPr>
        <w:t xml:space="preserve">Herbert </w:t>
      </w:r>
      <w:r w:rsidRPr="00825525">
        <w:rPr>
          <w:i/>
          <w:iCs/>
          <w:lang w:val="en-ZA"/>
        </w:rPr>
        <w:t>NO</w:t>
      </w:r>
      <w:r w:rsidRPr="00BD3198">
        <w:rPr>
          <w:lang w:val="en-ZA"/>
        </w:rPr>
        <w:t xml:space="preserve"> </w:t>
      </w:r>
      <w:r w:rsidRPr="000E6F91">
        <w:rPr>
          <w:i/>
          <w:iCs/>
          <w:lang w:val="en-ZA"/>
        </w:rPr>
        <w:t xml:space="preserve">and Others v </w:t>
      </w:r>
      <w:proofErr w:type="spellStart"/>
      <w:r w:rsidRPr="000E6F91">
        <w:rPr>
          <w:i/>
          <w:iCs/>
          <w:lang w:val="en-ZA"/>
        </w:rPr>
        <w:t>Senqu</w:t>
      </w:r>
      <w:proofErr w:type="spellEnd"/>
      <w:r w:rsidRPr="000E6F91">
        <w:rPr>
          <w:i/>
          <w:iCs/>
          <w:lang w:val="en-ZA"/>
        </w:rPr>
        <w:t xml:space="preserve"> Municipality and Others</w:t>
      </w:r>
      <w:r w:rsidRPr="000E6F91">
        <w:rPr>
          <w:lang w:val="en-ZA"/>
        </w:rPr>
        <w:t xml:space="preserve"> </w:t>
      </w:r>
      <w:r w:rsidRPr="00BD3198">
        <w:rPr>
          <w:lang w:val="en-ZA"/>
        </w:rPr>
        <w:t>2019 (6) SA 231 (CC</w:t>
      </w:r>
      <w:r>
        <w:rPr>
          <w:lang w:val="en-ZA"/>
        </w:rPr>
        <w:t>) (“</w:t>
      </w:r>
      <w:r>
        <w:rPr>
          <w:i/>
          <w:iCs/>
          <w:lang w:val="en-ZA"/>
        </w:rPr>
        <w:t>Herbert</w:t>
      </w:r>
      <w:r>
        <w:rPr>
          <w:lang w:val="en-ZA"/>
        </w:rPr>
        <w:t>”) para 40.</w:t>
      </w:r>
      <w:r w:rsidRPr="00DE1438">
        <w:rPr>
          <w:lang w:val="en-ZA"/>
        </w:rPr>
        <w:t xml:space="preserve"> </w:t>
      </w:r>
      <w:r w:rsidR="00581004">
        <w:rPr>
          <w:lang w:val="en-ZA"/>
        </w:rPr>
        <w:t xml:space="preserve"> </w:t>
      </w:r>
      <w:r>
        <w:rPr>
          <w:lang w:val="en-ZA"/>
        </w:rPr>
        <w:t>And s</w:t>
      </w:r>
      <w:r w:rsidRPr="004D19EA">
        <w:rPr>
          <w:lang w:val="en-ZA"/>
        </w:rPr>
        <w:t>ee, for e</w:t>
      </w:r>
      <w:r>
        <w:rPr>
          <w:lang w:val="en-ZA"/>
        </w:rPr>
        <w:t>xample,</w:t>
      </w:r>
      <w:r w:rsidRPr="004D19EA">
        <w:rPr>
          <w:lang w:val="en-ZA"/>
        </w:rPr>
        <w:t xml:space="preserve"> </w:t>
      </w:r>
      <w:r w:rsidRPr="004D19EA">
        <w:rPr>
          <w:i/>
          <w:iCs/>
          <w:lang w:val="en-ZA"/>
        </w:rPr>
        <w:t xml:space="preserve">Minister of Home Affairs and Another v </w:t>
      </w:r>
      <w:proofErr w:type="spellStart"/>
      <w:r w:rsidRPr="004D19EA">
        <w:rPr>
          <w:i/>
          <w:iCs/>
          <w:lang w:val="en-ZA"/>
        </w:rPr>
        <w:t>Fourie</w:t>
      </w:r>
      <w:proofErr w:type="spellEnd"/>
      <w:r w:rsidRPr="004D19EA">
        <w:rPr>
          <w:i/>
          <w:iCs/>
          <w:lang w:val="en-ZA"/>
        </w:rPr>
        <w:t xml:space="preserve"> and Another; Lesbian and Gay Equality Project and Others v Minister of Home Affairs and Others</w:t>
      </w:r>
      <w:r w:rsidRPr="004D19EA">
        <w:rPr>
          <w:lang w:val="en-ZA"/>
        </w:rPr>
        <w:t xml:space="preserve"> 2006 (1) SA 524 (CC); </w:t>
      </w:r>
      <w:r w:rsidRPr="004D19EA">
        <w:rPr>
          <w:i/>
          <w:iCs/>
          <w:lang w:val="en-ZA"/>
        </w:rPr>
        <w:t>Doctors for Life International v Speaker of the National Assembly and Others</w:t>
      </w:r>
      <w:r w:rsidRPr="004D19EA">
        <w:rPr>
          <w:lang w:val="en-ZA"/>
        </w:rPr>
        <w:t xml:space="preserve"> 2006 (6) SA 416 (CC); </w:t>
      </w:r>
      <w:r w:rsidRPr="004D19EA">
        <w:rPr>
          <w:i/>
          <w:iCs/>
          <w:lang w:val="en-ZA"/>
        </w:rPr>
        <w:t xml:space="preserve">Premier, Limpopo Province v Speaker of the Limpopo Provincial Legislature </w:t>
      </w:r>
      <w:r w:rsidR="00C85ADB">
        <w:rPr>
          <w:i/>
          <w:iCs/>
          <w:lang w:val="en-ZA"/>
        </w:rPr>
        <w:t>and</w:t>
      </w:r>
      <w:r w:rsidR="00C85ADB" w:rsidRPr="004D19EA">
        <w:rPr>
          <w:i/>
          <w:iCs/>
          <w:lang w:val="en-ZA"/>
        </w:rPr>
        <w:t xml:space="preserve"> </w:t>
      </w:r>
      <w:r w:rsidRPr="004D19EA">
        <w:rPr>
          <w:i/>
          <w:iCs/>
          <w:lang w:val="en-ZA"/>
        </w:rPr>
        <w:t>Other</w:t>
      </w:r>
      <w:r w:rsidRPr="004D19EA">
        <w:rPr>
          <w:lang w:val="en-ZA"/>
        </w:rPr>
        <w:t>s 2012 (4) SA 58 (CC)</w:t>
      </w:r>
      <w:r>
        <w:rPr>
          <w:lang w:val="en-ZA"/>
        </w:rPr>
        <w:t xml:space="preserve">; </w:t>
      </w:r>
      <w:proofErr w:type="spellStart"/>
      <w:r>
        <w:rPr>
          <w:i/>
          <w:iCs/>
          <w:lang w:val="en-ZA"/>
        </w:rPr>
        <w:t>Gaertner</w:t>
      </w:r>
      <w:proofErr w:type="spellEnd"/>
      <w:r>
        <w:rPr>
          <w:i/>
          <w:iCs/>
          <w:lang w:val="en-ZA"/>
        </w:rPr>
        <w:t xml:space="preserve"> and Others v Minister of Finance and Others </w:t>
      </w:r>
      <w:r w:rsidRPr="003D657F">
        <w:rPr>
          <w:lang w:val="en-ZA"/>
        </w:rPr>
        <w:t>2014 (1) SA 442 (CC)</w:t>
      </w:r>
      <w:r>
        <w:rPr>
          <w:lang w:val="en-ZA"/>
        </w:rPr>
        <w:t>;</w:t>
      </w:r>
      <w:r w:rsidR="0025663D" w:rsidRPr="0025663D">
        <w:t xml:space="preserve"> </w:t>
      </w:r>
      <w:proofErr w:type="spellStart"/>
      <w:r w:rsidR="0025663D" w:rsidRPr="005C14B0">
        <w:rPr>
          <w:i/>
          <w:lang w:val="en-ZA"/>
        </w:rPr>
        <w:t>Levenstein</w:t>
      </w:r>
      <w:proofErr w:type="spellEnd"/>
      <w:r w:rsidR="0025663D" w:rsidRPr="005C14B0">
        <w:rPr>
          <w:i/>
          <w:lang w:val="en-ZA"/>
        </w:rPr>
        <w:t xml:space="preserve"> and Others v Estate of the Late Sidney Lewis Frankel and Others</w:t>
      </w:r>
      <w:r>
        <w:rPr>
          <w:lang w:val="en-ZA"/>
        </w:rPr>
        <w:t xml:space="preserve"> </w:t>
      </w:r>
      <w:r w:rsidRPr="00D96C6E">
        <w:rPr>
          <w:lang w:val="en-ZA"/>
        </w:rPr>
        <w:t xml:space="preserve">2018 (8) </w:t>
      </w:r>
      <w:proofErr w:type="spellStart"/>
      <w:r w:rsidRPr="00D96C6E">
        <w:rPr>
          <w:lang w:val="en-ZA"/>
        </w:rPr>
        <w:t>BCLR</w:t>
      </w:r>
      <w:proofErr w:type="spellEnd"/>
      <w:r w:rsidRPr="00D96C6E">
        <w:rPr>
          <w:lang w:val="en-ZA"/>
        </w:rPr>
        <w:t xml:space="preserve"> 921 (CC)</w:t>
      </w:r>
      <w:r>
        <w:rPr>
          <w:lang w:val="en-ZA"/>
        </w:rPr>
        <w:t xml:space="preserve">; </w:t>
      </w:r>
      <w:r>
        <w:rPr>
          <w:i/>
          <w:iCs/>
          <w:lang w:val="en-ZA"/>
        </w:rPr>
        <w:t>Minister of Justice and Constitutional Development and Others v Prince and Others</w:t>
      </w:r>
      <w:r w:rsidRPr="005F4DE0">
        <w:rPr>
          <w:lang w:val="en-ZA"/>
        </w:rPr>
        <w:t xml:space="preserve"> 2018 (6) SA 393 (CC)</w:t>
      </w:r>
      <w:r>
        <w:rPr>
          <w:lang w:val="en-ZA"/>
        </w:rPr>
        <w:t xml:space="preserve">; </w:t>
      </w:r>
      <w:proofErr w:type="spellStart"/>
      <w:r>
        <w:rPr>
          <w:i/>
          <w:iCs/>
        </w:rPr>
        <w:t>Nandutu</w:t>
      </w:r>
      <w:proofErr w:type="spellEnd"/>
      <w:r>
        <w:rPr>
          <w:i/>
          <w:iCs/>
        </w:rPr>
        <w:t xml:space="preserve"> and Others v Minister of Home Affairs and Others </w:t>
      </w:r>
      <w:r w:rsidRPr="008C5358">
        <w:t>2019 (5) SA 325 (CC)</w:t>
      </w:r>
      <w:r>
        <w:t xml:space="preserve"> (“</w:t>
      </w:r>
      <w:proofErr w:type="spellStart"/>
      <w:r>
        <w:rPr>
          <w:i/>
          <w:iCs/>
        </w:rPr>
        <w:t>Nandutu</w:t>
      </w:r>
      <w:proofErr w:type="spellEnd"/>
      <w:r>
        <w:t xml:space="preserve">”); </w:t>
      </w:r>
      <w:r w:rsidRPr="00FC54CD">
        <w:rPr>
          <w:i/>
          <w:iCs/>
          <w:lang w:val="en-ZA"/>
        </w:rPr>
        <w:t>Centre for Child Law and Others v Media 24 Limited and Others</w:t>
      </w:r>
      <w:r>
        <w:rPr>
          <w:lang w:val="en-ZA"/>
        </w:rPr>
        <w:t xml:space="preserve"> 2020 (3) </w:t>
      </w:r>
      <w:proofErr w:type="spellStart"/>
      <w:r>
        <w:rPr>
          <w:lang w:val="en-ZA"/>
        </w:rPr>
        <w:t>BCLR</w:t>
      </w:r>
      <w:proofErr w:type="spellEnd"/>
      <w:r>
        <w:rPr>
          <w:lang w:val="en-ZA"/>
        </w:rPr>
        <w:t xml:space="preserve"> </w:t>
      </w:r>
      <w:r w:rsidR="008D442E">
        <w:rPr>
          <w:lang w:val="en-ZA"/>
        </w:rPr>
        <w:t xml:space="preserve">245 </w:t>
      </w:r>
      <w:r w:rsidR="00581004">
        <w:rPr>
          <w:lang w:val="en-ZA"/>
        </w:rPr>
        <w:t xml:space="preserve"> (CC)</w:t>
      </w:r>
      <w:r>
        <w:rPr>
          <w:lang w:val="en-ZA"/>
        </w:rPr>
        <w:t>.</w:t>
      </w:r>
    </w:p>
  </w:footnote>
  <w:footnote w:id="31">
    <w:p w:rsidR="001007B2" w:rsidRPr="00DB3C50" w:rsidRDefault="001007B2" w:rsidP="00C02082">
      <w:pPr>
        <w:pStyle w:val="FootnoteText"/>
        <w:rPr>
          <w:lang w:val="en-ZA"/>
        </w:rPr>
      </w:pPr>
      <w:r>
        <w:rPr>
          <w:rStyle w:val="FootnoteReference"/>
        </w:rPr>
        <w:footnoteRef/>
      </w:r>
      <w:r>
        <w:t xml:space="preserve"> </w:t>
      </w:r>
      <w:r>
        <w:tab/>
      </w:r>
      <w:proofErr w:type="spellStart"/>
      <w:r w:rsidRPr="00560641">
        <w:rPr>
          <w:i/>
        </w:rPr>
        <w:t>Johncom</w:t>
      </w:r>
      <w:proofErr w:type="spellEnd"/>
      <w:r w:rsidRPr="00560641">
        <w:rPr>
          <w:i/>
        </w:rPr>
        <w:t xml:space="preserve"> Media Investments Ltd v M and Others</w:t>
      </w:r>
      <w:r w:rsidRPr="00560641">
        <w:t xml:space="preserve"> 2009 (4) SA 7 (CC)</w:t>
      </w:r>
      <w:r>
        <w:t xml:space="preserve"> para 40; </w:t>
      </w:r>
      <w:r>
        <w:rPr>
          <w:i/>
          <w:iCs/>
        </w:rPr>
        <w:t xml:space="preserve">Estate Frankel </w:t>
      </w:r>
      <w:r>
        <w:t xml:space="preserve">paras 67-73; </w:t>
      </w:r>
      <w:proofErr w:type="spellStart"/>
      <w:r>
        <w:rPr>
          <w:i/>
          <w:iCs/>
        </w:rPr>
        <w:t>Nandutu</w:t>
      </w:r>
      <w:proofErr w:type="spellEnd"/>
      <w:r>
        <w:rPr>
          <w:i/>
          <w:iCs/>
        </w:rPr>
        <w:t xml:space="preserve"> </w:t>
      </w:r>
      <w:r>
        <w:t>paras 91 and 92.</w:t>
      </w:r>
    </w:p>
  </w:footnote>
  <w:footnote w:id="32">
    <w:p w:rsidR="001007B2" w:rsidRPr="008A7213" w:rsidRDefault="001007B2" w:rsidP="00941C4A">
      <w:pPr>
        <w:pStyle w:val="FootnoteText"/>
        <w:rPr>
          <w:lang w:val="en-ZA"/>
        </w:rPr>
      </w:pPr>
      <w:r>
        <w:rPr>
          <w:rStyle w:val="FootnoteReference"/>
        </w:rPr>
        <w:footnoteRef/>
      </w:r>
      <w:r>
        <w:t xml:space="preserve"> </w:t>
      </w:r>
      <w:r>
        <w:rPr>
          <w:lang w:val="en-ZA"/>
        </w:rPr>
        <w:tab/>
      </w:r>
      <w:proofErr w:type="spellStart"/>
      <w:r>
        <w:rPr>
          <w:lang w:val="en-ZA"/>
        </w:rPr>
        <w:t>SCA</w:t>
      </w:r>
      <w:proofErr w:type="spellEnd"/>
      <w:r>
        <w:rPr>
          <w:lang w:val="en-ZA"/>
        </w:rPr>
        <w:t xml:space="preserve"> judgment para 92.</w:t>
      </w:r>
    </w:p>
  </w:footnote>
  <w:footnote w:id="33">
    <w:p w:rsidR="001007B2" w:rsidRPr="00636A3F" w:rsidRDefault="001007B2" w:rsidP="00365242">
      <w:pPr>
        <w:pStyle w:val="FootnoteText"/>
        <w:rPr>
          <w:lang w:val="en-ZA"/>
        </w:rPr>
      </w:pPr>
      <w:r>
        <w:rPr>
          <w:rStyle w:val="FootnoteReference"/>
        </w:rPr>
        <w:footnoteRef/>
      </w:r>
      <w:r>
        <w:t xml:space="preserve"> </w:t>
      </w:r>
      <w:r>
        <w:rPr>
          <w:lang w:val="en-ZA"/>
        </w:rPr>
        <w:tab/>
        <w:t xml:space="preserve">See, for instance, </w:t>
      </w:r>
      <w:proofErr w:type="spellStart"/>
      <w:r w:rsidRPr="00C3512E">
        <w:rPr>
          <w:i/>
          <w:iCs/>
          <w:lang w:val="en-ZA"/>
        </w:rPr>
        <w:t>Phaahla</w:t>
      </w:r>
      <w:proofErr w:type="spellEnd"/>
      <w:r w:rsidR="008B3CF6">
        <w:rPr>
          <w:i/>
          <w:iCs/>
          <w:lang w:val="en-ZA"/>
        </w:rPr>
        <w:t xml:space="preserve"> </w:t>
      </w:r>
      <w:r w:rsidR="008B3CF6" w:rsidRPr="008B3CF6">
        <w:rPr>
          <w:i/>
          <w:iCs/>
          <w:lang w:val="en-ZA"/>
        </w:rPr>
        <w:t xml:space="preserve">v Minister Of Justice And Correctional Services And Another </w:t>
      </w:r>
      <w:r w:rsidR="008B3CF6" w:rsidRPr="005C14B0">
        <w:rPr>
          <w:iCs/>
          <w:lang w:val="en-ZA"/>
        </w:rPr>
        <w:t xml:space="preserve">2019 (2) </w:t>
      </w:r>
      <w:proofErr w:type="spellStart"/>
      <w:r w:rsidR="008B3CF6" w:rsidRPr="005C14B0">
        <w:rPr>
          <w:iCs/>
          <w:lang w:val="en-ZA"/>
        </w:rPr>
        <w:t>SACR</w:t>
      </w:r>
      <w:proofErr w:type="spellEnd"/>
      <w:r w:rsidR="008B3CF6" w:rsidRPr="005C14B0">
        <w:rPr>
          <w:iCs/>
          <w:lang w:val="en-ZA"/>
        </w:rPr>
        <w:t xml:space="preserve"> 88</w:t>
      </w:r>
      <w:r w:rsidR="008B3CF6" w:rsidRPr="008B3CF6">
        <w:rPr>
          <w:i/>
          <w:iCs/>
          <w:lang w:val="en-ZA"/>
        </w:rPr>
        <w:t xml:space="preserve"> </w:t>
      </w:r>
      <w:r w:rsidR="008B3CF6" w:rsidRPr="005C14B0">
        <w:rPr>
          <w:iCs/>
          <w:lang w:val="en-ZA"/>
        </w:rPr>
        <w:t>(CC)</w:t>
      </w:r>
      <w:r w:rsidR="008B3CF6">
        <w:rPr>
          <w:i/>
          <w:iCs/>
          <w:lang w:val="en-ZA"/>
        </w:rPr>
        <w:t xml:space="preserve"> (“</w:t>
      </w:r>
      <w:proofErr w:type="spellStart"/>
      <w:r w:rsidR="008B3CF6">
        <w:rPr>
          <w:i/>
          <w:iCs/>
          <w:lang w:val="en-ZA"/>
        </w:rPr>
        <w:t>Phaahla</w:t>
      </w:r>
      <w:proofErr w:type="spellEnd"/>
      <w:r w:rsidR="008B3CF6">
        <w:rPr>
          <w:i/>
          <w:iCs/>
          <w:lang w:val="en-ZA"/>
        </w:rPr>
        <w:t>”)</w:t>
      </w:r>
      <w:r>
        <w:rPr>
          <w:i/>
          <w:iCs/>
          <w:lang w:val="en-ZA"/>
        </w:rPr>
        <w:t>,</w:t>
      </w:r>
      <w:r>
        <w:rPr>
          <w:lang w:val="en-ZA"/>
        </w:rPr>
        <w:t xml:space="preserve"> which concerned the constitutionality of provisions setting the time after which sentenced offenders would become eligible for parole. I</w:t>
      </w:r>
      <w:r w:rsidRPr="00C92AF9">
        <w:rPr>
          <w:lang w:val="en-ZA"/>
        </w:rPr>
        <w:t>nmates sentenced to life imprisonment before 1</w:t>
      </w:r>
      <w:r w:rsidR="00D96DBA">
        <w:rPr>
          <w:lang w:val="en-ZA"/>
        </w:rPr>
        <w:t> </w:t>
      </w:r>
      <w:r w:rsidRPr="00C92AF9">
        <w:rPr>
          <w:lang w:val="en-ZA"/>
        </w:rPr>
        <w:t>October</w:t>
      </w:r>
      <w:r w:rsidR="00D96DBA">
        <w:rPr>
          <w:lang w:val="en-ZA"/>
        </w:rPr>
        <w:t> </w:t>
      </w:r>
      <w:r w:rsidRPr="00C92AF9">
        <w:rPr>
          <w:lang w:val="en-ZA"/>
        </w:rPr>
        <w:t>2004 become eligible for parole</w:t>
      </w:r>
      <w:r>
        <w:rPr>
          <w:lang w:val="en-ZA"/>
        </w:rPr>
        <w:t xml:space="preserve"> </w:t>
      </w:r>
      <w:r w:rsidRPr="00C92AF9">
        <w:rPr>
          <w:lang w:val="en-ZA"/>
        </w:rPr>
        <w:t>after having served 20 years; while inmates sentenced to life imprisonment from 1 October 2004 onwards must</w:t>
      </w:r>
      <w:r>
        <w:rPr>
          <w:lang w:val="en-ZA"/>
        </w:rPr>
        <w:t xml:space="preserve"> </w:t>
      </w:r>
      <w:r w:rsidRPr="00C92AF9">
        <w:rPr>
          <w:lang w:val="en-ZA"/>
        </w:rPr>
        <w:t>serve a minimum of 25 years before they may be considered for release on parole</w:t>
      </w:r>
      <w:r>
        <w:rPr>
          <w:lang w:val="en-ZA"/>
        </w:rPr>
        <w:t xml:space="preserve">. </w:t>
      </w:r>
      <w:r w:rsidR="00D96DBA">
        <w:rPr>
          <w:lang w:val="en-ZA"/>
        </w:rPr>
        <w:t xml:space="preserve"> </w:t>
      </w:r>
      <w:r>
        <w:rPr>
          <w:lang w:val="en-ZA"/>
        </w:rPr>
        <w:t xml:space="preserve">This Court held this to be contrary to section 35(3)(n) of the Constitution, </w:t>
      </w:r>
      <w:r w:rsidRPr="002419C4">
        <w:rPr>
          <w:lang w:val="en-ZA"/>
        </w:rPr>
        <w:t>protects an</w:t>
      </w:r>
      <w:r>
        <w:rPr>
          <w:lang w:val="en-ZA"/>
        </w:rPr>
        <w:t xml:space="preserve"> </w:t>
      </w:r>
      <w:r w:rsidRPr="002419C4">
        <w:rPr>
          <w:lang w:val="en-ZA"/>
        </w:rPr>
        <w:t>accused person against the retrospective application of increased prescribed punishment</w:t>
      </w:r>
      <w:r>
        <w:rPr>
          <w:lang w:val="en-ZA"/>
        </w:rPr>
        <w:t>.</w:t>
      </w:r>
    </w:p>
  </w:footnote>
  <w:footnote w:id="34">
    <w:p w:rsidR="001007B2" w:rsidRPr="000A0B12" w:rsidRDefault="001007B2">
      <w:pPr>
        <w:pStyle w:val="FootnoteText"/>
        <w:rPr>
          <w:lang w:val="en-US"/>
        </w:rPr>
      </w:pPr>
      <w:r>
        <w:rPr>
          <w:rStyle w:val="FootnoteReference"/>
        </w:rPr>
        <w:footnoteRef/>
      </w:r>
      <w:r>
        <w:t xml:space="preserve"> </w:t>
      </w:r>
      <w:r>
        <w:rPr>
          <w:lang w:val="en-US"/>
        </w:rPr>
        <w:tab/>
      </w:r>
      <w:proofErr w:type="spellStart"/>
      <w:r>
        <w:rPr>
          <w:lang w:val="en-US"/>
        </w:rPr>
        <w:t>SCA</w:t>
      </w:r>
      <w:proofErr w:type="spellEnd"/>
      <w:r>
        <w:rPr>
          <w:lang w:val="en-US"/>
        </w:rPr>
        <w:t xml:space="preserve"> judgment para 95</w:t>
      </w:r>
      <w:r w:rsidR="00C261E7">
        <w:rPr>
          <w:lang w:val="en-US"/>
        </w:rPr>
        <w:t>.</w:t>
      </w:r>
    </w:p>
  </w:footnote>
  <w:footnote w:id="35">
    <w:p w:rsidR="001007B2" w:rsidRPr="00361C22" w:rsidRDefault="001007B2">
      <w:pPr>
        <w:pStyle w:val="FootnoteText"/>
        <w:rPr>
          <w:lang w:val="en-US"/>
        </w:rPr>
      </w:pPr>
      <w:r>
        <w:rPr>
          <w:rStyle w:val="FootnoteReference"/>
        </w:rPr>
        <w:footnoteRef/>
      </w:r>
      <w:r>
        <w:t xml:space="preserve"> </w:t>
      </w:r>
      <w:r>
        <w:rPr>
          <w:lang w:val="en-US"/>
        </w:rPr>
        <w:tab/>
        <w:t>R</w:t>
      </w:r>
      <w:r w:rsidRPr="00361C22">
        <w:rPr>
          <w:lang w:val="en-US"/>
        </w:rPr>
        <w:t xml:space="preserve">ace, gender, sex, pregnancy, marital status, ethnic or social origin, </w:t>
      </w:r>
      <w:proofErr w:type="spellStart"/>
      <w:r w:rsidRPr="00361C22">
        <w:rPr>
          <w:lang w:val="en-US"/>
        </w:rPr>
        <w:t>colour</w:t>
      </w:r>
      <w:proofErr w:type="spellEnd"/>
      <w:r w:rsidRPr="00361C22">
        <w:rPr>
          <w:lang w:val="en-US"/>
        </w:rPr>
        <w:t>, sexual orientation, age, disability, religion, conscience, belief, culture, language and birth.</w:t>
      </w:r>
    </w:p>
  </w:footnote>
  <w:footnote w:id="36">
    <w:p w:rsidR="001007B2" w:rsidRPr="00651756" w:rsidRDefault="001007B2">
      <w:pPr>
        <w:pStyle w:val="FootnoteText"/>
        <w:rPr>
          <w:lang w:val="en-US"/>
        </w:rPr>
      </w:pPr>
      <w:r>
        <w:rPr>
          <w:rStyle w:val="FootnoteReference"/>
        </w:rPr>
        <w:footnoteRef/>
      </w:r>
      <w:r>
        <w:t xml:space="preserve"> </w:t>
      </w:r>
      <w:r>
        <w:rPr>
          <w:lang w:val="en-US"/>
        </w:rPr>
        <w:tab/>
      </w:r>
      <w:proofErr w:type="spellStart"/>
      <w:r>
        <w:rPr>
          <w:lang w:val="en-US"/>
        </w:rPr>
        <w:t>SCA</w:t>
      </w:r>
      <w:proofErr w:type="spellEnd"/>
      <w:r>
        <w:rPr>
          <w:lang w:val="en-US"/>
        </w:rPr>
        <w:t xml:space="preserve"> judgment para 95</w:t>
      </w:r>
      <w:r w:rsidR="00D96DBA">
        <w:rPr>
          <w:lang w:val="en-US"/>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F"/>
    <w:multiLevelType w:val="singleLevel"/>
    <w:tmpl w:val="9188A5FA"/>
    <w:lvl w:ilvl="0">
      <w:start w:val="1"/>
      <w:numFmt w:val="decimal"/>
      <w:pStyle w:val="ListNumber2"/>
      <w:lvlText w:val="%1."/>
      <w:lvlJc w:val="left"/>
      <w:pPr>
        <w:tabs>
          <w:tab w:val="num" w:pos="643"/>
        </w:tabs>
        <w:ind w:left="643" w:hanging="360"/>
      </w:pPr>
    </w:lvl>
  </w:abstractNum>
  <w:abstractNum w:abstractNumId="1" w15:restartNumberingAfterBreak="0">
    <w:nsid w:val="FFFFFF88"/>
    <w:multiLevelType w:val="singleLevel"/>
    <w:tmpl w:val="958E17E6"/>
    <w:lvl w:ilvl="0">
      <w:start w:val="1"/>
      <w:numFmt w:val="decimal"/>
      <w:pStyle w:val="ListNumber"/>
      <w:lvlText w:val="%1."/>
      <w:lvlJc w:val="left"/>
      <w:pPr>
        <w:ind w:left="360" w:hanging="360"/>
      </w:pPr>
    </w:lvl>
  </w:abstractNum>
  <w:abstractNum w:abstractNumId="2" w15:restartNumberingAfterBreak="0">
    <w:nsid w:val="0D731F61"/>
    <w:multiLevelType w:val="hybridMultilevel"/>
    <w:tmpl w:val="37A06E42"/>
    <w:lvl w:ilvl="0" w:tplc="F9389F20">
      <w:start w:val="3"/>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904A42"/>
    <w:multiLevelType w:val="hybridMultilevel"/>
    <w:tmpl w:val="AE5EE7B8"/>
    <w:lvl w:ilvl="0" w:tplc="9086CC24">
      <w:start w:val="1"/>
      <w:numFmt w:val="decimal"/>
      <w:pStyle w:val="ListParagraph"/>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EC32EAB"/>
    <w:multiLevelType w:val="multilevel"/>
    <w:tmpl w:val="C652CBC8"/>
    <w:lvl w:ilvl="0">
      <w:start w:val="1"/>
      <w:numFmt w:val="decimal"/>
      <w:pStyle w:val="1"/>
      <w:lvlText w:val="%1"/>
      <w:lvlJc w:val="left"/>
      <w:pPr>
        <w:tabs>
          <w:tab w:val="num" w:pos="567"/>
        </w:tabs>
        <w:ind w:left="567" w:hanging="567"/>
      </w:pPr>
      <w:rPr>
        <w:rFonts w:hint="default"/>
        <w:b w:val="0"/>
        <w:i w:val="0"/>
      </w:rPr>
    </w:lvl>
    <w:lvl w:ilvl="1">
      <w:start w:val="1"/>
      <w:numFmt w:val="decimal"/>
      <w:pStyle w:val="2"/>
      <w:lvlText w:val="%1.%2"/>
      <w:lvlJc w:val="left"/>
      <w:pPr>
        <w:tabs>
          <w:tab w:val="num" w:pos="1361"/>
        </w:tabs>
        <w:ind w:left="1361" w:hanging="79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tabs>
          <w:tab w:val="num" w:pos="2155"/>
        </w:tabs>
        <w:ind w:left="2155" w:hanging="794"/>
      </w:pPr>
      <w:rPr>
        <w:rFonts w:hint="default"/>
        <w:b w:val="0"/>
        <w:i w:val="0"/>
      </w:rPr>
    </w:lvl>
    <w:lvl w:ilvl="3">
      <w:start w:val="1"/>
      <w:numFmt w:val="lowerLetter"/>
      <w:pStyle w:val="4"/>
      <w:lvlText w:val="(%4)"/>
      <w:lvlJc w:val="left"/>
      <w:pPr>
        <w:tabs>
          <w:tab w:val="num" w:pos="2552"/>
        </w:tabs>
        <w:ind w:left="2552" w:hanging="397"/>
      </w:pPr>
      <w:rPr>
        <w:rFonts w:hint="default"/>
      </w:rPr>
    </w:lvl>
    <w:lvl w:ilvl="4">
      <w:start w:val="1"/>
      <w:numFmt w:val="lowerRoman"/>
      <w:pStyle w:val="5"/>
      <w:lvlText w:val="(%5)"/>
      <w:lvlJc w:val="left"/>
      <w:pPr>
        <w:tabs>
          <w:tab w:val="num" w:pos="3119"/>
        </w:tabs>
        <w:ind w:left="3119" w:hanging="567"/>
      </w:pPr>
      <w:rPr>
        <w:rFonts w:hint="default"/>
        <w:b w:val="0"/>
        <w:i w:val="0"/>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15:restartNumberingAfterBreak="0">
    <w:nsid w:val="64A61304"/>
    <w:multiLevelType w:val="multilevel"/>
    <w:tmpl w:val="A9A80ACC"/>
    <w:lvl w:ilvl="0">
      <w:start w:val="1"/>
      <w:numFmt w:val="decimal"/>
      <w:pStyle w:val="WLGLevel1"/>
      <w:lvlText w:val="%1"/>
      <w:lvlJc w:val="left"/>
      <w:pPr>
        <w:tabs>
          <w:tab w:val="num" w:pos="567"/>
        </w:tabs>
        <w:ind w:left="567" w:hanging="567"/>
      </w:pPr>
      <w:rPr>
        <w:rFonts w:hint="default"/>
      </w:rPr>
    </w:lvl>
    <w:lvl w:ilvl="1">
      <w:start w:val="1"/>
      <w:numFmt w:val="decimal"/>
      <w:pStyle w:val="WLGLevel2"/>
      <w:lvlText w:val="%1.%2"/>
      <w:lvlJc w:val="left"/>
      <w:pPr>
        <w:tabs>
          <w:tab w:val="num" w:pos="1361"/>
        </w:tabs>
        <w:ind w:left="1361" w:hanging="794"/>
      </w:pPr>
      <w:rPr>
        <w:rFonts w:hint="default"/>
      </w:rPr>
    </w:lvl>
    <w:lvl w:ilvl="2">
      <w:start w:val="1"/>
      <w:numFmt w:val="decimal"/>
      <w:pStyle w:val="WLGLevel3"/>
      <w:lvlText w:val="%1.%2.%3"/>
      <w:lvlJc w:val="left"/>
      <w:pPr>
        <w:tabs>
          <w:tab w:val="num" w:pos="2381"/>
        </w:tabs>
        <w:ind w:left="2381" w:hanging="1020"/>
      </w:pPr>
      <w:rPr>
        <w:rFonts w:hint="default"/>
      </w:rPr>
    </w:lvl>
    <w:lvl w:ilvl="3">
      <w:start w:val="1"/>
      <w:numFmt w:val="decimal"/>
      <w:pStyle w:val="WLGLevel4"/>
      <w:lvlText w:val="%1.%2.%3.%4"/>
      <w:lvlJc w:val="left"/>
      <w:pPr>
        <w:tabs>
          <w:tab w:val="num" w:pos="3572"/>
        </w:tabs>
        <w:ind w:left="3572" w:hanging="1191"/>
      </w:pPr>
      <w:rPr>
        <w:rFonts w:hint="default"/>
      </w:rPr>
    </w:lvl>
    <w:lvl w:ilvl="4">
      <w:start w:val="1"/>
      <w:numFmt w:val="decimal"/>
      <w:pStyle w:val="WLGLevel5"/>
      <w:lvlText w:val="%1.%2.%3.%4.%5"/>
      <w:lvlJc w:val="left"/>
      <w:pPr>
        <w:tabs>
          <w:tab w:val="num" w:pos="4933"/>
        </w:tabs>
        <w:ind w:left="4933" w:hanging="1361"/>
      </w:pPr>
      <w:rPr>
        <w:rFonts w:hint="default"/>
      </w:rPr>
    </w:lvl>
    <w:lvl w:ilvl="5">
      <w:start w:val="1"/>
      <w:numFmt w:val="decimal"/>
      <w:lvlText w:val="%1.%2.%3.%4.%5.%6"/>
      <w:lvlJc w:val="left"/>
      <w:pPr>
        <w:tabs>
          <w:tab w:val="num" w:pos="3629"/>
        </w:tabs>
        <w:ind w:left="3629" w:hanging="3062"/>
      </w:pPr>
      <w:rPr>
        <w:rFonts w:hint="default"/>
      </w:rPr>
    </w:lvl>
    <w:lvl w:ilvl="6">
      <w:start w:val="1"/>
      <w:numFmt w:val="decimal"/>
      <w:lvlText w:val="%1.%2.%3.%4.%5.%6.%7"/>
      <w:lvlJc w:val="left"/>
      <w:pPr>
        <w:tabs>
          <w:tab w:val="num" w:pos="4139"/>
        </w:tabs>
        <w:ind w:left="4139" w:hanging="3572"/>
      </w:pPr>
      <w:rPr>
        <w:rFonts w:hint="default"/>
      </w:rPr>
    </w:lvl>
    <w:lvl w:ilvl="7">
      <w:start w:val="1"/>
      <w:numFmt w:val="decimal"/>
      <w:lvlText w:val="%1.%2.%3.%4.%5.%6.%7.%8"/>
      <w:lvlJc w:val="left"/>
      <w:pPr>
        <w:tabs>
          <w:tab w:val="num" w:pos="4649"/>
        </w:tabs>
        <w:ind w:left="4649" w:hanging="4082"/>
      </w:pPr>
      <w:rPr>
        <w:rFonts w:hint="default"/>
      </w:rPr>
    </w:lvl>
    <w:lvl w:ilvl="8">
      <w:start w:val="1"/>
      <w:numFmt w:val="decimal"/>
      <w:lvlText w:val="%1.%2.%3.%4.%5.%6.%7.%8.%9"/>
      <w:lvlJc w:val="left"/>
      <w:pPr>
        <w:tabs>
          <w:tab w:val="num" w:pos="5160"/>
        </w:tabs>
        <w:ind w:left="5160" w:hanging="4593"/>
      </w:pPr>
      <w:rPr>
        <w:rFonts w:hint="default"/>
      </w:rPr>
    </w:lvl>
  </w:abstractNum>
  <w:num w:numId="1">
    <w:abstractNumId w:val="4"/>
  </w:num>
  <w:num w:numId="2">
    <w:abstractNumId w:val="4"/>
  </w:num>
  <w:num w:numId="3">
    <w:abstractNumId w:val="0"/>
  </w:num>
  <w:num w:numId="4">
    <w:abstractNumId w:val="1"/>
  </w:num>
  <w:num w:numId="5">
    <w:abstractNumId w:val="3"/>
  </w:num>
  <w:num w:numId="6">
    <w:abstractNumId w:val="5"/>
  </w:num>
  <w:num w:numId="7">
    <w:abstractNumId w:val="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5"/>
  <w:proofState w:spelling="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6FD1"/>
    <w:rsid w:val="00035D84"/>
    <w:rsid w:val="00042C0A"/>
    <w:rsid w:val="0004361F"/>
    <w:rsid w:val="00054D63"/>
    <w:rsid w:val="00056C32"/>
    <w:rsid w:val="00086447"/>
    <w:rsid w:val="00094FEA"/>
    <w:rsid w:val="000A0B12"/>
    <w:rsid w:val="000A38C6"/>
    <w:rsid w:val="000A40B5"/>
    <w:rsid w:val="000A4228"/>
    <w:rsid w:val="000A7461"/>
    <w:rsid w:val="000D232F"/>
    <w:rsid w:val="000D5B23"/>
    <w:rsid w:val="000D7236"/>
    <w:rsid w:val="000F1428"/>
    <w:rsid w:val="000F4184"/>
    <w:rsid w:val="001007B2"/>
    <w:rsid w:val="00102115"/>
    <w:rsid w:val="00106112"/>
    <w:rsid w:val="00107BCD"/>
    <w:rsid w:val="001159BC"/>
    <w:rsid w:val="00127665"/>
    <w:rsid w:val="0013118D"/>
    <w:rsid w:val="00133C11"/>
    <w:rsid w:val="00135CC2"/>
    <w:rsid w:val="00141442"/>
    <w:rsid w:val="0014433A"/>
    <w:rsid w:val="00196D28"/>
    <w:rsid w:val="001A0770"/>
    <w:rsid w:val="001A2941"/>
    <w:rsid w:val="001A402D"/>
    <w:rsid w:val="001B45C5"/>
    <w:rsid w:val="001D29A5"/>
    <w:rsid w:val="001E265F"/>
    <w:rsid w:val="001F1F5C"/>
    <w:rsid w:val="001F2496"/>
    <w:rsid w:val="001F4722"/>
    <w:rsid w:val="001F488A"/>
    <w:rsid w:val="00200D5D"/>
    <w:rsid w:val="00204303"/>
    <w:rsid w:val="00204C3C"/>
    <w:rsid w:val="00205717"/>
    <w:rsid w:val="00223085"/>
    <w:rsid w:val="002272A9"/>
    <w:rsid w:val="00234430"/>
    <w:rsid w:val="0023646C"/>
    <w:rsid w:val="002365D5"/>
    <w:rsid w:val="002466EC"/>
    <w:rsid w:val="00251F7F"/>
    <w:rsid w:val="00254E19"/>
    <w:rsid w:val="0025663D"/>
    <w:rsid w:val="002673DC"/>
    <w:rsid w:val="00271F44"/>
    <w:rsid w:val="00272F31"/>
    <w:rsid w:val="002813FF"/>
    <w:rsid w:val="00297DF2"/>
    <w:rsid w:val="002A1E83"/>
    <w:rsid w:val="002A26E9"/>
    <w:rsid w:val="002A4A91"/>
    <w:rsid w:val="002B1279"/>
    <w:rsid w:val="002D5CDD"/>
    <w:rsid w:val="002E21B5"/>
    <w:rsid w:val="002E3858"/>
    <w:rsid w:val="002F0C61"/>
    <w:rsid w:val="002F5EB6"/>
    <w:rsid w:val="00306EAB"/>
    <w:rsid w:val="0031593E"/>
    <w:rsid w:val="00315D88"/>
    <w:rsid w:val="00324614"/>
    <w:rsid w:val="00325B40"/>
    <w:rsid w:val="00330177"/>
    <w:rsid w:val="00335318"/>
    <w:rsid w:val="003419AE"/>
    <w:rsid w:val="00344B1E"/>
    <w:rsid w:val="00345F6C"/>
    <w:rsid w:val="00356F39"/>
    <w:rsid w:val="00357030"/>
    <w:rsid w:val="003608E6"/>
    <w:rsid w:val="00361C22"/>
    <w:rsid w:val="0036366A"/>
    <w:rsid w:val="00365242"/>
    <w:rsid w:val="0037663F"/>
    <w:rsid w:val="00380470"/>
    <w:rsid w:val="0038380C"/>
    <w:rsid w:val="00391C80"/>
    <w:rsid w:val="003B7486"/>
    <w:rsid w:val="003C5518"/>
    <w:rsid w:val="003C6811"/>
    <w:rsid w:val="003E5FA3"/>
    <w:rsid w:val="003F502A"/>
    <w:rsid w:val="003F6D44"/>
    <w:rsid w:val="004018F0"/>
    <w:rsid w:val="00404F35"/>
    <w:rsid w:val="004075C7"/>
    <w:rsid w:val="00407E2C"/>
    <w:rsid w:val="00415084"/>
    <w:rsid w:val="004249D5"/>
    <w:rsid w:val="00424C88"/>
    <w:rsid w:val="00426C8F"/>
    <w:rsid w:val="00430693"/>
    <w:rsid w:val="004324AA"/>
    <w:rsid w:val="00434F65"/>
    <w:rsid w:val="0043764A"/>
    <w:rsid w:val="00462CBD"/>
    <w:rsid w:val="0047403E"/>
    <w:rsid w:val="004761AB"/>
    <w:rsid w:val="004857D4"/>
    <w:rsid w:val="004873D4"/>
    <w:rsid w:val="00491B19"/>
    <w:rsid w:val="00492C5B"/>
    <w:rsid w:val="004933C7"/>
    <w:rsid w:val="00496AEA"/>
    <w:rsid w:val="00496C93"/>
    <w:rsid w:val="004974C1"/>
    <w:rsid w:val="004A1E77"/>
    <w:rsid w:val="004A2B8A"/>
    <w:rsid w:val="004A70BD"/>
    <w:rsid w:val="004C7FCF"/>
    <w:rsid w:val="004D123E"/>
    <w:rsid w:val="004D5DF8"/>
    <w:rsid w:val="004D5EBB"/>
    <w:rsid w:val="004D77E6"/>
    <w:rsid w:val="004F4E87"/>
    <w:rsid w:val="005104C6"/>
    <w:rsid w:val="00513F71"/>
    <w:rsid w:val="00515036"/>
    <w:rsid w:val="00525B77"/>
    <w:rsid w:val="00526ABE"/>
    <w:rsid w:val="0053026E"/>
    <w:rsid w:val="00542160"/>
    <w:rsid w:val="00547C39"/>
    <w:rsid w:val="00551838"/>
    <w:rsid w:val="005553FE"/>
    <w:rsid w:val="00561FB7"/>
    <w:rsid w:val="00562762"/>
    <w:rsid w:val="005671A3"/>
    <w:rsid w:val="00577848"/>
    <w:rsid w:val="0058085A"/>
    <w:rsid w:val="00581004"/>
    <w:rsid w:val="0058453E"/>
    <w:rsid w:val="005A4DA0"/>
    <w:rsid w:val="005A527E"/>
    <w:rsid w:val="005B2A46"/>
    <w:rsid w:val="005B2DE5"/>
    <w:rsid w:val="005C14B0"/>
    <w:rsid w:val="005C5F98"/>
    <w:rsid w:val="005C71DF"/>
    <w:rsid w:val="005D3167"/>
    <w:rsid w:val="005D4303"/>
    <w:rsid w:val="005E1FCF"/>
    <w:rsid w:val="005E550E"/>
    <w:rsid w:val="005F6AB2"/>
    <w:rsid w:val="005F718D"/>
    <w:rsid w:val="00607FE8"/>
    <w:rsid w:val="006215DC"/>
    <w:rsid w:val="00635B96"/>
    <w:rsid w:val="00640061"/>
    <w:rsid w:val="0064006A"/>
    <w:rsid w:val="00647357"/>
    <w:rsid w:val="00651756"/>
    <w:rsid w:val="00657BA5"/>
    <w:rsid w:val="00657C2E"/>
    <w:rsid w:val="006667B1"/>
    <w:rsid w:val="006670D3"/>
    <w:rsid w:val="006761F5"/>
    <w:rsid w:val="00677EF4"/>
    <w:rsid w:val="00682C09"/>
    <w:rsid w:val="00685549"/>
    <w:rsid w:val="006911C8"/>
    <w:rsid w:val="00691FC8"/>
    <w:rsid w:val="00695C86"/>
    <w:rsid w:val="006A60FD"/>
    <w:rsid w:val="006B7765"/>
    <w:rsid w:val="006C3790"/>
    <w:rsid w:val="006C6E81"/>
    <w:rsid w:val="006C77A3"/>
    <w:rsid w:val="006E4FA9"/>
    <w:rsid w:val="006E6A23"/>
    <w:rsid w:val="006F27C7"/>
    <w:rsid w:val="00701C85"/>
    <w:rsid w:val="0071305E"/>
    <w:rsid w:val="00717EB4"/>
    <w:rsid w:val="00732FE0"/>
    <w:rsid w:val="007343D0"/>
    <w:rsid w:val="00740E75"/>
    <w:rsid w:val="00742C07"/>
    <w:rsid w:val="007466A3"/>
    <w:rsid w:val="00747504"/>
    <w:rsid w:val="00762AA9"/>
    <w:rsid w:val="00771A6C"/>
    <w:rsid w:val="00775D6E"/>
    <w:rsid w:val="0078099E"/>
    <w:rsid w:val="00790DFB"/>
    <w:rsid w:val="00794F47"/>
    <w:rsid w:val="00796ECB"/>
    <w:rsid w:val="007A71EA"/>
    <w:rsid w:val="007A7BDC"/>
    <w:rsid w:val="007B1AE7"/>
    <w:rsid w:val="007B5E66"/>
    <w:rsid w:val="007C38AC"/>
    <w:rsid w:val="007D5DCC"/>
    <w:rsid w:val="007E0C62"/>
    <w:rsid w:val="007E5485"/>
    <w:rsid w:val="007E7C7E"/>
    <w:rsid w:val="007F0A21"/>
    <w:rsid w:val="007F4381"/>
    <w:rsid w:val="007F6031"/>
    <w:rsid w:val="0080039B"/>
    <w:rsid w:val="00807932"/>
    <w:rsid w:val="008118C7"/>
    <w:rsid w:val="00816FD1"/>
    <w:rsid w:val="008272DB"/>
    <w:rsid w:val="00833F87"/>
    <w:rsid w:val="00837378"/>
    <w:rsid w:val="00837575"/>
    <w:rsid w:val="008534F9"/>
    <w:rsid w:val="008556B7"/>
    <w:rsid w:val="00857CC8"/>
    <w:rsid w:val="00863876"/>
    <w:rsid w:val="00871C3C"/>
    <w:rsid w:val="00877DA3"/>
    <w:rsid w:val="00885224"/>
    <w:rsid w:val="00892189"/>
    <w:rsid w:val="0089491B"/>
    <w:rsid w:val="008A1D9D"/>
    <w:rsid w:val="008A2DEB"/>
    <w:rsid w:val="008B3CF6"/>
    <w:rsid w:val="008C1835"/>
    <w:rsid w:val="008C1F66"/>
    <w:rsid w:val="008C57EF"/>
    <w:rsid w:val="008C6C98"/>
    <w:rsid w:val="008D442E"/>
    <w:rsid w:val="008E265E"/>
    <w:rsid w:val="008F491B"/>
    <w:rsid w:val="00912DDF"/>
    <w:rsid w:val="0091441E"/>
    <w:rsid w:val="00925C35"/>
    <w:rsid w:val="00941C4A"/>
    <w:rsid w:val="009438BF"/>
    <w:rsid w:val="00945381"/>
    <w:rsid w:val="00946D48"/>
    <w:rsid w:val="00953731"/>
    <w:rsid w:val="00957AC6"/>
    <w:rsid w:val="00962763"/>
    <w:rsid w:val="0096278A"/>
    <w:rsid w:val="009645DD"/>
    <w:rsid w:val="00974CBC"/>
    <w:rsid w:val="00982510"/>
    <w:rsid w:val="009A6F24"/>
    <w:rsid w:val="009D1865"/>
    <w:rsid w:val="009E2C60"/>
    <w:rsid w:val="009F4AD0"/>
    <w:rsid w:val="00A10E6F"/>
    <w:rsid w:val="00A11002"/>
    <w:rsid w:val="00A130F3"/>
    <w:rsid w:val="00A15307"/>
    <w:rsid w:val="00A22AA9"/>
    <w:rsid w:val="00A345BE"/>
    <w:rsid w:val="00A46FCF"/>
    <w:rsid w:val="00A5350F"/>
    <w:rsid w:val="00A665E4"/>
    <w:rsid w:val="00A72BC6"/>
    <w:rsid w:val="00A73B61"/>
    <w:rsid w:val="00A75AF7"/>
    <w:rsid w:val="00A760D7"/>
    <w:rsid w:val="00A7746A"/>
    <w:rsid w:val="00A81803"/>
    <w:rsid w:val="00A820C9"/>
    <w:rsid w:val="00A83303"/>
    <w:rsid w:val="00A83C2D"/>
    <w:rsid w:val="00AC1D35"/>
    <w:rsid w:val="00AC1D84"/>
    <w:rsid w:val="00AC2F80"/>
    <w:rsid w:val="00AC55AC"/>
    <w:rsid w:val="00AD7731"/>
    <w:rsid w:val="00B044E1"/>
    <w:rsid w:val="00B271C2"/>
    <w:rsid w:val="00B318BE"/>
    <w:rsid w:val="00B32AC1"/>
    <w:rsid w:val="00B40695"/>
    <w:rsid w:val="00B42FF4"/>
    <w:rsid w:val="00B4352E"/>
    <w:rsid w:val="00B43AF1"/>
    <w:rsid w:val="00B46EE0"/>
    <w:rsid w:val="00B5218F"/>
    <w:rsid w:val="00B61BE0"/>
    <w:rsid w:val="00B661B7"/>
    <w:rsid w:val="00B76B32"/>
    <w:rsid w:val="00B84AB2"/>
    <w:rsid w:val="00B84B2E"/>
    <w:rsid w:val="00B87FEC"/>
    <w:rsid w:val="00B972C8"/>
    <w:rsid w:val="00BA36B0"/>
    <w:rsid w:val="00BB3442"/>
    <w:rsid w:val="00BD30E7"/>
    <w:rsid w:val="00C02082"/>
    <w:rsid w:val="00C03B15"/>
    <w:rsid w:val="00C11851"/>
    <w:rsid w:val="00C11AF4"/>
    <w:rsid w:val="00C1473F"/>
    <w:rsid w:val="00C20341"/>
    <w:rsid w:val="00C20E44"/>
    <w:rsid w:val="00C230B8"/>
    <w:rsid w:val="00C261E7"/>
    <w:rsid w:val="00C338A2"/>
    <w:rsid w:val="00C449B9"/>
    <w:rsid w:val="00C542D1"/>
    <w:rsid w:val="00C6449F"/>
    <w:rsid w:val="00C84A5A"/>
    <w:rsid w:val="00C85ADB"/>
    <w:rsid w:val="00C907E4"/>
    <w:rsid w:val="00C93E4C"/>
    <w:rsid w:val="00CA13B4"/>
    <w:rsid w:val="00CB6455"/>
    <w:rsid w:val="00CC079E"/>
    <w:rsid w:val="00CD1A00"/>
    <w:rsid w:val="00CD2D32"/>
    <w:rsid w:val="00CE00FD"/>
    <w:rsid w:val="00CE4AF2"/>
    <w:rsid w:val="00CF2A72"/>
    <w:rsid w:val="00D1000E"/>
    <w:rsid w:val="00D10AC0"/>
    <w:rsid w:val="00D1115C"/>
    <w:rsid w:val="00D11FDC"/>
    <w:rsid w:val="00D16907"/>
    <w:rsid w:val="00D17C0C"/>
    <w:rsid w:val="00D2492F"/>
    <w:rsid w:val="00D33442"/>
    <w:rsid w:val="00D45958"/>
    <w:rsid w:val="00D57184"/>
    <w:rsid w:val="00D7186E"/>
    <w:rsid w:val="00D73FF9"/>
    <w:rsid w:val="00D84102"/>
    <w:rsid w:val="00D877D1"/>
    <w:rsid w:val="00D90771"/>
    <w:rsid w:val="00D96DBA"/>
    <w:rsid w:val="00DA046E"/>
    <w:rsid w:val="00DA4CFB"/>
    <w:rsid w:val="00DA6959"/>
    <w:rsid w:val="00DB284C"/>
    <w:rsid w:val="00DC6EEC"/>
    <w:rsid w:val="00DD163D"/>
    <w:rsid w:val="00DD67D5"/>
    <w:rsid w:val="00DE1438"/>
    <w:rsid w:val="00DF4538"/>
    <w:rsid w:val="00E0052B"/>
    <w:rsid w:val="00E058EF"/>
    <w:rsid w:val="00E06712"/>
    <w:rsid w:val="00E21927"/>
    <w:rsid w:val="00E33EDB"/>
    <w:rsid w:val="00E4673A"/>
    <w:rsid w:val="00E66ECB"/>
    <w:rsid w:val="00E67553"/>
    <w:rsid w:val="00E752C0"/>
    <w:rsid w:val="00E84D4A"/>
    <w:rsid w:val="00E9739D"/>
    <w:rsid w:val="00EA1B31"/>
    <w:rsid w:val="00EA61C1"/>
    <w:rsid w:val="00EB0C5E"/>
    <w:rsid w:val="00EB2E51"/>
    <w:rsid w:val="00EB3D0D"/>
    <w:rsid w:val="00EB7073"/>
    <w:rsid w:val="00EC2970"/>
    <w:rsid w:val="00EC4DAD"/>
    <w:rsid w:val="00EC5380"/>
    <w:rsid w:val="00ED25C9"/>
    <w:rsid w:val="00ED3FBB"/>
    <w:rsid w:val="00EF0A9F"/>
    <w:rsid w:val="00EF39E7"/>
    <w:rsid w:val="00F01E62"/>
    <w:rsid w:val="00F12893"/>
    <w:rsid w:val="00F14061"/>
    <w:rsid w:val="00F15488"/>
    <w:rsid w:val="00F25257"/>
    <w:rsid w:val="00F3031D"/>
    <w:rsid w:val="00F41EAE"/>
    <w:rsid w:val="00F463EF"/>
    <w:rsid w:val="00F570D3"/>
    <w:rsid w:val="00F61149"/>
    <w:rsid w:val="00F63F6E"/>
    <w:rsid w:val="00F646BB"/>
    <w:rsid w:val="00F66029"/>
    <w:rsid w:val="00F661A6"/>
    <w:rsid w:val="00F82304"/>
    <w:rsid w:val="00F911AA"/>
    <w:rsid w:val="00F93E1C"/>
    <w:rsid w:val="00F9691E"/>
    <w:rsid w:val="00FA08A1"/>
    <w:rsid w:val="00FA20CF"/>
    <w:rsid w:val="00FA5F03"/>
    <w:rsid w:val="00FA7006"/>
    <w:rsid w:val="00FB331C"/>
    <w:rsid w:val="00FC3A97"/>
    <w:rsid w:val="00FD22C8"/>
    <w:rsid w:val="00FE40ED"/>
    <w:rsid w:val="00FE441C"/>
    <w:rsid w:val="00FF0437"/>
    <w:rsid w:val="00FF2DEC"/>
    <w:rsid w:val="00FF6079"/>
    <w:rsid w:val="00FF6EC2"/>
    <w:rsid w:val="00FF7B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1B9D2F"/>
  <w15:chartTrackingRefBased/>
  <w15:docId w15:val="{B9D9FFD6-ACD8-43AD-85E2-301C614A74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Times New Roman"/>
        <w:sz w:val="24"/>
        <w:szCs w:val="24"/>
        <w:lang w:val="en-GB" w:eastAsia="en-US" w:bidi="ar-SA"/>
      </w:rPr>
    </w:rPrDefault>
    <w:pPrDefault>
      <w:pPr>
        <w:spacing w:before="240"/>
        <w:ind w:left="567" w:hanging="567"/>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159BC"/>
    <w:pPr>
      <w:spacing w:before="0"/>
      <w:ind w:left="0" w:firstLine="0"/>
    </w:pPr>
  </w:style>
  <w:style w:type="paragraph" w:styleId="Heading1">
    <w:name w:val="heading 1"/>
    <w:basedOn w:val="Normal"/>
    <w:next w:val="1"/>
    <w:link w:val="Heading1Char"/>
    <w:qFormat/>
    <w:rsid w:val="00EB2E51"/>
    <w:pPr>
      <w:keepNext/>
      <w:autoSpaceDE w:val="0"/>
      <w:autoSpaceDN w:val="0"/>
      <w:adjustRightInd w:val="0"/>
      <w:spacing w:before="480"/>
      <w:outlineLvl w:val="0"/>
    </w:pPr>
    <w:rPr>
      <w:rFonts w:cstheme="minorBidi"/>
      <w:b/>
      <w:bCs/>
      <w:szCs w:val="28"/>
    </w:rPr>
  </w:style>
  <w:style w:type="paragraph" w:styleId="Heading2">
    <w:name w:val="heading 2"/>
    <w:basedOn w:val="Normal"/>
    <w:next w:val="Normal"/>
    <w:link w:val="Heading2Char"/>
    <w:unhideWhenUsed/>
    <w:qFormat/>
    <w:rsid w:val="008C1835"/>
    <w:pPr>
      <w:keepNext/>
      <w:autoSpaceDE w:val="0"/>
      <w:autoSpaceDN w:val="0"/>
      <w:adjustRightInd w:val="0"/>
      <w:spacing w:before="480"/>
      <w:outlineLvl w:val="1"/>
    </w:pPr>
    <w:rPr>
      <w:rFonts w:cstheme="minorBidi"/>
      <w:b/>
      <w:i/>
      <w:szCs w:val="26"/>
      <w:lang w:val="en-ZA"/>
    </w:rPr>
  </w:style>
  <w:style w:type="paragraph" w:styleId="Heading3">
    <w:name w:val="heading 3"/>
    <w:basedOn w:val="Normal"/>
    <w:next w:val="1"/>
    <w:link w:val="Heading3Char"/>
    <w:qFormat/>
    <w:rsid w:val="00E66ECB"/>
    <w:pPr>
      <w:keepNext/>
      <w:autoSpaceDE w:val="0"/>
      <w:autoSpaceDN w:val="0"/>
      <w:adjustRightInd w:val="0"/>
      <w:spacing w:before="240" w:line="480" w:lineRule="auto"/>
      <w:outlineLvl w:val="2"/>
    </w:pPr>
    <w:rPr>
      <w:rFonts w:cstheme="minorBidi"/>
      <w:bCs/>
      <w:u w:val="single"/>
      <w:lang w:val="x-none" w:eastAsia="x-none"/>
    </w:rPr>
  </w:style>
  <w:style w:type="paragraph" w:styleId="Heading4">
    <w:name w:val="heading 4"/>
    <w:basedOn w:val="Normal"/>
    <w:link w:val="Heading4Char"/>
    <w:qFormat/>
    <w:rsid w:val="00251F7F"/>
    <w:pPr>
      <w:tabs>
        <w:tab w:val="num" w:pos="3686"/>
      </w:tabs>
      <w:suppressAutoHyphens/>
      <w:spacing w:before="240" w:after="60" w:line="480" w:lineRule="auto"/>
      <w:ind w:left="3686" w:hanging="1191"/>
      <w:outlineLvl w:val="3"/>
    </w:pPr>
    <w:rPr>
      <w:szCs w:val="20"/>
      <w:lang w:val="en-ZA"/>
    </w:rPr>
  </w:style>
  <w:style w:type="paragraph" w:styleId="Heading5">
    <w:name w:val="heading 5"/>
    <w:basedOn w:val="Normal"/>
    <w:link w:val="Heading5Char"/>
    <w:qFormat/>
    <w:rsid w:val="00251F7F"/>
    <w:pPr>
      <w:tabs>
        <w:tab w:val="num" w:pos="4876"/>
      </w:tabs>
      <w:suppressAutoHyphens/>
      <w:spacing w:before="240" w:after="60" w:line="480" w:lineRule="auto"/>
      <w:ind w:left="4876" w:hanging="1190"/>
      <w:outlineLvl w:val="4"/>
    </w:pPr>
    <w:rPr>
      <w:szCs w:val="20"/>
      <w:lang w:val="en-ZA"/>
    </w:rPr>
  </w:style>
  <w:style w:type="paragraph" w:styleId="Heading6">
    <w:name w:val="heading 6"/>
    <w:basedOn w:val="Normal"/>
    <w:link w:val="Heading6Char"/>
    <w:qFormat/>
    <w:rsid w:val="00251F7F"/>
    <w:pPr>
      <w:tabs>
        <w:tab w:val="num" w:pos="3062"/>
      </w:tabs>
      <w:suppressAutoHyphens/>
      <w:spacing w:before="240" w:after="60" w:line="480" w:lineRule="auto"/>
      <w:ind w:left="3062" w:hanging="3062"/>
      <w:outlineLvl w:val="5"/>
    </w:pPr>
    <w:rPr>
      <w:szCs w:val="20"/>
      <w:lang w:val="en-ZA"/>
    </w:rPr>
  </w:style>
  <w:style w:type="paragraph" w:styleId="Heading7">
    <w:name w:val="heading 7"/>
    <w:basedOn w:val="Normal"/>
    <w:link w:val="Heading7Char"/>
    <w:qFormat/>
    <w:rsid w:val="00251F7F"/>
    <w:pPr>
      <w:tabs>
        <w:tab w:val="num" w:pos="3572"/>
      </w:tabs>
      <w:suppressAutoHyphens/>
      <w:spacing w:before="240" w:after="60" w:line="480" w:lineRule="auto"/>
      <w:ind w:left="3572" w:hanging="3572"/>
      <w:outlineLvl w:val="6"/>
    </w:pPr>
    <w:rPr>
      <w:szCs w:val="20"/>
      <w:lang w:val="en-ZA"/>
    </w:rPr>
  </w:style>
  <w:style w:type="paragraph" w:styleId="Heading8">
    <w:name w:val="heading 8"/>
    <w:basedOn w:val="Normal"/>
    <w:link w:val="Heading8Char"/>
    <w:qFormat/>
    <w:rsid w:val="00251F7F"/>
    <w:pPr>
      <w:tabs>
        <w:tab w:val="num" w:pos="4082"/>
      </w:tabs>
      <w:suppressAutoHyphens/>
      <w:spacing w:before="240" w:after="60" w:line="480" w:lineRule="auto"/>
      <w:ind w:left="4082" w:hanging="4082"/>
      <w:outlineLvl w:val="7"/>
    </w:pPr>
    <w:rPr>
      <w:szCs w:val="20"/>
      <w:lang w:val="en-ZA"/>
    </w:rPr>
  </w:style>
  <w:style w:type="paragraph" w:styleId="Heading9">
    <w:name w:val="heading 9"/>
    <w:basedOn w:val="Normal"/>
    <w:link w:val="Heading9Char"/>
    <w:qFormat/>
    <w:rsid w:val="00251F7F"/>
    <w:pPr>
      <w:tabs>
        <w:tab w:val="num" w:pos="4593"/>
      </w:tabs>
      <w:suppressAutoHyphens/>
      <w:spacing w:before="240" w:after="60" w:line="480" w:lineRule="auto"/>
      <w:ind w:left="4593" w:hanging="4593"/>
      <w:outlineLvl w:val="8"/>
    </w:pPr>
    <w:rPr>
      <w:szCs w:val="20"/>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1"/>
    <w:basedOn w:val="Normal"/>
    <w:link w:val="1Char"/>
    <w:uiPriority w:val="99"/>
    <w:qFormat/>
    <w:rsid w:val="00EB2E51"/>
    <w:pPr>
      <w:numPr>
        <w:numId w:val="2"/>
      </w:numPr>
      <w:spacing w:before="480" w:line="480" w:lineRule="auto"/>
    </w:pPr>
    <w:rPr>
      <w:iCs/>
      <w:color w:val="000000"/>
      <w:szCs w:val="22"/>
    </w:rPr>
  </w:style>
  <w:style w:type="paragraph" w:customStyle="1" w:styleId="2">
    <w:name w:val="2"/>
    <w:basedOn w:val="1"/>
    <w:qFormat/>
    <w:rsid w:val="00204C3C"/>
    <w:pPr>
      <w:numPr>
        <w:ilvl w:val="1"/>
        <w:numId w:val="1"/>
      </w:numPr>
      <w:spacing w:before="240"/>
    </w:pPr>
    <w:rPr>
      <w:color w:val="auto"/>
    </w:rPr>
  </w:style>
  <w:style w:type="paragraph" w:customStyle="1" w:styleId="3">
    <w:name w:val="3"/>
    <w:basedOn w:val="2"/>
    <w:qFormat/>
    <w:rsid w:val="00EB2E51"/>
    <w:pPr>
      <w:numPr>
        <w:ilvl w:val="2"/>
      </w:numPr>
    </w:pPr>
  </w:style>
  <w:style w:type="paragraph" w:customStyle="1" w:styleId="4">
    <w:name w:val="4"/>
    <w:basedOn w:val="2"/>
    <w:uiPriority w:val="99"/>
    <w:qFormat/>
    <w:rsid w:val="00EB2E51"/>
    <w:pPr>
      <w:numPr>
        <w:ilvl w:val="3"/>
      </w:numPr>
    </w:pPr>
    <w:rPr>
      <w:iCs w:val="0"/>
    </w:rPr>
  </w:style>
  <w:style w:type="paragraph" w:customStyle="1" w:styleId="5">
    <w:name w:val="5"/>
    <w:basedOn w:val="4"/>
    <w:uiPriority w:val="99"/>
    <w:qFormat/>
    <w:rsid w:val="00EB2E51"/>
    <w:pPr>
      <w:numPr>
        <w:ilvl w:val="4"/>
      </w:numPr>
    </w:pPr>
    <w:rPr>
      <w:iCs/>
      <w:szCs w:val="16"/>
      <w:lang w:eastAsia="en-ZA"/>
    </w:rPr>
  </w:style>
  <w:style w:type="paragraph" w:styleId="Footer">
    <w:name w:val="footer"/>
    <w:basedOn w:val="Normal"/>
    <w:link w:val="FooterChar"/>
    <w:uiPriority w:val="99"/>
    <w:unhideWhenUsed/>
    <w:rsid w:val="00EB2E51"/>
    <w:pPr>
      <w:tabs>
        <w:tab w:val="center" w:pos="4513"/>
        <w:tab w:val="right" w:pos="9026"/>
      </w:tabs>
    </w:pPr>
    <w:rPr>
      <w:sz w:val="22"/>
    </w:rPr>
  </w:style>
  <w:style w:type="character" w:customStyle="1" w:styleId="FooterChar">
    <w:name w:val="Footer Char"/>
    <w:basedOn w:val="DefaultParagraphFont"/>
    <w:link w:val="Footer"/>
    <w:uiPriority w:val="99"/>
    <w:rsid w:val="00EB2E51"/>
    <w:rPr>
      <w:sz w:val="22"/>
    </w:rPr>
  </w:style>
  <w:style w:type="character" w:styleId="FootnoteReference">
    <w:name w:val="footnote reference"/>
    <w:aliases w:val="Ref,de nota al pie,註腳內容,Footnotes refss,(NECG) Footnote Reference,Heading 6 Char1,do not use4 Char1,Footnote symbol,Style 12,Footnote,Footnote Reference1,Ref1,de nota al pie1,de nota al pie + (Asian) MS Mincho,11 pt,註?腳內—e,fr"/>
    <w:basedOn w:val="DefaultParagraphFont"/>
    <w:unhideWhenUsed/>
    <w:rsid w:val="00EB2E51"/>
    <w:rPr>
      <w:vertAlign w:val="superscript"/>
      <w:lang w:val="en-GB"/>
    </w:rPr>
  </w:style>
  <w:style w:type="paragraph" w:styleId="FootnoteText">
    <w:name w:val="footnote text"/>
    <w:aliases w:val="FOOTNOTES,fn,single space,Footnotes,Footnote ak,ft,fn cafc,ALTS FOOTNOTE Char,Footnote Text Char1 Char,Footnote Text Char Char Char,Footnote Text Char1 Char Char Char,Footnote Text Char Char Char Char Char,ALTS FOOTNOTE,footnote text,Car"/>
    <w:basedOn w:val="Normal"/>
    <w:link w:val="FootnoteTextChar"/>
    <w:qFormat/>
    <w:rsid w:val="00EB2E51"/>
    <w:pPr>
      <w:spacing w:after="120"/>
      <w:ind w:left="284" w:hanging="284"/>
    </w:pPr>
    <w:rPr>
      <w:rFonts w:cstheme="minorBidi"/>
      <w:sz w:val="18"/>
      <w:szCs w:val="22"/>
    </w:rPr>
  </w:style>
  <w:style w:type="character" w:customStyle="1" w:styleId="FootnoteTextChar">
    <w:name w:val="Footnote Text Char"/>
    <w:aliases w:val="FOOTNOTES Char,fn Char,single space Char,Footnotes Char,Footnote ak Char,ft Char,fn cafc Char,ALTS FOOTNOTE Char Char,Footnote Text Char1 Char Char,Footnote Text Char Char Char Char,Footnote Text Char1 Char Char Char Char,Car Char"/>
    <w:link w:val="FootnoteText"/>
    <w:rsid w:val="00EB2E51"/>
    <w:rPr>
      <w:rFonts w:cstheme="minorBidi"/>
      <w:sz w:val="18"/>
      <w:szCs w:val="22"/>
    </w:rPr>
  </w:style>
  <w:style w:type="paragraph" w:styleId="Header">
    <w:name w:val="header"/>
    <w:basedOn w:val="Normal"/>
    <w:link w:val="HeaderChar"/>
    <w:uiPriority w:val="99"/>
    <w:unhideWhenUsed/>
    <w:rsid w:val="00EB2E51"/>
    <w:pPr>
      <w:tabs>
        <w:tab w:val="center" w:pos="4513"/>
        <w:tab w:val="right" w:pos="9026"/>
      </w:tabs>
    </w:pPr>
  </w:style>
  <w:style w:type="character" w:customStyle="1" w:styleId="HeaderChar">
    <w:name w:val="Header Char"/>
    <w:basedOn w:val="DefaultParagraphFont"/>
    <w:link w:val="Header"/>
    <w:uiPriority w:val="99"/>
    <w:rsid w:val="00EB2E51"/>
  </w:style>
  <w:style w:type="character" w:customStyle="1" w:styleId="Heading1Char">
    <w:name w:val="Heading 1 Char"/>
    <w:link w:val="Heading1"/>
    <w:rsid w:val="00EB2E51"/>
    <w:rPr>
      <w:rFonts w:cstheme="minorBidi"/>
      <w:b/>
      <w:bCs/>
      <w:szCs w:val="28"/>
    </w:rPr>
  </w:style>
  <w:style w:type="character" w:customStyle="1" w:styleId="Heading2Char">
    <w:name w:val="Heading 2 Char"/>
    <w:link w:val="Heading2"/>
    <w:rsid w:val="008C1835"/>
    <w:rPr>
      <w:rFonts w:cstheme="minorBidi"/>
      <w:b/>
      <w:i/>
      <w:szCs w:val="26"/>
      <w:lang w:val="en-ZA"/>
    </w:rPr>
  </w:style>
  <w:style w:type="character" w:customStyle="1" w:styleId="Heading3Char">
    <w:name w:val="Heading 3 Char"/>
    <w:link w:val="Heading3"/>
    <w:rsid w:val="00E66ECB"/>
    <w:rPr>
      <w:rFonts w:cstheme="minorBidi"/>
      <w:bCs/>
      <w:u w:val="single"/>
      <w:lang w:val="x-none" w:eastAsia="x-none"/>
    </w:rPr>
  </w:style>
  <w:style w:type="character" w:styleId="PageNumber">
    <w:name w:val="page number"/>
    <w:basedOn w:val="DefaultParagraphFont"/>
    <w:rsid w:val="00EB2E51"/>
  </w:style>
  <w:style w:type="paragraph" w:customStyle="1" w:styleId="Parties">
    <w:name w:val="Parties"/>
    <w:basedOn w:val="Normal"/>
    <w:rsid w:val="00EA61C1"/>
    <w:pPr>
      <w:tabs>
        <w:tab w:val="right" w:pos="8732"/>
      </w:tabs>
      <w:suppressAutoHyphens/>
    </w:pPr>
    <w:rPr>
      <w:szCs w:val="20"/>
    </w:rPr>
  </w:style>
  <w:style w:type="paragraph" w:styleId="Quote">
    <w:name w:val="Quote"/>
    <w:basedOn w:val="Normal"/>
    <w:link w:val="QuoteChar"/>
    <w:uiPriority w:val="29"/>
    <w:qFormat/>
    <w:rsid w:val="00C230B8"/>
    <w:pPr>
      <w:spacing w:before="120"/>
      <w:ind w:left="993"/>
    </w:pPr>
    <w:rPr>
      <w:rFonts w:eastAsiaTheme="minorHAnsi" w:cstheme="minorBidi"/>
      <w:i/>
      <w:iCs/>
      <w:color w:val="000000"/>
      <w:szCs w:val="22"/>
    </w:rPr>
  </w:style>
  <w:style w:type="character" w:customStyle="1" w:styleId="QuoteChar">
    <w:name w:val="Quote Char"/>
    <w:link w:val="Quote"/>
    <w:uiPriority w:val="29"/>
    <w:rsid w:val="00C230B8"/>
    <w:rPr>
      <w:rFonts w:eastAsiaTheme="minorHAnsi" w:cstheme="minorBidi"/>
      <w:i/>
      <w:iCs/>
      <w:color w:val="000000"/>
      <w:szCs w:val="22"/>
    </w:rPr>
  </w:style>
  <w:style w:type="paragraph" w:styleId="TOC1">
    <w:name w:val="toc 1"/>
    <w:basedOn w:val="Normal"/>
    <w:next w:val="Normal"/>
    <w:autoRedefine/>
    <w:uiPriority w:val="39"/>
    <w:unhideWhenUsed/>
    <w:rsid w:val="00EB2E51"/>
    <w:pPr>
      <w:spacing w:after="100"/>
    </w:pPr>
    <w:rPr>
      <w:b/>
      <w:sz w:val="22"/>
    </w:rPr>
  </w:style>
  <w:style w:type="paragraph" w:styleId="TOC2">
    <w:name w:val="toc 2"/>
    <w:basedOn w:val="Normal"/>
    <w:next w:val="Normal"/>
    <w:autoRedefine/>
    <w:uiPriority w:val="39"/>
    <w:unhideWhenUsed/>
    <w:rsid w:val="001F1F5C"/>
    <w:pPr>
      <w:spacing w:after="100"/>
      <w:ind w:left="240"/>
    </w:pPr>
    <w:rPr>
      <w:i/>
      <w:sz w:val="22"/>
    </w:rPr>
  </w:style>
  <w:style w:type="paragraph" w:styleId="TOC3">
    <w:name w:val="toc 3"/>
    <w:basedOn w:val="Normal"/>
    <w:next w:val="Normal"/>
    <w:autoRedefine/>
    <w:uiPriority w:val="39"/>
    <w:unhideWhenUsed/>
    <w:rsid w:val="00FC3A97"/>
    <w:pPr>
      <w:tabs>
        <w:tab w:val="right" w:leader="dot" w:pos="8755"/>
      </w:tabs>
      <w:spacing w:before="120" w:after="100"/>
      <w:ind w:left="480"/>
    </w:pPr>
    <w:rPr>
      <w:noProof/>
      <w:sz w:val="22"/>
    </w:rPr>
  </w:style>
  <w:style w:type="paragraph" w:customStyle="1" w:styleId="TramLines">
    <w:name w:val="TramLines"/>
    <w:basedOn w:val="Normal"/>
    <w:next w:val="1"/>
    <w:qFormat/>
    <w:rsid w:val="00EB2E51"/>
    <w:pPr>
      <w:pBdr>
        <w:top w:val="single" w:sz="8" w:space="12" w:color="auto"/>
        <w:bottom w:val="single" w:sz="8" w:space="12" w:color="auto"/>
      </w:pBdr>
      <w:suppressAutoHyphens/>
      <w:spacing w:after="320"/>
      <w:jc w:val="center"/>
    </w:pPr>
    <w:rPr>
      <w:b/>
      <w:szCs w:val="20"/>
    </w:rPr>
  </w:style>
  <w:style w:type="paragraph" w:styleId="ListParagraph">
    <w:name w:val="List Paragraph"/>
    <w:basedOn w:val="Normal"/>
    <w:uiPriority w:val="34"/>
    <w:qFormat/>
    <w:rsid w:val="002B1279"/>
    <w:pPr>
      <w:numPr>
        <w:numId w:val="5"/>
      </w:numPr>
      <w:spacing w:before="120" w:after="120" w:line="360" w:lineRule="auto"/>
      <w:outlineLvl w:val="0"/>
    </w:pPr>
    <w:rPr>
      <w:szCs w:val="16"/>
      <w:lang w:eastAsia="en-ZA"/>
    </w:rPr>
  </w:style>
  <w:style w:type="paragraph" w:styleId="ListNumber">
    <w:name w:val="List Number"/>
    <w:basedOn w:val="Normal"/>
    <w:uiPriority w:val="99"/>
    <w:unhideWhenUsed/>
    <w:rsid w:val="000D5B23"/>
    <w:pPr>
      <w:numPr>
        <w:numId w:val="4"/>
      </w:numPr>
      <w:spacing w:before="240"/>
    </w:pPr>
  </w:style>
  <w:style w:type="paragraph" w:styleId="ListNumber2">
    <w:name w:val="List Number 2"/>
    <w:basedOn w:val="ListNumber"/>
    <w:uiPriority w:val="99"/>
    <w:semiHidden/>
    <w:unhideWhenUsed/>
    <w:rsid w:val="000D5B23"/>
    <w:pPr>
      <w:numPr>
        <w:numId w:val="3"/>
      </w:numPr>
    </w:pPr>
  </w:style>
  <w:style w:type="paragraph" w:styleId="TOCHeading">
    <w:name w:val="TOC Heading"/>
    <w:basedOn w:val="Heading1"/>
    <w:next w:val="Normal"/>
    <w:uiPriority w:val="39"/>
    <w:semiHidden/>
    <w:unhideWhenUsed/>
    <w:qFormat/>
    <w:rsid w:val="009F4AD0"/>
    <w:pPr>
      <w:keepLines/>
      <w:autoSpaceDE/>
      <w:autoSpaceDN/>
      <w:adjustRightInd/>
      <w:spacing w:before="240"/>
      <w:outlineLvl w:val="9"/>
    </w:pPr>
    <w:rPr>
      <w:rFonts w:asciiTheme="majorHAnsi" w:eastAsiaTheme="majorEastAsia" w:hAnsiTheme="majorHAnsi" w:cstheme="majorBidi"/>
      <w:b w:val="0"/>
      <w:bCs w:val="0"/>
      <w:color w:val="365F91" w:themeColor="accent1" w:themeShade="BF"/>
      <w:sz w:val="32"/>
      <w:szCs w:val="32"/>
    </w:rPr>
  </w:style>
  <w:style w:type="character" w:styleId="Hyperlink">
    <w:name w:val="Hyperlink"/>
    <w:basedOn w:val="DefaultParagraphFont"/>
    <w:uiPriority w:val="99"/>
    <w:unhideWhenUsed/>
    <w:rsid w:val="009F4AD0"/>
    <w:rPr>
      <w:color w:val="0000FF" w:themeColor="hyperlink"/>
      <w:u w:val="single"/>
    </w:rPr>
  </w:style>
  <w:style w:type="character" w:customStyle="1" w:styleId="1Char">
    <w:name w:val="1 Char"/>
    <w:link w:val="1"/>
    <w:uiPriority w:val="99"/>
    <w:rsid w:val="009F4AD0"/>
    <w:rPr>
      <w:iCs/>
      <w:color w:val="000000"/>
      <w:szCs w:val="22"/>
    </w:rPr>
  </w:style>
  <w:style w:type="paragraph" w:styleId="BalloonText">
    <w:name w:val="Balloon Text"/>
    <w:basedOn w:val="Normal"/>
    <w:link w:val="BalloonTextChar"/>
    <w:uiPriority w:val="99"/>
    <w:semiHidden/>
    <w:unhideWhenUsed/>
    <w:rsid w:val="00DA046E"/>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DA046E"/>
    <w:rPr>
      <w:rFonts w:ascii="Times New Roman" w:hAnsi="Times New Roman"/>
      <w:sz w:val="18"/>
      <w:szCs w:val="18"/>
    </w:rPr>
  </w:style>
  <w:style w:type="paragraph" w:styleId="Revision">
    <w:name w:val="Revision"/>
    <w:hidden/>
    <w:uiPriority w:val="99"/>
    <w:semiHidden/>
    <w:rsid w:val="00A11002"/>
    <w:pPr>
      <w:spacing w:before="0"/>
      <w:ind w:left="0" w:firstLine="0"/>
      <w:jc w:val="left"/>
    </w:pPr>
  </w:style>
  <w:style w:type="character" w:customStyle="1" w:styleId="Heading4Char">
    <w:name w:val="Heading 4 Char"/>
    <w:basedOn w:val="DefaultParagraphFont"/>
    <w:link w:val="Heading4"/>
    <w:rsid w:val="00251F7F"/>
    <w:rPr>
      <w:szCs w:val="20"/>
      <w:lang w:val="en-ZA"/>
    </w:rPr>
  </w:style>
  <w:style w:type="character" w:customStyle="1" w:styleId="Heading5Char">
    <w:name w:val="Heading 5 Char"/>
    <w:basedOn w:val="DefaultParagraphFont"/>
    <w:link w:val="Heading5"/>
    <w:rsid w:val="00251F7F"/>
    <w:rPr>
      <w:szCs w:val="20"/>
      <w:lang w:val="en-ZA"/>
    </w:rPr>
  </w:style>
  <w:style w:type="character" w:customStyle="1" w:styleId="Heading6Char">
    <w:name w:val="Heading 6 Char"/>
    <w:basedOn w:val="DefaultParagraphFont"/>
    <w:link w:val="Heading6"/>
    <w:rsid w:val="00251F7F"/>
    <w:rPr>
      <w:szCs w:val="20"/>
      <w:lang w:val="en-ZA"/>
    </w:rPr>
  </w:style>
  <w:style w:type="character" w:customStyle="1" w:styleId="Heading7Char">
    <w:name w:val="Heading 7 Char"/>
    <w:basedOn w:val="DefaultParagraphFont"/>
    <w:link w:val="Heading7"/>
    <w:rsid w:val="00251F7F"/>
    <w:rPr>
      <w:szCs w:val="20"/>
      <w:lang w:val="en-ZA"/>
    </w:rPr>
  </w:style>
  <w:style w:type="character" w:customStyle="1" w:styleId="Heading8Char">
    <w:name w:val="Heading 8 Char"/>
    <w:basedOn w:val="DefaultParagraphFont"/>
    <w:link w:val="Heading8"/>
    <w:rsid w:val="00251F7F"/>
    <w:rPr>
      <w:szCs w:val="20"/>
      <w:lang w:val="en-ZA"/>
    </w:rPr>
  </w:style>
  <w:style w:type="character" w:customStyle="1" w:styleId="Heading9Char">
    <w:name w:val="Heading 9 Char"/>
    <w:basedOn w:val="DefaultParagraphFont"/>
    <w:link w:val="Heading9"/>
    <w:rsid w:val="00251F7F"/>
    <w:rPr>
      <w:szCs w:val="20"/>
      <w:lang w:val="en-ZA"/>
    </w:rPr>
  </w:style>
  <w:style w:type="paragraph" w:styleId="BodyTextIndent">
    <w:name w:val="Body Text Indent"/>
    <w:basedOn w:val="Normal"/>
    <w:link w:val="BodyTextIndentChar"/>
    <w:qFormat/>
    <w:rsid w:val="00251F7F"/>
    <w:pPr>
      <w:suppressAutoHyphens/>
      <w:spacing w:after="320" w:line="480" w:lineRule="auto"/>
      <w:ind w:left="567"/>
    </w:pPr>
    <w:rPr>
      <w:szCs w:val="20"/>
      <w:lang w:val="en-ZA"/>
    </w:rPr>
  </w:style>
  <w:style w:type="character" w:customStyle="1" w:styleId="BodyTextIndentChar">
    <w:name w:val="Body Text Indent Char"/>
    <w:basedOn w:val="DefaultParagraphFont"/>
    <w:link w:val="BodyTextIndent"/>
    <w:rsid w:val="00251F7F"/>
    <w:rPr>
      <w:szCs w:val="20"/>
      <w:lang w:val="en-ZA"/>
    </w:rPr>
  </w:style>
  <w:style w:type="paragraph" w:customStyle="1" w:styleId="WLGLevel1">
    <w:name w:val="WLGLevel1"/>
    <w:basedOn w:val="Normal"/>
    <w:qFormat/>
    <w:rsid w:val="00251F7F"/>
    <w:pPr>
      <w:numPr>
        <w:numId w:val="6"/>
      </w:numPr>
      <w:suppressAutoHyphens/>
      <w:spacing w:before="320" w:after="320" w:line="480" w:lineRule="auto"/>
      <w:outlineLvl w:val="0"/>
    </w:pPr>
    <w:rPr>
      <w:szCs w:val="20"/>
      <w:lang w:val="en-ZA"/>
    </w:rPr>
  </w:style>
  <w:style w:type="paragraph" w:customStyle="1" w:styleId="WLGLevel2">
    <w:name w:val="WLGLevel2"/>
    <w:basedOn w:val="Normal"/>
    <w:qFormat/>
    <w:rsid w:val="00251F7F"/>
    <w:pPr>
      <w:numPr>
        <w:ilvl w:val="1"/>
        <w:numId w:val="6"/>
      </w:numPr>
      <w:suppressAutoHyphens/>
      <w:spacing w:after="320" w:line="480" w:lineRule="auto"/>
      <w:outlineLvl w:val="1"/>
    </w:pPr>
    <w:rPr>
      <w:szCs w:val="20"/>
      <w:lang w:val="en-ZA"/>
    </w:rPr>
  </w:style>
  <w:style w:type="paragraph" w:customStyle="1" w:styleId="WLGLevel3">
    <w:name w:val="WLGLevel3"/>
    <w:basedOn w:val="Normal"/>
    <w:qFormat/>
    <w:rsid w:val="00251F7F"/>
    <w:pPr>
      <w:numPr>
        <w:ilvl w:val="2"/>
        <w:numId w:val="6"/>
      </w:numPr>
      <w:suppressAutoHyphens/>
      <w:spacing w:after="320" w:line="480" w:lineRule="auto"/>
      <w:ind w:left="2382" w:hanging="1021"/>
      <w:outlineLvl w:val="2"/>
    </w:pPr>
    <w:rPr>
      <w:szCs w:val="20"/>
      <w:lang w:val="en-ZA"/>
    </w:rPr>
  </w:style>
  <w:style w:type="paragraph" w:customStyle="1" w:styleId="WLGLevel4">
    <w:name w:val="WLGLevel4"/>
    <w:basedOn w:val="Normal"/>
    <w:qFormat/>
    <w:rsid w:val="00251F7F"/>
    <w:pPr>
      <w:numPr>
        <w:ilvl w:val="3"/>
        <w:numId w:val="6"/>
      </w:numPr>
      <w:suppressAutoHyphens/>
      <w:spacing w:after="320" w:line="480" w:lineRule="auto"/>
      <w:outlineLvl w:val="3"/>
    </w:pPr>
    <w:rPr>
      <w:szCs w:val="20"/>
      <w:lang w:val="en-ZA"/>
    </w:rPr>
  </w:style>
  <w:style w:type="paragraph" w:customStyle="1" w:styleId="WLGLevel5">
    <w:name w:val="WLGLevel5"/>
    <w:basedOn w:val="Normal"/>
    <w:qFormat/>
    <w:rsid w:val="00251F7F"/>
    <w:pPr>
      <w:numPr>
        <w:ilvl w:val="4"/>
        <w:numId w:val="6"/>
      </w:numPr>
      <w:suppressAutoHyphens/>
      <w:spacing w:after="320" w:line="480" w:lineRule="auto"/>
      <w:outlineLvl w:val="4"/>
    </w:pPr>
    <w:rPr>
      <w:szCs w:val="20"/>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2445835">
      <w:bodyDiv w:val="1"/>
      <w:marLeft w:val="0"/>
      <w:marRight w:val="0"/>
      <w:marTop w:val="0"/>
      <w:marBottom w:val="0"/>
      <w:divBdr>
        <w:top w:val="none" w:sz="0" w:space="0" w:color="auto"/>
        <w:left w:val="none" w:sz="0" w:space="0" w:color="auto"/>
        <w:bottom w:val="none" w:sz="0" w:space="0" w:color="auto"/>
        <w:right w:val="none" w:sz="0" w:space="0" w:color="auto"/>
      </w:divBdr>
    </w:div>
    <w:div w:id="857739419">
      <w:bodyDiv w:val="1"/>
      <w:marLeft w:val="0"/>
      <w:marRight w:val="0"/>
      <w:marTop w:val="0"/>
      <w:marBottom w:val="0"/>
      <w:divBdr>
        <w:top w:val="none" w:sz="0" w:space="0" w:color="auto"/>
        <w:left w:val="none" w:sz="0" w:space="0" w:color="auto"/>
        <w:bottom w:val="none" w:sz="0" w:space="0" w:color="auto"/>
        <w:right w:val="none" w:sz="0" w:space="0" w:color="auto"/>
      </w:divBdr>
    </w:div>
    <w:div w:id="995650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theme" Target="theme/theme1.xml" Id="rId11" /><Relationship Type="http://schemas.openxmlformats.org/officeDocument/2006/relationships/webSettings" Target="webSettings.xml" Id="rId5" /><Relationship Type="http://schemas.openxmlformats.org/officeDocument/2006/relationships/fontTable" Target="fontTable.xml" Id="rId10" /><Relationship Type="http://schemas.openxmlformats.org/officeDocument/2006/relationships/settings" Target="settings.xml" Id="rId4" /><Relationship Type="http://schemas.openxmlformats.org/officeDocument/2006/relationships/footer" Target="footer2.xml" Id="rId9" /><Relationship Type="http://schemas.openxmlformats.org/officeDocument/2006/relationships/customXml" Target="/customXML/item2.xml" Id="imanag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item2.xml>��< ? x m l   v e r s i o n = " 1 . 0 "   e n c o d i n g = " u t f - 1 6 " ? >  
 < p r o p e r t i e s   x m l n s = " h t t p : / / w w w . i m a n a g e . c o m / w o r k / x m l s c h e m a " >  
     < d o c u m e n t i d > E N S ! 1 7 4 2 2 6 3 . 1 < / d o c u m e n t i d >  
     < s e n d e r i d > V M 0 1 6 < / s e n d e r i d >  
     < s e n d e r e m a i l > V M A K A N @ E N S A F R I C A . C O M < / s e n d e r e m a i l >  
     < l a s t m o d i f i e d > 2 0 2 0 - 0 4 - 0 9 T 1 0 : 0 9 : 0 0 . 0 0 0 0 0 0 0 + 0 2 : 0 0 < / l a s t m o d i f i e d >  
     < d a t a b a s e > E N S < / d a t a b a s e >  
 < / p r o p e r t i e 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55764D-78EA-4223-8F90-5B1CD6DA73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19</Pages>
  <Words>3815</Words>
  <Characters>21752</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 Ferreira</dc:creator>
  <cp:keywords/>
  <dc:description/>
  <cp:lastModifiedBy>Vishana Makan</cp:lastModifiedBy>
  <cp:revision>8</cp:revision>
  <cp:lastPrinted>2020-04-08T05:35:00Z</cp:lastPrinted>
  <dcterms:created xsi:type="dcterms:W3CDTF">2020-04-09T05:41:00Z</dcterms:created>
  <dcterms:modified xsi:type="dcterms:W3CDTF">2020-04-09T08:09:00Z</dcterms:modified>
</cp:coreProperties>
</file>