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283F" w:rsidRDefault="00CA458C" w:rsidP="00720ACA">
      <w:pPr>
        <w:jc w:val="center"/>
      </w:pPr>
      <w:bookmarkStart w:id="0" w:name="_GoBack"/>
      <w:bookmarkEnd w:id="0"/>
      <w:r w:rsidRPr="00CA458C">
        <w:rPr>
          <w:noProof/>
          <w:lang w:eastAsia="en-ZA"/>
        </w:rPr>
        <w:drawing>
          <wp:inline distT="0" distB="0" distL="0" distR="0" wp14:anchorId="65D2E18F" wp14:editId="66241E90">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F5283F" w:rsidRDefault="00F5283F" w:rsidP="00720ACA">
      <w:pPr>
        <w:jc w:val="center"/>
      </w:pPr>
    </w:p>
    <w:p w:rsidR="001E5F5A" w:rsidRPr="00100894" w:rsidRDefault="001E5F5A" w:rsidP="00720ACA">
      <w:pPr>
        <w:jc w:val="center"/>
        <w:rPr>
          <w:b/>
        </w:rPr>
      </w:pPr>
      <w:r w:rsidRPr="00100894">
        <w:rPr>
          <w:b/>
        </w:rPr>
        <w:t>CONSTIT</w:t>
      </w:r>
      <w:r w:rsidR="00676CFE" w:rsidRPr="00100894">
        <w:rPr>
          <w:b/>
        </w:rPr>
        <w:t>UT</w:t>
      </w:r>
      <w:r w:rsidRPr="00100894">
        <w:rPr>
          <w:b/>
        </w:rPr>
        <w:t>IONAL COURT OF SOUTH AFRICA</w:t>
      </w:r>
    </w:p>
    <w:p w:rsidR="001E5F5A" w:rsidRPr="00100894" w:rsidRDefault="001E5F5A" w:rsidP="00AE4640"/>
    <w:p w:rsidR="006966FC" w:rsidRDefault="007D2BAA" w:rsidP="007D2BAA">
      <w:pPr>
        <w:tabs>
          <w:tab w:val="right" w:pos="9360"/>
        </w:tabs>
        <w:ind w:right="284"/>
        <w:jc w:val="center"/>
        <w:rPr>
          <w:bCs/>
          <w:sz w:val="26"/>
          <w:szCs w:val="26"/>
          <w:lang w:val="en-GB"/>
        </w:rPr>
      </w:pPr>
      <w:r w:rsidRPr="007D2BAA">
        <w:rPr>
          <w:b/>
          <w:bCs/>
        </w:rPr>
        <w:t>Amalungelo Workers’ Union and Others v Philip Morris South Africa (Pty) Limited and Another</w:t>
      </w:r>
    </w:p>
    <w:p w:rsidR="00E07942" w:rsidRPr="008376A5" w:rsidRDefault="00D40819" w:rsidP="00720ACA">
      <w:pPr>
        <w:jc w:val="right"/>
        <w:rPr>
          <w:b/>
        </w:rPr>
      </w:pPr>
      <w:r w:rsidRPr="008376A5">
        <w:rPr>
          <w:b/>
        </w:rPr>
        <w:t>CCT</w:t>
      </w:r>
      <w:r w:rsidR="00720ACA" w:rsidRPr="008376A5">
        <w:rPr>
          <w:b/>
        </w:rPr>
        <w:t xml:space="preserve"> </w:t>
      </w:r>
      <w:r w:rsidR="007D2BAA">
        <w:rPr>
          <w:b/>
        </w:rPr>
        <w:t>20</w:t>
      </w:r>
      <w:r w:rsidR="008376A5" w:rsidRPr="008376A5">
        <w:rPr>
          <w:b/>
        </w:rPr>
        <w:t>/18</w:t>
      </w:r>
    </w:p>
    <w:p w:rsidR="00D40819" w:rsidRPr="008376A5" w:rsidRDefault="00D40819" w:rsidP="00720ACA">
      <w:pPr>
        <w:jc w:val="right"/>
        <w:rPr>
          <w:b/>
        </w:rPr>
      </w:pPr>
    </w:p>
    <w:p w:rsidR="00E07942" w:rsidRPr="00100894" w:rsidRDefault="006C1812" w:rsidP="00720ACA">
      <w:pPr>
        <w:jc w:val="right"/>
        <w:rPr>
          <w:b/>
        </w:rPr>
      </w:pPr>
      <w:r>
        <w:rPr>
          <w:b/>
        </w:rPr>
        <w:t>Date of j</w:t>
      </w:r>
      <w:r w:rsidR="00346513">
        <w:rPr>
          <w:b/>
        </w:rPr>
        <w:t>udgment</w:t>
      </w:r>
      <w:r w:rsidR="00E07942" w:rsidRPr="008376A5">
        <w:rPr>
          <w:b/>
        </w:rPr>
        <w:t xml:space="preserve">: </w:t>
      </w:r>
      <w:r w:rsidR="007D2BAA">
        <w:rPr>
          <w:b/>
        </w:rPr>
        <w:t>26 November</w:t>
      </w:r>
      <w:r w:rsidR="008376A5" w:rsidRPr="008376A5">
        <w:rPr>
          <w:b/>
        </w:rPr>
        <w:t xml:space="preserve"> 2019</w:t>
      </w:r>
    </w:p>
    <w:p w:rsidR="00823B02" w:rsidRPr="00100894" w:rsidRDefault="00823B02" w:rsidP="00AE4640"/>
    <w:p w:rsidR="001E5F5A" w:rsidRPr="00100894" w:rsidRDefault="00526226" w:rsidP="00AE4640">
      <w:r w:rsidRPr="00100894">
        <w:t>________________________________________________________________________</w:t>
      </w:r>
    </w:p>
    <w:p w:rsidR="00526226" w:rsidRPr="00100894" w:rsidRDefault="00526226" w:rsidP="00526226">
      <w:pPr>
        <w:jc w:val="center"/>
        <w:rPr>
          <w:b/>
        </w:rPr>
      </w:pPr>
    </w:p>
    <w:p w:rsidR="00526226" w:rsidRPr="00B916FE" w:rsidRDefault="001E5F5A" w:rsidP="00B916FE">
      <w:pPr>
        <w:jc w:val="center"/>
        <w:rPr>
          <w:b/>
        </w:rPr>
      </w:pPr>
      <w:r w:rsidRPr="00100894">
        <w:rPr>
          <w:b/>
        </w:rPr>
        <w:t>MEDIA SUMMARY</w:t>
      </w:r>
    </w:p>
    <w:p w:rsidR="001E5F5A" w:rsidRDefault="00B916FE" w:rsidP="008B532D">
      <w:pPr>
        <w:spacing w:line="360" w:lineRule="auto"/>
        <w:jc w:val="left"/>
      </w:pPr>
      <w:r>
        <w:t>________________________________________________________________________</w:t>
      </w:r>
    </w:p>
    <w:p w:rsidR="004712A6" w:rsidRPr="00100894" w:rsidRDefault="004712A6" w:rsidP="008B532D">
      <w:pPr>
        <w:spacing w:line="360" w:lineRule="auto"/>
        <w:jc w:val="left"/>
      </w:pPr>
    </w:p>
    <w:p w:rsidR="001E5F5A" w:rsidRPr="00100894" w:rsidRDefault="001E5F5A" w:rsidP="006474CE">
      <w:pPr>
        <w:rPr>
          <w:i/>
        </w:rPr>
      </w:pPr>
      <w:r w:rsidRPr="00100894">
        <w:rPr>
          <w:i/>
        </w:rPr>
        <w:t xml:space="preserve">The following </w:t>
      </w:r>
      <w:r w:rsidR="008C3682" w:rsidRPr="00100894">
        <w:rPr>
          <w:i/>
        </w:rPr>
        <w:t xml:space="preserve">explanatory note </w:t>
      </w:r>
      <w:r w:rsidRPr="00100894">
        <w:rPr>
          <w:i/>
        </w:rPr>
        <w:t>is provided to assist the media in reporting this case and is not binding on the Constitutional Court or any member of the Court.</w:t>
      </w:r>
    </w:p>
    <w:p w:rsidR="001E5F5A" w:rsidRPr="00100894" w:rsidRDefault="001E5F5A" w:rsidP="006474CE">
      <w:pPr>
        <w:rPr>
          <w:sz w:val="28"/>
          <w:szCs w:val="28"/>
        </w:rPr>
      </w:pPr>
    </w:p>
    <w:p w:rsidR="00723CD8" w:rsidRPr="00723CD8" w:rsidRDefault="007D2BAA" w:rsidP="00723CD8">
      <w:pPr>
        <w:rPr>
          <w:lang w:val="en-GB"/>
        </w:rPr>
      </w:pPr>
      <w:r>
        <w:t>On Tuesday 26</w:t>
      </w:r>
      <w:r w:rsidR="00723CD8" w:rsidRPr="00723CD8">
        <w:t xml:space="preserve"> November 2019 at 10h00, the Constitutional Court handed down judgment in an application for leave to appeal against a judgment of the Labour Court.</w:t>
      </w:r>
    </w:p>
    <w:p w:rsidR="000B0B1E" w:rsidRDefault="000B0B1E" w:rsidP="00DE5133"/>
    <w:p w:rsidR="00723CD8" w:rsidRPr="00723CD8" w:rsidRDefault="00723CD8" w:rsidP="00723CD8">
      <w:pPr>
        <w:rPr>
          <w:lang w:val="en-GB"/>
        </w:rPr>
      </w:pPr>
      <w:r w:rsidRPr="00723CD8">
        <w:rPr>
          <w:lang w:val="en-GB"/>
        </w:rPr>
        <w:t xml:space="preserve">Central to this application </w:t>
      </w:r>
      <w:r w:rsidR="00814FC5">
        <w:rPr>
          <w:lang w:val="en-GB"/>
        </w:rPr>
        <w:t>was</w:t>
      </w:r>
      <w:r w:rsidRPr="00723CD8">
        <w:rPr>
          <w:lang w:val="en-GB"/>
        </w:rPr>
        <w:t xml:space="preserve"> the question whether, barring claims based on contracts, the Labour Court’s jurisdiction under the Basic Conditions of Employment Act 75 of 1997 (B</w:t>
      </w:r>
      <w:r w:rsidR="005A2D42">
        <w:rPr>
          <w:lang w:val="en-GB"/>
        </w:rPr>
        <w:t>CEA</w:t>
      </w:r>
      <w:r w:rsidRPr="00723CD8">
        <w:rPr>
          <w:lang w:val="en-GB"/>
        </w:rPr>
        <w:t>), is deferred until a matter has been resolved by a labour inspector, appointed in terms of section 63 of the B</w:t>
      </w:r>
      <w:r w:rsidR="005A2D42">
        <w:rPr>
          <w:lang w:val="en-GB"/>
        </w:rPr>
        <w:t>CEA</w:t>
      </w:r>
      <w:r w:rsidRPr="00723CD8">
        <w:rPr>
          <w:lang w:val="en-GB"/>
        </w:rPr>
        <w:t>.  The present claim</w:t>
      </w:r>
      <w:r w:rsidR="00FE3621">
        <w:rPr>
          <w:lang w:val="en-GB"/>
        </w:rPr>
        <w:t xml:space="preserve"> </w:t>
      </w:r>
      <w:r w:rsidRPr="00723CD8">
        <w:rPr>
          <w:lang w:val="en-GB"/>
        </w:rPr>
        <w:t>ar</w:t>
      </w:r>
      <w:r w:rsidR="00814FC5">
        <w:rPr>
          <w:lang w:val="en-GB"/>
        </w:rPr>
        <w:t>o</w:t>
      </w:r>
      <w:r w:rsidRPr="00723CD8">
        <w:rPr>
          <w:lang w:val="en-GB"/>
        </w:rPr>
        <w:t>se from an alleged breach of section 34 of that Act, which prohibits an employer from making any deduction from an emp</w:t>
      </w:r>
      <w:r w:rsidR="00C56CA0">
        <w:rPr>
          <w:lang w:val="en-GB"/>
        </w:rPr>
        <w:t>loyee’s remuneration, subject to</w:t>
      </w:r>
      <w:r w:rsidRPr="00723CD8">
        <w:rPr>
          <w:lang w:val="en-GB"/>
        </w:rPr>
        <w:t xml:space="preserve"> </w:t>
      </w:r>
      <w:r w:rsidR="0029330B">
        <w:rPr>
          <w:lang w:val="en-GB"/>
        </w:rPr>
        <w:t xml:space="preserve">certain </w:t>
      </w:r>
      <w:r w:rsidRPr="00723CD8">
        <w:rPr>
          <w:lang w:val="en-GB"/>
        </w:rPr>
        <w:t>sp</w:t>
      </w:r>
      <w:r w:rsidR="0015204D">
        <w:rPr>
          <w:lang w:val="en-GB"/>
        </w:rPr>
        <w:t>ecified exceptions</w:t>
      </w:r>
      <w:r w:rsidRPr="00723CD8">
        <w:rPr>
          <w:lang w:val="en-GB"/>
        </w:rPr>
        <w:t>.</w:t>
      </w:r>
    </w:p>
    <w:p w:rsidR="00723CD8" w:rsidRPr="00723CD8" w:rsidRDefault="00723CD8" w:rsidP="00723CD8">
      <w:pPr>
        <w:rPr>
          <w:lang w:val="en-GB"/>
        </w:rPr>
      </w:pPr>
    </w:p>
    <w:p w:rsidR="00723CD8" w:rsidRPr="00723CD8" w:rsidRDefault="00723CD8" w:rsidP="00723CD8">
      <w:pPr>
        <w:rPr>
          <w:lang w:val="en-GB"/>
        </w:rPr>
      </w:pPr>
      <w:r w:rsidRPr="00723CD8">
        <w:rPr>
          <w:lang w:val="en-GB"/>
        </w:rPr>
        <w:t>The applicants are Amalungelo Workers’ Union and 75 of its members, who were employed by Philip Morris South Africa (Pty) Limited and Leonard Dingler (Pty) Limited, the first and second respondents in the proceedings.</w:t>
      </w:r>
      <w:r w:rsidR="00D77F41">
        <w:rPr>
          <w:lang w:val="en-GB"/>
        </w:rPr>
        <w:t xml:space="preserve">  The applicants</w:t>
      </w:r>
      <w:r w:rsidRPr="00723CD8">
        <w:rPr>
          <w:lang w:val="en-GB"/>
        </w:rPr>
        <w:t xml:space="preserve"> alleged that the respondents ha</w:t>
      </w:r>
      <w:r w:rsidR="005A2D42">
        <w:rPr>
          <w:lang w:val="en-GB"/>
        </w:rPr>
        <w:t>d</w:t>
      </w:r>
      <w:r w:rsidRPr="00723CD8">
        <w:rPr>
          <w:lang w:val="en-GB"/>
        </w:rPr>
        <w:t>, in contravention of section 34 of the B</w:t>
      </w:r>
      <w:r w:rsidR="005A2D42">
        <w:rPr>
          <w:lang w:val="en-GB"/>
        </w:rPr>
        <w:t>CEA</w:t>
      </w:r>
      <w:r w:rsidRPr="00723CD8">
        <w:rPr>
          <w:lang w:val="en-GB"/>
        </w:rPr>
        <w:t>, deducted tax in respect of company cars</w:t>
      </w:r>
      <w:r w:rsidR="00814FC5">
        <w:rPr>
          <w:lang w:val="en-GB"/>
        </w:rPr>
        <w:t xml:space="preserve"> from their salaries</w:t>
      </w:r>
      <w:r w:rsidRPr="00723CD8">
        <w:rPr>
          <w:lang w:val="en-GB"/>
        </w:rPr>
        <w:t xml:space="preserve">.  Based on this allegation, the applicants instituted proceedings in the Labour Court for an order compelling the respondents to refund </w:t>
      </w:r>
      <w:r w:rsidR="00D77F41">
        <w:rPr>
          <w:lang w:val="en-GB"/>
        </w:rPr>
        <w:t>them the deducted amounts.</w:t>
      </w:r>
    </w:p>
    <w:p w:rsidR="00723CD8" w:rsidRPr="00723CD8" w:rsidRDefault="00723CD8" w:rsidP="00723CD8"/>
    <w:p w:rsidR="00723CD8" w:rsidRPr="00723CD8" w:rsidRDefault="00EA2A75" w:rsidP="00723CD8">
      <w:pPr>
        <w:rPr>
          <w:lang w:val="en-GB"/>
        </w:rPr>
      </w:pPr>
      <w:r>
        <w:rPr>
          <w:lang w:val="en-GB"/>
        </w:rPr>
        <w:t>R</w:t>
      </w:r>
      <w:r w:rsidR="00723CD8" w:rsidRPr="00723CD8">
        <w:rPr>
          <w:lang w:val="en-GB"/>
        </w:rPr>
        <w:t>elying on earlier decisions, the Labour Court concluded that it had no jurisdiction to entert</w:t>
      </w:r>
      <w:r w:rsidR="00D77F41">
        <w:rPr>
          <w:lang w:val="en-GB"/>
        </w:rPr>
        <w:t xml:space="preserve">ain the </w:t>
      </w:r>
      <w:r w:rsidR="00E978B8">
        <w:rPr>
          <w:lang w:val="en-GB"/>
        </w:rPr>
        <w:t xml:space="preserve">applicants’ </w:t>
      </w:r>
      <w:r w:rsidR="00D77F41">
        <w:rPr>
          <w:lang w:val="en-GB"/>
        </w:rPr>
        <w:t>claim.  It</w:t>
      </w:r>
      <w:r w:rsidR="00723CD8" w:rsidRPr="00723CD8">
        <w:rPr>
          <w:lang w:val="en-GB"/>
        </w:rPr>
        <w:t xml:space="preserve"> ruled that it lack</w:t>
      </w:r>
      <w:r w:rsidR="00C26265">
        <w:rPr>
          <w:lang w:val="en-GB"/>
        </w:rPr>
        <w:t>ed</w:t>
      </w:r>
      <w:r w:rsidR="00723CD8" w:rsidRPr="00723CD8">
        <w:rPr>
          <w:lang w:val="en-GB"/>
        </w:rPr>
        <w:t xml:space="preserve"> competence to directly enforce provisions of the B</w:t>
      </w:r>
      <w:r w:rsidR="005A2D42">
        <w:rPr>
          <w:lang w:val="en-GB"/>
        </w:rPr>
        <w:t>CEA</w:t>
      </w:r>
      <w:r w:rsidR="00723CD8" w:rsidRPr="00723CD8">
        <w:rPr>
          <w:lang w:val="en-GB"/>
        </w:rPr>
        <w:t xml:space="preserve"> in the absence of </w:t>
      </w:r>
      <w:r w:rsidR="005A2D42">
        <w:rPr>
          <w:lang w:val="en-GB"/>
        </w:rPr>
        <w:t>an</w:t>
      </w:r>
      <w:r w:rsidR="00723CD8" w:rsidRPr="00723CD8">
        <w:rPr>
          <w:lang w:val="en-GB"/>
        </w:rPr>
        <w:t xml:space="preserve"> assertion that those provisions form part of contractual terms envisage</w:t>
      </w:r>
      <w:r w:rsidR="00E978B8">
        <w:rPr>
          <w:lang w:val="en-GB"/>
        </w:rPr>
        <w:t xml:space="preserve">d in section 77(3) of the </w:t>
      </w:r>
      <w:r w:rsidR="00814FC5">
        <w:rPr>
          <w:lang w:val="en-GB"/>
        </w:rPr>
        <w:t>B</w:t>
      </w:r>
      <w:r w:rsidR="005A2D42">
        <w:rPr>
          <w:lang w:val="en-GB"/>
        </w:rPr>
        <w:t>CEA</w:t>
      </w:r>
      <w:r w:rsidR="00E978B8">
        <w:rPr>
          <w:lang w:val="en-GB"/>
        </w:rPr>
        <w:t>.</w:t>
      </w:r>
    </w:p>
    <w:p w:rsidR="00723CD8" w:rsidRPr="00723CD8" w:rsidRDefault="00723CD8" w:rsidP="00723CD8">
      <w:pPr>
        <w:rPr>
          <w:lang w:val="en-GB"/>
        </w:rPr>
      </w:pPr>
    </w:p>
    <w:p w:rsidR="00723CD8" w:rsidRPr="00723CD8" w:rsidRDefault="00723CD8" w:rsidP="00723CD8">
      <w:pPr>
        <w:rPr>
          <w:lang w:val="en-GB"/>
        </w:rPr>
      </w:pPr>
      <w:r w:rsidRPr="00723CD8">
        <w:rPr>
          <w:lang w:val="en-GB"/>
        </w:rPr>
        <w:lastRenderedPageBreak/>
        <w:t>Dissatisfied with this outcome, the applicants sought leave to appeal but th</w:t>
      </w:r>
      <w:r w:rsidR="005A2D42">
        <w:rPr>
          <w:lang w:val="en-GB"/>
        </w:rPr>
        <w:t>at</w:t>
      </w:r>
      <w:r w:rsidRPr="00723CD8">
        <w:rPr>
          <w:lang w:val="en-GB"/>
        </w:rPr>
        <w:t xml:space="preserve"> was also </w:t>
      </w:r>
      <w:r w:rsidR="005A2D42">
        <w:rPr>
          <w:lang w:val="en-GB"/>
        </w:rPr>
        <w:t>unsuccessful.</w:t>
      </w:r>
      <w:r w:rsidRPr="00723CD8">
        <w:rPr>
          <w:lang w:val="en-GB"/>
        </w:rPr>
        <w:t xml:space="preserve"> </w:t>
      </w:r>
      <w:r w:rsidR="005A2D42">
        <w:rPr>
          <w:lang w:val="en-GB"/>
        </w:rPr>
        <w:t xml:space="preserve"> T</w:t>
      </w:r>
      <w:r w:rsidRPr="00723CD8">
        <w:rPr>
          <w:lang w:val="en-GB"/>
        </w:rPr>
        <w:t>heir petition to the Labour Appeal Court suffered the same fate for the reason that there</w:t>
      </w:r>
      <w:r w:rsidR="00D77F41">
        <w:rPr>
          <w:lang w:val="en-GB"/>
        </w:rPr>
        <w:t xml:space="preserve"> were no </w:t>
      </w:r>
      <w:r w:rsidR="00814FC5">
        <w:rPr>
          <w:lang w:val="en-GB"/>
        </w:rPr>
        <w:t xml:space="preserve">reasonable </w:t>
      </w:r>
      <w:r w:rsidR="00D77F41">
        <w:rPr>
          <w:lang w:val="en-GB"/>
        </w:rPr>
        <w:t>prospects of success.</w:t>
      </w:r>
    </w:p>
    <w:p w:rsidR="00723CD8" w:rsidRPr="00723CD8" w:rsidRDefault="00723CD8" w:rsidP="00723CD8">
      <w:pPr>
        <w:rPr>
          <w:lang w:val="en-GB"/>
        </w:rPr>
      </w:pPr>
    </w:p>
    <w:p w:rsidR="00723CD8" w:rsidRDefault="00723CD8" w:rsidP="00723CD8">
      <w:r w:rsidRPr="00723CD8">
        <w:rPr>
          <w:lang w:val="en-GB"/>
        </w:rPr>
        <w:t>T</w:t>
      </w:r>
      <w:r w:rsidR="00D77F41">
        <w:rPr>
          <w:lang w:val="en-GB"/>
        </w:rPr>
        <w:t>he</w:t>
      </w:r>
      <w:r w:rsidRPr="00723CD8">
        <w:rPr>
          <w:lang w:val="en-GB"/>
        </w:rPr>
        <w:t xml:space="preserve"> </w:t>
      </w:r>
      <w:r w:rsidR="00D77F41">
        <w:rPr>
          <w:lang w:val="en-GB"/>
        </w:rPr>
        <w:t xml:space="preserve">Constitutional </w:t>
      </w:r>
      <w:r w:rsidRPr="00723CD8">
        <w:rPr>
          <w:lang w:val="en-GB"/>
        </w:rPr>
        <w:t>Court decided the matter without oral argument but with the benefit of the parties’ written submissions.</w:t>
      </w:r>
      <w:r w:rsidR="00D77F41">
        <w:rPr>
          <w:lang w:val="en-GB"/>
        </w:rPr>
        <w:t xml:space="preserve">  </w:t>
      </w:r>
      <w:r w:rsidRPr="00723CD8">
        <w:rPr>
          <w:lang w:val="en-GB"/>
        </w:rPr>
        <w:t>In a unanimous judgment penned by Jafta J,</w:t>
      </w:r>
      <w:r w:rsidRPr="00723CD8">
        <w:t xml:space="preserve"> the Court held that </w:t>
      </w:r>
      <w:r w:rsidRPr="00723CD8">
        <w:rPr>
          <w:lang w:val="en-GB"/>
        </w:rPr>
        <w:t>to determine if the Labour Court has jurisd</w:t>
      </w:r>
      <w:r w:rsidR="003679BE">
        <w:rPr>
          <w:lang w:val="en-GB"/>
        </w:rPr>
        <w:t>iction to adjudicate the</w:t>
      </w:r>
      <w:r w:rsidRPr="00723CD8">
        <w:rPr>
          <w:lang w:val="en-GB"/>
        </w:rPr>
        <w:t xml:space="preserve"> claim</w:t>
      </w:r>
      <w:r w:rsidR="003679BE">
        <w:rPr>
          <w:lang w:val="en-GB"/>
        </w:rPr>
        <w:t xml:space="preserve"> in question</w:t>
      </w:r>
      <w:r w:rsidRPr="00723CD8">
        <w:rPr>
          <w:lang w:val="en-GB"/>
        </w:rPr>
        <w:t>, consideration must be given to the proper interpretation of the relevant provisions of the B</w:t>
      </w:r>
      <w:r w:rsidR="005A2D42">
        <w:rPr>
          <w:lang w:val="en-GB"/>
        </w:rPr>
        <w:t>CEA</w:t>
      </w:r>
      <w:r w:rsidRPr="00723CD8">
        <w:rPr>
          <w:lang w:val="en-GB"/>
        </w:rPr>
        <w:t xml:space="preserve">.  In this regard, the Court noted that </w:t>
      </w:r>
      <w:r w:rsidRPr="00723CD8">
        <w:t>the provision that addresses the Labour Court’s jurisdiction is section 77 of the B</w:t>
      </w:r>
      <w:r w:rsidR="005A2D42">
        <w:t>CEA</w:t>
      </w:r>
      <w:r w:rsidRPr="00723CD8">
        <w:t>, which was designed to promote access to the Labour Courts in relation to claims based on that Act.  The Court further noted that section 77</w:t>
      </w:r>
      <w:r w:rsidR="004058A8">
        <w:t>(1)</w:t>
      </w:r>
      <w:r w:rsidR="00A012D9">
        <w:t xml:space="preserve"> states</w:t>
      </w:r>
      <w:r w:rsidRPr="00723CD8">
        <w:t xml:space="preserve"> in unambiguous terms that the Labour Court has exclusive jurisdiction over matters arising from the B</w:t>
      </w:r>
      <w:r w:rsidR="005A2D42">
        <w:t>CEA</w:t>
      </w:r>
      <w:r w:rsidRPr="00723CD8">
        <w:t>.  The only exception is in respect of where the Act itself provides otherwise.  The Court remarked that</w:t>
      </w:r>
      <w:r w:rsidR="002C1A49">
        <w:t xml:space="preserve"> </w:t>
      </w:r>
      <w:r w:rsidRPr="00723CD8">
        <w:t>what locates a matter within the jurisdiction of the Labour Court is the application of the B</w:t>
      </w:r>
      <w:r w:rsidR="005A2D42">
        <w:t>CEA</w:t>
      </w:r>
      <w:r w:rsidRPr="00723CD8">
        <w:t>.  Consequently, all claims to which the B</w:t>
      </w:r>
      <w:r w:rsidR="005A2D42">
        <w:t>CEA</w:t>
      </w:r>
      <w:r w:rsidRPr="00723CD8">
        <w:t xml:space="preserve"> applies fall within the exclusive jur</w:t>
      </w:r>
      <w:r w:rsidR="002A1E0F">
        <w:t>isdiction of the Labour Court.</w:t>
      </w:r>
    </w:p>
    <w:p w:rsidR="002C1A49" w:rsidRPr="00723CD8" w:rsidRDefault="002C1A49" w:rsidP="00723CD8">
      <w:pPr>
        <w:rPr>
          <w:lang w:val="en-GB"/>
        </w:rPr>
      </w:pPr>
    </w:p>
    <w:p w:rsidR="00723CD8" w:rsidRPr="002C1A49" w:rsidRDefault="00723CD8" w:rsidP="00723CD8">
      <w:pPr>
        <w:rPr>
          <w:lang w:val="en-GB"/>
        </w:rPr>
      </w:pPr>
      <w:r w:rsidRPr="00723CD8">
        <w:rPr>
          <w:lang w:val="en-GB"/>
        </w:rPr>
        <w:t xml:space="preserve">Pertaining to whether </w:t>
      </w:r>
      <w:r w:rsidR="00426671">
        <w:rPr>
          <w:lang w:val="en-GB"/>
        </w:rPr>
        <w:t>the B</w:t>
      </w:r>
      <w:r w:rsidR="005A2D42">
        <w:rPr>
          <w:lang w:val="en-GB"/>
        </w:rPr>
        <w:t>CEA</w:t>
      </w:r>
      <w:r w:rsidR="00426671">
        <w:rPr>
          <w:lang w:val="en-GB"/>
        </w:rPr>
        <w:t xml:space="preserve"> obliged</w:t>
      </w:r>
      <w:r w:rsidRPr="00723CD8">
        <w:rPr>
          <w:lang w:val="en-GB"/>
        </w:rPr>
        <w:t xml:space="preserve"> litigants to submit their disputes to labour inspectors before they may approach the L</w:t>
      </w:r>
      <w:r w:rsidR="00426671">
        <w:rPr>
          <w:lang w:val="en-GB"/>
        </w:rPr>
        <w:t>abour Court, the Court pointed out</w:t>
      </w:r>
      <w:r w:rsidR="00A71307">
        <w:rPr>
          <w:lang w:val="en-GB"/>
        </w:rPr>
        <w:t xml:space="preserve"> that there wa</w:t>
      </w:r>
      <w:r w:rsidRPr="00723CD8">
        <w:rPr>
          <w:lang w:val="en-GB"/>
        </w:rPr>
        <w:t>s simply no provision in the B</w:t>
      </w:r>
      <w:r w:rsidR="005A2D42">
        <w:rPr>
          <w:lang w:val="en-GB"/>
        </w:rPr>
        <w:t>CEA</w:t>
      </w:r>
      <w:r w:rsidR="00D800CC">
        <w:rPr>
          <w:lang w:val="en-GB"/>
        </w:rPr>
        <w:t xml:space="preserve"> which expressly required</w:t>
      </w:r>
      <w:r w:rsidRPr="00723CD8">
        <w:rPr>
          <w:lang w:val="en-GB"/>
        </w:rPr>
        <w:t xml:space="preserve"> that disputes be submitted first to labour inspectors before the Labour Court </w:t>
      </w:r>
      <w:r w:rsidR="00EA4BEA">
        <w:rPr>
          <w:lang w:val="en-GB"/>
        </w:rPr>
        <w:t>could</w:t>
      </w:r>
      <w:r w:rsidRPr="00723CD8">
        <w:rPr>
          <w:lang w:val="en-GB"/>
        </w:rPr>
        <w:t xml:space="preserve"> entertain them.  </w:t>
      </w:r>
      <w:r w:rsidRPr="00723CD8">
        <w:t>At the time the claim in question arose, none of t</w:t>
      </w:r>
      <w:r w:rsidRPr="00723CD8">
        <w:rPr>
          <w:lang w:val="en-GB"/>
        </w:rPr>
        <w:t xml:space="preserve">he </w:t>
      </w:r>
      <w:r w:rsidR="008661EE">
        <w:rPr>
          <w:lang w:val="en-GB"/>
        </w:rPr>
        <w:t>functions of labour inspectors</w:t>
      </w:r>
      <w:r w:rsidRPr="00723CD8">
        <w:t xml:space="preserve"> covered dispute resolution.  </w:t>
      </w:r>
      <w:r w:rsidR="00EA4BEA">
        <w:t>Although the B</w:t>
      </w:r>
      <w:r w:rsidR="005A2D42">
        <w:t>CEA</w:t>
      </w:r>
      <w:r w:rsidR="00EA4BEA">
        <w:t xml:space="preserve"> now authorises labour inspectors to refer disputes to the CCMA, this amendment came into effect recently and does not apply </w:t>
      </w:r>
      <w:r w:rsidR="00D360A6">
        <w:t xml:space="preserve">to </w:t>
      </w:r>
      <w:r w:rsidR="00EA4BEA">
        <w:t>the present case.</w:t>
      </w:r>
    </w:p>
    <w:p w:rsidR="00723CD8" w:rsidRPr="00723CD8" w:rsidRDefault="00723CD8" w:rsidP="00723CD8">
      <w:pPr>
        <w:rPr>
          <w:lang w:val="en-GB"/>
        </w:rPr>
      </w:pPr>
    </w:p>
    <w:p w:rsidR="00723CD8" w:rsidRPr="00723CD8" w:rsidRDefault="00C00143" w:rsidP="00723CD8">
      <w:pPr>
        <w:rPr>
          <w:lang w:val="en-GB"/>
        </w:rPr>
      </w:pPr>
      <w:r>
        <w:rPr>
          <w:lang w:val="en-GB"/>
        </w:rPr>
        <w:t>T</w:t>
      </w:r>
      <w:r w:rsidR="00723CD8" w:rsidRPr="00723CD8">
        <w:rPr>
          <w:lang w:val="en-GB"/>
        </w:rPr>
        <w:t xml:space="preserve">he Court </w:t>
      </w:r>
      <w:r w:rsidR="00C9274D">
        <w:rPr>
          <w:lang w:val="en-GB"/>
        </w:rPr>
        <w:t>held</w:t>
      </w:r>
      <w:r w:rsidR="00723CD8" w:rsidRPr="00723CD8">
        <w:rPr>
          <w:lang w:val="en-GB"/>
        </w:rPr>
        <w:t xml:space="preserve"> that the Labour Court erred in concluding that it did not have jur</w:t>
      </w:r>
      <w:r w:rsidR="002C1A49">
        <w:rPr>
          <w:lang w:val="en-GB"/>
        </w:rPr>
        <w:t>isdiction to entertain the applicants’ claim</w:t>
      </w:r>
      <w:r w:rsidR="00723CD8" w:rsidRPr="00723CD8">
        <w:rPr>
          <w:lang w:val="en-GB"/>
        </w:rPr>
        <w:t xml:space="preserve">. </w:t>
      </w:r>
      <w:r w:rsidR="009E21CB">
        <w:rPr>
          <w:lang w:val="en-GB"/>
        </w:rPr>
        <w:t xml:space="preserve"> </w:t>
      </w:r>
      <w:r w:rsidR="00723CD8" w:rsidRPr="00723CD8">
        <w:rPr>
          <w:lang w:val="en-GB"/>
        </w:rPr>
        <w:t>In the result</w:t>
      </w:r>
      <w:r w:rsidR="002C1A49">
        <w:rPr>
          <w:lang w:val="en-GB"/>
        </w:rPr>
        <w:t>,</w:t>
      </w:r>
      <w:r w:rsidR="00723CD8" w:rsidRPr="00723CD8">
        <w:rPr>
          <w:lang w:val="en-GB"/>
        </w:rPr>
        <w:t xml:space="preserve"> the Court granted leave to appeal.  The Court then set aside the </w:t>
      </w:r>
      <w:r w:rsidR="00723CD8" w:rsidRPr="00723CD8">
        <w:t>order of the Labour Court and remitted the matter to the Labour Court.</w:t>
      </w:r>
    </w:p>
    <w:p w:rsidR="004578F6" w:rsidRDefault="004578F6" w:rsidP="004578F6"/>
    <w:sectPr w:rsidR="004578F6" w:rsidSect="00883D6C">
      <w:headerReference w:type="even" r:id="rId9"/>
      <w:headerReference w:type="default" r:id="rId10"/>
      <w:footerReference w:type="even" r:id="rId11"/>
      <w:footerReference w:type="default" r:id="rId12"/>
      <w:headerReference w:type="first" r:id="rId13"/>
      <w:footerReference w:type="first" r:id="rId14"/>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54A9F" w:rsidRDefault="00354A9F" w:rsidP="004A5089">
      <w:r>
        <w:separator/>
      </w:r>
    </w:p>
  </w:endnote>
  <w:endnote w:type="continuationSeparator" w:id="0">
    <w:p w:rsidR="00354A9F" w:rsidRDefault="00354A9F" w:rsidP="004A5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C07" w:rsidRDefault="00B67C0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C07" w:rsidRDefault="00B67C0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C07" w:rsidRDefault="00B67C0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54A9F" w:rsidRDefault="00354A9F" w:rsidP="004A5089">
      <w:r>
        <w:separator/>
      </w:r>
    </w:p>
  </w:footnote>
  <w:footnote w:type="continuationSeparator" w:id="0">
    <w:p w:rsidR="00354A9F" w:rsidRDefault="00354A9F" w:rsidP="004A508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C07" w:rsidRDefault="00B67C0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C07" w:rsidRDefault="00B67C0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C07" w:rsidRDefault="00B67C0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E6D569F"/>
    <w:multiLevelType w:val="multilevel"/>
    <w:tmpl w:val="8C146660"/>
    <w:lvl w:ilvl="0">
      <w:start w:val="1"/>
      <w:numFmt w:val="decimal"/>
      <w:lvlText w:val="%1"/>
      <w:lvlJc w:val="left"/>
      <w:pPr>
        <w:tabs>
          <w:tab w:val="num" w:pos="720"/>
        </w:tabs>
        <w:ind w:left="720" w:hanging="720"/>
      </w:pPr>
      <w:rPr>
        <w:rFonts w:hint="default"/>
        <w:b w:val="0"/>
        <w:i w:val="0"/>
      </w:rPr>
    </w:lvl>
    <w:lvl w:ilvl="1">
      <w:start w:val="1"/>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520"/>
        </w:tabs>
        <w:ind w:left="2520" w:hanging="108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600"/>
        </w:tabs>
        <w:ind w:left="3600" w:hanging="144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680"/>
        </w:tabs>
        <w:ind w:left="4680" w:hanging="1800"/>
      </w:pPr>
      <w:rPr>
        <w:rFonts w:hint="default"/>
      </w:rPr>
    </w:lvl>
    <w:lvl w:ilvl="8">
      <w:start w:val="1"/>
      <w:numFmt w:val="decimal"/>
      <w:isLgl/>
      <w:lvlText w:val="%1.%2.%3.%4.%5.%6.%7.%8.%9"/>
      <w:lvlJc w:val="left"/>
      <w:pPr>
        <w:tabs>
          <w:tab w:val="num" w:pos="5040"/>
        </w:tabs>
        <w:ind w:left="5040" w:hanging="18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5F5A"/>
    <w:rsid w:val="00013101"/>
    <w:rsid w:val="0001609B"/>
    <w:rsid w:val="00017302"/>
    <w:rsid w:val="00023FA7"/>
    <w:rsid w:val="00032308"/>
    <w:rsid w:val="0003383F"/>
    <w:rsid w:val="00044771"/>
    <w:rsid w:val="00053C95"/>
    <w:rsid w:val="000548D7"/>
    <w:rsid w:val="00055B29"/>
    <w:rsid w:val="000654B1"/>
    <w:rsid w:val="0007028D"/>
    <w:rsid w:val="00070E99"/>
    <w:rsid w:val="0007636C"/>
    <w:rsid w:val="000806AE"/>
    <w:rsid w:val="00087099"/>
    <w:rsid w:val="00091F8C"/>
    <w:rsid w:val="00093E39"/>
    <w:rsid w:val="00094E7C"/>
    <w:rsid w:val="000A36D1"/>
    <w:rsid w:val="000A36F3"/>
    <w:rsid w:val="000A5FD1"/>
    <w:rsid w:val="000B0B1E"/>
    <w:rsid w:val="000B4D10"/>
    <w:rsid w:val="000D09EA"/>
    <w:rsid w:val="000D35AE"/>
    <w:rsid w:val="000E52A5"/>
    <w:rsid w:val="000E7053"/>
    <w:rsid w:val="000F0631"/>
    <w:rsid w:val="00100894"/>
    <w:rsid w:val="00113454"/>
    <w:rsid w:val="00117D6B"/>
    <w:rsid w:val="00121AD2"/>
    <w:rsid w:val="00122E3D"/>
    <w:rsid w:val="00125BE8"/>
    <w:rsid w:val="001322E2"/>
    <w:rsid w:val="0015204D"/>
    <w:rsid w:val="0015307D"/>
    <w:rsid w:val="00160D56"/>
    <w:rsid w:val="00172A2C"/>
    <w:rsid w:val="001A24C8"/>
    <w:rsid w:val="001C3A68"/>
    <w:rsid w:val="001E31D8"/>
    <w:rsid w:val="001E57F4"/>
    <w:rsid w:val="001E5F5A"/>
    <w:rsid w:val="001E7604"/>
    <w:rsid w:val="001F2638"/>
    <w:rsid w:val="001F7322"/>
    <w:rsid w:val="00200AB8"/>
    <w:rsid w:val="00215823"/>
    <w:rsid w:val="00216122"/>
    <w:rsid w:val="00216163"/>
    <w:rsid w:val="00216BA1"/>
    <w:rsid w:val="002348C0"/>
    <w:rsid w:val="002435AB"/>
    <w:rsid w:val="00243F11"/>
    <w:rsid w:val="00250C27"/>
    <w:rsid w:val="00252FCC"/>
    <w:rsid w:val="00253986"/>
    <w:rsid w:val="002617B3"/>
    <w:rsid w:val="00266610"/>
    <w:rsid w:val="002705A8"/>
    <w:rsid w:val="0027251B"/>
    <w:rsid w:val="002739AF"/>
    <w:rsid w:val="0029330B"/>
    <w:rsid w:val="002A1E0F"/>
    <w:rsid w:val="002C1A49"/>
    <w:rsid w:val="002D184B"/>
    <w:rsid w:val="002D7582"/>
    <w:rsid w:val="002F354C"/>
    <w:rsid w:val="00305423"/>
    <w:rsid w:val="0030567C"/>
    <w:rsid w:val="0031182A"/>
    <w:rsid w:val="0031792A"/>
    <w:rsid w:val="00323149"/>
    <w:rsid w:val="003255EA"/>
    <w:rsid w:val="0032682A"/>
    <w:rsid w:val="00327EA1"/>
    <w:rsid w:val="00334E0F"/>
    <w:rsid w:val="00341D06"/>
    <w:rsid w:val="00346513"/>
    <w:rsid w:val="00354A9F"/>
    <w:rsid w:val="00357788"/>
    <w:rsid w:val="003672B5"/>
    <w:rsid w:val="003679BE"/>
    <w:rsid w:val="00375CFE"/>
    <w:rsid w:val="0037720A"/>
    <w:rsid w:val="0038044D"/>
    <w:rsid w:val="003807A5"/>
    <w:rsid w:val="00382985"/>
    <w:rsid w:val="003845A8"/>
    <w:rsid w:val="00385062"/>
    <w:rsid w:val="003850ED"/>
    <w:rsid w:val="00386254"/>
    <w:rsid w:val="003B4484"/>
    <w:rsid w:val="003C40ED"/>
    <w:rsid w:val="003D1CF1"/>
    <w:rsid w:val="003D7359"/>
    <w:rsid w:val="003D7FBB"/>
    <w:rsid w:val="003E3480"/>
    <w:rsid w:val="003F0347"/>
    <w:rsid w:val="003F1959"/>
    <w:rsid w:val="003F3E2F"/>
    <w:rsid w:val="003F7932"/>
    <w:rsid w:val="004036FB"/>
    <w:rsid w:val="004058A8"/>
    <w:rsid w:val="004065B7"/>
    <w:rsid w:val="00410075"/>
    <w:rsid w:val="00422805"/>
    <w:rsid w:val="00426671"/>
    <w:rsid w:val="004302FD"/>
    <w:rsid w:val="00430C6F"/>
    <w:rsid w:val="00433FFD"/>
    <w:rsid w:val="004426F8"/>
    <w:rsid w:val="00452FDA"/>
    <w:rsid w:val="004554F4"/>
    <w:rsid w:val="004578F6"/>
    <w:rsid w:val="004620E5"/>
    <w:rsid w:val="004712A6"/>
    <w:rsid w:val="00473B6F"/>
    <w:rsid w:val="00490F2C"/>
    <w:rsid w:val="004A1AEE"/>
    <w:rsid w:val="004A5089"/>
    <w:rsid w:val="004B1CB2"/>
    <w:rsid w:val="004C5AD8"/>
    <w:rsid w:val="004C7EF7"/>
    <w:rsid w:val="004D716D"/>
    <w:rsid w:val="004E5D84"/>
    <w:rsid w:val="005038A1"/>
    <w:rsid w:val="00510D1D"/>
    <w:rsid w:val="00514034"/>
    <w:rsid w:val="00515454"/>
    <w:rsid w:val="00524F3A"/>
    <w:rsid w:val="005257B9"/>
    <w:rsid w:val="00526226"/>
    <w:rsid w:val="005307A5"/>
    <w:rsid w:val="005328D5"/>
    <w:rsid w:val="0053527E"/>
    <w:rsid w:val="00550ECF"/>
    <w:rsid w:val="0056149C"/>
    <w:rsid w:val="00571CD9"/>
    <w:rsid w:val="00573AEA"/>
    <w:rsid w:val="00580186"/>
    <w:rsid w:val="00584400"/>
    <w:rsid w:val="00587A53"/>
    <w:rsid w:val="0059206E"/>
    <w:rsid w:val="00594B56"/>
    <w:rsid w:val="00596826"/>
    <w:rsid w:val="005A265B"/>
    <w:rsid w:val="005A2D42"/>
    <w:rsid w:val="005A4B3C"/>
    <w:rsid w:val="005A5D03"/>
    <w:rsid w:val="005A5FE7"/>
    <w:rsid w:val="005B2F2F"/>
    <w:rsid w:val="005B51EB"/>
    <w:rsid w:val="005C26FE"/>
    <w:rsid w:val="005C743F"/>
    <w:rsid w:val="005D0A3F"/>
    <w:rsid w:val="005E52AC"/>
    <w:rsid w:val="005E557D"/>
    <w:rsid w:val="005F2B5C"/>
    <w:rsid w:val="005F322E"/>
    <w:rsid w:val="00616848"/>
    <w:rsid w:val="00624FFE"/>
    <w:rsid w:val="00630AA9"/>
    <w:rsid w:val="00642528"/>
    <w:rsid w:val="0064696F"/>
    <w:rsid w:val="006474CE"/>
    <w:rsid w:val="006524D4"/>
    <w:rsid w:val="006543E3"/>
    <w:rsid w:val="00660CD3"/>
    <w:rsid w:val="006735C9"/>
    <w:rsid w:val="00674452"/>
    <w:rsid w:val="006749D6"/>
    <w:rsid w:val="00676CFE"/>
    <w:rsid w:val="00685C91"/>
    <w:rsid w:val="006874E4"/>
    <w:rsid w:val="006879F3"/>
    <w:rsid w:val="00694175"/>
    <w:rsid w:val="006966FC"/>
    <w:rsid w:val="006C1812"/>
    <w:rsid w:val="006C7B70"/>
    <w:rsid w:val="006E6A2F"/>
    <w:rsid w:val="0070106B"/>
    <w:rsid w:val="007106E2"/>
    <w:rsid w:val="00712458"/>
    <w:rsid w:val="00716FAA"/>
    <w:rsid w:val="00720ACA"/>
    <w:rsid w:val="00723CD8"/>
    <w:rsid w:val="0073755D"/>
    <w:rsid w:val="00750F83"/>
    <w:rsid w:val="00752C8F"/>
    <w:rsid w:val="00753CED"/>
    <w:rsid w:val="00762738"/>
    <w:rsid w:val="007659FF"/>
    <w:rsid w:val="007733B4"/>
    <w:rsid w:val="007746CE"/>
    <w:rsid w:val="00775169"/>
    <w:rsid w:val="00780874"/>
    <w:rsid w:val="0078535D"/>
    <w:rsid w:val="00794A7A"/>
    <w:rsid w:val="00795CE5"/>
    <w:rsid w:val="007A22B6"/>
    <w:rsid w:val="007A7ECE"/>
    <w:rsid w:val="007C65D9"/>
    <w:rsid w:val="007D2BAA"/>
    <w:rsid w:val="007D51D1"/>
    <w:rsid w:val="007D6DF5"/>
    <w:rsid w:val="007F0EF4"/>
    <w:rsid w:val="007F7DCD"/>
    <w:rsid w:val="008009E7"/>
    <w:rsid w:val="00801124"/>
    <w:rsid w:val="00812162"/>
    <w:rsid w:val="00814FC5"/>
    <w:rsid w:val="0081741F"/>
    <w:rsid w:val="008209C7"/>
    <w:rsid w:val="00822D27"/>
    <w:rsid w:val="00823B02"/>
    <w:rsid w:val="0083215D"/>
    <w:rsid w:val="00834D25"/>
    <w:rsid w:val="008351C8"/>
    <w:rsid w:val="008376A5"/>
    <w:rsid w:val="0086048D"/>
    <w:rsid w:val="00862BA8"/>
    <w:rsid w:val="008661EE"/>
    <w:rsid w:val="00866508"/>
    <w:rsid w:val="00867767"/>
    <w:rsid w:val="0087005B"/>
    <w:rsid w:val="00881D33"/>
    <w:rsid w:val="00882096"/>
    <w:rsid w:val="00883D6C"/>
    <w:rsid w:val="008943E7"/>
    <w:rsid w:val="008A5FDC"/>
    <w:rsid w:val="008B1777"/>
    <w:rsid w:val="008B532D"/>
    <w:rsid w:val="008B58EA"/>
    <w:rsid w:val="008C3682"/>
    <w:rsid w:val="008D24BC"/>
    <w:rsid w:val="008D3D39"/>
    <w:rsid w:val="008D66B8"/>
    <w:rsid w:val="008E2744"/>
    <w:rsid w:val="008E54C8"/>
    <w:rsid w:val="008E5AD9"/>
    <w:rsid w:val="008F4B8F"/>
    <w:rsid w:val="0090690C"/>
    <w:rsid w:val="00910F26"/>
    <w:rsid w:val="00911DB9"/>
    <w:rsid w:val="00925A0F"/>
    <w:rsid w:val="00935525"/>
    <w:rsid w:val="00956BF9"/>
    <w:rsid w:val="0096072E"/>
    <w:rsid w:val="009613F3"/>
    <w:rsid w:val="009642D7"/>
    <w:rsid w:val="00973951"/>
    <w:rsid w:val="00975321"/>
    <w:rsid w:val="009838A9"/>
    <w:rsid w:val="00992CAE"/>
    <w:rsid w:val="009B5AD6"/>
    <w:rsid w:val="009B7D1B"/>
    <w:rsid w:val="009D59D3"/>
    <w:rsid w:val="009E21CB"/>
    <w:rsid w:val="009E7D9D"/>
    <w:rsid w:val="00A012D9"/>
    <w:rsid w:val="00A0140F"/>
    <w:rsid w:val="00A142B7"/>
    <w:rsid w:val="00A37027"/>
    <w:rsid w:val="00A47D4A"/>
    <w:rsid w:val="00A51C04"/>
    <w:rsid w:val="00A53199"/>
    <w:rsid w:val="00A55B9B"/>
    <w:rsid w:val="00A55BAB"/>
    <w:rsid w:val="00A71307"/>
    <w:rsid w:val="00A746A7"/>
    <w:rsid w:val="00A81378"/>
    <w:rsid w:val="00A86A0C"/>
    <w:rsid w:val="00AA17C0"/>
    <w:rsid w:val="00AA3378"/>
    <w:rsid w:val="00AC5170"/>
    <w:rsid w:val="00AC799A"/>
    <w:rsid w:val="00AD14A5"/>
    <w:rsid w:val="00AE4640"/>
    <w:rsid w:val="00AF0A36"/>
    <w:rsid w:val="00AF67D4"/>
    <w:rsid w:val="00AF6BB4"/>
    <w:rsid w:val="00B11126"/>
    <w:rsid w:val="00B3177F"/>
    <w:rsid w:val="00B31B92"/>
    <w:rsid w:val="00B36F54"/>
    <w:rsid w:val="00B428BE"/>
    <w:rsid w:val="00B4658E"/>
    <w:rsid w:val="00B4737C"/>
    <w:rsid w:val="00B630F2"/>
    <w:rsid w:val="00B67C07"/>
    <w:rsid w:val="00B75813"/>
    <w:rsid w:val="00B80F33"/>
    <w:rsid w:val="00B84761"/>
    <w:rsid w:val="00B916FE"/>
    <w:rsid w:val="00BA6787"/>
    <w:rsid w:val="00BB208F"/>
    <w:rsid w:val="00BD1693"/>
    <w:rsid w:val="00BD40DB"/>
    <w:rsid w:val="00BD56D1"/>
    <w:rsid w:val="00BD769E"/>
    <w:rsid w:val="00BE6FBD"/>
    <w:rsid w:val="00C00143"/>
    <w:rsid w:val="00C14E9E"/>
    <w:rsid w:val="00C15790"/>
    <w:rsid w:val="00C26265"/>
    <w:rsid w:val="00C33BDF"/>
    <w:rsid w:val="00C33C2A"/>
    <w:rsid w:val="00C43D8A"/>
    <w:rsid w:val="00C44D82"/>
    <w:rsid w:val="00C45F8A"/>
    <w:rsid w:val="00C47F29"/>
    <w:rsid w:val="00C51AFC"/>
    <w:rsid w:val="00C536E8"/>
    <w:rsid w:val="00C55A66"/>
    <w:rsid w:val="00C56CA0"/>
    <w:rsid w:val="00C616DF"/>
    <w:rsid w:val="00C658CA"/>
    <w:rsid w:val="00C70B69"/>
    <w:rsid w:val="00C750A0"/>
    <w:rsid w:val="00C774E6"/>
    <w:rsid w:val="00C85429"/>
    <w:rsid w:val="00C9274D"/>
    <w:rsid w:val="00C96321"/>
    <w:rsid w:val="00CA21ED"/>
    <w:rsid w:val="00CA458C"/>
    <w:rsid w:val="00CB2E3D"/>
    <w:rsid w:val="00CC2497"/>
    <w:rsid w:val="00CC3931"/>
    <w:rsid w:val="00CD3783"/>
    <w:rsid w:val="00CE1D21"/>
    <w:rsid w:val="00CE4122"/>
    <w:rsid w:val="00CE51A0"/>
    <w:rsid w:val="00D0087C"/>
    <w:rsid w:val="00D10EE1"/>
    <w:rsid w:val="00D12501"/>
    <w:rsid w:val="00D200E8"/>
    <w:rsid w:val="00D33D3A"/>
    <w:rsid w:val="00D356A3"/>
    <w:rsid w:val="00D360A6"/>
    <w:rsid w:val="00D3622B"/>
    <w:rsid w:val="00D40819"/>
    <w:rsid w:val="00D479DF"/>
    <w:rsid w:val="00D52A9A"/>
    <w:rsid w:val="00D5744B"/>
    <w:rsid w:val="00D64E65"/>
    <w:rsid w:val="00D659C5"/>
    <w:rsid w:val="00D77F41"/>
    <w:rsid w:val="00D800CC"/>
    <w:rsid w:val="00D81F8F"/>
    <w:rsid w:val="00D86239"/>
    <w:rsid w:val="00D870FF"/>
    <w:rsid w:val="00D91E51"/>
    <w:rsid w:val="00DB006B"/>
    <w:rsid w:val="00DB011F"/>
    <w:rsid w:val="00DB12FA"/>
    <w:rsid w:val="00DB1820"/>
    <w:rsid w:val="00DB1A44"/>
    <w:rsid w:val="00DD5682"/>
    <w:rsid w:val="00DE5133"/>
    <w:rsid w:val="00DE7B41"/>
    <w:rsid w:val="00E07942"/>
    <w:rsid w:val="00E27310"/>
    <w:rsid w:val="00E545EA"/>
    <w:rsid w:val="00E608AB"/>
    <w:rsid w:val="00E6240F"/>
    <w:rsid w:val="00E661EE"/>
    <w:rsid w:val="00E7259F"/>
    <w:rsid w:val="00E736CB"/>
    <w:rsid w:val="00E8120E"/>
    <w:rsid w:val="00E8342B"/>
    <w:rsid w:val="00E93F86"/>
    <w:rsid w:val="00E951EA"/>
    <w:rsid w:val="00E978B8"/>
    <w:rsid w:val="00EA113C"/>
    <w:rsid w:val="00EA2A75"/>
    <w:rsid w:val="00EA4BEA"/>
    <w:rsid w:val="00EB65A0"/>
    <w:rsid w:val="00EC30F9"/>
    <w:rsid w:val="00EC3DF4"/>
    <w:rsid w:val="00ED5B69"/>
    <w:rsid w:val="00ED7F73"/>
    <w:rsid w:val="00EE04FA"/>
    <w:rsid w:val="00EE10EC"/>
    <w:rsid w:val="00EE25DC"/>
    <w:rsid w:val="00EE6BE6"/>
    <w:rsid w:val="00EE7020"/>
    <w:rsid w:val="00EE753A"/>
    <w:rsid w:val="00EE7EF0"/>
    <w:rsid w:val="00EF10BB"/>
    <w:rsid w:val="00F04568"/>
    <w:rsid w:val="00F32F0E"/>
    <w:rsid w:val="00F37122"/>
    <w:rsid w:val="00F40671"/>
    <w:rsid w:val="00F43565"/>
    <w:rsid w:val="00F43ADD"/>
    <w:rsid w:val="00F43C38"/>
    <w:rsid w:val="00F50679"/>
    <w:rsid w:val="00F5283F"/>
    <w:rsid w:val="00F54C95"/>
    <w:rsid w:val="00F603F8"/>
    <w:rsid w:val="00F60DC6"/>
    <w:rsid w:val="00F70E31"/>
    <w:rsid w:val="00F74173"/>
    <w:rsid w:val="00F74A3C"/>
    <w:rsid w:val="00F77A10"/>
    <w:rsid w:val="00F8038E"/>
    <w:rsid w:val="00F91229"/>
    <w:rsid w:val="00F91C22"/>
    <w:rsid w:val="00F9521D"/>
    <w:rsid w:val="00FA0546"/>
    <w:rsid w:val="00FB2AFF"/>
    <w:rsid w:val="00FB43E0"/>
    <w:rsid w:val="00FC2754"/>
    <w:rsid w:val="00FD02AB"/>
    <w:rsid w:val="00FD137A"/>
    <w:rsid w:val="00FD2D52"/>
    <w:rsid w:val="00FE00A5"/>
    <w:rsid w:val="00FE2EF9"/>
    <w:rsid w:val="00FE3621"/>
    <w:rsid w:val="00FF0E4B"/>
    <w:rsid w:val="00FF6F6A"/>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ZA" w:eastAsia="en-Z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4640"/>
    <w:pPr>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semiHidden/>
    <w:rsid w:val="0003383F"/>
    <w:rPr>
      <w:rFonts w:ascii="Tahoma" w:hAnsi="Tahoma" w:cs="Tahoma"/>
      <w:sz w:val="16"/>
      <w:szCs w:val="16"/>
    </w:rPr>
  </w:style>
  <w:style w:type="character" w:styleId="CommentReference">
    <w:name w:val="annotation reference"/>
    <w:basedOn w:val="DefaultParagraphFont"/>
    <w:rsid w:val="006543E3"/>
    <w:rPr>
      <w:sz w:val="16"/>
      <w:szCs w:val="16"/>
    </w:rPr>
  </w:style>
  <w:style w:type="paragraph" w:styleId="CommentText">
    <w:name w:val="annotation text"/>
    <w:basedOn w:val="Normal"/>
    <w:link w:val="CommentTextChar"/>
    <w:rsid w:val="006543E3"/>
    <w:rPr>
      <w:sz w:val="20"/>
      <w:szCs w:val="20"/>
    </w:rPr>
  </w:style>
  <w:style w:type="character" w:customStyle="1" w:styleId="CommentTextChar">
    <w:name w:val="Comment Text Char"/>
    <w:basedOn w:val="DefaultParagraphFont"/>
    <w:link w:val="CommentText"/>
    <w:rsid w:val="006543E3"/>
    <w:rPr>
      <w:lang w:val="en-ZA"/>
    </w:rPr>
  </w:style>
  <w:style w:type="paragraph" w:styleId="CommentSubject">
    <w:name w:val="annotation subject"/>
    <w:basedOn w:val="CommentText"/>
    <w:next w:val="CommentText"/>
    <w:link w:val="CommentSubjectChar"/>
    <w:rsid w:val="006543E3"/>
    <w:rPr>
      <w:b/>
      <w:bCs/>
    </w:rPr>
  </w:style>
  <w:style w:type="character" w:customStyle="1" w:styleId="CommentSubjectChar">
    <w:name w:val="Comment Subject Char"/>
    <w:basedOn w:val="CommentTextChar"/>
    <w:link w:val="CommentSubject"/>
    <w:rsid w:val="006543E3"/>
    <w:rPr>
      <w:b/>
      <w:bCs/>
      <w:lang w:val="en-ZA"/>
    </w:rPr>
  </w:style>
  <w:style w:type="paragraph" w:customStyle="1" w:styleId="Default">
    <w:name w:val="Default"/>
    <w:rsid w:val="006543E3"/>
    <w:pPr>
      <w:autoSpaceDE w:val="0"/>
      <w:autoSpaceDN w:val="0"/>
      <w:adjustRightInd w:val="0"/>
    </w:pPr>
    <w:rPr>
      <w:rFonts w:ascii="Verdana" w:hAnsi="Verdana" w:cs="Verdana"/>
      <w:color w:val="000000"/>
      <w:sz w:val="24"/>
      <w:szCs w:val="24"/>
      <w:lang w:eastAsia="en-US"/>
    </w:rPr>
  </w:style>
  <w:style w:type="character" w:customStyle="1" w:styleId="apple-converted-space">
    <w:name w:val="apple-converted-space"/>
    <w:basedOn w:val="DefaultParagraphFont"/>
    <w:rsid w:val="007C65D9"/>
  </w:style>
  <w:style w:type="paragraph" w:styleId="FootnoteText">
    <w:name w:val="footnote text"/>
    <w:aliases w:val="Footnote Text Char1 Char,Footnote Text Char Char Char,Footnote Text Char1 Char Char Char,Footnote Text Char Char Char Char Char,Footnote Text Char1 Char Char Char Char Char,Footnote Text Char Char,Footnote Text Char Char1,single space Char"/>
    <w:basedOn w:val="Normal"/>
    <w:link w:val="FootnoteTextChar"/>
    <w:uiPriority w:val="99"/>
    <w:unhideWhenUsed/>
    <w:qFormat/>
    <w:rsid w:val="004A5089"/>
    <w:pPr>
      <w:jc w:val="left"/>
    </w:pPr>
    <w:rPr>
      <w:rFonts w:asciiTheme="minorHAnsi" w:eastAsiaTheme="minorHAnsi" w:hAnsiTheme="minorHAnsi" w:cstheme="minorBidi"/>
      <w:sz w:val="20"/>
      <w:szCs w:val="20"/>
    </w:rPr>
  </w:style>
  <w:style w:type="character" w:customStyle="1" w:styleId="FootnoteTextChar">
    <w:name w:val="Footnote Text Char"/>
    <w:aliases w:val="Footnote Text Char1 Char Char,Footnote Text Char Char Char Char,Footnote Text Char1 Char Char Char Char,Footnote Text Char Char Char Char Char Char,Footnote Text Char1 Char Char Char Char Char Char,Footnote Text Char Char Char1"/>
    <w:basedOn w:val="DefaultParagraphFont"/>
    <w:link w:val="FootnoteText"/>
    <w:uiPriority w:val="99"/>
    <w:rsid w:val="004A5089"/>
    <w:rPr>
      <w:rFonts w:asciiTheme="minorHAnsi" w:eastAsiaTheme="minorHAnsi" w:hAnsiTheme="minorHAnsi" w:cstheme="minorBidi"/>
      <w:lang w:eastAsia="en-US"/>
    </w:rPr>
  </w:style>
  <w:style w:type="character" w:styleId="FootnoteReference">
    <w:name w:val="footnote reference"/>
    <w:aliases w:val="Footnotes refss,Appel note de bas de page,Ref,de nota al pie,註腳內容,(NECG) Footnote Reference,Footnote Reference + Superscript,fr"/>
    <w:basedOn w:val="DefaultParagraphFont"/>
    <w:unhideWhenUsed/>
    <w:qFormat/>
    <w:rsid w:val="004A5089"/>
    <w:rPr>
      <w:vertAlign w:val="superscript"/>
    </w:rPr>
  </w:style>
  <w:style w:type="paragraph" w:styleId="Header">
    <w:name w:val="header"/>
    <w:basedOn w:val="Normal"/>
    <w:link w:val="HeaderChar"/>
    <w:unhideWhenUsed/>
    <w:rsid w:val="00E7259F"/>
    <w:pPr>
      <w:tabs>
        <w:tab w:val="center" w:pos="4513"/>
        <w:tab w:val="right" w:pos="9026"/>
      </w:tabs>
    </w:pPr>
  </w:style>
  <w:style w:type="character" w:customStyle="1" w:styleId="HeaderChar">
    <w:name w:val="Header Char"/>
    <w:basedOn w:val="DefaultParagraphFont"/>
    <w:link w:val="Header"/>
    <w:rsid w:val="00E7259F"/>
    <w:rPr>
      <w:sz w:val="24"/>
      <w:szCs w:val="24"/>
      <w:lang w:eastAsia="en-US"/>
    </w:rPr>
  </w:style>
  <w:style w:type="paragraph" w:styleId="Footer">
    <w:name w:val="footer"/>
    <w:basedOn w:val="Normal"/>
    <w:link w:val="FooterChar"/>
    <w:unhideWhenUsed/>
    <w:rsid w:val="00E7259F"/>
    <w:pPr>
      <w:tabs>
        <w:tab w:val="center" w:pos="4513"/>
        <w:tab w:val="right" w:pos="9026"/>
      </w:tabs>
    </w:pPr>
  </w:style>
  <w:style w:type="character" w:customStyle="1" w:styleId="FooterChar">
    <w:name w:val="Footer Char"/>
    <w:basedOn w:val="DefaultParagraphFont"/>
    <w:link w:val="Footer"/>
    <w:rsid w:val="00E7259F"/>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7414706">
      <w:bodyDiv w:val="1"/>
      <w:marLeft w:val="0"/>
      <w:marRight w:val="0"/>
      <w:marTop w:val="0"/>
      <w:marBottom w:val="0"/>
      <w:divBdr>
        <w:top w:val="none" w:sz="0" w:space="0" w:color="auto"/>
        <w:left w:val="none" w:sz="0" w:space="0" w:color="auto"/>
        <w:bottom w:val="none" w:sz="0" w:space="0" w:color="auto"/>
        <w:right w:val="none" w:sz="0" w:space="0" w:color="auto"/>
      </w:divBdr>
    </w:div>
    <w:div w:id="357464441">
      <w:bodyDiv w:val="1"/>
      <w:marLeft w:val="0"/>
      <w:marRight w:val="0"/>
      <w:marTop w:val="0"/>
      <w:marBottom w:val="0"/>
      <w:divBdr>
        <w:top w:val="none" w:sz="0" w:space="0" w:color="auto"/>
        <w:left w:val="none" w:sz="0" w:space="0" w:color="auto"/>
        <w:bottom w:val="none" w:sz="0" w:space="0" w:color="auto"/>
        <w:right w:val="none" w:sz="0" w:space="0" w:color="auto"/>
      </w:divBdr>
    </w:div>
    <w:div w:id="1212116156">
      <w:bodyDiv w:val="1"/>
      <w:marLeft w:val="0"/>
      <w:marRight w:val="0"/>
      <w:marTop w:val="0"/>
      <w:marBottom w:val="0"/>
      <w:divBdr>
        <w:top w:val="none" w:sz="0" w:space="0" w:color="auto"/>
        <w:left w:val="none" w:sz="0" w:space="0" w:color="auto"/>
        <w:bottom w:val="none" w:sz="0" w:space="0" w:color="auto"/>
        <w:right w:val="none" w:sz="0" w:space="0" w:color="auto"/>
      </w:divBdr>
    </w:div>
    <w:div w:id="1292980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630</Words>
  <Characters>3595</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2019-11-26T09:05:00Z</dcterms:created>
  <dcterms:modified xsi:type="dcterms:W3CDTF">2019-11-26T09:05:00Z</dcterms:modified>
</cp:coreProperties>
</file>