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8C08797" w14:textId="77777777" w:rsidR="00093310" w:rsidRPr="00587384" w:rsidRDefault="00093310" w:rsidP="00093310">
      <w:pPr>
        <w:spacing w:after="0" w:line="240" w:lineRule="auto"/>
        <w:jc w:val="center"/>
        <w:rPr>
          <w:rStyle w:val="Bold"/>
          <w:rFonts w:ascii="Arial" w:hAnsi="Arial" w:cs="Arial"/>
          <w:sz w:val="26"/>
          <w:szCs w:val="28"/>
        </w:rPr>
      </w:pPr>
      <w:r w:rsidRPr="00587384">
        <w:rPr>
          <w:rStyle w:val="Bold"/>
          <w:rFonts w:ascii="Arial" w:hAnsi="Arial" w:cs="Arial"/>
          <w:sz w:val="26"/>
          <w:szCs w:val="28"/>
        </w:rPr>
        <w:t>IN THE CONSTITUTIONAL COURT OF SOUTH AFRICA</w:t>
      </w:r>
    </w:p>
    <w:p w14:paraId="2D1E7908" w14:textId="77777777" w:rsidR="00093310" w:rsidRPr="00587384" w:rsidRDefault="00093310" w:rsidP="00093310">
      <w:pPr>
        <w:spacing w:after="0" w:line="360" w:lineRule="auto"/>
        <w:jc w:val="center"/>
        <w:rPr>
          <w:rStyle w:val="Bold"/>
          <w:rFonts w:ascii="Arial" w:hAnsi="Arial" w:cs="Arial"/>
          <w:sz w:val="26"/>
          <w:szCs w:val="28"/>
        </w:rPr>
      </w:pPr>
      <w:r w:rsidRPr="00587384">
        <w:rPr>
          <w:rStyle w:val="Bold"/>
          <w:rFonts w:ascii="Arial" w:hAnsi="Arial" w:cs="Arial"/>
          <w:sz w:val="26"/>
          <w:szCs w:val="28"/>
        </w:rPr>
        <w:t>(HELD AT BRAAMFONTEIN)</w:t>
      </w:r>
    </w:p>
    <w:p w14:paraId="05160532" w14:textId="77777777" w:rsidR="00093310" w:rsidRPr="00587384" w:rsidRDefault="00093310" w:rsidP="00093310">
      <w:pPr>
        <w:spacing w:after="0" w:line="240" w:lineRule="auto"/>
        <w:ind w:right="4"/>
        <w:jc w:val="right"/>
        <w:rPr>
          <w:rStyle w:val="Bold"/>
          <w:rFonts w:ascii="Arial" w:hAnsi="Arial" w:cs="Arial"/>
          <w:b w:val="0"/>
          <w:sz w:val="26"/>
          <w:szCs w:val="28"/>
        </w:rPr>
      </w:pPr>
    </w:p>
    <w:p w14:paraId="38D2081C" w14:textId="77777777" w:rsidR="00093310" w:rsidRPr="00587384" w:rsidRDefault="00093310" w:rsidP="00093310">
      <w:pPr>
        <w:spacing w:after="0" w:line="240" w:lineRule="auto"/>
        <w:ind w:right="4"/>
        <w:jc w:val="right"/>
        <w:rPr>
          <w:rStyle w:val="Bold"/>
          <w:rFonts w:ascii="Arial" w:hAnsi="Arial" w:cs="Arial"/>
          <w:b w:val="0"/>
          <w:bCs/>
          <w:sz w:val="26"/>
          <w:szCs w:val="28"/>
        </w:rPr>
      </w:pPr>
    </w:p>
    <w:p w14:paraId="6C8DF5CF" w14:textId="77777777" w:rsidR="00093310" w:rsidRPr="00587384" w:rsidRDefault="00093310" w:rsidP="00093310">
      <w:pPr>
        <w:spacing w:after="0" w:line="240" w:lineRule="auto"/>
        <w:ind w:right="4"/>
        <w:jc w:val="right"/>
        <w:rPr>
          <w:rStyle w:val="Bold"/>
          <w:rFonts w:ascii="Arial" w:hAnsi="Arial" w:cs="Arial"/>
          <w:b w:val="0"/>
          <w:bCs/>
          <w:sz w:val="26"/>
          <w:szCs w:val="28"/>
        </w:rPr>
      </w:pPr>
      <w:r w:rsidRPr="00587384">
        <w:rPr>
          <w:rStyle w:val="Bold"/>
          <w:rFonts w:ascii="Arial" w:hAnsi="Arial" w:cs="Arial"/>
          <w:bCs/>
          <w:sz w:val="26"/>
          <w:szCs w:val="28"/>
        </w:rPr>
        <w:t>CCT Case no: 132019</w:t>
      </w:r>
    </w:p>
    <w:p w14:paraId="1D1BE5A9" w14:textId="77777777" w:rsidR="00093310" w:rsidRPr="00587384" w:rsidRDefault="00093310" w:rsidP="00093310">
      <w:pPr>
        <w:spacing w:after="0" w:line="240" w:lineRule="auto"/>
        <w:ind w:right="4"/>
        <w:jc w:val="right"/>
        <w:rPr>
          <w:rStyle w:val="Bold"/>
          <w:rFonts w:ascii="Arial" w:hAnsi="Arial" w:cs="Arial"/>
          <w:b w:val="0"/>
          <w:bCs/>
          <w:sz w:val="26"/>
          <w:szCs w:val="28"/>
        </w:rPr>
      </w:pPr>
      <w:r w:rsidRPr="00587384">
        <w:rPr>
          <w:rStyle w:val="Bold"/>
          <w:rFonts w:ascii="Arial" w:hAnsi="Arial" w:cs="Arial"/>
          <w:bCs/>
          <w:sz w:val="26"/>
          <w:szCs w:val="28"/>
        </w:rPr>
        <w:t>CAC Case no: 167/CAC/JUL18</w:t>
      </w:r>
    </w:p>
    <w:p w14:paraId="524647C1" w14:textId="77777777" w:rsidR="00093310" w:rsidRPr="00587384" w:rsidRDefault="00093310" w:rsidP="00093310">
      <w:pPr>
        <w:spacing w:after="0" w:line="240" w:lineRule="auto"/>
        <w:rPr>
          <w:rStyle w:val="Bold"/>
          <w:rFonts w:ascii="Arial" w:hAnsi="Arial" w:cs="Arial"/>
          <w:b w:val="0"/>
          <w:bCs/>
          <w:sz w:val="26"/>
          <w:szCs w:val="28"/>
        </w:rPr>
      </w:pPr>
    </w:p>
    <w:p w14:paraId="6D3B9C44" w14:textId="77777777" w:rsidR="00093310" w:rsidRPr="00587384" w:rsidRDefault="00093310" w:rsidP="00093310">
      <w:pPr>
        <w:spacing w:after="0" w:line="240" w:lineRule="auto"/>
        <w:rPr>
          <w:rStyle w:val="Bold"/>
          <w:rFonts w:ascii="Arial" w:hAnsi="Arial" w:cs="Arial"/>
          <w:b w:val="0"/>
          <w:bCs/>
          <w:sz w:val="26"/>
          <w:szCs w:val="28"/>
        </w:rPr>
      </w:pPr>
    </w:p>
    <w:p w14:paraId="22E6BEC9" w14:textId="77777777" w:rsidR="00093310" w:rsidRPr="00587384" w:rsidRDefault="00093310" w:rsidP="00093310">
      <w:pPr>
        <w:spacing w:after="0" w:line="240" w:lineRule="auto"/>
        <w:rPr>
          <w:rStyle w:val="Bold"/>
          <w:rFonts w:ascii="Arial" w:hAnsi="Arial" w:cs="Arial"/>
          <w:b w:val="0"/>
          <w:bCs/>
          <w:sz w:val="26"/>
          <w:szCs w:val="28"/>
        </w:rPr>
      </w:pPr>
    </w:p>
    <w:p w14:paraId="0931F605" w14:textId="77777777" w:rsidR="00093310" w:rsidRPr="00587384" w:rsidRDefault="00093310" w:rsidP="00093310">
      <w:pPr>
        <w:spacing w:after="0" w:line="240" w:lineRule="auto"/>
        <w:rPr>
          <w:rStyle w:val="Bold"/>
          <w:rFonts w:ascii="Arial" w:hAnsi="Arial" w:cs="Arial"/>
          <w:b w:val="0"/>
          <w:bCs/>
          <w:sz w:val="26"/>
          <w:szCs w:val="28"/>
        </w:rPr>
      </w:pPr>
      <w:r w:rsidRPr="00587384">
        <w:rPr>
          <w:rStyle w:val="Bold"/>
          <w:rFonts w:ascii="Arial" w:hAnsi="Arial" w:cs="Arial"/>
          <w:bCs/>
          <w:sz w:val="26"/>
          <w:szCs w:val="28"/>
        </w:rPr>
        <w:t>In the application for leave to appeal between:</w:t>
      </w:r>
    </w:p>
    <w:p w14:paraId="5CB7DEDA" w14:textId="77777777" w:rsidR="00093310" w:rsidRPr="00587384" w:rsidRDefault="00093310" w:rsidP="00093310">
      <w:pPr>
        <w:spacing w:after="0" w:line="240" w:lineRule="auto"/>
        <w:rPr>
          <w:rStyle w:val="Bold"/>
          <w:rFonts w:ascii="Arial" w:hAnsi="Arial" w:cs="Arial"/>
          <w:sz w:val="26"/>
          <w:szCs w:val="28"/>
        </w:rPr>
      </w:pPr>
    </w:p>
    <w:p w14:paraId="14ED4483" w14:textId="77777777" w:rsidR="00093310" w:rsidRPr="00587384" w:rsidRDefault="00093310" w:rsidP="00093310">
      <w:pPr>
        <w:spacing w:after="0" w:line="240" w:lineRule="auto"/>
        <w:rPr>
          <w:rStyle w:val="Bold"/>
          <w:rFonts w:ascii="Arial" w:hAnsi="Arial" w:cs="Arial"/>
          <w:sz w:val="26"/>
          <w:szCs w:val="28"/>
        </w:rPr>
      </w:pPr>
    </w:p>
    <w:p w14:paraId="6D6A1DF8" w14:textId="77777777" w:rsidR="00093310" w:rsidRPr="00587384" w:rsidRDefault="00093310" w:rsidP="00093310">
      <w:pPr>
        <w:spacing w:after="0" w:line="240" w:lineRule="auto"/>
        <w:rPr>
          <w:rStyle w:val="Bold"/>
          <w:rFonts w:ascii="Arial" w:hAnsi="Arial" w:cs="Arial"/>
          <w:sz w:val="26"/>
          <w:szCs w:val="28"/>
        </w:rPr>
      </w:pPr>
    </w:p>
    <w:p w14:paraId="1B0C9EC5" w14:textId="77777777" w:rsidR="00093310" w:rsidRPr="00587384" w:rsidRDefault="00093310" w:rsidP="00093310">
      <w:pPr>
        <w:spacing w:after="0" w:line="240" w:lineRule="auto"/>
        <w:rPr>
          <w:rStyle w:val="Bold"/>
          <w:rFonts w:ascii="Arial" w:hAnsi="Arial" w:cs="Arial"/>
          <w:sz w:val="26"/>
          <w:szCs w:val="28"/>
        </w:rPr>
      </w:pPr>
      <w:r w:rsidRPr="00587384">
        <w:rPr>
          <w:rStyle w:val="Bold"/>
          <w:rFonts w:ascii="Arial" w:hAnsi="Arial" w:cs="Arial"/>
          <w:sz w:val="26"/>
          <w:szCs w:val="28"/>
        </w:rPr>
        <w:t>COMPETITION COMMISSION</w:t>
      </w:r>
    </w:p>
    <w:p w14:paraId="4E339FCA" w14:textId="2CB4BF4B" w:rsidR="00093310" w:rsidRPr="00587384" w:rsidRDefault="00093310" w:rsidP="00093310">
      <w:pPr>
        <w:spacing w:after="0" w:line="240" w:lineRule="auto"/>
        <w:rPr>
          <w:rStyle w:val="Bold"/>
          <w:rFonts w:ascii="Arial" w:hAnsi="Arial" w:cs="Arial"/>
          <w:sz w:val="26"/>
          <w:szCs w:val="28"/>
        </w:rPr>
      </w:pPr>
      <w:r w:rsidRPr="00587384">
        <w:rPr>
          <w:rStyle w:val="Bold"/>
          <w:rFonts w:ascii="Arial" w:hAnsi="Arial" w:cs="Arial"/>
          <w:sz w:val="26"/>
          <w:szCs w:val="28"/>
        </w:rPr>
        <w:t>OF SOUTH AFRICA</w:t>
      </w:r>
      <w:r w:rsidRPr="00587384">
        <w:rPr>
          <w:rStyle w:val="Bold"/>
          <w:rFonts w:ascii="Arial" w:hAnsi="Arial" w:cs="Arial"/>
          <w:sz w:val="26"/>
          <w:szCs w:val="28"/>
        </w:rPr>
        <w:tab/>
      </w:r>
      <w:r w:rsidRPr="00587384">
        <w:rPr>
          <w:rStyle w:val="Bold"/>
          <w:rFonts w:ascii="Arial" w:hAnsi="Arial" w:cs="Arial"/>
          <w:sz w:val="26"/>
          <w:szCs w:val="28"/>
        </w:rPr>
        <w:tab/>
      </w:r>
      <w:r w:rsidRPr="00587384">
        <w:rPr>
          <w:rStyle w:val="Bold"/>
          <w:rFonts w:ascii="Arial" w:hAnsi="Arial" w:cs="Arial"/>
          <w:sz w:val="26"/>
          <w:szCs w:val="28"/>
        </w:rPr>
        <w:tab/>
      </w:r>
      <w:r w:rsidRPr="00587384">
        <w:rPr>
          <w:rStyle w:val="Bold"/>
          <w:rFonts w:ascii="Arial" w:hAnsi="Arial" w:cs="Arial"/>
          <w:sz w:val="26"/>
          <w:szCs w:val="28"/>
        </w:rPr>
        <w:tab/>
      </w:r>
      <w:r w:rsidRPr="00587384">
        <w:rPr>
          <w:rStyle w:val="Bold"/>
          <w:rFonts w:ascii="Arial" w:hAnsi="Arial" w:cs="Arial"/>
          <w:sz w:val="26"/>
          <w:szCs w:val="28"/>
        </w:rPr>
        <w:tab/>
      </w:r>
      <w:r w:rsidR="00587384">
        <w:rPr>
          <w:rStyle w:val="Bold"/>
          <w:rFonts w:ascii="Arial" w:hAnsi="Arial" w:cs="Arial"/>
          <w:sz w:val="26"/>
          <w:szCs w:val="28"/>
        </w:rPr>
        <w:tab/>
      </w:r>
      <w:r w:rsidRPr="00587384">
        <w:rPr>
          <w:rStyle w:val="Bold"/>
          <w:rFonts w:ascii="Arial" w:hAnsi="Arial" w:cs="Arial"/>
          <w:sz w:val="26"/>
          <w:szCs w:val="28"/>
        </w:rPr>
        <w:tab/>
      </w:r>
      <w:r w:rsidRPr="00587384">
        <w:rPr>
          <w:rStyle w:val="Bold"/>
          <w:rFonts w:ascii="Arial" w:hAnsi="Arial" w:cs="Arial"/>
          <w:bCs/>
          <w:sz w:val="26"/>
          <w:szCs w:val="28"/>
        </w:rPr>
        <w:t xml:space="preserve">   Applicant</w:t>
      </w:r>
    </w:p>
    <w:p w14:paraId="2D85F960" w14:textId="77777777" w:rsidR="00093310" w:rsidRPr="00587384" w:rsidRDefault="00093310" w:rsidP="00093310">
      <w:pPr>
        <w:spacing w:after="0" w:line="240" w:lineRule="auto"/>
        <w:rPr>
          <w:rFonts w:ascii="Arial" w:hAnsi="Arial" w:cs="Arial"/>
          <w:sz w:val="26"/>
          <w:szCs w:val="28"/>
        </w:rPr>
      </w:pPr>
    </w:p>
    <w:p w14:paraId="07BCAE6C" w14:textId="77777777" w:rsidR="00093310" w:rsidRPr="00587384" w:rsidRDefault="00093310" w:rsidP="00093310">
      <w:pPr>
        <w:spacing w:after="0" w:line="240" w:lineRule="auto"/>
        <w:rPr>
          <w:rFonts w:ascii="Arial" w:hAnsi="Arial" w:cs="Arial"/>
          <w:sz w:val="26"/>
          <w:szCs w:val="28"/>
        </w:rPr>
      </w:pPr>
    </w:p>
    <w:p w14:paraId="6C7C10D7" w14:textId="77777777" w:rsidR="00093310" w:rsidRPr="00587384" w:rsidRDefault="00093310" w:rsidP="00093310">
      <w:pPr>
        <w:spacing w:after="0" w:line="240" w:lineRule="auto"/>
        <w:rPr>
          <w:rFonts w:ascii="Arial" w:hAnsi="Arial" w:cs="Arial"/>
          <w:sz w:val="26"/>
          <w:szCs w:val="28"/>
        </w:rPr>
      </w:pPr>
      <w:r w:rsidRPr="00587384">
        <w:rPr>
          <w:rFonts w:ascii="Arial" w:hAnsi="Arial" w:cs="Arial"/>
          <w:sz w:val="26"/>
          <w:szCs w:val="28"/>
        </w:rPr>
        <w:t>and</w:t>
      </w:r>
    </w:p>
    <w:p w14:paraId="6E9EFD5E" w14:textId="77777777" w:rsidR="00093310" w:rsidRPr="00587384" w:rsidRDefault="00093310" w:rsidP="00093310">
      <w:pPr>
        <w:spacing w:after="0" w:line="240" w:lineRule="auto"/>
        <w:rPr>
          <w:rFonts w:ascii="Arial" w:hAnsi="Arial" w:cs="Arial"/>
          <w:sz w:val="26"/>
          <w:szCs w:val="28"/>
        </w:rPr>
      </w:pPr>
    </w:p>
    <w:p w14:paraId="646AE353" w14:textId="77777777" w:rsidR="00093310" w:rsidRPr="00587384" w:rsidRDefault="00093310" w:rsidP="00093310">
      <w:pPr>
        <w:spacing w:after="0" w:line="240" w:lineRule="auto"/>
        <w:rPr>
          <w:rFonts w:ascii="Arial" w:hAnsi="Arial" w:cs="Arial"/>
          <w:sz w:val="26"/>
          <w:szCs w:val="28"/>
        </w:rPr>
      </w:pPr>
    </w:p>
    <w:p w14:paraId="739FE1CF" w14:textId="2D1B79A3" w:rsidR="00093310" w:rsidRPr="00587384" w:rsidRDefault="00093310" w:rsidP="00093310">
      <w:pPr>
        <w:spacing w:after="0" w:line="240" w:lineRule="auto"/>
        <w:rPr>
          <w:rStyle w:val="Bold"/>
          <w:rFonts w:ascii="Arial" w:hAnsi="Arial" w:cs="Arial"/>
          <w:b w:val="0"/>
          <w:sz w:val="26"/>
          <w:szCs w:val="28"/>
        </w:rPr>
      </w:pPr>
      <w:r w:rsidRPr="00587384">
        <w:rPr>
          <w:rStyle w:val="Bold"/>
          <w:rFonts w:ascii="Arial" w:hAnsi="Arial" w:cs="Arial"/>
          <w:sz w:val="26"/>
          <w:szCs w:val="28"/>
        </w:rPr>
        <w:t>PICKFORDS REMOVALS SA (PTY) LTD</w:t>
      </w:r>
      <w:r w:rsidRPr="00587384">
        <w:rPr>
          <w:rStyle w:val="Bold"/>
          <w:rFonts w:ascii="Arial" w:hAnsi="Arial" w:cs="Arial"/>
          <w:sz w:val="26"/>
          <w:szCs w:val="28"/>
        </w:rPr>
        <w:tab/>
      </w:r>
      <w:r w:rsidR="00587384">
        <w:rPr>
          <w:rStyle w:val="Bold"/>
          <w:rFonts w:ascii="Arial" w:hAnsi="Arial" w:cs="Arial"/>
          <w:sz w:val="26"/>
          <w:szCs w:val="28"/>
        </w:rPr>
        <w:tab/>
      </w:r>
      <w:r w:rsidRPr="00587384">
        <w:rPr>
          <w:rStyle w:val="Bold"/>
          <w:rFonts w:ascii="Arial" w:hAnsi="Arial" w:cs="Arial"/>
          <w:sz w:val="26"/>
          <w:szCs w:val="28"/>
        </w:rPr>
        <w:t xml:space="preserve">      </w:t>
      </w:r>
      <w:r w:rsidRPr="00587384">
        <w:rPr>
          <w:rStyle w:val="Bold"/>
          <w:rFonts w:ascii="Arial" w:hAnsi="Arial" w:cs="Arial"/>
          <w:bCs/>
          <w:sz w:val="26"/>
          <w:szCs w:val="28"/>
        </w:rPr>
        <w:t>Respondent</w:t>
      </w:r>
    </w:p>
    <w:p w14:paraId="57A6A94D" w14:textId="77777777" w:rsidR="00093310" w:rsidRPr="00587384" w:rsidRDefault="00093310" w:rsidP="00093310">
      <w:pPr>
        <w:pBdr>
          <w:bottom w:val="single" w:sz="12" w:space="1" w:color="auto"/>
        </w:pBdr>
        <w:spacing w:after="0" w:line="240" w:lineRule="auto"/>
        <w:jc w:val="both"/>
        <w:rPr>
          <w:rFonts w:ascii="Arial" w:hAnsi="Arial" w:cs="Arial"/>
          <w:sz w:val="26"/>
          <w:szCs w:val="28"/>
        </w:rPr>
      </w:pPr>
    </w:p>
    <w:p w14:paraId="2FB9C66A" w14:textId="77777777" w:rsidR="00093310" w:rsidRPr="00587384" w:rsidRDefault="00093310" w:rsidP="00093310">
      <w:pPr>
        <w:pBdr>
          <w:bottom w:val="single" w:sz="12" w:space="1" w:color="auto"/>
        </w:pBdr>
        <w:spacing w:after="0" w:line="240" w:lineRule="auto"/>
        <w:jc w:val="both"/>
        <w:rPr>
          <w:rFonts w:ascii="Arial" w:hAnsi="Arial" w:cs="Arial"/>
          <w:sz w:val="26"/>
          <w:szCs w:val="28"/>
        </w:rPr>
      </w:pPr>
    </w:p>
    <w:p w14:paraId="04FDA960" w14:textId="77777777" w:rsidR="00093310" w:rsidRPr="00587384" w:rsidRDefault="00093310" w:rsidP="00093310">
      <w:pPr>
        <w:pBdr>
          <w:bottom w:val="single" w:sz="12" w:space="1" w:color="auto"/>
        </w:pBdr>
        <w:spacing w:after="0" w:line="240" w:lineRule="auto"/>
        <w:jc w:val="both"/>
        <w:rPr>
          <w:rFonts w:ascii="Arial" w:hAnsi="Arial" w:cs="Arial"/>
          <w:sz w:val="26"/>
          <w:szCs w:val="28"/>
        </w:rPr>
      </w:pPr>
    </w:p>
    <w:p w14:paraId="12578BB0" w14:textId="77777777" w:rsidR="00093310" w:rsidRPr="00587384" w:rsidRDefault="00093310" w:rsidP="00093310">
      <w:pPr>
        <w:pBdr>
          <w:bottom w:val="single" w:sz="12" w:space="1" w:color="auto"/>
        </w:pBdr>
        <w:spacing w:after="0" w:line="240" w:lineRule="auto"/>
        <w:jc w:val="both"/>
        <w:rPr>
          <w:rFonts w:ascii="Arial" w:hAnsi="Arial" w:cs="Arial"/>
          <w:sz w:val="26"/>
          <w:szCs w:val="28"/>
        </w:rPr>
      </w:pPr>
    </w:p>
    <w:p w14:paraId="4396A12D" w14:textId="77777777" w:rsidR="00093310" w:rsidRPr="00587384" w:rsidRDefault="00093310" w:rsidP="00093310">
      <w:pPr>
        <w:spacing w:after="0" w:line="240" w:lineRule="auto"/>
        <w:jc w:val="both"/>
        <w:rPr>
          <w:rFonts w:ascii="Arial" w:hAnsi="Arial" w:cs="Arial"/>
          <w:sz w:val="26"/>
          <w:szCs w:val="28"/>
        </w:rPr>
      </w:pPr>
    </w:p>
    <w:p w14:paraId="04B204B5" w14:textId="7E473E26" w:rsidR="00093310" w:rsidRPr="00587384" w:rsidRDefault="00093310" w:rsidP="00093310">
      <w:pPr>
        <w:spacing w:after="0" w:line="240" w:lineRule="auto"/>
        <w:jc w:val="center"/>
        <w:rPr>
          <w:rFonts w:ascii="Arial" w:hAnsi="Arial" w:cs="Arial"/>
          <w:sz w:val="26"/>
          <w:szCs w:val="28"/>
        </w:rPr>
      </w:pPr>
      <w:r w:rsidRPr="00587384">
        <w:rPr>
          <w:rStyle w:val="Bold"/>
          <w:rFonts w:ascii="Arial" w:hAnsi="Arial" w:cs="Arial"/>
          <w:sz w:val="26"/>
          <w:szCs w:val="28"/>
        </w:rPr>
        <w:t>RESPONDENT’S PRACTICE NOTE</w:t>
      </w:r>
    </w:p>
    <w:p w14:paraId="3C6B4090" w14:textId="77777777" w:rsidR="00093310" w:rsidRPr="00587384" w:rsidRDefault="00093310" w:rsidP="00093310">
      <w:pPr>
        <w:pBdr>
          <w:bottom w:val="single" w:sz="12" w:space="1" w:color="auto"/>
        </w:pBdr>
        <w:spacing w:after="0" w:line="240" w:lineRule="auto"/>
        <w:jc w:val="both"/>
        <w:rPr>
          <w:rFonts w:ascii="Arial" w:hAnsi="Arial" w:cs="Arial"/>
          <w:sz w:val="26"/>
          <w:szCs w:val="28"/>
        </w:rPr>
      </w:pPr>
    </w:p>
    <w:p w14:paraId="366FE8C2" w14:textId="6D94B001" w:rsidR="0015111C" w:rsidRPr="00587384" w:rsidRDefault="0015111C">
      <w:pPr>
        <w:rPr>
          <w:rFonts w:ascii="Arial" w:hAnsi="Arial" w:cs="Arial"/>
          <w:sz w:val="26"/>
          <w:szCs w:val="28"/>
        </w:rPr>
      </w:pPr>
    </w:p>
    <w:p w14:paraId="7C31131E" w14:textId="77777777" w:rsidR="00093310" w:rsidRPr="00587384" w:rsidRDefault="00093310">
      <w:pPr>
        <w:rPr>
          <w:rFonts w:ascii="Arial" w:hAnsi="Arial" w:cs="Arial"/>
          <w:sz w:val="26"/>
          <w:szCs w:val="28"/>
        </w:rPr>
      </w:pPr>
    </w:p>
    <w:p w14:paraId="592AEBE9" w14:textId="57B7894B" w:rsidR="00093310" w:rsidRPr="00587384" w:rsidRDefault="00093310" w:rsidP="00587384">
      <w:pPr>
        <w:spacing w:before="240" w:after="120" w:line="480" w:lineRule="auto"/>
        <w:rPr>
          <w:rFonts w:ascii="Arial" w:hAnsi="Arial" w:cs="Arial"/>
          <w:b/>
          <w:bCs/>
          <w:sz w:val="26"/>
          <w:szCs w:val="28"/>
          <w:lang w:val="en-US"/>
        </w:rPr>
      </w:pPr>
      <w:r w:rsidRPr="00587384">
        <w:rPr>
          <w:rFonts w:ascii="Arial" w:hAnsi="Arial" w:cs="Arial"/>
          <w:b/>
          <w:bCs/>
          <w:sz w:val="26"/>
          <w:szCs w:val="28"/>
          <w:lang w:val="en-US"/>
        </w:rPr>
        <w:t>NATURE OF THE APPLICATION</w:t>
      </w:r>
    </w:p>
    <w:p w14:paraId="73BD3304" w14:textId="6278EB4B" w:rsidR="000E57D0" w:rsidRPr="00587384" w:rsidRDefault="003B3C9F" w:rsidP="00587384">
      <w:pPr>
        <w:pStyle w:val="NormalWeb"/>
        <w:numPr>
          <w:ilvl w:val="0"/>
          <w:numId w:val="1"/>
        </w:numPr>
        <w:spacing w:before="240" w:beforeAutospacing="0" w:after="120" w:afterAutospacing="0" w:line="480" w:lineRule="auto"/>
        <w:ind w:left="567" w:hanging="567"/>
        <w:jc w:val="both"/>
        <w:rPr>
          <w:rFonts w:ascii="Arial" w:hAnsi="Arial" w:cs="Arial"/>
          <w:sz w:val="26"/>
          <w:szCs w:val="28"/>
        </w:rPr>
      </w:pPr>
      <w:r w:rsidRPr="00587384">
        <w:rPr>
          <w:rFonts w:ascii="Arial" w:hAnsi="Arial" w:cs="Arial"/>
          <w:sz w:val="26"/>
          <w:szCs w:val="28"/>
          <w:lang w:val="en-US"/>
        </w:rPr>
        <w:t>This is an application for leave to appeal</w:t>
      </w:r>
      <w:r w:rsidR="000E57D0" w:rsidRPr="00587384">
        <w:rPr>
          <w:rFonts w:ascii="Arial" w:hAnsi="Arial" w:cs="Arial"/>
          <w:sz w:val="26"/>
          <w:szCs w:val="28"/>
          <w:lang w:val="en-US"/>
        </w:rPr>
        <w:t>.  It s</w:t>
      </w:r>
      <w:r w:rsidR="00BE4FEC" w:rsidRPr="00587384">
        <w:rPr>
          <w:rFonts w:ascii="Arial" w:hAnsi="Arial" w:cs="Arial"/>
          <w:sz w:val="26"/>
          <w:szCs w:val="28"/>
          <w:lang w:val="en-US"/>
        </w:rPr>
        <w:t xml:space="preserve">eeks to assail </w:t>
      </w:r>
      <w:r w:rsidRPr="00587384">
        <w:rPr>
          <w:rFonts w:ascii="Arial" w:hAnsi="Arial" w:cs="Arial"/>
          <w:sz w:val="26"/>
          <w:szCs w:val="28"/>
          <w:lang w:val="en-US"/>
        </w:rPr>
        <w:t xml:space="preserve">two concurrent judgments by the Competition </w:t>
      </w:r>
      <w:r w:rsidR="007D4FB7">
        <w:rPr>
          <w:rFonts w:ascii="Arial" w:hAnsi="Arial" w:cs="Arial"/>
          <w:sz w:val="26"/>
          <w:szCs w:val="28"/>
          <w:lang w:val="en-US"/>
        </w:rPr>
        <w:t xml:space="preserve">Tribunal </w:t>
      </w:r>
      <w:bookmarkStart w:id="0" w:name="_GoBack"/>
      <w:bookmarkEnd w:id="0"/>
      <w:r w:rsidRPr="00587384">
        <w:rPr>
          <w:rFonts w:ascii="Arial" w:hAnsi="Arial" w:cs="Arial"/>
          <w:sz w:val="26"/>
          <w:szCs w:val="28"/>
          <w:lang w:val="en-US"/>
        </w:rPr>
        <w:t>and Competition Appeal Court</w:t>
      </w:r>
      <w:r w:rsidR="000E57D0" w:rsidRPr="00587384">
        <w:rPr>
          <w:rFonts w:ascii="Arial" w:hAnsi="Arial" w:cs="Arial"/>
          <w:sz w:val="26"/>
          <w:szCs w:val="28"/>
          <w:lang w:val="en-US"/>
        </w:rPr>
        <w:t>.</w:t>
      </w:r>
    </w:p>
    <w:p w14:paraId="6E506E05" w14:textId="77777777" w:rsidR="00342FF1" w:rsidRPr="00587384" w:rsidRDefault="000E57D0" w:rsidP="00587384">
      <w:pPr>
        <w:pStyle w:val="NormalWeb"/>
        <w:numPr>
          <w:ilvl w:val="0"/>
          <w:numId w:val="1"/>
        </w:numPr>
        <w:spacing w:before="240" w:beforeAutospacing="0" w:after="120" w:afterAutospacing="0" w:line="480" w:lineRule="auto"/>
        <w:ind w:left="567" w:hanging="567"/>
        <w:jc w:val="both"/>
        <w:rPr>
          <w:rFonts w:ascii="Arial" w:hAnsi="Arial" w:cs="Arial"/>
          <w:sz w:val="26"/>
          <w:szCs w:val="28"/>
        </w:rPr>
      </w:pPr>
      <w:r w:rsidRPr="00587384">
        <w:rPr>
          <w:rFonts w:ascii="Arial" w:hAnsi="Arial" w:cs="Arial"/>
          <w:sz w:val="26"/>
          <w:szCs w:val="28"/>
          <w:lang w:val="en-US"/>
        </w:rPr>
        <w:t xml:space="preserve">The </w:t>
      </w:r>
      <w:r w:rsidR="00BE4FEC" w:rsidRPr="00587384">
        <w:rPr>
          <w:rFonts w:ascii="Arial" w:hAnsi="Arial" w:cs="Arial"/>
          <w:sz w:val="26"/>
          <w:szCs w:val="28"/>
          <w:lang w:val="en-US"/>
        </w:rPr>
        <w:t xml:space="preserve">impugned </w:t>
      </w:r>
      <w:r w:rsidRPr="00587384">
        <w:rPr>
          <w:rFonts w:ascii="Arial" w:hAnsi="Arial" w:cs="Arial"/>
          <w:sz w:val="26"/>
          <w:szCs w:val="28"/>
          <w:lang w:val="en-US"/>
        </w:rPr>
        <w:t xml:space="preserve">judgments </w:t>
      </w:r>
      <w:r w:rsidR="003B3C9F" w:rsidRPr="00587384">
        <w:rPr>
          <w:rFonts w:ascii="Arial" w:hAnsi="Arial" w:cs="Arial"/>
          <w:sz w:val="26"/>
          <w:szCs w:val="28"/>
          <w:lang w:val="en-US"/>
        </w:rPr>
        <w:t>reject the Competition Commission’s contention</w:t>
      </w:r>
      <w:r w:rsidR="00342FF1" w:rsidRPr="00587384">
        <w:rPr>
          <w:rFonts w:ascii="Arial" w:hAnsi="Arial" w:cs="Arial"/>
          <w:sz w:val="26"/>
          <w:szCs w:val="28"/>
          <w:lang w:val="en-US"/>
        </w:rPr>
        <w:t>s</w:t>
      </w:r>
      <w:r w:rsidR="003B3C9F" w:rsidRPr="00587384">
        <w:rPr>
          <w:rFonts w:ascii="Arial" w:hAnsi="Arial" w:cs="Arial"/>
          <w:sz w:val="26"/>
          <w:szCs w:val="28"/>
          <w:lang w:val="en-US"/>
        </w:rPr>
        <w:t xml:space="preserve"> that </w:t>
      </w:r>
      <w:r w:rsidR="00342FF1" w:rsidRPr="00587384">
        <w:rPr>
          <w:rFonts w:ascii="Arial" w:hAnsi="Arial" w:cs="Arial"/>
          <w:sz w:val="26"/>
          <w:szCs w:val="28"/>
          <w:lang w:val="en-US"/>
        </w:rPr>
        <w:t xml:space="preserve">(a) </w:t>
      </w:r>
      <w:r w:rsidR="003B3C9F" w:rsidRPr="00587384">
        <w:rPr>
          <w:rFonts w:ascii="Arial" w:hAnsi="Arial" w:cs="Arial"/>
          <w:sz w:val="26"/>
          <w:szCs w:val="28"/>
          <w:lang w:val="en-US"/>
        </w:rPr>
        <w:t xml:space="preserve">a knowledge requirement </w:t>
      </w:r>
      <w:r w:rsidR="00342FF1" w:rsidRPr="00587384">
        <w:rPr>
          <w:rFonts w:ascii="Arial" w:hAnsi="Arial" w:cs="Arial"/>
          <w:sz w:val="26"/>
          <w:szCs w:val="28"/>
          <w:lang w:val="en-US"/>
        </w:rPr>
        <w:t xml:space="preserve">may </w:t>
      </w:r>
      <w:r w:rsidR="003B3C9F" w:rsidRPr="00587384">
        <w:rPr>
          <w:rFonts w:ascii="Arial" w:hAnsi="Arial" w:cs="Arial"/>
          <w:sz w:val="26"/>
          <w:szCs w:val="28"/>
          <w:lang w:val="en-US"/>
        </w:rPr>
        <w:t xml:space="preserve">be read into </w:t>
      </w:r>
      <w:r w:rsidR="00342FF1" w:rsidRPr="00587384">
        <w:rPr>
          <w:rFonts w:ascii="Arial" w:hAnsi="Arial" w:cs="Arial"/>
          <w:sz w:val="26"/>
          <w:szCs w:val="28"/>
          <w:lang w:val="en-US"/>
        </w:rPr>
        <w:t xml:space="preserve">section 67(1) of </w:t>
      </w:r>
      <w:r w:rsidR="003B3C9F" w:rsidRPr="00587384">
        <w:rPr>
          <w:rFonts w:ascii="Arial" w:hAnsi="Arial" w:cs="Arial"/>
          <w:sz w:val="26"/>
          <w:szCs w:val="28"/>
          <w:lang w:val="en-US"/>
        </w:rPr>
        <w:t>the Competition Act</w:t>
      </w:r>
      <w:r w:rsidR="00342FF1" w:rsidRPr="00587384">
        <w:rPr>
          <w:rFonts w:ascii="Arial" w:hAnsi="Arial" w:cs="Arial"/>
          <w:sz w:val="26"/>
          <w:szCs w:val="28"/>
          <w:lang w:val="en-US"/>
        </w:rPr>
        <w:t xml:space="preserve">; (b) alternatively, that the Competition </w:t>
      </w:r>
      <w:r w:rsidR="00342FF1" w:rsidRPr="00587384">
        <w:rPr>
          <w:rFonts w:ascii="Arial" w:hAnsi="Arial" w:cs="Arial"/>
          <w:sz w:val="26"/>
          <w:szCs w:val="28"/>
          <w:lang w:val="en-US"/>
        </w:rPr>
        <w:lastRenderedPageBreak/>
        <w:t>Tribunal has the power to condone the Commission’s “non-compliance” with section 67(1).</w:t>
      </w:r>
    </w:p>
    <w:p w14:paraId="68788ADE" w14:textId="741DBC60" w:rsidR="00342FF1" w:rsidRPr="00587384" w:rsidRDefault="000E57D0" w:rsidP="00587384">
      <w:pPr>
        <w:pStyle w:val="NormalWeb"/>
        <w:numPr>
          <w:ilvl w:val="0"/>
          <w:numId w:val="1"/>
        </w:numPr>
        <w:spacing w:before="240" w:beforeAutospacing="0" w:after="120" w:afterAutospacing="0" w:line="480" w:lineRule="auto"/>
        <w:ind w:left="567" w:hanging="567"/>
        <w:jc w:val="both"/>
        <w:rPr>
          <w:rFonts w:ascii="Arial" w:hAnsi="Arial" w:cs="Arial"/>
          <w:sz w:val="26"/>
          <w:szCs w:val="28"/>
        </w:rPr>
      </w:pPr>
      <w:r w:rsidRPr="00587384">
        <w:rPr>
          <w:rFonts w:ascii="Arial" w:hAnsi="Arial" w:cs="Arial"/>
          <w:sz w:val="26"/>
          <w:szCs w:val="28"/>
          <w:lang w:val="en-US"/>
        </w:rPr>
        <w:t xml:space="preserve">The Act’s </w:t>
      </w:r>
      <w:r w:rsidR="003B3C9F" w:rsidRPr="00587384">
        <w:rPr>
          <w:rFonts w:ascii="Arial" w:hAnsi="Arial" w:cs="Arial"/>
          <w:sz w:val="26"/>
          <w:szCs w:val="28"/>
          <w:lang w:val="en-US"/>
        </w:rPr>
        <w:t xml:space="preserve">constitutionality is not challenged by the Commission. </w:t>
      </w:r>
      <w:r w:rsidR="00342FF1" w:rsidRPr="00587384">
        <w:rPr>
          <w:rFonts w:ascii="Arial" w:hAnsi="Arial" w:cs="Arial"/>
          <w:sz w:val="26"/>
          <w:szCs w:val="28"/>
          <w:lang w:val="en-US"/>
        </w:rPr>
        <w:t>Nor has the Commission brought a condonation application in respect of its “non-compliance” with section 67(1).</w:t>
      </w:r>
    </w:p>
    <w:p w14:paraId="6290A2DB" w14:textId="59BF1F36" w:rsidR="003B3C9F" w:rsidRPr="00587384" w:rsidRDefault="003B3C9F" w:rsidP="00587384">
      <w:pPr>
        <w:pStyle w:val="NormalWeb"/>
        <w:numPr>
          <w:ilvl w:val="0"/>
          <w:numId w:val="1"/>
        </w:numPr>
        <w:spacing w:before="240" w:beforeAutospacing="0" w:after="120" w:afterAutospacing="0" w:line="480" w:lineRule="auto"/>
        <w:ind w:left="567" w:hanging="567"/>
        <w:jc w:val="both"/>
        <w:rPr>
          <w:rFonts w:ascii="Arial" w:hAnsi="Arial" w:cs="Arial"/>
          <w:sz w:val="26"/>
          <w:szCs w:val="28"/>
        </w:rPr>
      </w:pPr>
      <w:r w:rsidRPr="00587384">
        <w:rPr>
          <w:rFonts w:ascii="Arial" w:hAnsi="Arial" w:cs="Arial"/>
          <w:sz w:val="26"/>
          <w:szCs w:val="28"/>
          <w:lang w:val="en-US"/>
        </w:rPr>
        <w:t>In the mean</w:t>
      </w:r>
      <w:r w:rsidR="00342FF1" w:rsidRPr="00587384">
        <w:rPr>
          <w:rFonts w:ascii="Arial" w:hAnsi="Arial" w:cs="Arial"/>
          <w:sz w:val="26"/>
          <w:szCs w:val="28"/>
          <w:lang w:val="en-US"/>
        </w:rPr>
        <w:t>while</w:t>
      </w:r>
      <w:r w:rsidR="000E57D0" w:rsidRPr="00587384">
        <w:rPr>
          <w:rFonts w:ascii="Arial" w:hAnsi="Arial" w:cs="Arial"/>
          <w:sz w:val="26"/>
          <w:szCs w:val="28"/>
          <w:lang w:val="en-US"/>
        </w:rPr>
        <w:t xml:space="preserve"> (postdating the CAC’s judgment)</w:t>
      </w:r>
      <w:r w:rsidRPr="00587384">
        <w:rPr>
          <w:rFonts w:ascii="Arial" w:hAnsi="Arial" w:cs="Arial"/>
          <w:sz w:val="26"/>
          <w:szCs w:val="28"/>
          <w:lang w:val="en-US"/>
        </w:rPr>
        <w:t xml:space="preserve">, </w:t>
      </w:r>
      <w:r w:rsidR="00342FF1" w:rsidRPr="00587384">
        <w:rPr>
          <w:rFonts w:ascii="Arial" w:hAnsi="Arial" w:cs="Arial"/>
          <w:sz w:val="26"/>
          <w:szCs w:val="28"/>
          <w:lang w:val="en-US"/>
        </w:rPr>
        <w:t>section 67(1)</w:t>
      </w:r>
      <w:r w:rsidRPr="00587384">
        <w:rPr>
          <w:rFonts w:ascii="Arial" w:hAnsi="Arial" w:cs="Arial"/>
          <w:sz w:val="26"/>
          <w:szCs w:val="28"/>
          <w:lang w:val="en-US"/>
        </w:rPr>
        <w:t xml:space="preserve"> of the Competition Act has been amended</w:t>
      </w:r>
      <w:r w:rsidR="00342FF1" w:rsidRPr="00587384">
        <w:rPr>
          <w:rFonts w:ascii="Arial" w:hAnsi="Arial" w:cs="Arial"/>
          <w:sz w:val="26"/>
          <w:szCs w:val="28"/>
          <w:lang w:val="en-US"/>
        </w:rPr>
        <w:t>, without the incorporation of either</w:t>
      </w:r>
      <w:r w:rsidRPr="00587384">
        <w:rPr>
          <w:rFonts w:ascii="Arial" w:hAnsi="Arial" w:cs="Arial"/>
          <w:sz w:val="26"/>
          <w:szCs w:val="28"/>
          <w:lang w:val="en-US"/>
        </w:rPr>
        <w:t xml:space="preserve"> a knowledge requirement or </w:t>
      </w:r>
      <w:r w:rsidR="000E57D0" w:rsidRPr="00587384">
        <w:rPr>
          <w:rFonts w:ascii="Arial" w:hAnsi="Arial" w:cs="Arial"/>
          <w:sz w:val="26"/>
          <w:szCs w:val="28"/>
          <w:lang w:val="en-US"/>
        </w:rPr>
        <w:t xml:space="preserve">a </w:t>
      </w:r>
      <w:r w:rsidRPr="00587384">
        <w:rPr>
          <w:rFonts w:ascii="Arial" w:hAnsi="Arial" w:cs="Arial"/>
          <w:sz w:val="26"/>
          <w:szCs w:val="28"/>
          <w:lang w:val="en-US"/>
        </w:rPr>
        <w:t>condonation competence.</w:t>
      </w:r>
    </w:p>
    <w:p w14:paraId="0FD7555A" w14:textId="585770BD" w:rsidR="00093310" w:rsidRPr="00587384" w:rsidRDefault="00342FF1" w:rsidP="00587384">
      <w:pPr>
        <w:pStyle w:val="NormalWeb"/>
        <w:numPr>
          <w:ilvl w:val="0"/>
          <w:numId w:val="1"/>
        </w:numPr>
        <w:spacing w:before="240" w:beforeAutospacing="0" w:after="120" w:afterAutospacing="0" w:line="480" w:lineRule="auto"/>
        <w:ind w:left="567" w:hanging="567"/>
        <w:jc w:val="both"/>
        <w:rPr>
          <w:rFonts w:ascii="Arial" w:hAnsi="Arial" w:cs="Arial"/>
          <w:sz w:val="26"/>
          <w:szCs w:val="28"/>
        </w:rPr>
      </w:pPr>
      <w:r w:rsidRPr="00587384">
        <w:rPr>
          <w:rFonts w:ascii="Arial" w:hAnsi="Arial" w:cs="Arial"/>
          <w:sz w:val="26"/>
          <w:szCs w:val="28"/>
          <w:lang w:val="en-US"/>
        </w:rPr>
        <w:t>I</w:t>
      </w:r>
      <w:r w:rsidR="000E57D0" w:rsidRPr="00587384">
        <w:rPr>
          <w:rFonts w:ascii="Arial" w:hAnsi="Arial" w:cs="Arial"/>
          <w:sz w:val="26"/>
          <w:szCs w:val="28"/>
          <w:lang w:val="en-US"/>
        </w:rPr>
        <w:t xml:space="preserve">n </w:t>
      </w:r>
      <w:r w:rsidR="003B3C9F" w:rsidRPr="00587384">
        <w:rPr>
          <w:rFonts w:ascii="Arial" w:hAnsi="Arial" w:cs="Arial"/>
          <w:sz w:val="26"/>
          <w:szCs w:val="28"/>
          <w:lang w:val="en-US"/>
        </w:rPr>
        <w:t>the Commission’s practice note</w:t>
      </w:r>
      <w:r w:rsidR="000E57D0" w:rsidRPr="00587384">
        <w:rPr>
          <w:rFonts w:ascii="Arial" w:hAnsi="Arial" w:cs="Arial"/>
          <w:sz w:val="26"/>
          <w:szCs w:val="28"/>
          <w:lang w:val="en-US"/>
        </w:rPr>
        <w:t xml:space="preserve"> (filed on 6 January 2020)</w:t>
      </w:r>
      <w:r w:rsidR="00BE4FEC" w:rsidRPr="00587384">
        <w:rPr>
          <w:rFonts w:ascii="Arial" w:hAnsi="Arial" w:cs="Arial"/>
          <w:sz w:val="26"/>
          <w:szCs w:val="28"/>
          <w:lang w:val="en-US"/>
        </w:rPr>
        <w:t>,</w:t>
      </w:r>
      <w:r w:rsidR="003B3C9F" w:rsidRPr="00587384">
        <w:rPr>
          <w:rFonts w:ascii="Arial" w:hAnsi="Arial" w:cs="Arial"/>
          <w:sz w:val="26"/>
          <w:szCs w:val="28"/>
          <w:lang w:val="en-US"/>
        </w:rPr>
        <w:t xml:space="preserve"> </w:t>
      </w:r>
      <w:r w:rsidR="00BE4FEC" w:rsidRPr="00587384">
        <w:rPr>
          <w:rFonts w:ascii="Arial" w:hAnsi="Arial" w:cs="Arial"/>
          <w:sz w:val="26"/>
          <w:szCs w:val="28"/>
          <w:lang w:val="en-US"/>
        </w:rPr>
        <w:t xml:space="preserve">it accepts </w:t>
      </w:r>
      <w:r w:rsidR="000E57D0" w:rsidRPr="00587384">
        <w:rPr>
          <w:rFonts w:ascii="Arial" w:hAnsi="Arial" w:cs="Arial"/>
          <w:sz w:val="26"/>
          <w:szCs w:val="28"/>
          <w:lang w:val="en-US"/>
        </w:rPr>
        <w:t>th</w:t>
      </w:r>
      <w:r w:rsidR="00BE4FEC" w:rsidRPr="00587384">
        <w:rPr>
          <w:rFonts w:ascii="Arial" w:hAnsi="Arial" w:cs="Arial"/>
          <w:sz w:val="26"/>
          <w:szCs w:val="28"/>
          <w:lang w:val="en-US"/>
        </w:rPr>
        <w:t>e need to regularize its application for leave to appeal.  A</w:t>
      </w:r>
      <w:r w:rsidR="000E57D0" w:rsidRPr="00587384">
        <w:rPr>
          <w:rFonts w:ascii="Arial" w:hAnsi="Arial" w:cs="Arial"/>
          <w:sz w:val="26"/>
          <w:szCs w:val="28"/>
          <w:lang w:val="en-US"/>
        </w:rPr>
        <w:t xml:space="preserve">s the respondent’s opposing affidavit (filed on </w:t>
      </w:r>
      <w:r w:rsidR="000B720F" w:rsidRPr="00587384">
        <w:rPr>
          <w:rFonts w:ascii="Arial" w:hAnsi="Arial" w:cs="Arial"/>
          <w:sz w:val="26"/>
          <w:szCs w:val="28"/>
          <w:lang w:val="en-US"/>
        </w:rPr>
        <w:t>14 May 2019</w:t>
      </w:r>
      <w:r w:rsidR="000E57D0" w:rsidRPr="00587384">
        <w:rPr>
          <w:rFonts w:ascii="Arial" w:hAnsi="Arial" w:cs="Arial"/>
          <w:sz w:val="26"/>
          <w:szCs w:val="28"/>
          <w:lang w:val="en-US"/>
        </w:rPr>
        <w:t>) pointed out</w:t>
      </w:r>
      <w:r w:rsidR="00BE4FEC" w:rsidRPr="00587384">
        <w:rPr>
          <w:rFonts w:ascii="Arial" w:hAnsi="Arial" w:cs="Arial"/>
          <w:sz w:val="26"/>
          <w:szCs w:val="28"/>
          <w:lang w:val="en-US"/>
        </w:rPr>
        <w:t xml:space="preserve"> (correctly, the Commission concedes),</w:t>
      </w:r>
      <w:r w:rsidR="000B720F" w:rsidRPr="00587384">
        <w:rPr>
          <w:rFonts w:ascii="Arial" w:hAnsi="Arial" w:cs="Arial"/>
          <w:sz w:val="26"/>
          <w:szCs w:val="28"/>
          <w:lang w:val="en-US"/>
        </w:rPr>
        <w:t xml:space="preserve"> </w:t>
      </w:r>
      <w:r w:rsidR="000E57D0" w:rsidRPr="00587384">
        <w:rPr>
          <w:rFonts w:ascii="Arial" w:hAnsi="Arial" w:cs="Arial"/>
          <w:sz w:val="26"/>
          <w:szCs w:val="28"/>
          <w:lang w:val="en-US"/>
        </w:rPr>
        <w:t xml:space="preserve">leave to appeal </w:t>
      </w:r>
      <w:r w:rsidR="00BE4FEC" w:rsidRPr="00587384">
        <w:rPr>
          <w:rFonts w:ascii="Arial" w:hAnsi="Arial" w:cs="Arial"/>
          <w:sz w:val="26"/>
          <w:szCs w:val="28"/>
          <w:lang w:val="en-US"/>
        </w:rPr>
        <w:t xml:space="preserve">was not sought </w:t>
      </w:r>
      <w:r w:rsidR="000E57D0" w:rsidRPr="00587384">
        <w:rPr>
          <w:rFonts w:ascii="Arial" w:hAnsi="Arial" w:cs="Arial"/>
          <w:sz w:val="26"/>
          <w:szCs w:val="28"/>
          <w:lang w:val="en-US"/>
        </w:rPr>
        <w:t>from this Court</w:t>
      </w:r>
      <w:r w:rsidR="00BE4FEC" w:rsidRPr="00587384">
        <w:rPr>
          <w:rFonts w:ascii="Arial" w:hAnsi="Arial" w:cs="Arial"/>
          <w:sz w:val="26"/>
          <w:szCs w:val="28"/>
          <w:lang w:val="en-US"/>
        </w:rPr>
        <w:t xml:space="preserve"> in the Commission’s notice of motion.  The Commission’s practice note </w:t>
      </w:r>
      <w:r w:rsidR="000E57D0" w:rsidRPr="00587384">
        <w:rPr>
          <w:rFonts w:ascii="Arial" w:hAnsi="Arial" w:cs="Arial"/>
          <w:sz w:val="26"/>
          <w:szCs w:val="28"/>
          <w:lang w:val="en-US"/>
        </w:rPr>
        <w:t>asserts that an amendment to remedy this defect will be sought at the hearing</w:t>
      </w:r>
      <w:r w:rsidR="000B720F" w:rsidRPr="00587384">
        <w:rPr>
          <w:rFonts w:ascii="Arial" w:hAnsi="Arial" w:cs="Arial"/>
          <w:sz w:val="26"/>
          <w:szCs w:val="28"/>
          <w:lang w:val="en-US"/>
        </w:rPr>
        <w:t xml:space="preserve"> (on 27 February 2020)</w:t>
      </w:r>
      <w:r w:rsidR="000E57D0" w:rsidRPr="00587384">
        <w:rPr>
          <w:rFonts w:ascii="Arial" w:hAnsi="Arial" w:cs="Arial"/>
          <w:sz w:val="26"/>
          <w:szCs w:val="28"/>
          <w:lang w:val="en-US"/>
        </w:rPr>
        <w:t>.</w:t>
      </w:r>
      <w:r w:rsidR="00BE4FEC" w:rsidRPr="00587384">
        <w:rPr>
          <w:rFonts w:ascii="Arial" w:hAnsi="Arial" w:cs="Arial"/>
          <w:sz w:val="26"/>
          <w:szCs w:val="28"/>
          <w:lang w:val="en-US"/>
        </w:rPr>
        <w:t xml:space="preserve">  No application for any amendment has been made.</w:t>
      </w:r>
    </w:p>
    <w:p w14:paraId="52F22540" w14:textId="7D27B57C" w:rsidR="00093310" w:rsidRPr="00587384" w:rsidRDefault="00093310" w:rsidP="00587384">
      <w:pPr>
        <w:spacing w:before="240" w:after="120" w:line="480" w:lineRule="auto"/>
        <w:rPr>
          <w:rFonts w:ascii="Arial" w:hAnsi="Arial" w:cs="Arial"/>
          <w:b/>
          <w:bCs/>
          <w:sz w:val="26"/>
          <w:szCs w:val="28"/>
          <w:lang w:val="en-US"/>
        </w:rPr>
      </w:pPr>
      <w:r w:rsidRPr="00587384">
        <w:rPr>
          <w:rFonts w:ascii="Arial" w:hAnsi="Arial" w:cs="Arial"/>
          <w:b/>
          <w:bCs/>
          <w:sz w:val="26"/>
          <w:szCs w:val="28"/>
          <w:lang w:val="en-US"/>
        </w:rPr>
        <w:t>ISSUES FOR DETERMINATION</w:t>
      </w:r>
    </w:p>
    <w:p w14:paraId="393B52D5" w14:textId="3157AF4E" w:rsidR="000B720F" w:rsidRPr="00587384" w:rsidRDefault="000B720F" w:rsidP="00587384">
      <w:pPr>
        <w:pStyle w:val="NormalWeb"/>
        <w:numPr>
          <w:ilvl w:val="0"/>
          <w:numId w:val="1"/>
        </w:numPr>
        <w:spacing w:before="240" w:beforeAutospacing="0" w:after="120" w:afterAutospacing="0" w:line="480" w:lineRule="auto"/>
        <w:ind w:left="567" w:hanging="567"/>
        <w:jc w:val="both"/>
        <w:rPr>
          <w:rFonts w:ascii="Arial" w:hAnsi="Arial" w:cs="Arial"/>
          <w:sz w:val="26"/>
          <w:szCs w:val="28"/>
        </w:rPr>
      </w:pPr>
      <w:r w:rsidRPr="00587384">
        <w:rPr>
          <w:rFonts w:ascii="Arial" w:hAnsi="Arial" w:cs="Arial"/>
          <w:sz w:val="26"/>
          <w:szCs w:val="28"/>
        </w:rPr>
        <w:t>The issues for determination are</w:t>
      </w:r>
      <w:r w:rsidR="00BE4FEC" w:rsidRPr="00587384">
        <w:rPr>
          <w:rFonts w:ascii="Arial" w:hAnsi="Arial" w:cs="Arial"/>
          <w:sz w:val="26"/>
          <w:szCs w:val="28"/>
        </w:rPr>
        <w:t>:</w:t>
      </w:r>
    </w:p>
    <w:p w14:paraId="7E3E9940" w14:textId="2384ED83" w:rsidR="000B720F" w:rsidRPr="00587384" w:rsidRDefault="000B720F" w:rsidP="00587384">
      <w:pPr>
        <w:pStyle w:val="NormalWeb"/>
        <w:numPr>
          <w:ilvl w:val="1"/>
          <w:numId w:val="1"/>
        </w:numPr>
        <w:spacing w:before="240" w:beforeAutospacing="0" w:after="120" w:afterAutospacing="0" w:line="480" w:lineRule="auto"/>
        <w:ind w:hanging="225"/>
        <w:jc w:val="both"/>
        <w:rPr>
          <w:rFonts w:ascii="Arial" w:hAnsi="Arial" w:cs="Arial"/>
          <w:sz w:val="26"/>
          <w:szCs w:val="28"/>
        </w:rPr>
      </w:pPr>
      <w:r w:rsidRPr="00587384">
        <w:rPr>
          <w:rFonts w:ascii="Arial" w:hAnsi="Arial" w:cs="Arial"/>
          <w:sz w:val="26"/>
          <w:szCs w:val="28"/>
        </w:rPr>
        <w:t>Whether leave to appeal should be granted</w:t>
      </w:r>
      <w:r w:rsidR="00BE4FEC" w:rsidRPr="00587384">
        <w:rPr>
          <w:rFonts w:ascii="Arial" w:hAnsi="Arial" w:cs="Arial"/>
          <w:sz w:val="26"/>
          <w:szCs w:val="28"/>
        </w:rPr>
        <w:t>.</w:t>
      </w:r>
    </w:p>
    <w:p w14:paraId="05B11B48" w14:textId="6B743D0A" w:rsidR="00342FF1" w:rsidRPr="00587384" w:rsidRDefault="000B720F" w:rsidP="00587384">
      <w:pPr>
        <w:pStyle w:val="NormalWeb"/>
        <w:numPr>
          <w:ilvl w:val="1"/>
          <w:numId w:val="1"/>
        </w:numPr>
        <w:spacing w:before="240" w:beforeAutospacing="0" w:after="120" w:afterAutospacing="0" w:line="480" w:lineRule="auto"/>
        <w:ind w:left="1440" w:hanging="873"/>
        <w:jc w:val="both"/>
        <w:rPr>
          <w:rFonts w:ascii="Arial" w:hAnsi="Arial" w:cs="Arial"/>
          <w:sz w:val="26"/>
          <w:szCs w:val="28"/>
        </w:rPr>
      </w:pPr>
      <w:r w:rsidRPr="00587384">
        <w:rPr>
          <w:rFonts w:ascii="Arial" w:hAnsi="Arial" w:cs="Arial"/>
          <w:sz w:val="26"/>
          <w:szCs w:val="28"/>
        </w:rPr>
        <w:t>Whether, if leave to appeal is granted, the appeal should succeed.  This in turn, raise the following issues:</w:t>
      </w:r>
    </w:p>
    <w:p w14:paraId="4A1C5F1E" w14:textId="2ED3264F" w:rsidR="00093310" w:rsidRPr="00587384" w:rsidRDefault="00093310" w:rsidP="00587384">
      <w:pPr>
        <w:pStyle w:val="NormalWeb"/>
        <w:numPr>
          <w:ilvl w:val="2"/>
          <w:numId w:val="1"/>
        </w:numPr>
        <w:spacing w:before="240" w:beforeAutospacing="0" w:after="120" w:afterAutospacing="0" w:line="480" w:lineRule="auto"/>
        <w:ind w:left="2552" w:hanging="1134"/>
        <w:jc w:val="both"/>
        <w:rPr>
          <w:rFonts w:ascii="Arial" w:hAnsi="Arial" w:cs="Arial"/>
          <w:sz w:val="26"/>
          <w:szCs w:val="28"/>
        </w:rPr>
      </w:pPr>
      <w:r w:rsidRPr="00587384">
        <w:rPr>
          <w:rFonts w:ascii="Arial" w:hAnsi="Arial" w:cs="Arial"/>
          <w:sz w:val="26"/>
          <w:szCs w:val="28"/>
        </w:rPr>
        <w:lastRenderedPageBreak/>
        <w:t xml:space="preserve">Whether the complaint which the </w:t>
      </w:r>
      <w:r w:rsidR="00BE4FEC" w:rsidRPr="00587384">
        <w:rPr>
          <w:rFonts w:ascii="Arial" w:hAnsi="Arial" w:cs="Arial"/>
          <w:sz w:val="26"/>
          <w:szCs w:val="28"/>
        </w:rPr>
        <w:t>C</w:t>
      </w:r>
      <w:r w:rsidRPr="00587384">
        <w:rPr>
          <w:rFonts w:ascii="Arial" w:hAnsi="Arial" w:cs="Arial"/>
          <w:sz w:val="26"/>
          <w:szCs w:val="28"/>
        </w:rPr>
        <w:t xml:space="preserve">ommission referred to the </w:t>
      </w:r>
      <w:r w:rsidR="000B720F" w:rsidRPr="00587384">
        <w:rPr>
          <w:rFonts w:ascii="Arial" w:hAnsi="Arial" w:cs="Arial"/>
          <w:sz w:val="26"/>
          <w:szCs w:val="28"/>
        </w:rPr>
        <w:t>T</w:t>
      </w:r>
      <w:r w:rsidRPr="00587384">
        <w:rPr>
          <w:rFonts w:ascii="Arial" w:hAnsi="Arial" w:cs="Arial"/>
          <w:sz w:val="26"/>
          <w:szCs w:val="28"/>
        </w:rPr>
        <w:t>ribunal was</w:t>
      </w:r>
      <w:r w:rsidR="000B720F" w:rsidRPr="00587384">
        <w:rPr>
          <w:rFonts w:ascii="Arial" w:hAnsi="Arial" w:cs="Arial"/>
          <w:sz w:val="26"/>
          <w:szCs w:val="28"/>
        </w:rPr>
        <w:t>, in respect of the respondent (Pickfords),</w:t>
      </w:r>
      <w:r w:rsidRPr="00587384">
        <w:rPr>
          <w:rFonts w:ascii="Arial" w:hAnsi="Arial" w:cs="Arial"/>
          <w:sz w:val="26"/>
          <w:szCs w:val="28"/>
        </w:rPr>
        <w:t xml:space="preserve"> initiated on 3 November</w:t>
      </w:r>
      <w:r w:rsidR="00BE4FEC" w:rsidRPr="00587384">
        <w:rPr>
          <w:rFonts w:ascii="Arial" w:hAnsi="Arial" w:cs="Arial"/>
          <w:sz w:val="26"/>
          <w:szCs w:val="28"/>
        </w:rPr>
        <w:t xml:space="preserve"> </w:t>
      </w:r>
      <w:r w:rsidRPr="00587384">
        <w:rPr>
          <w:rFonts w:ascii="Arial" w:hAnsi="Arial" w:cs="Arial"/>
          <w:sz w:val="26"/>
          <w:szCs w:val="28"/>
        </w:rPr>
        <w:t>2010 or on 1 June 2011 (the initiation issue);</w:t>
      </w:r>
    </w:p>
    <w:p w14:paraId="1D5A6E8F" w14:textId="77777777" w:rsidR="00342FF1" w:rsidRPr="00587384" w:rsidRDefault="00093310" w:rsidP="00587384">
      <w:pPr>
        <w:pStyle w:val="NormalWeb"/>
        <w:numPr>
          <w:ilvl w:val="2"/>
          <w:numId w:val="1"/>
        </w:numPr>
        <w:spacing w:before="240" w:beforeAutospacing="0" w:after="120" w:afterAutospacing="0" w:line="480" w:lineRule="auto"/>
        <w:ind w:left="2552" w:hanging="1134"/>
        <w:jc w:val="both"/>
        <w:rPr>
          <w:rFonts w:ascii="Arial" w:hAnsi="Arial" w:cs="Arial"/>
          <w:sz w:val="26"/>
          <w:szCs w:val="28"/>
        </w:rPr>
      </w:pPr>
      <w:r w:rsidRPr="00587384">
        <w:rPr>
          <w:rFonts w:ascii="Arial" w:hAnsi="Arial" w:cs="Arial"/>
          <w:sz w:val="26"/>
          <w:szCs w:val="28"/>
        </w:rPr>
        <w:t>Whether the three-year period indicated in section</w:t>
      </w:r>
      <w:r w:rsidR="000B720F" w:rsidRPr="00587384">
        <w:rPr>
          <w:rFonts w:ascii="Arial" w:hAnsi="Arial" w:cs="Arial"/>
          <w:sz w:val="26"/>
          <w:szCs w:val="28"/>
        </w:rPr>
        <w:t> </w:t>
      </w:r>
      <w:r w:rsidRPr="00587384">
        <w:rPr>
          <w:rFonts w:ascii="Arial" w:hAnsi="Arial" w:cs="Arial"/>
          <w:sz w:val="26"/>
          <w:szCs w:val="28"/>
        </w:rPr>
        <w:t xml:space="preserve">67(1) of the </w:t>
      </w:r>
      <w:r w:rsidR="00BE4FEC" w:rsidRPr="00587384">
        <w:rPr>
          <w:rFonts w:ascii="Arial" w:hAnsi="Arial" w:cs="Arial"/>
          <w:sz w:val="26"/>
          <w:szCs w:val="28"/>
        </w:rPr>
        <w:t>C</w:t>
      </w:r>
      <w:r w:rsidRPr="00587384">
        <w:rPr>
          <w:rFonts w:ascii="Arial" w:hAnsi="Arial" w:cs="Arial"/>
          <w:sz w:val="26"/>
          <w:szCs w:val="28"/>
        </w:rPr>
        <w:t>ompetition Act began to run (a) from the date on which the alleged prohibited practice ceased or (b) f</w:t>
      </w:r>
      <w:r w:rsidR="00342FF1" w:rsidRPr="00587384">
        <w:rPr>
          <w:rFonts w:ascii="Arial" w:hAnsi="Arial" w:cs="Arial"/>
          <w:sz w:val="26"/>
          <w:szCs w:val="28"/>
        </w:rPr>
        <w:t>ro</w:t>
      </w:r>
      <w:r w:rsidRPr="00587384">
        <w:rPr>
          <w:rFonts w:ascii="Arial" w:hAnsi="Arial" w:cs="Arial"/>
          <w:sz w:val="26"/>
          <w:szCs w:val="28"/>
        </w:rPr>
        <w:t>m the date on which the Commission acquired knowledge of the alleged prohibited practice (the commencement issue); and</w:t>
      </w:r>
    </w:p>
    <w:p w14:paraId="08BE7E84" w14:textId="54ED5EB9" w:rsidR="00093310" w:rsidRPr="00587384" w:rsidRDefault="00093310" w:rsidP="00587384">
      <w:pPr>
        <w:pStyle w:val="NormalWeb"/>
        <w:numPr>
          <w:ilvl w:val="2"/>
          <w:numId w:val="1"/>
        </w:numPr>
        <w:spacing w:before="240" w:beforeAutospacing="0" w:after="120" w:afterAutospacing="0" w:line="480" w:lineRule="auto"/>
        <w:ind w:left="2552" w:hanging="1134"/>
        <w:jc w:val="both"/>
        <w:rPr>
          <w:rFonts w:ascii="Arial" w:hAnsi="Arial" w:cs="Arial"/>
          <w:sz w:val="26"/>
          <w:szCs w:val="28"/>
        </w:rPr>
      </w:pPr>
      <w:r w:rsidRPr="00587384">
        <w:rPr>
          <w:rFonts w:ascii="Arial" w:hAnsi="Arial" w:cs="Arial"/>
          <w:sz w:val="26"/>
          <w:szCs w:val="28"/>
        </w:rPr>
        <w:t xml:space="preserve">Whether the </w:t>
      </w:r>
      <w:r w:rsidR="006D1678" w:rsidRPr="00587384">
        <w:rPr>
          <w:rFonts w:ascii="Arial" w:hAnsi="Arial" w:cs="Arial"/>
          <w:sz w:val="26"/>
          <w:szCs w:val="28"/>
        </w:rPr>
        <w:t>T</w:t>
      </w:r>
      <w:r w:rsidRPr="00587384">
        <w:rPr>
          <w:rFonts w:ascii="Arial" w:hAnsi="Arial" w:cs="Arial"/>
          <w:sz w:val="26"/>
          <w:szCs w:val="28"/>
        </w:rPr>
        <w:t xml:space="preserve">ribunal has </w:t>
      </w:r>
      <w:r w:rsidR="006D1678" w:rsidRPr="00587384">
        <w:rPr>
          <w:rFonts w:ascii="Arial" w:hAnsi="Arial" w:cs="Arial"/>
          <w:sz w:val="26"/>
          <w:szCs w:val="28"/>
        </w:rPr>
        <w:t xml:space="preserve">the </w:t>
      </w:r>
      <w:r w:rsidRPr="00587384">
        <w:rPr>
          <w:rFonts w:ascii="Arial" w:hAnsi="Arial" w:cs="Arial"/>
          <w:sz w:val="26"/>
          <w:szCs w:val="28"/>
        </w:rPr>
        <w:t xml:space="preserve">power to condone </w:t>
      </w:r>
      <w:r w:rsidR="000B720F" w:rsidRPr="00587384">
        <w:rPr>
          <w:rFonts w:ascii="Arial" w:hAnsi="Arial" w:cs="Arial"/>
          <w:sz w:val="26"/>
          <w:szCs w:val="28"/>
        </w:rPr>
        <w:t>“</w:t>
      </w:r>
      <w:r w:rsidRPr="00587384">
        <w:rPr>
          <w:rFonts w:ascii="Arial" w:hAnsi="Arial" w:cs="Arial"/>
          <w:sz w:val="26"/>
          <w:szCs w:val="28"/>
        </w:rPr>
        <w:t>non-compliance” with section 67(1) and authorise the initiation of a complaint after the three-year period has elapsed (</w:t>
      </w:r>
      <w:r w:rsidR="00342FF1" w:rsidRPr="00587384">
        <w:rPr>
          <w:rFonts w:ascii="Arial" w:hAnsi="Arial" w:cs="Arial"/>
          <w:sz w:val="26"/>
          <w:szCs w:val="28"/>
        </w:rPr>
        <w:t xml:space="preserve">the </w:t>
      </w:r>
      <w:r w:rsidRPr="00587384">
        <w:rPr>
          <w:rFonts w:ascii="Arial" w:hAnsi="Arial" w:cs="Arial"/>
          <w:sz w:val="26"/>
          <w:szCs w:val="28"/>
        </w:rPr>
        <w:t xml:space="preserve">condonation issue).  </w:t>
      </w:r>
    </w:p>
    <w:p w14:paraId="48FF9EF0" w14:textId="77777777" w:rsidR="00093310" w:rsidRPr="00587384" w:rsidRDefault="00093310" w:rsidP="00587384">
      <w:pPr>
        <w:spacing w:before="240" w:after="120" w:line="480" w:lineRule="auto"/>
        <w:rPr>
          <w:rFonts w:ascii="Arial" w:hAnsi="Arial" w:cs="Arial"/>
          <w:b/>
          <w:bCs/>
          <w:sz w:val="26"/>
          <w:szCs w:val="28"/>
          <w:lang w:val="en-US"/>
        </w:rPr>
      </w:pPr>
      <w:r w:rsidRPr="00587384">
        <w:rPr>
          <w:rFonts w:ascii="Arial" w:hAnsi="Arial" w:cs="Arial"/>
          <w:b/>
          <w:bCs/>
          <w:sz w:val="26"/>
          <w:szCs w:val="28"/>
          <w:lang w:val="en-US"/>
        </w:rPr>
        <w:t xml:space="preserve">SUMMARY OF RESPONDENT’S ARGUMENT </w:t>
      </w:r>
    </w:p>
    <w:p w14:paraId="5009BC26" w14:textId="72BFC2D9" w:rsidR="006D1678" w:rsidRDefault="006D1678" w:rsidP="00587384">
      <w:pPr>
        <w:pStyle w:val="ListParagraph"/>
        <w:numPr>
          <w:ilvl w:val="0"/>
          <w:numId w:val="1"/>
        </w:numPr>
        <w:spacing w:before="240" w:after="120"/>
        <w:ind w:left="567" w:hanging="567"/>
        <w:rPr>
          <w:rFonts w:ascii="Arial" w:hAnsi="Arial" w:cs="Arial"/>
          <w:sz w:val="26"/>
          <w:szCs w:val="28"/>
          <w:lang w:val="en-US"/>
        </w:rPr>
      </w:pPr>
      <w:r w:rsidRPr="00587384">
        <w:rPr>
          <w:rFonts w:ascii="Arial" w:hAnsi="Arial" w:cs="Arial"/>
          <w:sz w:val="26"/>
          <w:szCs w:val="28"/>
          <w:lang w:val="en-US"/>
        </w:rPr>
        <w:t>As regards leave to appeal: The application for leave to appeal is formally and substantively defective and should be refused.</w:t>
      </w:r>
    </w:p>
    <w:p w14:paraId="21138237" w14:textId="77777777" w:rsidR="00587384" w:rsidRPr="00587384" w:rsidRDefault="00587384" w:rsidP="00587384">
      <w:pPr>
        <w:pStyle w:val="ListParagraph"/>
        <w:spacing w:before="240" w:after="120" w:line="276" w:lineRule="auto"/>
        <w:ind w:left="567"/>
        <w:rPr>
          <w:rFonts w:ascii="Arial" w:hAnsi="Arial" w:cs="Arial"/>
          <w:sz w:val="26"/>
          <w:szCs w:val="28"/>
          <w:lang w:val="en-US"/>
        </w:rPr>
      </w:pPr>
    </w:p>
    <w:p w14:paraId="11813169" w14:textId="32F86A8A" w:rsidR="00093310" w:rsidRDefault="006D1678" w:rsidP="00587384">
      <w:pPr>
        <w:pStyle w:val="ListParagraph"/>
        <w:numPr>
          <w:ilvl w:val="0"/>
          <w:numId w:val="1"/>
        </w:numPr>
        <w:spacing w:before="240" w:after="120"/>
        <w:ind w:left="567" w:hanging="567"/>
        <w:rPr>
          <w:rFonts w:ascii="Arial" w:hAnsi="Arial" w:cs="Arial"/>
          <w:sz w:val="26"/>
          <w:szCs w:val="28"/>
          <w:lang w:val="en-US"/>
        </w:rPr>
      </w:pPr>
      <w:r w:rsidRPr="00587384">
        <w:rPr>
          <w:rFonts w:ascii="Arial" w:hAnsi="Arial" w:cs="Arial"/>
          <w:sz w:val="26"/>
          <w:szCs w:val="28"/>
          <w:lang w:val="en-US"/>
        </w:rPr>
        <w:t xml:space="preserve">As regards the initiation issue:  </w:t>
      </w:r>
      <w:r w:rsidR="00093310" w:rsidRPr="00587384">
        <w:rPr>
          <w:rFonts w:ascii="Arial" w:hAnsi="Arial" w:cs="Arial"/>
          <w:sz w:val="26"/>
          <w:szCs w:val="28"/>
          <w:lang w:val="en-US"/>
        </w:rPr>
        <w:t xml:space="preserve">The </w:t>
      </w:r>
      <w:r w:rsidRPr="00587384">
        <w:rPr>
          <w:rFonts w:ascii="Arial" w:hAnsi="Arial" w:cs="Arial"/>
          <w:sz w:val="26"/>
          <w:szCs w:val="28"/>
          <w:lang w:val="en-US"/>
        </w:rPr>
        <w:t>C</w:t>
      </w:r>
      <w:r w:rsidR="00093310" w:rsidRPr="00587384">
        <w:rPr>
          <w:rFonts w:ascii="Arial" w:hAnsi="Arial" w:cs="Arial"/>
          <w:sz w:val="26"/>
          <w:szCs w:val="28"/>
          <w:lang w:val="en-US"/>
        </w:rPr>
        <w:t xml:space="preserve">ommission </w:t>
      </w:r>
      <w:r w:rsidRPr="00587384">
        <w:rPr>
          <w:rFonts w:ascii="Arial" w:hAnsi="Arial" w:cs="Arial"/>
          <w:sz w:val="26"/>
          <w:szCs w:val="28"/>
          <w:lang w:val="en-US"/>
        </w:rPr>
        <w:t xml:space="preserve">cannot </w:t>
      </w:r>
      <w:r w:rsidR="00093310" w:rsidRPr="00587384">
        <w:rPr>
          <w:rFonts w:ascii="Arial" w:hAnsi="Arial" w:cs="Arial"/>
          <w:sz w:val="26"/>
          <w:szCs w:val="28"/>
          <w:lang w:val="en-US"/>
        </w:rPr>
        <w:t xml:space="preserve">by choosing to </w:t>
      </w:r>
      <w:r w:rsidRPr="00587384">
        <w:rPr>
          <w:rFonts w:ascii="Arial" w:hAnsi="Arial" w:cs="Arial"/>
          <w:sz w:val="26"/>
          <w:szCs w:val="28"/>
          <w:lang w:val="en-US"/>
        </w:rPr>
        <w:t>“</w:t>
      </w:r>
      <w:r w:rsidR="00093310" w:rsidRPr="00587384">
        <w:rPr>
          <w:rFonts w:ascii="Arial" w:hAnsi="Arial" w:cs="Arial"/>
          <w:sz w:val="26"/>
          <w:szCs w:val="28"/>
          <w:lang w:val="en-US"/>
        </w:rPr>
        <w:t>amend</w:t>
      </w:r>
      <w:r w:rsidRPr="00587384">
        <w:rPr>
          <w:rFonts w:ascii="Arial" w:hAnsi="Arial" w:cs="Arial"/>
          <w:sz w:val="26"/>
          <w:szCs w:val="28"/>
          <w:lang w:val="en-US"/>
        </w:rPr>
        <w:t>”</w:t>
      </w:r>
      <w:r w:rsidR="00093310" w:rsidRPr="00587384">
        <w:rPr>
          <w:rFonts w:ascii="Arial" w:hAnsi="Arial" w:cs="Arial"/>
          <w:sz w:val="26"/>
          <w:szCs w:val="28"/>
          <w:lang w:val="en-US"/>
        </w:rPr>
        <w:t xml:space="preserve"> the original complaint rather than initiate a new complaint</w:t>
      </w:r>
      <w:r w:rsidRPr="00587384">
        <w:rPr>
          <w:rFonts w:ascii="Arial" w:hAnsi="Arial" w:cs="Arial"/>
          <w:sz w:val="26"/>
          <w:szCs w:val="28"/>
          <w:lang w:val="en-US"/>
        </w:rPr>
        <w:t xml:space="preserve"> effectively extend its own jurisdiction</w:t>
      </w:r>
      <w:r w:rsidR="00093310" w:rsidRPr="00587384">
        <w:rPr>
          <w:rFonts w:ascii="Arial" w:hAnsi="Arial" w:cs="Arial"/>
          <w:sz w:val="26"/>
          <w:szCs w:val="28"/>
          <w:lang w:val="en-US"/>
        </w:rPr>
        <w:t xml:space="preserve">, and </w:t>
      </w:r>
      <w:r w:rsidR="00EA6911" w:rsidRPr="00587384">
        <w:rPr>
          <w:rFonts w:ascii="Arial" w:hAnsi="Arial" w:cs="Arial"/>
          <w:sz w:val="26"/>
          <w:szCs w:val="28"/>
          <w:lang w:val="en-US"/>
        </w:rPr>
        <w:t xml:space="preserve">thereby </w:t>
      </w:r>
      <w:r w:rsidR="00093310" w:rsidRPr="00587384">
        <w:rPr>
          <w:rFonts w:ascii="Arial" w:hAnsi="Arial" w:cs="Arial"/>
          <w:sz w:val="26"/>
          <w:szCs w:val="28"/>
          <w:lang w:val="en-US"/>
        </w:rPr>
        <w:t xml:space="preserve">avoid the application of </w:t>
      </w:r>
      <w:r w:rsidR="00093310" w:rsidRPr="00587384">
        <w:rPr>
          <w:rFonts w:ascii="Arial" w:hAnsi="Arial" w:cs="Arial"/>
          <w:sz w:val="26"/>
          <w:szCs w:val="28"/>
          <w:lang w:val="en-US"/>
        </w:rPr>
        <w:lastRenderedPageBreak/>
        <w:t xml:space="preserve">section 67(1) of the </w:t>
      </w:r>
      <w:r w:rsidRPr="00587384">
        <w:rPr>
          <w:rFonts w:ascii="Arial" w:hAnsi="Arial" w:cs="Arial"/>
          <w:sz w:val="26"/>
          <w:szCs w:val="28"/>
          <w:lang w:val="en-US"/>
        </w:rPr>
        <w:t>C</w:t>
      </w:r>
      <w:r w:rsidR="00093310" w:rsidRPr="00587384">
        <w:rPr>
          <w:rFonts w:ascii="Arial" w:hAnsi="Arial" w:cs="Arial"/>
          <w:sz w:val="26"/>
          <w:szCs w:val="28"/>
          <w:lang w:val="en-US"/>
        </w:rPr>
        <w:t>ompetition Act.</w:t>
      </w:r>
      <w:r w:rsidR="00342FF1" w:rsidRPr="00587384">
        <w:rPr>
          <w:rFonts w:ascii="Arial" w:hAnsi="Arial" w:cs="Arial"/>
          <w:sz w:val="26"/>
          <w:szCs w:val="28"/>
          <w:lang w:val="en-US"/>
        </w:rPr>
        <w:t xml:space="preserve"> The complaint in respect of Pickfords was initiated on 1 June 2011.</w:t>
      </w:r>
    </w:p>
    <w:p w14:paraId="1E6032F0" w14:textId="77777777" w:rsidR="00587384" w:rsidRPr="00587384" w:rsidRDefault="00587384" w:rsidP="00587384">
      <w:pPr>
        <w:pStyle w:val="ListParagraph"/>
        <w:spacing w:line="276" w:lineRule="auto"/>
        <w:rPr>
          <w:rFonts w:ascii="Arial" w:hAnsi="Arial" w:cs="Arial"/>
          <w:sz w:val="26"/>
          <w:szCs w:val="28"/>
          <w:lang w:val="en-US"/>
        </w:rPr>
      </w:pPr>
    </w:p>
    <w:p w14:paraId="5C80E692" w14:textId="4682383B" w:rsidR="00093310" w:rsidRDefault="006D1678" w:rsidP="00587384">
      <w:pPr>
        <w:pStyle w:val="ListParagraph"/>
        <w:numPr>
          <w:ilvl w:val="0"/>
          <w:numId w:val="1"/>
        </w:numPr>
        <w:spacing w:before="240" w:after="120"/>
        <w:ind w:left="567" w:hanging="567"/>
        <w:rPr>
          <w:rFonts w:ascii="Arial" w:hAnsi="Arial" w:cs="Arial"/>
          <w:sz w:val="26"/>
          <w:szCs w:val="28"/>
          <w:lang w:val="en-US"/>
        </w:rPr>
      </w:pPr>
      <w:r w:rsidRPr="00587384">
        <w:rPr>
          <w:rFonts w:ascii="Arial" w:hAnsi="Arial" w:cs="Arial"/>
          <w:sz w:val="26"/>
          <w:szCs w:val="28"/>
          <w:lang w:val="en-US"/>
        </w:rPr>
        <w:t xml:space="preserve">As regards </w:t>
      </w:r>
      <w:r w:rsidR="00093310" w:rsidRPr="00587384">
        <w:rPr>
          <w:rFonts w:ascii="Arial" w:hAnsi="Arial" w:cs="Arial"/>
          <w:sz w:val="26"/>
          <w:szCs w:val="28"/>
          <w:lang w:val="en-US"/>
        </w:rPr>
        <w:t>the commencement issue</w:t>
      </w:r>
      <w:r w:rsidRPr="00587384">
        <w:rPr>
          <w:rFonts w:ascii="Arial" w:hAnsi="Arial" w:cs="Arial"/>
          <w:sz w:val="26"/>
          <w:szCs w:val="28"/>
          <w:lang w:val="en-US"/>
        </w:rPr>
        <w:t>:</w:t>
      </w:r>
      <w:r w:rsidR="00093310" w:rsidRPr="00587384">
        <w:rPr>
          <w:rFonts w:ascii="Arial" w:hAnsi="Arial" w:cs="Arial"/>
          <w:sz w:val="26"/>
          <w:szCs w:val="28"/>
          <w:lang w:val="en-US"/>
        </w:rPr>
        <w:t xml:space="preserve"> </w:t>
      </w:r>
      <w:r w:rsidRPr="00587384">
        <w:rPr>
          <w:rFonts w:ascii="Arial" w:hAnsi="Arial" w:cs="Arial"/>
          <w:sz w:val="26"/>
          <w:szCs w:val="28"/>
          <w:lang w:val="en-US"/>
        </w:rPr>
        <w:t>T</w:t>
      </w:r>
      <w:r w:rsidR="00093310" w:rsidRPr="00587384">
        <w:rPr>
          <w:rFonts w:ascii="Arial" w:hAnsi="Arial" w:cs="Arial"/>
          <w:sz w:val="26"/>
          <w:szCs w:val="28"/>
          <w:lang w:val="en-US"/>
        </w:rPr>
        <w:t>here is no basis on which a knowledge requirement can be imported in</w:t>
      </w:r>
      <w:r w:rsidR="00EA6911" w:rsidRPr="00587384">
        <w:rPr>
          <w:rFonts w:ascii="Arial" w:hAnsi="Arial" w:cs="Arial"/>
          <w:sz w:val="26"/>
          <w:szCs w:val="28"/>
          <w:lang w:val="en-US"/>
        </w:rPr>
        <w:t>to</w:t>
      </w:r>
      <w:r w:rsidR="00093310" w:rsidRPr="00587384">
        <w:rPr>
          <w:rFonts w:ascii="Arial" w:hAnsi="Arial" w:cs="Arial"/>
          <w:sz w:val="26"/>
          <w:szCs w:val="28"/>
          <w:lang w:val="en-US"/>
        </w:rPr>
        <w:t xml:space="preserve"> section 67(1), either by interpretation or by the application of </w:t>
      </w:r>
      <w:r w:rsidR="00342FF1" w:rsidRPr="00587384">
        <w:rPr>
          <w:rFonts w:ascii="Arial" w:hAnsi="Arial" w:cs="Arial"/>
          <w:sz w:val="26"/>
          <w:szCs w:val="28"/>
          <w:lang w:val="en-US"/>
        </w:rPr>
        <w:t xml:space="preserve">section 16(1) of the </w:t>
      </w:r>
      <w:r w:rsidRPr="00587384">
        <w:rPr>
          <w:rFonts w:ascii="Arial" w:hAnsi="Arial" w:cs="Arial"/>
          <w:sz w:val="26"/>
          <w:szCs w:val="28"/>
          <w:lang w:val="en-US"/>
        </w:rPr>
        <w:t>P</w:t>
      </w:r>
      <w:r w:rsidR="00093310" w:rsidRPr="00587384">
        <w:rPr>
          <w:rFonts w:ascii="Arial" w:hAnsi="Arial" w:cs="Arial"/>
          <w:sz w:val="26"/>
          <w:szCs w:val="28"/>
          <w:lang w:val="en-US"/>
        </w:rPr>
        <w:t>rescription Act</w:t>
      </w:r>
      <w:r w:rsidR="00342FF1" w:rsidRPr="00587384">
        <w:rPr>
          <w:rFonts w:ascii="Arial" w:hAnsi="Arial" w:cs="Arial"/>
          <w:sz w:val="26"/>
          <w:szCs w:val="28"/>
          <w:lang w:val="en-US"/>
        </w:rPr>
        <w:t>, 68 of 1969</w:t>
      </w:r>
      <w:r w:rsidR="007C38ED" w:rsidRPr="00587384">
        <w:rPr>
          <w:rFonts w:ascii="Arial" w:hAnsi="Arial" w:cs="Arial"/>
          <w:sz w:val="26"/>
          <w:szCs w:val="28"/>
          <w:lang w:val="en-US"/>
        </w:rPr>
        <w:t xml:space="preserve"> (the Prescription Act)</w:t>
      </w:r>
      <w:r w:rsidR="00342FF1" w:rsidRPr="00587384">
        <w:rPr>
          <w:rFonts w:ascii="Arial" w:hAnsi="Arial" w:cs="Arial"/>
          <w:sz w:val="26"/>
          <w:szCs w:val="28"/>
          <w:lang w:val="en-US"/>
        </w:rPr>
        <w:t xml:space="preserve">. Section 67(1) cannot reasonably sustain the meaning </w:t>
      </w:r>
      <w:r w:rsidR="007C38ED" w:rsidRPr="00587384">
        <w:rPr>
          <w:rFonts w:ascii="Arial" w:hAnsi="Arial" w:cs="Arial"/>
          <w:sz w:val="26"/>
          <w:szCs w:val="28"/>
          <w:lang w:val="en-US"/>
        </w:rPr>
        <w:t>advanced by the Commission, and a reading in of the necessary words is impermissible in the absence of a challenge to the constitutionality of section 67(1). If the relevant provisions of the Prescription Act were to apply to a “debt” arising under the Competition Act, those provisions would have no effect on section 67(1).</w:t>
      </w:r>
    </w:p>
    <w:p w14:paraId="71F23DA6" w14:textId="77777777" w:rsidR="00587384" w:rsidRPr="00587384" w:rsidRDefault="00587384" w:rsidP="00695328">
      <w:pPr>
        <w:pStyle w:val="ListParagraph"/>
        <w:spacing w:line="276" w:lineRule="auto"/>
        <w:rPr>
          <w:rFonts w:ascii="Arial" w:hAnsi="Arial" w:cs="Arial"/>
          <w:sz w:val="26"/>
          <w:szCs w:val="28"/>
          <w:lang w:val="en-US"/>
        </w:rPr>
      </w:pPr>
    </w:p>
    <w:p w14:paraId="0336F3BE" w14:textId="26D4C9D3" w:rsidR="00093310" w:rsidRPr="00587384" w:rsidRDefault="006D1678" w:rsidP="00587384">
      <w:pPr>
        <w:pStyle w:val="ListParagraph"/>
        <w:numPr>
          <w:ilvl w:val="0"/>
          <w:numId w:val="1"/>
        </w:numPr>
        <w:spacing w:before="240" w:after="120"/>
        <w:ind w:left="567" w:hanging="567"/>
        <w:rPr>
          <w:rFonts w:ascii="Arial" w:hAnsi="Arial" w:cs="Arial"/>
          <w:sz w:val="26"/>
          <w:szCs w:val="28"/>
          <w:lang w:val="en-US"/>
        </w:rPr>
      </w:pPr>
      <w:r w:rsidRPr="00587384">
        <w:rPr>
          <w:rFonts w:ascii="Arial" w:hAnsi="Arial" w:cs="Arial"/>
          <w:sz w:val="26"/>
          <w:szCs w:val="28"/>
          <w:lang w:val="en-US"/>
        </w:rPr>
        <w:t xml:space="preserve">As regards the condonation issue: </w:t>
      </w:r>
      <w:r w:rsidR="00093310" w:rsidRPr="00587384">
        <w:rPr>
          <w:rFonts w:ascii="Arial" w:hAnsi="Arial" w:cs="Arial"/>
          <w:sz w:val="26"/>
          <w:szCs w:val="28"/>
          <w:lang w:val="en-US"/>
        </w:rPr>
        <w:t xml:space="preserve">The </w:t>
      </w:r>
      <w:r w:rsidRPr="00587384">
        <w:rPr>
          <w:rFonts w:ascii="Arial" w:hAnsi="Arial" w:cs="Arial"/>
          <w:sz w:val="26"/>
          <w:szCs w:val="28"/>
          <w:lang w:val="en-US"/>
        </w:rPr>
        <w:t>C</w:t>
      </w:r>
      <w:r w:rsidR="00093310" w:rsidRPr="00587384">
        <w:rPr>
          <w:rFonts w:ascii="Arial" w:hAnsi="Arial" w:cs="Arial"/>
          <w:sz w:val="26"/>
          <w:szCs w:val="28"/>
          <w:lang w:val="en-US"/>
        </w:rPr>
        <w:t xml:space="preserve">ommission’s contention </w:t>
      </w:r>
      <w:r w:rsidRPr="00587384">
        <w:rPr>
          <w:rFonts w:ascii="Arial" w:hAnsi="Arial" w:cs="Arial"/>
          <w:sz w:val="26"/>
          <w:szCs w:val="28"/>
          <w:lang w:val="en-US"/>
        </w:rPr>
        <w:t xml:space="preserve">(advanced as an </w:t>
      </w:r>
      <w:r w:rsidRPr="00587384">
        <w:rPr>
          <w:rFonts w:ascii="Arial" w:hAnsi="Arial" w:cs="Arial"/>
          <w:i/>
          <w:iCs/>
          <w:sz w:val="26"/>
          <w:szCs w:val="28"/>
          <w:lang w:val="en-US"/>
        </w:rPr>
        <w:t>alternative</w:t>
      </w:r>
      <w:r w:rsidRPr="00587384">
        <w:rPr>
          <w:rFonts w:ascii="Arial" w:hAnsi="Arial" w:cs="Arial"/>
          <w:sz w:val="26"/>
          <w:szCs w:val="28"/>
          <w:lang w:val="en-US"/>
        </w:rPr>
        <w:t xml:space="preserve"> argument) </w:t>
      </w:r>
      <w:r w:rsidR="00093310" w:rsidRPr="00587384">
        <w:rPr>
          <w:rFonts w:ascii="Arial" w:hAnsi="Arial" w:cs="Arial"/>
          <w:sz w:val="26"/>
          <w:szCs w:val="28"/>
          <w:lang w:val="en-US"/>
        </w:rPr>
        <w:t xml:space="preserve">that the </w:t>
      </w:r>
      <w:r w:rsidRPr="00587384">
        <w:rPr>
          <w:rFonts w:ascii="Arial" w:hAnsi="Arial" w:cs="Arial"/>
          <w:sz w:val="26"/>
          <w:szCs w:val="28"/>
          <w:lang w:val="en-US"/>
        </w:rPr>
        <w:t>T</w:t>
      </w:r>
      <w:r w:rsidR="00093310" w:rsidRPr="00587384">
        <w:rPr>
          <w:rFonts w:ascii="Arial" w:hAnsi="Arial" w:cs="Arial"/>
          <w:sz w:val="26"/>
          <w:szCs w:val="28"/>
          <w:lang w:val="en-US"/>
        </w:rPr>
        <w:t xml:space="preserve">ribunal has </w:t>
      </w:r>
      <w:r w:rsidRPr="00587384">
        <w:rPr>
          <w:rFonts w:ascii="Arial" w:hAnsi="Arial" w:cs="Arial"/>
          <w:sz w:val="26"/>
          <w:szCs w:val="28"/>
          <w:lang w:val="en-US"/>
        </w:rPr>
        <w:t xml:space="preserve">the </w:t>
      </w:r>
      <w:r w:rsidR="00093310" w:rsidRPr="00587384">
        <w:rPr>
          <w:rFonts w:ascii="Arial" w:hAnsi="Arial" w:cs="Arial"/>
          <w:sz w:val="26"/>
          <w:szCs w:val="28"/>
          <w:lang w:val="en-US"/>
        </w:rPr>
        <w:t xml:space="preserve">power to condone the </w:t>
      </w:r>
      <w:r w:rsidRPr="00587384">
        <w:rPr>
          <w:rFonts w:ascii="Arial" w:hAnsi="Arial" w:cs="Arial"/>
          <w:sz w:val="26"/>
          <w:szCs w:val="28"/>
          <w:lang w:val="en-US"/>
        </w:rPr>
        <w:t>C</w:t>
      </w:r>
      <w:r w:rsidR="00093310" w:rsidRPr="00587384">
        <w:rPr>
          <w:rFonts w:ascii="Arial" w:hAnsi="Arial" w:cs="Arial"/>
          <w:sz w:val="26"/>
          <w:szCs w:val="28"/>
          <w:lang w:val="en-US"/>
        </w:rPr>
        <w:t>ommission’s “non</w:t>
      </w:r>
      <w:r w:rsidRPr="00587384">
        <w:rPr>
          <w:rFonts w:ascii="Arial" w:hAnsi="Arial" w:cs="Arial"/>
          <w:sz w:val="26"/>
          <w:szCs w:val="28"/>
          <w:lang w:val="en-US"/>
        </w:rPr>
        <w:t>-</w:t>
      </w:r>
      <w:r w:rsidR="00093310" w:rsidRPr="00587384">
        <w:rPr>
          <w:rFonts w:ascii="Arial" w:hAnsi="Arial" w:cs="Arial"/>
          <w:sz w:val="26"/>
          <w:szCs w:val="28"/>
          <w:lang w:val="en-US"/>
        </w:rPr>
        <w:t>compliance” with section</w:t>
      </w:r>
      <w:r w:rsidRPr="00587384">
        <w:rPr>
          <w:rFonts w:ascii="Arial" w:hAnsi="Arial" w:cs="Arial"/>
          <w:sz w:val="26"/>
          <w:szCs w:val="28"/>
          <w:lang w:val="en-US"/>
        </w:rPr>
        <w:t> </w:t>
      </w:r>
      <w:r w:rsidR="00093310" w:rsidRPr="00587384">
        <w:rPr>
          <w:rFonts w:ascii="Arial" w:hAnsi="Arial" w:cs="Arial"/>
          <w:sz w:val="26"/>
          <w:szCs w:val="28"/>
          <w:lang w:val="en-US"/>
        </w:rPr>
        <w:t>67(1) of the Competition Act on good cause shown must</w:t>
      </w:r>
      <w:r w:rsidRPr="00587384">
        <w:rPr>
          <w:rFonts w:ascii="Arial" w:hAnsi="Arial" w:cs="Arial"/>
          <w:sz w:val="26"/>
          <w:szCs w:val="28"/>
          <w:lang w:val="en-US"/>
        </w:rPr>
        <w:t xml:space="preserve"> </w:t>
      </w:r>
      <w:r w:rsidR="007C38ED" w:rsidRPr="00587384">
        <w:rPr>
          <w:rFonts w:ascii="Arial" w:hAnsi="Arial" w:cs="Arial"/>
          <w:sz w:val="26"/>
          <w:szCs w:val="28"/>
          <w:lang w:val="en-US"/>
        </w:rPr>
        <w:t xml:space="preserve">fail, </w:t>
      </w:r>
      <w:r w:rsidRPr="00587384">
        <w:rPr>
          <w:rFonts w:ascii="Arial" w:hAnsi="Arial" w:cs="Arial"/>
          <w:sz w:val="26"/>
          <w:szCs w:val="28"/>
          <w:lang w:val="en-US"/>
        </w:rPr>
        <w:t>firstly,</w:t>
      </w:r>
      <w:r w:rsidR="00093310" w:rsidRPr="00587384">
        <w:rPr>
          <w:rFonts w:ascii="Arial" w:hAnsi="Arial" w:cs="Arial"/>
          <w:sz w:val="26"/>
          <w:szCs w:val="28"/>
          <w:lang w:val="en-US"/>
        </w:rPr>
        <w:t xml:space="preserve"> on the bas</w:t>
      </w:r>
      <w:r w:rsidRPr="00587384">
        <w:rPr>
          <w:rFonts w:ascii="Arial" w:hAnsi="Arial" w:cs="Arial"/>
          <w:sz w:val="26"/>
          <w:szCs w:val="28"/>
          <w:lang w:val="en-US"/>
        </w:rPr>
        <w:t>is of mootness</w:t>
      </w:r>
      <w:r w:rsidR="00D914C7">
        <w:rPr>
          <w:rFonts w:ascii="Arial" w:hAnsi="Arial" w:cs="Arial"/>
          <w:sz w:val="26"/>
          <w:szCs w:val="28"/>
          <w:lang w:val="en-US"/>
        </w:rPr>
        <w:t>;</w:t>
      </w:r>
      <w:r w:rsidR="007C38ED" w:rsidRPr="00587384">
        <w:rPr>
          <w:rFonts w:ascii="Arial" w:hAnsi="Arial" w:cs="Arial"/>
          <w:sz w:val="26"/>
          <w:szCs w:val="28"/>
          <w:lang w:val="en-US"/>
        </w:rPr>
        <w:t xml:space="preserve"> and</w:t>
      </w:r>
      <w:r w:rsidR="00D914C7">
        <w:rPr>
          <w:rFonts w:ascii="Arial" w:hAnsi="Arial" w:cs="Arial"/>
          <w:sz w:val="26"/>
          <w:szCs w:val="28"/>
          <w:lang w:val="en-US"/>
        </w:rPr>
        <w:t>,</w:t>
      </w:r>
      <w:r w:rsidR="007C38ED" w:rsidRPr="00587384">
        <w:rPr>
          <w:rFonts w:ascii="Arial" w:hAnsi="Arial" w:cs="Arial"/>
          <w:sz w:val="26"/>
          <w:szCs w:val="28"/>
          <w:lang w:val="en-US"/>
        </w:rPr>
        <w:t xml:space="preserve"> s</w:t>
      </w:r>
      <w:r w:rsidRPr="00587384">
        <w:rPr>
          <w:rFonts w:ascii="Arial" w:hAnsi="Arial" w:cs="Arial"/>
          <w:sz w:val="26"/>
          <w:szCs w:val="28"/>
          <w:lang w:val="en-US"/>
        </w:rPr>
        <w:t xml:space="preserve">econdly, </w:t>
      </w:r>
      <w:r w:rsidR="007C38ED" w:rsidRPr="00587384">
        <w:rPr>
          <w:rFonts w:ascii="Arial" w:hAnsi="Arial" w:cs="Arial"/>
          <w:sz w:val="26"/>
          <w:szCs w:val="28"/>
          <w:lang w:val="en-US"/>
        </w:rPr>
        <w:t xml:space="preserve">because it </w:t>
      </w:r>
      <w:r w:rsidRPr="00587384">
        <w:rPr>
          <w:rFonts w:ascii="Arial" w:hAnsi="Arial" w:cs="Arial"/>
          <w:sz w:val="26"/>
          <w:szCs w:val="28"/>
          <w:lang w:val="en-US"/>
        </w:rPr>
        <w:t>in any event lacks merit</w:t>
      </w:r>
      <w:r w:rsidR="00093310" w:rsidRPr="00587384">
        <w:rPr>
          <w:rFonts w:ascii="Arial" w:hAnsi="Arial" w:cs="Arial"/>
          <w:sz w:val="26"/>
          <w:szCs w:val="28"/>
          <w:lang w:val="en-US"/>
        </w:rPr>
        <w:t>.</w:t>
      </w:r>
      <w:r w:rsidRPr="00587384">
        <w:rPr>
          <w:rFonts w:ascii="Arial" w:hAnsi="Arial" w:cs="Arial"/>
          <w:sz w:val="26"/>
          <w:szCs w:val="28"/>
          <w:lang w:val="en-US"/>
        </w:rPr>
        <w:t xml:space="preserve">  Both the Tribunal and the Commission are creatures of statute whose jurisdiction is constrained by the Act.  The Tribunal</w:t>
      </w:r>
      <w:r w:rsidR="007C38ED" w:rsidRPr="00587384">
        <w:rPr>
          <w:rFonts w:ascii="Arial" w:hAnsi="Arial" w:cs="Arial"/>
          <w:sz w:val="26"/>
          <w:szCs w:val="28"/>
          <w:lang w:val="en-US"/>
        </w:rPr>
        <w:t xml:space="preserve">’s power under section 58(1)(c) of the Competition Act to “condone” or “excuse” a delay in performing a procedural step, cannot be used to </w:t>
      </w:r>
      <w:proofErr w:type="spellStart"/>
      <w:r w:rsidR="007C38ED" w:rsidRPr="00587384">
        <w:rPr>
          <w:rFonts w:ascii="Arial" w:hAnsi="Arial" w:cs="Arial"/>
          <w:sz w:val="26"/>
          <w:szCs w:val="28"/>
          <w:lang w:val="en-US"/>
        </w:rPr>
        <w:t>authorise</w:t>
      </w:r>
      <w:proofErr w:type="spellEnd"/>
      <w:r w:rsidR="007C38ED" w:rsidRPr="00587384">
        <w:rPr>
          <w:rFonts w:ascii="Arial" w:hAnsi="Arial" w:cs="Arial"/>
          <w:sz w:val="26"/>
          <w:szCs w:val="28"/>
          <w:lang w:val="en-US"/>
        </w:rPr>
        <w:t xml:space="preserve"> or sanction conduct by the Commission which is outside its statutory powers.</w:t>
      </w:r>
    </w:p>
    <w:p w14:paraId="79B5CC58" w14:textId="4AF6D858" w:rsidR="00093310" w:rsidRPr="00587384" w:rsidRDefault="00093310" w:rsidP="00587384">
      <w:pPr>
        <w:spacing w:before="240" w:after="120" w:line="480" w:lineRule="auto"/>
        <w:rPr>
          <w:rFonts w:ascii="Arial" w:hAnsi="Arial" w:cs="Arial"/>
          <w:b/>
          <w:bCs/>
          <w:sz w:val="26"/>
          <w:szCs w:val="28"/>
          <w:lang w:val="en-US"/>
        </w:rPr>
      </w:pPr>
      <w:r w:rsidRPr="00587384">
        <w:rPr>
          <w:rFonts w:ascii="Arial" w:hAnsi="Arial" w:cs="Arial"/>
          <w:b/>
          <w:bCs/>
          <w:sz w:val="26"/>
          <w:szCs w:val="28"/>
          <w:lang w:val="en-US"/>
        </w:rPr>
        <w:t>AUTHORITIES OF PARTICULAR IMPORTANCE</w:t>
      </w:r>
    </w:p>
    <w:p w14:paraId="388A06C0" w14:textId="1ECF6B88" w:rsidR="00851276" w:rsidRPr="00587384" w:rsidRDefault="00851276" w:rsidP="00587384">
      <w:pPr>
        <w:pStyle w:val="FootnoteText"/>
        <w:numPr>
          <w:ilvl w:val="0"/>
          <w:numId w:val="1"/>
        </w:numPr>
        <w:spacing w:before="240" w:after="120" w:line="480" w:lineRule="auto"/>
        <w:ind w:left="720" w:hanging="720"/>
        <w:jc w:val="both"/>
        <w:rPr>
          <w:rFonts w:ascii="Arial" w:hAnsi="Arial" w:cs="Arial"/>
          <w:sz w:val="26"/>
          <w:szCs w:val="28"/>
        </w:rPr>
      </w:pPr>
      <w:r w:rsidRPr="00587384">
        <w:rPr>
          <w:rFonts w:ascii="Arial" w:hAnsi="Arial" w:cs="Arial"/>
          <w:sz w:val="26"/>
          <w:szCs w:val="28"/>
        </w:rPr>
        <w:lastRenderedPageBreak/>
        <w:t xml:space="preserve">The respondent relies particularly on the following </w:t>
      </w:r>
      <w:r w:rsidR="007C38ED" w:rsidRPr="00587384">
        <w:rPr>
          <w:rFonts w:ascii="Arial" w:hAnsi="Arial" w:cs="Arial"/>
          <w:sz w:val="26"/>
          <w:szCs w:val="28"/>
        </w:rPr>
        <w:t>decisions</w:t>
      </w:r>
      <w:r w:rsidRPr="00587384">
        <w:rPr>
          <w:rFonts w:ascii="Arial" w:hAnsi="Arial" w:cs="Arial"/>
          <w:sz w:val="26"/>
          <w:szCs w:val="28"/>
        </w:rPr>
        <w:t xml:space="preserve"> by this Court, the Supreme Court of Appeal, and the Competition Appeal Court:</w:t>
      </w:r>
    </w:p>
    <w:p w14:paraId="3AF4CE2D" w14:textId="05A86C6C" w:rsidR="00851276" w:rsidRPr="00587384" w:rsidRDefault="00851276" w:rsidP="00587384">
      <w:pPr>
        <w:pStyle w:val="FootnoteText"/>
        <w:numPr>
          <w:ilvl w:val="1"/>
          <w:numId w:val="1"/>
        </w:numPr>
        <w:spacing w:before="240" w:after="120" w:line="480" w:lineRule="auto"/>
        <w:ind w:left="1560" w:hanging="851"/>
        <w:jc w:val="both"/>
        <w:rPr>
          <w:rFonts w:ascii="Arial" w:hAnsi="Arial" w:cs="Arial"/>
          <w:sz w:val="26"/>
          <w:szCs w:val="28"/>
        </w:rPr>
      </w:pPr>
      <w:r w:rsidRPr="00587384">
        <w:rPr>
          <w:rFonts w:ascii="Arial" w:hAnsi="Arial" w:cs="Arial"/>
          <w:i/>
          <w:sz w:val="26"/>
          <w:szCs w:val="28"/>
        </w:rPr>
        <w:t>Competition Commission of South Africa v Pioneer Hi-Bred International Inc</w:t>
      </w:r>
      <w:r w:rsidRPr="00587384">
        <w:rPr>
          <w:rFonts w:ascii="Arial" w:hAnsi="Arial" w:cs="Arial"/>
          <w:sz w:val="26"/>
          <w:szCs w:val="28"/>
        </w:rPr>
        <w:t> 2014 (2) SA 480 (CC)</w:t>
      </w:r>
    </w:p>
    <w:p w14:paraId="435022CE" w14:textId="67B4D8DA" w:rsidR="00851276" w:rsidRPr="00587384" w:rsidRDefault="00851276" w:rsidP="00587384">
      <w:pPr>
        <w:pStyle w:val="FootnoteText"/>
        <w:numPr>
          <w:ilvl w:val="1"/>
          <w:numId w:val="1"/>
        </w:numPr>
        <w:spacing w:before="240" w:after="120" w:line="480" w:lineRule="auto"/>
        <w:ind w:left="1560" w:hanging="851"/>
        <w:jc w:val="both"/>
        <w:rPr>
          <w:rFonts w:ascii="Arial" w:hAnsi="Arial" w:cs="Arial"/>
          <w:sz w:val="26"/>
          <w:szCs w:val="28"/>
        </w:rPr>
      </w:pPr>
      <w:r w:rsidRPr="00587384">
        <w:rPr>
          <w:rFonts w:ascii="Arial" w:hAnsi="Arial" w:cs="Arial"/>
          <w:i/>
          <w:sz w:val="26"/>
          <w:szCs w:val="28"/>
        </w:rPr>
        <w:t>Serious Economic Offences and Others v Hyundai Motor Distributors (Pty) Ltd and Others: In re Hyundai Motor Distributors (Pty) Ltd and Others v Smit NO and Others</w:t>
      </w:r>
      <w:r w:rsidRPr="00587384">
        <w:rPr>
          <w:rFonts w:ascii="Arial" w:hAnsi="Arial" w:cs="Arial"/>
          <w:sz w:val="26"/>
          <w:szCs w:val="28"/>
        </w:rPr>
        <w:t> 2001 (1) SA 545 (CC)</w:t>
      </w:r>
    </w:p>
    <w:p w14:paraId="373CCCF4" w14:textId="790969C5" w:rsidR="00851276" w:rsidRPr="00587384" w:rsidRDefault="00851276" w:rsidP="00587384">
      <w:pPr>
        <w:pStyle w:val="FootnoteText"/>
        <w:numPr>
          <w:ilvl w:val="1"/>
          <w:numId w:val="1"/>
        </w:numPr>
        <w:spacing w:before="240" w:after="120" w:line="480" w:lineRule="auto"/>
        <w:ind w:left="1560" w:hanging="851"/>
        <w:jc w:val="both"/>
        <w:rPr>
          <w:rFonts w:ascii="Arial" w:hAnsi="Arial" w:cs="Arial"/>
          <w:sz w:val="26"/>
          <w:szCs w:val="28"/>
        </w:rPr>
      </w:pPr>
      <w:proofErr w:type="spellStart"/>
      <w:r w:rsidRPr="00587384">
        <w:rPr>
          <w:rFonts w:ascii="Arial" w:hAnsi="Arial" w:cs="Arial"/>
          <w:i/>
          <w:iCs/>
          <w:sz w:val="26"/>
          <w:szCs w:val="28"/>
        </w:rPr>
        <w:t>Mankayi</w:t>
      </w:r>
      <w:proofErr w:type="spellEnd"/>
      <w:r w:rsidRPr="00587384">
        <w:rPr>
          <w:rFonts w:ascii="Arial" w:hAnsi="Arial" w:cs="Arial"/>
          <w:i/>
          <w:iCs/>
          <w:sz w:val="26"/>
          <w:szCs w:val="28"/>
        </w:rPr>
        <w:t xml:space="preserve"> v AngloGold Ashanti Ltd</w:t>
      </w:r>
      <w:r w:rsidRPr="00587384">
        <w:rPr>
          <w:rFonts w:ascii="Arial" w:hAnsi="Arial" w:cs="Arial"/>
          <w:sz w:val="26"/>
          <w:szCs w:val="28"/>
        </w:rPr>
        <w:t> 2011 (3) SA 237 (CC)</w:t>
      </w:r>
    </w:p>
    <w:p w14:paraId="694341A0" w14:textId="47719C10" w:rsidR="00851276" w:rsidRPr="00587384" w:rsidRDefault="00851276" w:rsidP="00587384">
      <w:pPr>
        <w:pStyle w:val="FootnoteText"/>
        <w:numPr>
          <w:ilvl w:val="1"/>
          <w:numId w:val="1"/>
        </w:numPr>
        <w:spacing w:before="240" w:after="120" w:line="480" w:lineRule="auto"/>
        <w:ind w:left="1560" w:hanging="851"/>
        <w:jc w:val="both"/>
        <w:rPr>
          <w:rFonts w:ascii="Arial" w:hAnsi="Arial" w:cs="Arial"/>
          <w:sz w:val="26"/>
          <w:szCs w:val="28"/>
        </w:rPr>
      </w:pPr>
      <w:r w:rsidRPr="00587384">
        <w:rPr>
          <w:rFonts w:ascii="Arial" w:hAnsi="Arial" w:cs="Arial"/>
          <w:i/>
          <w:iCs/>
          <w:sz w:val="26"/>
          <w:szCs w:val="28"/>
        </w:rPr>
        <w:t xml:space="preserve">National Coalition for Gay and Lesbian Equality and Others v Minister of Home Affairs and Others </w:t>
      </w:r>
      <w:r w:rsidRPr="00587384">
        <w:rPr>
          <w:rFonts w:ascii="Arial" w:hAnsi="Arial" w:cs="Arial"/>
          <w:sz w:val="26"/>
          <w:szCs w:val="28"/>
        </w:rPr>
        <w:t>2000 (2) SA 1 (CC)</w:t>
      </w:r>
    </w:p>
    <w:p w14:paraId="42552F2C" w14:textId="6D0072C6" w:rsidR="00851276" w:rsidRPr="00587384" w:rsidRDefault="00851276" w:rsidP="00587384">
      <w:pPr>
        <w:pStyle w:val="FootnoteText"/>
        <w:numPr>
          <w:ilvl w:val="1"/>
          <w:numId w:val="1"/>
        </w:numPr>
        <w:spacing w:before="240" w:after="120" w:line="480" w:lineRule="auto"/>
        <w:ind w:left="1560" w:hanging="851"/>
        <w:jc w:val="both"/>
        <w:rPr>
          <w:rFonts w:ascii="Arial" w:hAnsi="Arial" w:cs="Arial"/>
          <w:sz w:val="26"/>
          <w:szCs w:val="28"/>
        </w:rPr>
      </w:pPr>
      <w:r w:rsidRPr="00587384">
        <w:rPr>
          <w:rFonts w:ascii="Arial" w:hAnsi="Arial" w:cs="Arial"/>
          <w:i/>
          <w:sz w:val="26"/>
          <w:szCs w:val="28"/>
        </w:rPr>
        <w:t xml:space="preserve">Buffalo City Metropolitan Municipality v </w:t>
      </w:r>
      <w:proofErr w:type="spellStart"/>
      <w:r w:rsidRPr="00587384">
        <w:rPr>
          <w:rFonts w:ascii="Arial" w:hAnsi="Arial" w:cs="Arial"/>
          <w:i/>
          <w:sz w:val="26"/>
          <w:szCs w:val="28"/>
        </w:rPr>
        <w:t>Asla</w:t>
      </w:r>
      <w:proofErr w:type="spellEnd"/>
      <w:r w:rsidRPr="00587384">
        <w:rPr>
          <w:rFonts w:ascii="Arial" w:hAnsi="Arial" w:cs="Arial"/>
          <w:i/>
          <w:sz w:val="26"/>
          <w:szCs w:val="28"/>
        </w:rPr>
        <w:t xml:space="preserve"> Construction </w:t>
      </w:r>
      <w:r w:rsidRPr="00587384">
        <w:rPr>
          <w:rFonts w:ascii="Arial" w:hAnsi="Arial" w:cs="Arial"/>
          <w:iCs/>
          <w:sz w:val="26"/>
          <w:szCs w:val="28"/>
        </w:rPr>
        <w:t>2019 (4) SA 331 (CC)</w:t>
      </w:r>
    </w:p>
    <w:p w14:paraId="38513241" w14:textId="72EF2EEC" w:rsidR="00851276" w:rsidRPr="00587384" w:rsidRDefault="00851276" w:rsidP="00587384">
      <w:pPr>
        <w:pStyle w:val="FootnoteText"/>
        <w:numPr>
          <w:ilvl w:val="1"/>
          <w:numId w:val="1"/>
        </w:numPr>
        <w:spacing w:before="240" w:after="120" w:line="480" w:lineRule="auto"/>
        <w:ind w:left="1560" w:hanging="851"/>
        <w:jc w:val="both"/>
        <w:rPr>
          <w:rFonts w:ascii="Arial" w:hAnsi="Arial" w:cs="Arial"/>
          <w:sz w:val="26"/>
          <w:szCs w:val="28"/>
        </w:rPr>
      </w:pPr>
      <w:r w:rsidRPr="00587384">
        <w:rPr>
          <w:rFonts w:ascii="Arial" w:hAnsi="Arial" w:cs="Arial"/>
          <w:i/>
          <w:iCs/>
          <w:sz w:val="26"/>
          <w:szCs w:val="28"/>
        </w:rPr>
        <w:t>Road Accident Fund v Mdeyide</w:t>
      </w:r>
      <w:r w:rsidRPr="00587384">
        <w:rPr>
          <w:rFonts w:ascii="Arial" w:hAnsi="Arial" w:cs="Arial"/>
          <w:sz w:val="26"/>
          <w:szCs w:val="28"/>
        </w:rPr>
        <w:t xml:space="preserve"> 2011 (2) SA 26 (CC)</w:t>
      </w:r>
    </w:p>
    <w:p w14:paraId="4E6D47D3" w14:textId="161E430A" w:rsidR="00093310" w:rsidRPr="00587384" w:rsidRDefault="00093310" w:rsidP="00587384">
      <w:pPr>
        <w:pStyle w:val="FootnoteText"/>
        <w:numPr>
          <w:ilvl w:val="1"/>
          <w:numId w:val="1"/>
        </w:numPr>
        <w:spacing w:before="240" w:after="120" w:line="480" w:lineRule="auto"/>
        <w:ind w:left="1560" w:hanging="851"/>
        <w:jc w:val="both"/>
        <w:rPr>
          <w:rFonts w:ascii="Arial" w:hAnsi="Arial" w:cs="Arial"/>
          <w:sz w:val="26"/>
          <w:szCs w:val="28"/>
        </w:rPr>
      </w:pPr>
      <w:r w:rsidRPr="00587384">
        <w:rPr>
          <w:rFonts w:ascii="Arial" w:hAnsi="Arial" w:cs="Arial"/>
          <w:i/>
          <w:iCs/>
          <w:sz w:val="26"/>
          <w:szCs w:val="28"/>
          <w:lang w:val="en-US"/>
        </w:rPr>
        <w:t xml:space="preserve">Woodlands Dairy (Pty)Ltd and Another v The Competition Commission </w:t>
      </w:r>
      <w:r w:rsidRPr="00587384">
        <w:rPr>
          <w:rFonts w:ascii="Arial" w:hAnsi="Arial" w:cs="Arial"/>
          <w:sz w:val="26"/>
          <w:szCs w:val="28"/>
          <w:lang w:val="en-US"/>
        </w:rPr>
        <w:t>2010 (6) SA 108 (SCA)</w:t>
      </w:r>
    </w:p>
    <w:p w14:paraId="51694D3B" w14:textId="071853CF" w:rsidR="00093310" w:rsidRPr="00587384" w:rsidRDefault="00093310" w:rsidP="00587384">
      <w:pPr>
        <w:pStyle w:val="FootnoteText"/>
        <w:numPr>
          <w:ilvl w:val="1"/>
          <w:numId w:val="1"/>
        </w:numPr>
        <w:spacing w:before="240" w:after="120" w:line="480" w:lineRule="auto"/>
        <w:ind w:left="1560" w:hanging="851"/>
        <w:jc w:val="both"/>
        <w:rPr>
          <w:rFonts w:ascii="Arial" w:hAnsi="Arial" w:cs="Arial"/>
          <w:sz w:val="26"/>
          <w:szCs w:val="28"/>
        </w:rPr>
      </w:pPr>
      <w:r w:rsidRPr="00587384">
        <w:rPr>
          <w:rFonts w:ascii="Arial" w:hAnsi="Arial" w:cs="Arial"/>
          <w:i/>
          <w:iCs/>
          <w:sz w:val="26"/>
          <w:szCs w:val="28"/>
          <w:lang w:val="en-US"/>
        </w:rPr>
        <w:t xml:space="preserve">Power Construction (West Cape) (Pty) Ltd and Another v Competition Commission of South Africa </w:t>
      </w:r>
      <w:r w:rsidRPr="00587384">
        <w:rPr>
          <w:rFonts w:ascii="Arial" w:hAnsi="Arial" w:cs="Arial"/>
          <w:sz w:val="26"/>
          <w:szCs w:val="28"/>
          <w:lang w:val="en-US"/>
        </w:rPr>
        <w:t>[2017] 2 CPLR 589 (CAC)</w:t>
      </w:r>
    </w:p>
    <w:p w14:paraId="4DD97889" w14:textId="02EBBB4D" w:rsidR="00093310" w:rsidRPr="00587384" w:rsidRDefault="00093310" w:rsidP="00587384">
      <w:pPr>
        <w:spacing w:before="240" w:after="120" w:line="480" w:lineRule="auto"/>
        <w:rPr>
          <w:rFonts w:ascii="Arial" w:hAnsi="Arial" w:cs="Arial"/>
          <w:b/>
          <w:bCs/>
          <w:sz w:val="26"/>
          <w:szCs w:val="28"/>
          <w:lang w:val="en-US"/>
        </w:rPr>
      </w:pPr>
      <w:r w:rsidRPr="00587384">
        <w:rPr>
          <w:rFonts w:ascii="Arial" w:hAnsi="Arial" w:cs="Arial"/>
          <w:b/>
          <w:bCs/>
          <w:sz w:val="26"/>
          <w:szCs w:val="28"/>
          <w:lang w:val="en-US"/>
        </w:rPr>
        <w:t>RELIEF SOUGHT</w:t>
      </w:r>
    </w:p>
    <w:p w14:paraId="2AF1F27E" w14:textId="102B51F4" w:rsidR="00093310" w:rsidRPr="00587384" w:rsidRDefault="00093310" w:rsidP="00587384">
      <w:pPr>
        <w:pStyle w:val="ListParagraph"/>
        <w:numPr>
          <w:ilvl w:val="0"/>
          <w:numId w:val="1"/>
        </w:numPr>
        <w:spacing w:before="240" w:after="120"/>
        <w:rPr>
          <w:rFonts w:ascii="Arial" w:hAnsi="Arial" w:cs="Arial"/>
          <w:sz w:val="26"/>
          <w:szCs w:val="28"/>
          <w:lang w:val="en-US"/>
        </w:rPr>
      </w:pPr>
      <w:r w:rsidRPr="00587384">
        <w:rPr>
          <w:rFonts w:ascii="Arial" w:hAnsi="Arial" w:cs="Arial"/>
          <w:sz w:val="26"/>
          <w:szCs w:val="28"/>
          <w:lang w:val="en-US"/>
        </w:rPr>
        <w:lastRenderedPageBreak/>
        <w:t>The respondent seeks the following relief:</w:t>
      </w:r>
    </w:p>
    <w:p w14:paraId="1EF093A2" w14:textId="49C622D2" w:rsidR="00093310" w:rsidRDefault="00093310" w:rsidP="00587384">
      <w:pPr>
        <w:pStyle w:val="ListParagraph"/>
        <w:numPr>
          <w:ilvl w:val="1"/>
          <w:numId w:val="1"/>
        </w:numPr>
        <w:spacing w:before="240" w:after="120"/>
        <w:ind w:left="1843" w:hanging="1134"/>
        <w:rPr>
          <w:rFonts w:ascii="Arial" w:hAnsi="Arial" w:cs="Arial"/>
          <w:sz w:val="26"/>
          <w:szCs w:val="28"/>
          <w:lang w:val="en-US"/>
        </w:rPr>
      </w:pPr>
      <w:r w:rsidRPr="00587384">
        <w:rPr>
          <w:rFonts w:ascii="Arial" w:hAnsi="Arial" w:cs="Arial"/>
          <w:sz w:val="26"/>
          <w:szCs w:val="28"/>
          <w:lang w:val="en-US"/>
        </w:rPr>
        <w:t>Leave to appeal be</w:t>
      </w:r>
      <w:r w:rsidR="00154B2E" w:rsidRPr="00587384">
        <w:rPr>
          <w:rFonts w:ascii="Arial" w:hAnsi="Arial" w:cs="Arial"/>
          <w:sz w:val="26"/>
          <w:szCs w:val="28"/>
          <w:lang w:val="en-US"/>
        </w:rPr>
        <w:t xml:space="preserve"> refused</w:t>
      </w:r>
      <w:r w:rsidRPr="00587384">
        <w:rPr>
          <w:rFonts w:ascii="Arial" w:hAnsi="Arial" w:cs="Arial"/>
          <w:sz w:val="26"/>
          <w:szCs w:val="28"/>
          <w:lang w:val="en-US"/>
        </w:rPr>
        <w:t>;</w:t>
      </w:r>
    </w:p>
    <w:p w14:paraId="69971960" w14:textId="77777777" w:rsidR="00587384" w:rsidRPr="00587384" w:rsidRDefault="00587384" w:rsidP="00587384">
      <w:pPr>
        <w:pStyle w:val="ListParagraph"/>
        <w:spacing w:before="240" w:after="120" w:line="276" w:lineRule="auto"/>
        <w:ind w:left="1843"/>
        <w:rPr>
          <w:rFonts w:ascii="Arial" w:hAnsi="Arial" w:cs="Arial"/>
          <w:sz w:val="26"/>
          <w:szCs w:val="28"/>
          <w:lang w:val="en-US"/>
        </w:rPr>
      </w:pPr>
    </w:p>
    <w:p w14:paraId="0E5C68C0" w14:textId="6BEA031B" w:rsidR="00093310" w:rsidRDefault="00093310" w:rsidP="00587384">
      <w:pPr>
        <w:pStyle w:val="ListParagraph"/>
        <w:numPr>
          <w:ilvl w:val="1"/>
          <w:numId w:val="1"/>
        </w:numPr>
        <w:spacing w:before="240" w:after="120"/>
        <w:ind w:left="1843" w:hanging="1134"/>
        <w:rPr>
          <w:rFonts w:ascii="Arial" w:hAnsi="Arial" w:cs="Arial"/>
          <w:sz w:val="26"/>
          <w:szCs w:val="28"/>
          <w:lang w:val="en-US"/>
        </w:rPr>
      </w:pPr>
      <w:r w:rsidRPr="00587384">
        <w:rPr>
          <w:rFonts w:ascii="Arial" w:hAnsi="Arial" w:cs="Arial"/>
          <w:sz w:val="26"/>
          <w:szCs w:val="28"/>
          <w:lang w:val="en-US"/>
        </w:rPr>
        <w:t>Alternatively, if leave to appeal is granted, the appeal be dismissed;</w:t>
      </w:r>
    </w:p>
    <w:p w14:paraId="63C1EAC9" w14:textId="77777777" w:rsidR="00587384" w:rsidRPr="00587384" w:rsidRDefault="00587384" w:rsidP="00587384">
      <w:pPr>
        <w:pStyle w:val="ListParagraph"/>
        <w:spacing w:line="276" w:lineRule="auto"/>
        <w:rPr>
          <w:rFonts w:ascii="Arial" w:hAnsi="Arial" w:cs="Arial"/>
          <w:sz w:val="26"/>
          <w:szCs w:val="28"/>
          <w:lang w:val="en-US"/>
        </w:rPr>
      </w:pPr>
    </w:p>
    <w:p w14:paraId="0A2B3863" w14:textId="42B66B89" w:rsidR="00093310" w:rsidRPr="00587384" w:rsidRDefault="00093310" w:rsidP="00587384">
      <w:pPr>
        <w:pStyle w:val="ListParagraph"/>
        <w:numPr>
          <w:ilvl w:val="1"/>
          <w:numId w:val="1"/>
        </w:numPr>
        <w:spacing w:before="240" w:after="120"/>
        <w:ind w:left="1843" w:hanging="1134"/>
        <w:rPr>
          <w:rFonts w:ascii="Arial" w:hAnsi="Arial" w:cs="Arial"/>
          <w:sz w:val="26"/>
          <w:szCs w:val="28"/>
          <w:lang w:val="en-US"/>
        </w:rPr>
      </w:pPr>
      <w:r w:rsidRPr="00587384">
        <w:rPr>
          <w:rFonts w:ascii="Arial" w:hAnsi="Arial" w:cs="Arial"/>
          <w:sz w:val="26"/>
          <w:szCs w:val="28"/>
          <w:lang w:val="en-US"/>
        </w:rPr>
        <w:t>In either event, the applicant be directed to pay the respondent’s costs, including the costs of three counsel where incurred.</w:t>
      </w:r>
    </w:p>
    <w:p w14:paraId="38C3C651" w14:textId="21DBCA96" w:rsidR="00093310" w:rsidRPr="00587384" w:rsidRDefault="00093310" w:rsidP="00587384">
      <w:pPr>
        <w:spacing w:before="240" w:after="120" w:line="480" w:lineRule="auto"/>
        <w:jc w:val="both"/>
        <w:rPr>
          <w:rFonts w:ascii="Arial" w:hAnsi="Arial" w:cs="Arial"/>
          <w:b/>
          <w:bCs/>
          <w:sz w:val="26"/>
          <w:szCs w:val="28"/>
          <w:lang w:val="en-US"/>
        </w:rPr>
      </w:pPr>
      <w:r w:rsidRPr="00587384">
        <w:rPr>
          <w:rFonts w:ascii="Arial" w:hAnsi="Arial" w:cs="Arial"/>
          <w:b/>
          <w:bCs/>
          <w:sz w:val="26"/>
          <w:szCs w:val="28"/>
          <w:lang w:val="en-US"/>
        </w:rPr>
        <w:t>PORTIONS OF THE RECORD THAT ARE NECESSARY FOR THE DETERMINATION OF THE MATTER</w:t>
      </w:r>
    </w:p>
    <w:p w14:paraId="499BD9CE" w14:textId="18872C3C" w:rsidR="00093310" w:rsidRPr="00587384" w:rsidRDefault="00093310" w:rsidP="00587384">
      <w:pPr>
        <w:pStyle w:val="ListParagraph"/>
        <w:numPr>
          <w:ilvl w:val="0"/>
          <w:numId w:val="1"/>
        </w:numPr>
        <w:spacing w:before="240" w:after="120"/>
        <w:ind w:left="720" w:hanging="720"/>
        <w:rPr>
          <w:rFonts w:ascii="Arial" w:hAnsi="Arial" w:cs="Arial"/>
          <w:sz w:val="26"/>
          <w:szCs w:val="28"/>
          <w:lang w:val="en-US"/>
        </w:rPr>
      </w:pPr>
      <w:r w:rsidRPr="00587384">
        <w:rPr>
          <w:rFonts w:ascii="Arial" w:hAnsi="Arial" w:cs="Arial"/>
          <w:sz w:val="26"/>
          <w:szCs w:val="28"/>
          <w:lang w:val="en-US"/>
        </w:rPr>
        <w:t xml:space="preserve">The record </w:t>
      </w:r>
      <w:r w:rsidR="00402E64" w:rsidRPr="00587384">
        <w:rPr>
          <w:rFonts w:ascii="Arial" w:hAnsi="Arial" w:cs="Arial"/>
          <w:sz w:val="26"/>
          <w:szCs w:val="28"/>
          <w:lang w:val="en-US"/>
        </w:rPr>
        <w:t>is concise</w:t>
      </w:r>
      <w:r w:rsidR="00C712A0" w:rsidRPr="00587384">
        <w:rPr>
          <w:rFonts w:ascii="Arial" w:hAnsi="Arial" w:cs="Arial"/>
          <w:sz w:val="26"/>
          <w:szCs w:val="28"/>
          <w:lang w:val="en-US"/>
        </w:rPr>
        <w:t>,</w:t>
      </w:r>
      <w:r w:rsidR="00402E64" w:rsidRPr="00587384">
        <w:rPr>
          <w:rFonts w:ascii="Arial" w:hAnsi="Arial" w:cs="Arial"/>
          <w:sz w:val="26"/>
          <w:szCs w:val="28"/>
          <w:lang w:val="en-US"/>
        </w:rPr>
        <w:t xml:space="preserve"> compris</w:t>
      </w:r>
      <w:r w:rsidR="00C712A0" w:rsidRPr="00587384">
        <w:rPr>
          <w:rFonts w:ascii="Arial" w:hAnsi="Arial" w:cs="Arial"/>
          <w:sz w:val="26"/>
          <w:szCs w:val="28"/>
          <w:lang w:val="en-US"/>
        </w:rPr>
        <w:t>ing</w:t>
      </w:r>
      <w:r w:rsidR="00402E64" w:rsidRPr="00587384">
        <w:rPr>
          <w:rFonts w:ascii="Arial" w:hAnsi="Arial" w:cs="Arial"/>
          <w:sz w:val="26"/>
          <w:szCs w:val="28"/>
          <w:lang w:val="en-US"/>
        </w:rPr>
        <w:t xml:space="preserve"> 330 pages.  The essential parts have been identified in the parties’ heads of argument.  The founding and opposing affidavits filed in this Court together with the judgments by the Tribunal and CAC are the most important </w:t>
      </w:r>
      <w:r w:rsidR="003B3C9F" w:rsidRPr="00587384">
        <w:rPr>
          <w:rFonts w:ascii="Arial" w:hAnsi="Arial" w:cs="Arial"/>
          <w:sz w:val="26"/>
          <w:szCs w:val="28"/>
          <w:lang w:val="en-US"/>
        </w:rPr>
        <w:t>portions</w:t>
      </w:r>
      <w:r w:rsidR="00C712A0" w:rsidRPr="00587384">
        <w:rPr>
          <w:rFonts w:ascii="Arial" w:hAnsi="Arial" w:cs="Arial"/>
          <w:sz w:val="26"/>
          <w:szCs w:val="28"/>
          <w:lang w:val="en-US"/>
        </w:rPr>
        <w:t xml:space="preserve">.  They are </w:t>
      </w:r>
      <w:r w:rsidR="003B3C9F" w:rsidRPr="00587384">
        <w:rPr>
          <w:rFonts w:ascii="Arial" w:hAnsi="Arial" w:cs="Arial"/>
          <w:sz w:val="26"/>
          <w:szCs w:val="28"/>
          <w:lang w:val="en-US"/>
        </w:rPr>
        <w:t xml:space="preserve">respectively </w:t>
      </w:r>
      <w:r w:rsidR="00C712A0" w:rsidRPr="00587384">
        <w:rPr>
          <w:rFonts w:ascii="Arial" w:hAnsi="Arial" w:cs="Arial"/>
          <w:sz w:val="26"/>
          <w:szCs w:val="28"/>
          <w:lang w:val="en-US"/>
        </w:rPr>
        <w:t xml:space="preserve">at Record vol </w:t>
      </w:r>
      <w:r w:rsidR="003B3C9F" w:rsidRPr="00587384">
        <w:rPr>
          <w:rFonts w:ascii="Arial" w:hAnsi="Arial" w:cs="Arial"/>
          <w:sz w:val="26"/>
          <w:szCs w:val="28"/>
          <w:lang w:val="en-US"/>
        </w:rPr>
        <w:t>3 pp 232-275; Record vol 3 pp</w:t>
      </w:r>
      <w:r w:rsidR="00851276" w:rsidRPr="00587384">
        <w:rPr>
          <w:rFonts w:ascii="Arial" w:hAnsi="Arial" w:cs="Arial"/>
          <w:sz w:val="26"/>
          <w:szCs w:val="28"/>
          <w:lang w:val="en-US"/>
        </w:rPr>
        <w:t> </w:t>
      </w:r>
      <w:r w:rsidR="003B3C9F" w:rsidRPr="00587384">
        <w:rPr>
          <w:rFonts w:ascii="Arial" w:hAnsi="Arial" w:cs="Arial"/>
          <w:sz w:val="26"/>
          <w:szCs w:val="28"/>
          <w:lang w:val="en-US"/>
        </w:rPr>
        <w:t>277-325; Record vol 2 pp 177-198; and Record vol 2 pp 212-227.</w:t>
      </w:r>
    </w:p>
    <w:p w14:paraId="3B9718BE" w14:textId="77777777" w:rsidR="00093310" w:rsidRPr="00587384" w:rsidRDefault="00093310" w:rsidP="00587384">
      <w:pPr>
        <w:spacing w:before="240" w:after="120" w:line="480" w:lineRule="auto"/>
        <w:rPr>
          <w:rFonts w:ascii="Arial" w:hAnsi="Arial" w:cs="Arial"/>
          <w:b/>
          <w:bCs/>
          <w:sz w:val="26"/>
          <w:szCs w:val="28"/>
          <w:lang w:val="en-US"/>
        </w:rPr>
      </w:pPr>
      <w:r w:rsidRPr="00587384">
        <w:rPr>
          <w:rFonts w:ascii="Arial" w:hAnsi="Arial" w:cs="Arial"/>
          <w:b/>
          <w:bCs/>
          <w:sz w:val="26"/>
          <w:szCs w:val="28"/>
          <w:lang w:val="en-US"/>
        </w:rPr>
        <w:t xml:space="preserve">ESTIMATED DURATION OF ORAL ARGUMENT </w:t>
      </w:r>
    </w:p>
    <w:p w14:paraId="48F0B226" w14:textId="1042A75E" w:rsidR="00093310" w:rsidRDefault="00093310" w:rsidP="00587384">
      <w:pPr>
        <w:pStyle w:val="ListParagraph"/>
        <w:numPr>
          <w:ilvl w:val="0"/>
          <w:numId w:val="1"/>
        </w:numPr>
        <w:spacing w:before="240" w:after="120"/>
        <w:ind w:left="720" w:hanging="720"/>
        <w:rPr>
          <w:rFonts w:ascii="Arial" w:hAnsi="Arial" w:cs="Arial"/>
          <w:sz w:val="26"/>
          <w:szCs w:val="28"/>
          <w:lang w:val="en-US"/>
        </w:rPr>
      </w:pPr>
      <w:r w:rsidRPr="00587384">
        <w:rPr>
          <w:rFonts w:ascii="Arial" w:hAnsi="Arial" w:cs="Arial"/>
          <w:sz w:val="26"/>
          <w:szCs w:val="28"/>
          <w:lang w:val="en-US"/>
        </w:rPr>
        <w:t>The Commission</w:t>
      </w:r>
      <w:r w:rsidR="00851276" w:rsidRPr="00587384">
        <w:rPr>
          <w:rFonts w:ascii="Arial" w:hAnsi="Arial" w:cs="Arial"/>
          <w:sz w:val="26"/>
          <w:szCs w:val="28"/>
          <w:lang w:val="en-US"/>
        </w:rPr>
        <w:t xml:space="preserve">’s practice </w:t>
      </w:r>
      <w:proofErr w:type="gramStart"/>
      <w:r w:rsidR="00851276" w:rsidRPr="00587384">
        <w:rPr>
          <w:rFonts w:ascii="Arial" w:hAnsi="Arial" w:cs="Arial"/>
          <w:sz w:val="26"/>
          <w:szCs w:val="28"/>
          <w:lang w:val="en-US"/>
        </w:rPr>
        <w:t>note</w:t>
      </w:r>
      <w:proofErr w:type="gramEnd"/>
      <w:r w:rsidR="00851276" w:rsidRPr="00587384">
        <w:rPr>
          <w:rFonts w:ascii="Arial" w:hAnsi="Arial" w:cs="Arial"/>
          <w:sz w:val="26"/>
          <w:szCs w:val="28"/>
          <w:lang w:val="en-US"/>
        </w:rPr>
        <w:t xml:space="preserve"> records </w:t>
      </w:r>
      <w:r w:rsidRPr="00587384">
        <w:rPr>
          <w:rFonts w:ascii="Arial" w:hAnsi="Arial" w:cs="Arial"/>
          <w:sz w:val="26"/>
          <w:szCs w:val="28"/>
          <w:lang w:val="en-US"/>
        </w:rPr>
        <w:t>that three hours would be required for oral argument.  We agree with this estimate, and respectfully propose that the time for oral argument be divided equally as follows:</w:t>
      </w:r>
    </w:p>
    <w:p w14:paraId="10E4E78B" w14:textId="77777777" w:rsidR="00695328" w:rsidRPr="00587384" w:rsidRDefault="00695328" w:rsidP="00695328">
      <w:pPr>
        <w:pStyle w:val="ListParagraph"/>
        <w:spacing w:before="240" w:after="120" w:line="276" w:lineRule="auto"/>
        <w:rPr>
          <w:rFonts w:ascii="Arial" w:hAnsi="Arial" w:cs="Arial"/>
          <w:sz w:val="26"/>
          <w:szCs w:val="28"/>
          <w:lang w:val="en-US"/>
        </w:rPr>
      </w:pPr>
    </w:p>
    <w:p w14:paraId="01F5D97C" w14:textId="00FB9FCA" w:rsidR="00093310" w:rsidRDefault="00093310" w:rsidP="00587384">
      <w:pPr>
        <w:pStyle w:val="ListParagraph"/>
        <w:numPr>
          <w:ilvl w:val="1"/>
          <w:numId w:val="1"/>
        </w:numPr>
        <w:spacing w:before="240" w:after="120"/>
        <w:ind w:left="1701" w:hanging="992"/>
        <w:rPr>
          <w:rFonts w:ascii="Arial" w:hAnsi="Arial" w:cs="Arial"/>
          <w:sz w:val="26"/>
          <w:szCs w:val="28"/>
          <w:lang w:val="en-US"/>
        </w:rPr>
      </w:pPr>
      <w:r w:rsidRPr="00587384">
        <w:rPr>
          <w:rFonts w:ascii="Arial" w:hAnsi="Arial" w:cs="Arial"/>
          <w:sz w:val="26"/>
          <w:szCs w:val="28"/>
          <w:lang w:val="en-US"/>
        </w:rPr>
        <w:t xml:space="preserve">1 hour and 20 minutes for the applicant’s </w:t>
      </w:r>
      <w:r w:rsidR="00402E64" w:rsidRPr="00587384">
        <w:rPr>
          <w:rFonts w:ascii="Arial" w:hAnsi="Arial" w:cs="Arial"/>
          <w:sz w:val="26"/>
          <w:szCs w:val="28"/>
          <w:lang w:val="en-US"/>
        </w:rPr>
        <w:t>oral argument</w:t>
      </w:r>
      <w:r w:rsidR="00695328">
        <w:rPr>
          <w:rFonts w:ascii="Arial" w:hAnsi="Arial" w:cs="Arial"/>
          <w:sz w:val="26"/>
          <w:szCs w:val="28"/>
          <w:lang w:val="en-US"/>
        </w:rPr>
        <w:t>;</w:t>
      </w:r>
    </w:p>
    <w:p w14:paraId="4AEEFDB5" w14:textId="77777777" w:rsidR="00587384" w:rsidRPr="00587384" w:rsidRDefault="00587384" w:rsidP="00587384">
      <w:pPr>
        <w:pStyle w:val="ListParagraph"/>
        <w:spacing w:before="240" w:after="120" w:line="276" w:lineRule="auto"/>
        <w:ind w:left="1701"/>
        <w:rPr>
          <w:rFonts w:ascii="Arial" w:hAnsi="Arial" w:cs="Arial"/>
          <w:sz w:val="26"/>
          <w:szCs w:val="28"/>
          <w:lang w:val="en-US"/>
        </w:rPr>
      </w:pPr>
    </w:p>
    <w:p w14:paraId="5B2A3D5F" w14:textId="502DB32B" w:rsidR="00402E64" w:rsidRDefault="00402E64" w:rsidP="00587384">
      <w:pPr>
        <w:pStyle w:val="ListParagraph"/>
        <w:numPr>
          <w:ilvl w:val="1"/>
          <w:numId w:val="1"/>
        </w:numPr>
        <w:spacing w:before="240" w:after="120"/>
        <w:ind w:left="1701" w:hanging="992"/>
        <w:rPr>
          <w:rFonts w:ascii="Arial" w:hAnsi="Arial" w:cs="Arial"/>
          <w:sz w:val="26"/>
          <w:szCs w:val="28"/>
          <w:lang w:val="en-US"/>
        </w:rPr>
      </w:pPr>
      <w:r w:rsidRPr="00587384">
        <w:rPr>
          <w:rFonts w:ascii="Arial" w:hAnsi="Arial" w:cs="Arial"/>
          <w:sz w:val="26"/>
          <w:szCs w:val="28"/>
          <w:lang w:val="en-US"/>
        </w:rPr>
        <w:t>1 hour and 30 minutes for the respondent’s oral argument</w:t>
      </w:r>
      <w:r w:rsidR="00695328">
        <w:rPr>
          <w:rFonts w:ascii="Arial" w:hAnsi="Arial" w:cs="Arial"/>
          <w:sz w:val="26"/>
          <w:szCs w:val="28"/>
          <w:lang w:val="en-US"/>
        </w:rPr>
        <w:t>;</w:t>
      </w:r>
    </w:p>
    <w:p w14:paraId="3EE415A3" w14:textId="77777777" w:rsidR="00587384" w:rsidRPr="00587384" w:rsidRDefault="00587384" w:rsidP="00587384">
      <w:pPr>
        <w:pStyle w:val="ListParagraph"/>
        <w:spacing w:line="276" w:lineRule="auto"/>
        <w:rPr>
          <w:rFonts w:ascii="Arial" w:hAnsi="Arial" w:cs="Arial"/>
          <w:sz w:val="26"/>
          <w:szCs w:val="28"/>
          <w:lang w:val="en-US"/>
        </w:rPr>
      </w:pPr>
    </w:p>
    <w:p w14:paraId="36AB53EB" w14:textId="043F479A" w:rsidR="00402E64" w:rsidRPr="00587384" w:rsidRDefault="00402E64" w:rsidP="00587384">
      <w:pPr>
        <w:pStyle w:val="ListParagraph"/>
        <w:numPr>
          <w:ilvl w:val="1"/>
          <w:numId w:val="1"/>
        </w:numPr>
        <w:spacing w:before="240" w:after="120"/>
        <w:ind w:left="1701" w:hanging="992"/>
        <w:rPr>
          <w:rFonts w:ascii="Arial" w:hAnsi="Arial" w:cs="Arial"/>
          <w:sz w:val="26"/>
          <w:szCs w:val="28"/>
          <w:lang w:val="en-US"/>
        </w:rPr>
      </w:pPr>
      <w:r w:rsidRPr="00587384">
        <w:rPr>
          <w:rFonts w:ascii="Arial" w:hAnsi="Arial" w:cs="Arial"/>
          <w:sz w:val="26"/>
          <w:szCs w:val="28"/>
          <w:lang w:val="en-US"/>
        </w:rPr>
        <w:t>15 minutes for the applicant’s reply</w:t>
      </w:r>
      <w:r w:rsidR="00695328">
        <w:rPr>
          <w:rFonts w:ascii="Arial" w:hAnsi="Arial" w:cs="Arial"/>
          <w:sz w:val="26"/>
          <w:szCs w:val="28"/>
          <w:lang w:val="en-US"/>
        </w:rPr>
        <w:t>.</w:t>
      </w:r>
    </w:p>
    <w:p w14:paraId="39A2E355" w14:textId="5132B39F" w:rsidR="00093310" w:rsidRPr="00587384" w:rsidRDefault="00093310" w:rsidP="00587384">
      <w:pPr>
        <w:spacing w:before="240" w:after="120" w:line="480" w:lineRule="auto"/>
        <w:rPr>
          <w:rFonts w:ascii="Arial" w:hAnsi="Arial" w:cs="Arial"/>
          <w:sz w:val="26"/>
          <w:szCs w:val="28"/>
        </w:rPr>
      </w:pPr>
    </w:p>
    <w:p w14:paraId="2121B2BB" w14:textId="77777777" w:rsidR="00154B2E" w:rsidRPr="00587384" w:rsidRDefault="00154B2E" w:rsidP="00154B2E">
      <w:pPr>
        <w:spacing w:line="240" w:lineRule="auto"/>
        <w:rPr>
          <w:rFonts w:ascii="Arial" w:hAnsi="Arial" w:cs="Arial"/>
          <w:sz w:val="26"/>
          <w:szCs w:val="28"/>
        </w:rPr>
      </w:pPr>
    </w:p>
    <w:p w14:paraId="75E510C1" w14:textId="77777777" w:rsidR="003B3C9F" w:rsidRPr="00587384" w:rsidRDefault="003B3C9F" w:rsidP="003B3C9F">
      <w:pPr>
        <w:keepNext/>
        <w:spacing w:after="0" w:line="480" w:lineRule="auto"/>
        <w:ind w:left="5040" w:firstLine="720"/>
        <w:rPr>
          <w:rFonts w:ascii="Arial" w:hAnsi="Arial" w:cs="Arial"/>
          <w:b/>
          <w:bCs/>
          <w:sz w:val="26"/>
          <w:szCs w:val="28"/>
        </w:rPr>
      </w:pPr>
      <w:r w:rsidRPr="00587384">
        <w:rPr>
          <w:rFonts w:ascii="Arial" w:hAnsi="Arial" w:cs="Arial"/>
          <w:b/>
          <w:sz w:val="26"/>
          <w:szCs w:val="28"/>
        </w:rPr>
        <w:t>Michelle Norton SC</w:t>
      </w:r>
    </w:p>
    <w:p w14:paraId="6FC0BB2C" w14:textId="77777777" w:rsidR="003B3C9F" w:rsidRPr="00587384" w:rsidRDefault="003B3C9F" w:rsidP="003B3C9F">
      <w:pPr>
        <w:keepNext/>
        <w:spacing w:after="0" w:line="480" w:lineRule="auto"/>
        <w:ind w:left="5040" w:firstLine="720"/>
        <w:rPr>
          <w:rFonts w:ascii="Arial" w:hAnsi="Arial" w:cs="Arial"/>
          <w:b/>
          <w:bCs/>
          <w:sz w:val="26"/>
          <w:szCs w:val="28"/>
        </w:rPr>
      </w:pPr>
      <w:r w:rsidRPr="00587384">
        <w:rPr>
          <w:rFonts w:ascii="Arial" w:hAnsi="Arial" w:cs="Arial"/>
          <w:b/>
          <w:bCs/>
          <w:sz w:val="26"/>
          <w:szCs w:val="28"/>
        </w:rPr>
        <w:t>Frank Pelser</w:t>
      </w:r>
    </w:p>
    <w:p w14:paraId="4FD96B2A" w14:textId="77777777" w:rsidR="003B3C9F" w:rsidRPr="00587384" w:rsidRDefault="003B3C9F" w:rsidP="003B3C9F">
      <w:pPr>
        <w:keepNext/>
        <w:spacing w:line="480" w:lineRule="auto"/>
        <w:ind w:left="5760"/>
        <w:rPr>
          <w:rFonts w:ascii="Arial" w:hAnsi="Arial" w:cs="Arial"/>
          <w:b/>
          <w:bCs/>
          <w:sz w:val="26"/>
          <w:szCs w:val="28"/>
        </w:rPr>
      </w:pPr>
      <w:proofErr w:type="spellStart"/>
      <w:r w:rsidRPr="00587384">
        <w:rPr>
          <w:rFonts w:ascii="Arial" w:hAnsi="Arial" w:cs="Arial"/>
          <w:b/>
          <w:bCs/>
          <w:sz w:val="26"/>
          <w:szCs w:val="28"/>
          <w:lang w:val="en-US" w:eastAsia="en-ZA"/>
        </w:rPr>
        <w:t>Ntwanano</w:t>
      </w:r>
      <w:proofErr w:type="spellEnd"/>
      <w:r w:rsidRPr="00587384">
        <w:rPr>
          <w:rFonts w:ascii="Arial" w:hAnsi="Arial" w:cs="Arial"/>
          <w:b/>
          <w:bCs/>
          <w:sz w:val="26"/>
          <w:szCs w:val="28"/>
          <w:lang w:val="en-US" w:eastAsia="en-ZA"/>
        </w:rPr>
        <w:t xml:space="preserve"> </w:t>
      </w:r>
      <w:proofErr w:type="spellStart"/>
      <w:r w:rsidRPr="00587384">
        <w:rPr>
          <w:rFonts w:ascii="Arial" w:hAnsi="Arial" w:cs="Arial"/>
          <w:b/>
          <w:bCs/>
          <w:sz w:val="26"/>
          <w:szCs w:val="28"/>
          <w:lang w:val="en-US" w:eastAsia="en-ZA"/>
        </w:rPr>
        <w:t>Mashava</w:t>
      </w:r>
      <w:proofErr w:type="spellEnd"/>
    </w:p>
    <w:p w14:paraId="62F0FE8D" w14:textId="77777777" w:rsidR="003B3C9F" w:rsidRPr="00587384" w:rsidRDefault="003B3C9F" w:rsidP="003B3C9F">
      <w:pPr>
        <w:keepNext/>
        <w:spacing w:after="0" w:line="240" w:lineRule="auto"/>
        <w:ind w:left="5760"/>
        <w:rPr>
          <w:rFonts w:ascii="Arial" w:hAnsi="Arial" w:cs="Arial"/>
          <w:sz w:val="26"/>
          <w:szCs w:val="28"/>
        </w:rPr>
      </w:pPr>
      <w:r w:rsidRPr="00587384">
        <w:rPr>
          <w:rFonts w:ascii="Arial" w:hAnsi="Arial" w:cs="Arial"/>
          <w:b/>
          <w:bCs/>
          <w:sz w:val="26"/>
          <w:szCs w:val="28"/>
        </w:rPr>
        <w:t>Counsel for the respondent</w:t>
      </w:r>
    </w:p>
    <w:p w14:paraId="52624E53" w14:textId="77777777" w:rsidR="003B3C9F" w:rsidRPr="00587384" w:rsidRDefault="003B3C9F" w:rsidP="003B3C9F">
      <w:pPr>
        <w:pStyle w:val="ListParagraph"/>
        <w:keepNext/>
        <w:spacing w:line="276" w:lineRule="auto"/>
        <w:rPr>
          <w:rFonts w:ascii="Arial" w:hAnsi="Arial" w:cs="Arial"/>
          <w:sz w:val="26"/>
          <w:szCs w:val="28"/>
        </w:rPr>
      </w:pPr>
    </w:p>
    <w:p w14:paraId="20639D99" w14:textId="77777777" w:rsidR="003B3C9F" w:rsidRPr="00587384" w:rsidRDefault="003B3C9F" w:rsidP="003B3C9F">
      <w:pPr>
        <w:pStyle w:val="ListParagraph"/>
        <w:keepNext/>
        <w:spacing w:line="360" w:lineRule="auto"/>
        <w:rPr>
          <w:rFonts w:ascii="Arial" w:hAnsi="Arial" w:cs="Arial"/>
          <w:sz w:val="26"/>
          <w:szCs w:val="28"/>
        </w:rPr>
      </w:pPr>
      <w:r w:rsidRPr="00587384">
        <w:rPr>
          <w:rFonts w:ascii="Arial" w:hAnsi="Arial" w:cs="Arial"/>
          <w:sz w:val="26"/>
          <w:szCs w:val="28"/>
        </w:rPr>
        <w:tab/>
      </w:r>
      <w:r w:rsidRPr="00587384">
        <w:rPr>
          <w:rFonts w:ascii="Arial" w:hAnsi="Arial" w:cs="Arial"/>
          <w:sz w:val="26"/>
          <w:szCs w:val="28"/>
        </w:rPr>
        <w:tab/>
      </w:r>
      <w:r w:rsidRPr="00587384">
        <w:rPr>
          <w:rFonts w:ascii="Arial" w:hAnsi="Arial" w:cs="Arial"/>
          <w:sz w:val="26"/>
          <w:szCs w:val="28"/>
        </w:rPr>
        <w:tab/>
      </w:r>
      <w:r w:rsidRPr="00587384">
        <w:rPr>
          <w:rFonts w:ascii="Arial" w:hAnsi="Arial" w:cs="Arial"/>
          <w:sz w:val="26"/>
          <w:szCs w:val="28"/>
        </w:rPr>
        <w:tab/>
      </w:r>
      <w:r w:rsidRPr="00587384">
        <w:rPr>
          <w:rFonts w:ascii="Arial" w:hAnsi="Arial" w:cs="Arial"/>
          <w:sz w:val="26"/>
          <w:szCs w:val="28"/>
        </w:rPr>
        <w:tab/>
      </w:r>
      <w:r w:rsidRPr="00587384">
        <w:rPr>
          <w:rFonts w:ascii="Arial" w:hAnsi="Arial" w:cs="Arial"/>
          <w:sz w:val="26"/>
          <w:szCs w:val="28"/>
        </w:rPr>
        <w:tab/>
      </w:r>
      <w:r w:rsidRPr="00587384">
        <w:rPr>
          <w:rFonts w:ascii="Arial" w:hAnsi="Arial" w:cs="Arial"/>
          <w:sz w:val="26"/>
          <w:szCs w:val="28"/>
        </w:rPr>
        <w:tab/>
        <w:t>Chambers</w:t>
      </w:r>
    </w:p>
    <w:p w14:paraId="28A1A916" w14:textId="77777777" w:rsidR="003B3C9F" w:rsidRPr="00587384" w:rsidRDefault="003B3C9F" w:rsidP="003B3C9F">
      <w:pPr>
        <w:pStyle w:val="ListParagraph"/>
        <w:keepNext/>
        <w:spacing w:line="360" w:lineRule="auto"/>
        <w:rPr>
          <w:rFonts w:ascii="Arial" w:hAnsi="Arial" w:cs="Arial"/>
          <w:sz w:val="26"/>
          <w:szCs w:val="28"/>
        </w:rPr>
      </w:pPr>
      <w:r w:rsidRPr="00587384">
        <w:rPr>
          <w:rFonts w:ascii="Arial" w:hAnsi="Arial" w:cs="Arial"/>
          <w:sz w:val="26"/>
          <w:szCs w:val="28"/>
        </w:rPr>
        <w:tab/>
      </w:r>
      <w:r w:rsidRPr="00587384">
        <w:rPr>
          <w:rFonts w:ascii="Arial" w:hAnsi="Arial" w:cs="Arial"/>
          <w:sz w:val="26"/>
          <w:szCs w:val="28"/>
        </w:rPr>
        <w:tab/>
      </w:r>
      <w:r w:rsidRPr="00587384">
        <w:rPr>
          <w:rFonts w:ascii="Arial" w:hAnsi="Arial" w:cs="Arial"/>
          <w:sz w:val="26"/>
          <w:szCs w:val="28"/>
        </w:rPr>
        <w:tab/>
      </w:r>
      <w:r w:rsidRPr="00587384">
        <w:rPr>
          <w:rFonts w:ascii="Arial" w:hAnsi="Arial" w:cs="Arial"/>
          <w:sz w:val="26"/>
          <w:szCs w:val="28"/>
        </w:rPr>
        <w:tab/>
      </w:r>
      <w:r w:rsidRPr="00587384">
        <w:rPr>
          <w:rFonts w:ascii="Arial" w:hAnsi="Arial" w:cs="Arial"/>
          <w:sz w:val="26"/>
          <w:szCs w:val="28"/>
        </w:rPr>
        <w:tab/>
      </w:r>
      <w:r w:rsidRPr="00587384">
        <w:rPr>
          <w:rFonts w:ascii="Arial" w:hAnsi="Arial" w:cs="Arial"/>
          <w:sz w:val="26"/>
          <w:szCs w:val="28"/>
        </w:rPr>
        <w:tab/>
      </w:r>
      <w:r w:rsidRPr="00587384">
        <w:rPr>
          <w:rFonts w:ascii="Arial" w:hAnsi="Arial" w:cs="Arial"/>
          <w:sz w:val="26"/>
          <w:szCs w:val="28"/>
        </w:rPr>
        <w:tab/>
        <w:t>Cape Town</w:t>
      </w:r>
    </w:p>
    <w:p w14:paraId="5AF9DC29" w14:textId="29EDC513" w:rsidR="003B3C9F" w:rsidRPr="00587384" w:rsidRDefault="003B3C9F" w:rsidP="003B3C9F">
      <w:pPr>
        <w:pStyle w:val="ListParagraph"/>
        <w:keepNext/>
        <w:spacing w:line="360" w:lineRule="auto"/>
        <w:rPr>
          <w:rFonts w:ascii="Arial" w:hAnsi="Arial" w:cs="Arial"/>
          <w:sz w:val="26"/>
          <w:szCs w:val="28"/>
        </w:rPr>
      </w:pPr>
      <w:r w:rsidRPr="00587384">
        <w:rPr>
          <w:rFonts w:ascii="Arial" w:hAnsi="Arial" w:cs="Arial"/>
          <w:sz w:val="26"/>
          <w:szCs w:val="28"/>
        </w:rPr>
        <w:tab/>
      </w:r>
      <w:r w:rsidRPr="00587384">
        <w:rPr>
          <w:rFonts w:ascii="Arial" w:hAnsi="Arial" w:cs="Arial"/>
          <w:sz w:val="26"/>
          <w:szCs w:val="28"/>
        </w:rPr>
        <w:tab/>
      </w:r>
      <w:r w:rsidRPr="00587384">
        <w:rPr>
          <w:rFonts w:ascii="Arial" w:hAnsi="Arial" w:cs="Arial"/>
          <w:sz w:val="26"/>
          <w:szCs w:val="28"/>
        </w:rPr>
        <w:tab/>
      </w:r>
      <w:r w:rsidRPr="00587384">
        <w:rPr>
          <w:rFonts w:ascii="Arial" w:hAnsi="Arial" w:cs="Arial"/>
          <w:sz w:val="26"/>
          <w:szCs w:val="28"/>
        </w:rPr>
        <w:tab/>
      </w:r>
      <w:r w:rsidRPr="00587384">
        <w:rPr>
          <w:rFonts w:ascii="Arial" w:hAnsi="Arial" w:cs="Arial"/>
          <w:sz w:val="26"/>
          <w:szCs w:val="28"/>
        </w:rPr>
        <w:tab/>
      </w:r>
      <w:r w:rsidRPr="00587384">
        <w:rPr>
          <w:rFonts w:ascii="Arial" w:hAnsi="Arial" w:cs="Arial"/>
          <w:sz w:val="26"/>
          <w:szCs w:val="28"/>
        </w:rPr>
        <w:tab/>
      </w:r>
      <w:r w:rsidRPr="00587384">
        <w:rPr>
          <w:rFonts w:ascii="Arial" w:hAnsi="Arial" w:cs="Arial"/>
          <w:sz w:val="26"/>
          <w:szCs w:val="28"/>
        </w:rPr>
        <w:tab/>
        <w:t>20 January 2020</w:t>
      </w:r>
    </w:p>
    <w:p w14:paraId="6D67BAFD" w14:textId="77777777" w:rsidR="00587384" w:rsidRPr="00587384" w:rsidRDefault="00587384">
      <w:pPr>
        <w:pStyle w:val="ListParagraph"/>
        <w:keepNext/>
        <w:spacing w:line="360" w:lineRule="auto"/>
        <w:rPr>
          <w:rFonts w:ascii="Arial" w:hAnsi="Arial" w:cs="Arial"/>
          <w:sz w:val="26"/>
          <w:szCs w:val="28"/>
        </w:rPr>
      </w:pPr>
    </w:p>
    <w:sectPr w:rsidR="00587384" w:rsidRPr="0058738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vantGarde Md BT">
    <w:altName w:val="Century Gothic"/>
    <w:charset w:val="00"/>
    <w:family w:val="swiss"/>
    <w:pitch w:val="variable"/>
    <w:sig w:usb0="00000001" w:usb1="00000000" w:usb2="00000000" w:usb3="00000000" w:csb0="0000001B"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ABC4AB4"/>
    <w:multiLevelType w:val="multilevel"/>
    <w:tmpl w:val="F6002332"/>
    <w:lvl w:ilvl="0">
      <w:start w:val="1"/>
      <w:numFmt w:val="decimal"/>
      <w:lvlText w:val="%1."/>
      <w:lvlJc w:val="left"/>
      <w:pPr>
        <w:ind w:left="360" w:hanging="360"/>
      </w:pPr>
      <w:rPr>
        <w:b w:val="0"/>
        <w:bCs w:val="0"/>
        <w:i w:val="0"/>
        <w:i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1"/>
  <w:hideSpellingErrors/>
  <w:hideGrammaticalError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3310"/>
    <w:rsid w:val="00093310"/>
    <w:rsid w:val="000B720F"/>
    <w:rsid w:val="000E57D0"/>
    <w:rsid w:val="0015111C"/>
    <w:rsid w:val="00154B2E"/>
    <w:rsid w:val="00171668"/>
    <w:rsid w:val="00213392"/>
    <w:rsid w:val="00342FF1"/>
    <w:rsid w:val="003B3C9F"/>
    <w:rsid w:val="00402E64"/>
    <w:rsid w:val="004B181A"/>
    <w:rsid w:val="00540113"/>
    <w:rsid w:val="00587384"/>
    <w:rsid w:val="00695328"/>
    <w:rsid w:val="006D1678"/>
    <w:rsid w:val="007C38ED"/>
    <w:rsid w:val="007D4FB7"/>
    <w:rsid w:val="00851276"/>
    <w:rsid w:val="00BE4FEC"/>
    <w:rsid w:val="00C712A0"/>
    <w:rsid w:val="00D914C7"/>
    <w:rsid w:val="00DF0969"/>
    <w:rsid w:val="00DF3D7D"/>
    <w:rsid w:val="00EA6911"/>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0AFE67"/>
  <w15:docId w15:val="{4EFD2918-D29C-4758-B868-2EE832421F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3310"/>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ld">
    <w:name w:val="Bold"/>
    <w:rsid w:val="00093310"/>
    <w:rPr>
      <w:rFonts w:ascii="AvantGarde Md BT" w:hAnsi="AvantGarde Md BT" w:hint="default"/>
      <w:b/>
      <w:bCs w:val="0"/>
      <w:noProof w:val="0"/>
      <w:spacing w:val="24"/>
      <w:w w:val="100"/>
      <w:position w:val="0"/>
      <w:sz w:val="18"/>
      <w:lang w:val="en-GB"/>
    </w:rPr>
  </w:style>
  <w:style w:type="paragraph" w:styleId="ListParagraph">
    <w:name w:val="List Paragraph"/>
    <w:basedOn w:val="Normal"/>
    <w:uiPriority w:val="34"/>
    <w:qFormat/>
    <w:rsid w:val="00093310"/>
    <w:pPr>
      <w:spacing w:after="0" w:line="480" w:lineRule="auto"/>
      <w:ind w:left="720"/>
      <w:contextualSpacing/>
      <w:jc w:val="both"/>
    </w:pPr>
    <w:rPr>
      <w:sz w:val="24"/>
      <w:szCs w:val="24"/>
    </w:rPr>
  </w:style>
  <w:style w:type="paragraph" w:styleId="NormalWeb">
    <w:name w:val="Normal (Web)"/>
    <w:basedOn w:val="Normal"/>
    <w:uiPriority w:val="99"/>
    <w:unhideWhenUsed/>
    <w:rsid w:val="0009331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FootnoteText">
    <w:name w:val="footnote text"/>
    <w:aliases w:val=" Char, Char Char Char"/>
    <w:basedOn w:val="Normal"/>
    <w:link w:val="FootnoteTextChar"/>
    <w:uiPriority w:val="99"/>
    <w:unhideWhenUsed/>
    <w:rsid w:val="00093310"/>
    <w:pPr>
      <w:spacing w:after="0" w:line="240" w:lineRule="auto"/>
    </w:pPr>
    <w:rPr>
      <w:sz w:val="20"/>
      <w:szCs w:val="20"/>
    </w:rPr>
  </w:style>
  <w:style w:type="character" w:customStyle="1" w:styleId="FootnoteTextChar">
    <w:name w:val="Footnote Text Char"/>
    <w:aliases w:val=" Char Char, Char Char Char Char"/>
    <w:basedOn w:val="DefaultParagraphFont"/>
    <w:link w:val="FootnoteText"/>
    <w:uiPriority w:val="99"/>
    <w:rsid w:val="00093310"/>
    <w:rPr>
      <w:sz w:val="20"/>
      <w:szCs w:val="20"/>
    </w:rPr>
  </w:style>
  <w:style w:type="paragraph" w:styleId="BalloonText">
    <w:name w:val="Balloon Text"/>
    <w:basedOn w:val="Normal"/>
    <w:link w:val="BalloonTextChar"/>
    <w:uiPriority w:val="99"/>
    <w:semiHidden/>
    <w:unhideWhenUsed/>
    <w:rsid w:val="003B3C9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B3C9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984</Words>
  <Characters>5614</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dc:creator>
  <cp:lastModifiedBy>Microsoft</cp:lastModifiedBy>
  <cp:revision>3</cp:revision>
  <dcterms:created xsi:type="dcterms:W3CDTF">2020-01-17T15:30:00Z</dcterms:created>
  <dcterms:modified xsi:type="dcterms:W3CDTF">2020-01-17T15:30:00Z</dcterms:modified>
</cp:coreProperties>
</file>