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DD03E9" w14:textId="77777777" w:rsidR="00C07AFD" w:rsidRPr="00DF4154" w:rsidRDefault="00C07AFD" w:rsidP="00D73CF8">
      <w:pPr>
        <w:spacing w:after="0" w:line="240" w:lineRule="auto"/>
        <w:jc w:val="center"/>
        <w:rPr>
          <w:rStyle w:val="Bold"/>
          <w:rFonts w:ascii="Arial" w:hAnsi="Arial" w:cs="Arial"/>
          <w:sz w:val="26"/>
          <w:szCs w:val="28"/>
        </w:rPr>
      </w:pPr>
      <w:bookmarkStart w:id="0" w:name="_Hlk498891029"/>
      <w:bookmarkStart w:id="1" w:name="_Hlk530856625"/>
      <w:r w:rsidRPr="00DF4154">
        <w:rPr>
          <w:rStyle w:val="Bold"/>
          <w:rFonts w:ascii="Arial" w:hAnsi="Arial" w:cs="Arial"/>
          <w:sz w:val="26"/>
          <w:szCs w:val="28"/>
        </w:rPr>
        <w:t>IN THE CONSTITUTIONAL COURT OF SOUTH AFRICA</w:t>
      </w:r>
    </w:p>
    <w:p w14:paraId="51EBF7E1" w14:textId="77777777" w:rsidR="00C07AFD" w:rsidRPr="00DF4154" w:rsidRDefault="00C07AFD" w:rsidP="00C07AFD">
      <w:pPr>
        <w:spacing w:after="0" w:line="360" w:lineRule="auto"/>
        <w:jc w:val="center"/>
        <w:rPr>
          <w:rStyle w:val="Bold"/>
          <w:rFonts w:ascii="Arial" w:hAnsi="Arial" w:cs="Arial"/>
          <w:sz w:val="26"/>
          <w:szCs w:val="28"/>
        </w:rPr>
      </w:pPr>
      <w:r w:rsidRPr="00DF4154">
        <w:rPr>
          <w:rStyle w:val="Bold"/>
          <w:rFonts w:ascii="Arial" w:hAnsi="Arial" w:cs="Arial"/>
          <w:sz w:val="26"/>
          <w:szCs w:val="28"/>
        </w:rPr>
        <w:t>(HELD AT BRAAMFONTEIN)</w:t>
      </w:r>
    </w:p>
    <w:p w14:paraId="649164DA" w14:textId="77777777" w:rsidR="00C07AFD" w:rsidRPr="00DF4154" w:rsidRDefault="00C07AFD" w:rsidP="00C07AFD">
      <w:pPr>
        <w:spacing w:after="0" w:line="240" w:lineRule="auto"/>
        <w:ind w:right="4"/>
        <w:jc w:val="right"/>
        <w:rPr>
          <w:rStyle w:val="Bold"/>
          <w:rFonts w:ascii="Arial" w:hAnsi="Arial" w:cs="Arial"/>
          <w:b w:val="0"/>
          <w:sz w:val="26"/>
          <w:szCs w:val="28"/>
        </w:rPr>
      </w:pPr>
    </w:p>
    <w:p w14:paraId="38D6F189" w14:textId="77777777" w:rsidR="00C07AFD" w:rsidRPr="00DF4154" w:rsidRDefault="00C07AFD" w:rsidP="00C07AFD">
      <w:pPr>
        <w:spacing w:after="0" w:line="240" w:lineRule="auto"/>
        <w:ind w:right="4"/>
        <w:jc w:val="right"/>
        <w:rPr>
          <w:rStyle w:val="Bold"/>
          <w:rFonts w:ascii="Arial" w:hAnsi="Arial" w:cs="Arial"/>
          <w:b w:val="0"/>
          <w:bCs/>
          <w:sz w:val="26"/>
          <w:szCs w:val="28"/>
        </w:rPr>
      </w:pPr>
    </w:p>
    <w:p w14:paraId="28FCF5A7" w14:textId="77777777" w:rsidR="00C07AFD" w:rsidRPr="00DF4154" w:rsidRDefault="00C07AFD" w:rsidP="00D73CF8">
      <w:pPr>
        <w:spacing w:after="0" w:line="240" w:lineRule="auto"/>
        <w:ind w:right="4"/>
        <w:jc w:val="right"/>
        <w:rPr>
          <w:rStyle w:val="Bold"/>
          <w:rFonts w:ascii="Arial" w:hAnsi="Arial" w:cs="Arial"/>
          <w:b w:val="0"/>
          <w:bCs/>
          <w:sz w:val="26"/>
          <w:szCs w:val="28"/>
        </w:rPr>
      </w:pPr>
      <w:r w:rsidRPr="00DF4154">
        <w:rPr>
          <w:rStyle w:val="Bold"/>
          <w:rFonts w:ascii="Arial" w:hAnsi="Arial" w:cs="Arial"/>
          <w:b w:val="0"/>
          <w:bCs/>
          <w:sz w:val="26"/>
          <w:szCs w:val="28"/>
        </w:rPr>
        <w:t>CCT Case no: 132019</w:t>
      </w:r>
    </w:p>
    <w:p w14:paraId="0B68DC31" w14:textId="77777777" w:rsidR="00C07AFD" w:rsidRPr="00DF4154" w:rsidRDefault="00C07AFD" w:rsidP="00C07AFD">
      <w:pPr>
        <w:spacing w:after="0" w:line="240" w:lineRule="auto"/>
        <w:ind w:right="4"/>
        <w:jc w:val="right"/>
        <w:rPr>
          <w:rStyle w:val="Bold"/>
          <w:rFonts w:ascii="Arial" w:hAnsi="Arial" w:cs="Arial"/>
          <w:b w:val="0"/>
          <w:bCs/>
          <w:sz w:val="26"/>
          <w:szCs w:val="28"/>
        </w:rPr>
      </w:pPr>
      <w:r w:rsidRPr="00DF4154">
        <w:rPr>
          <w:rStyle w:val="Bold"/>
          <w:rFonts w:ascii="Arial" w:hAnsi="Arial" w:cs="Arial"/>
          <w:b w:val="0"/>
          <w:bCs/>
          <w:sz w:val="26"/>
          <w:szCs w:val="28"/>
        </w:rPr>
        <w:t>CAC Case no: 167/CAC/JUL18</w:t>
      </w:r>
    </w:p>
    <w:p w14:paraId="50D3F314" w14:textId="77777777" w:rsidR="00C07AFD" w:rsidRPr="00DF4154" w:rsidRDefault="00C07AFD" w:rsidP="00C07AFD">
      <w:pPr>
        <w:spacing w:after="0" w:line="240" w:lineRule="auto"/>
        <w:rPr>
          <w:rStyle w:val="Bold"/>
          <w:rFonts w:ascii="Arial" w:hAnsi="Arial" w:cs="Arial"/>
          <w:b w:val="0"/>
          <w:bCs/>
          <w:sz w:val="26"/>
          <w:szCs w:val="28"/>
        </w:rPr>
      </w:pPr>
    </w:p>
    <w:p w14:paraId="6E2137B4" w14:textId="77777777" w:rsidR="00C07AFD" w:rsidRPr="00DF4154" w:rsidRDefault="00C07AFD" w:rsidP="00C07AFD">
      <w:pPr>
        <w:spacing w:after="0" w:line="240" w:lineRule="auto"/>
        <w:rPr>
          <w:rStyle w:val="Bold"/>
          <w:rFonts w:ascii="Arial" w:hAnsi="Arial" w:cs="Arial"/>
          <w:b w:val="0"/>
          <w:bCs/>
          <w:sz w:val="26"/>
          <w:szCs w:val="28"/>
        </w:rPr>
      </w:pPr>
    </w:p>
    <w:p w14:paraId="0B62F4BF" w14:textId="77777777" w:rsidR="00C07AFD" w:rsidRPr="00DF4154" w:rsidRDefault="00C07AFD" w:rsidP="00C07AFD">
      <w:pPr>
        <w:spacing w:after="0" w:line="240" w:lineRule="auto"/>
        <w:rPr>
          <w:rStyle w:val="Bold"/>
          <w:rFonts w:ascii="Arial" w:hAnsi="Arial" w:cs="Arial"/>
          <w:b w:val="0"/>
          <w:bCs/>
          <w:sz w:val="26"/>
          <w:szCs w:val="28"/>
        </w:rPr>
      </w:pPr>
    </w:p>
    <w:p w14:paraId="6E53FCB4" w14:textId="77777777" w:rsidR="00C07AFD" w:rsidRPr="00DF4154" w:rsidRDefault="00C07AFD" w:rsidP="00C07AFD">
      <w:pPr>
        <w:spacing w:after="0" w:line="240" w:lineRule="auto"/>
        <w:rPr>
          <w:rStyle w:val="Bold"/>
          <w:rFonts w:ascii="Arial" w:hAnsi="Arial" w:cs="Arial"/>
          <w:b w:val="0"/>
          <w:bCs/>
          <w:sz w:val="26"/>
          <w:szCs w:val="28"/>
        </w:rPr>
      </w:pPr>
      <w:r w:rsidRPr="00DF4154">
        <w:rPr>
          <w:rStyle w:val="Bold"/>
          <w:rFonts w:ascii="Arial" w:hAnsi="Arial" w:cs="Arial"/>
          <w:b w:val="0"/>
          <w:bCs/>
          <w:sz w:val="26"/>
          <w:szCs w:val="28"/>
        </w:rPr>
        <w:t>In the application for leave to appeal between:</w:t>
      </w:r>
    </w:p>
    <w:p w14:paraId="271283DF" w14:textId="77777777" w:rsidR="00C07AFD" w:rsidRPr="00DF4154" w:rsidRDefault="00C07AFD" w:rsidP="00C07AFD">
      <w:pPr>
        <w:spacing w:after="0" w:line="240" w:lineRule="auto"/>
        <w:rPr>
          <w:rStyle w:val="Bold"/>
          <w:rFonts w:ascii="Arial" w:hAnsi="Arial" w:cs="Arial"/>
          <w:sz w:val="26"/>
          <w:szCs w:val="28"/>
        </w:rPr>
      </w:pPr>
    </w:p>
    <w:p w14:paraId="0C59CCDE" w14:textId="77777777" w:rsidR="00C07AFD" w:rsidRPr="00DF4154" w:rsidRDefault="00C07AFD" w:rsidP="00C07AFD">
      <w:pPr>
        <w:spacing w:after="0" w:line="240" w:lineRule="auto"/>
        <w:rPr>
          <w:rStyle w:val="Bold"/>
          <w:rFonts w:ascii="Arial" w:hAnsi="Arial" w:cs="Arial"/>
          <w:sz w:val="26"/>
          <w:szCs w:val="28"/>
        </w:rPr>
      </w:pPr>
    </w:p>
    <w:p w14:paraId="6C1525BB" w14:textId="77777777" w:rsidR="00C07AFD" w:rsidRPr="00DF4154" w:rsidRDefault="00C07AFD" w:rsidP="00C07AFD">
      <w:pPr>
        <w:spacing w:after="0" w:line="240" w:lineRule="auto"/>
        <w:rPr>
          <w:rStyle w:val="Bold"/>
          <w:rFonts w:ascii="Arial" w:hAnsi="Arial" w:cs="Arial"/>
          <w:sz w:val="26"/>
          <w:szCs w:val="28"/>
        </w:rPr>
      </w:pPr>
    </w:p>
    <w:p w14:paraId="025562E9" w14:textId="77777777" w:rsidR="00C07AFD" w:rsidRPr="00DF4154" w:rsidRDefault="00C07AFD" w:rsidP="00C07AFD">
      <w:pPr>
        <w:spacing w:after="0" w:line="240" w:lineRule="auto"/>
        <w:rPr>
          <w:rStyle w:val="Bold"/>
          <w:rFonts w:ascii="Arial" w:hAnsi="Arial" w:cs="Arial"/>
          <w:sz w:val="26"/>
          <w:szCs w:val="28"/>
        </w:rPr>
      </w:pPr>
      <w:r w:rsidRPr="00DF4154">
        <w:rPr>
          <w:rStyle w:val="Bold"/>
          <w:rFonts w:ascii="Arial" w:hAnsi="Arial" w:cs="Arial"/>
          <w:sz w:val="26"/>
          <w:szCs w:val="28"/>
        </w:rPr>
        <w:t>COMPETITION COMMISSION</w:t>
      </w:r>
    </w:p>
    <w:p w14:paraId="20C02E62" w14:textId="7EFAA5DB" w:rsidR="00C07AFD" w:rsidRPr="00DF4154" w:rsidRDefault="00C07AFD" w:rsidP="00C07AFD">
      <w:pPr>
        <w:spacing w:after="0" w:line="240" w:lineRule="auto"/>
        <w:rPr>
          <w:rStyle w:val="Bold"/>
          <w:rFonts w:ascii="Arial" w:hAnsi="Arial" w:cs="Arial"/>
          <w:sz w:val="26"/>
          <w:szCs w:val="28"/>
        </w:rPr>
      </w:pPr>
      <w:r w:rsidRPr="00DF4154">
        <w:rPr>
          <w:rStyle w:val="Bold"/>
          <w:rFonts w:ascii="Arial" w:hAnsi="Arial" w:cs="Arial"/>
          <w:sz w:val="26"/>
          <w:szCs w:val="28"/>
        </w:rPr>
        <w:t>OF SOUTH AFRICA</w:t>
      </w:r>
      <w:r w:rsidRPr="00DF4154">
        <w:rPr>
          <w:rStyle w:val="Bold"/>
          <w:rFonts w:ascii="Arial" w:hAnsi="Arial" w:cs="Arial"/>
          <w:sz w:val="26"/>
          <w:szCs w:val="28"/>
        </w:rPr>
        <w:tab/>
      </w:r>
      <w:r w:rsidRPr="00DF4154">
        <w:rPr>
          <w:rStyle w:val="Bold"/>
          <w:rFonts w:ascii="Arial" w:hAnsi="Arial" w:cs="Arial"/>
          <w:sz w:val="26"/>
          <w:szCs w:val="28"/>
        </w:rPr>
        <w:tab/>
      </w:r>
      <w:r w:rsidRPr="00DF4154">
        <w:rPr>
          <w:rStyle w:val="Bold"/>
          <w:rFonts w:ascii="Arial" w:hAnsi="Arial" w:cs="Arial"/>
          <w:sz w:val="26"/>
          <w:szCs w:val="28"/>
        </w:rPr>
        <w:tab/>
      </w:r>
      <w:r w:rsidRPr="00DF4154">
        <w:rPr>
          <w:rStyle w:val="Bold"/>
          <w:rFonts w:ascii="Arial" w:hAnsi="Arial" w:cs="Arial"/>
          <w:sz w:val="26"/>
          <w:szCs w:val="28"/>
        </w:rPr>
        <w:tab/>
      </w:r>
      <w:r w:rsidRPr="00DF4154">
        <w:rPr>
          <w:rStyle w:val="Bold"/>
          <w:rFonts w:ascii="Arial" w:hAnsi="Arial" w:cs="Arial"/>
          <w:sz w:val="26"/>
          <w:szCs w:val="28"/>
        </w:rPr>
        <w:tab/>
      </w:r>
      <w:r w:rsidRPr="00DF4154">
        <w:rPr>
          <w:rStyle w:val="Bold"/>
          <w:rFonts w:ascii="Arial" w:hAnsi="Arial" w:cs="Arial"/>
          <w:sz w:val="26"/>
          <w:szCs w:val="28"/>
        </w:rPr>
        <w:tab/>
      </w:r>
      <w:r w:rsidR="00E3335F">
        <w:rPr>
          <w:rStyle w:val="Bold"/>
          <w:rFonts w:ascii="Arial" w:hAnsi="Arial" w:cs="Arial"/>
          <w:sz w:val="26"/>
          <w:szCs w:val="28"/>
        </w:rPr>
        <w:tab/>
      </w:r>
      <w:r w:rsidRPr="00DF4154">
        <w:rPr>
          <w:rStyle w:val="Bold"/>
          <w:rFonts w:ascii="Arial" w:hAnsi="Arial" w:cs="Arial"/>
          <w:b w:val="0"/>
          <w:bCs/>
          <w:sz w:val="26"/>
          <w:szCs w:val="28"/>
        </w:rPr>
        <w:t xml:space="preserve"> </w:t>
      </w:r>
      <w:r w:rsidR="00027CFF">
        <w:rPr>
          <w:rStyle w:val="Bold"/>
          <w:rFonts w:ascii="Arial" w:hAnsi="Arial" w:cs="Arial"/>
          <w:b w:val="0"/>
          <w:bCs/>
          <w:sz w:val="26"/>
          <w:szCs w:val="28"/>
        </w:rPr>
        <w:t xml:space="preserve">  </w:t>
      </w:r>
      <w:r w:rsidRPr="00DF4154">
        <w:rPr>
          <w:rStyle w:val="Bold"/>
          <w:rFonts w:ascii="Arial" w:hAnsi="Arial" w:cs="Arial"/>
          <w:b w:val="0"/>
          <w:bCs/>
          <w:sz w:val="26"/>
          <w:szCs w:val="28"/>
        </w:rPr>
        <w:t xml:space="preserve">      Applicant</w:t>
      </w:r>
    </w:p>
    <w:p w14:paraId="07C01FC1" w14:textId="77777777" w:rsidR="00C07AFD" w:rsidRPr="00DF4154" w:rsidRDefault="00C07AFD" w:rsidP="00C07AFD">
      <w:pPr>
        <w:spacing w:after="0" w:line="240" w:lineRule="auto"/>
        <w:rPr>
          <w:rFonts w:ascii="Arial" w:hAnsi="Arial" w:cs="Arial"/>
          <w:sz w:val="26"/>
          <w:szCs w:val="28"/>
        </w:rPr>
      </w:pPr>
    </w:p>
    <w:p w14:paraId="708ED16E" w14:textId="77777777" w:rsidR="00C07AFD" w:rsidRPr="00DF4154" w:rsidRDefault="00C07AFD" w:rsidP="00C07AFD">
      <w:pPr>
        <w:spacing w:after="0" w:line="240" w:lineRule="auto"/>
        <w:rPr>
          <w:rFonts w:ascii="Arial" w:hAnsi="Arial" w:cs="Arial"/>
          <w:sz w:val="26"/>
          <w:szCs w:val="28"/>
        </w:rPr>
      </w:pPr>
    </w:p>
    <w:p w14:paraId="32054A25" w14:textId="77777777" w:rsidR="00C07AFD" w:rsidRPr="00DF4154" w:rsidRDefault="00C07AFD" w:rsidP="00C07AFD">
      <w:pPr>
        <w:spacing w:after="0" w:line="240" w:lineRule="auto"/>
        <w:rPr>
          <w:rFonts w:ascii="Arial" w:hAnsi="Arial" w:cs="Arial"/>
          <w:sz w:val="26"/>
          <w:szCs w:val="28"/>
        </w:rPr>
      </w:pPr>
      <w:r w:rsidRPr="00DF4154">
        <w:rPr>
          <w:rFonts w:ascii="Arial" w:hAnsi="Arial" w:cs="Arial"/>
          <w:sz w:val="26"/>
          <w:szCs w:val="28"/>
        </w:rPr>
        <w:t>and</w:t>
      </w:r>
    </w:p>
    <w:p w14:paraId="0FFA378C" w14:textId="77777777" w:rsidR="00C07AFD" w:rsidRPr="00DF4154" w:rsidRDefault="00C07AFD" w:rsidP="00C07AFD">
      <w:pPr>
        <w:spacing w:after="0" w:line="240" w:lineRule="auto"/>
        <w:rPr>
          <w:rFonts w:ascii="Arial" w:hAnsi="Arial" w:cs="Arial"/>
          <w:sz w:val="26"/>
          <w:szCs w:val="28"/>
        </w:rPr>
      </w:pPr>
    </w:p>
    <w:p w14:paraId="0D31C1FD" w14:textId="77777777" w:rsidR="00C07AFD" w:rsidRPr="00DF4154" w:rsidRDefault="00C07AFD" w:rsidP="00C07AFD">
      <w:pPr>
        <w:spacing w:after="0" w:line="240" w:lineRule="auto"/>
        <w:rPr>
          <w:rFonts w:ascii="Arial" w:hAnsi="Arial" w:cs="Arial"/>
          <w:sz w:val="26"/>
          <w:szCs w:val="28"/>
        </w:rPr>
      </w:pPr>
    </w:p>
    <w:p w14:paraId="48EBCF5E" w14:textId="44805E87" w:rsidR="00C07AFD" w:rsidRPr="00DF4154" w:rsidRDefault="00C07AFD" w:rsidP="00C07AFD">
      <w:pPr>
        <w:spacing w:after="0" w:line="240" w:lineRule="auto"/>
        <w:rPr>
          <w:rStyle w:val="Bold"/>
          <w:rFonts w:ascii="Arial" w:hAnsi="Arial" w:cs="Arial"/>
          <w:b w:val="0"/>
          <w:sz w:val="26"/>
          <w:szCs w:val="28"/>
        </w:rPr>
      </w:pPr>
      <w:r w:rsidRPr="00DF4154">
        <w:rPr>
          <w:rStyle w:val="Bold"/>
          <w:rFonts w:ascii="Arial" w:hAnsi="Arial" w:cs="Arial"/>
          <w:sz w:val="26"/>
          <w:szCs w:val="28"/>
        </w:rPr>
        <w:t>PICKFORDS REMOVALS SA (PTY) LTD</w:t>
      </w:r>
      <w:r w:rsidRPr="00DF4154">
        <w:rPr>
          <w:rStyle w:val="Bold"/>
          <w:rFonts w:ascii="Arial" w:hAnsi="Arial" w:cs="Arial"/>
          <w:sz w:val="26"/>
          <w:szCs w:val="28"/>
        </w:rPr>
        <w:tab/>
      </w:r>
      <w:r w:rsidRPr="00DF4154">
        <w:rPr>
          <w:rStyle w:val="Bold"/>
          <w:rFonts w:ascii="Arial" w:hAnsi="Arial" w:cs="Arial"/>
          <w:sz w:val="26"/>
          <w:szCs w:val="28"/>
        </w:rPr>
        <w:tab/>
      </w:r>
      <w:r w:rsidR="00E3335F">
        <w:rPr>
          <w:rStyle w:val="Bold"/>
          <w:rFonts w:ascii="Arial" w:hAnsi="Arial" w:cs="Arial"/>
          <w:sz w:val="26"/>
          <w:szCs w:val="28"/>
        </w:rPr>
        <w:tab/>
      </w:r>
      <w:r w:rsidRPr="00DF4154">
        <w:rPr>
          <w:rStyle w:val="Bold"/>
          <w:rFonts w:ascii="Arial" w:hAnsi="Arial" w:cs="Arial"/>
          <w:b w:val="0"/>
          <w:bCs/>
          <w:sz w:val="26"/>
          <w:szCs w:val="28"/>
        </w:rPr>
        <w:t xml:space="preserve">   </w:t>
      </w:r>
      <w:r w:rsidR="00027CFF">
        <w:rPr>
          <w:rStyle w:val="Bold"/>
          <w:rFonts w:ascii="Arial" w:hAnsi="Arial" w:cs="Arial"/>
          <w:b w:val="0"/>
          <w:bCs/>
          <w:sz w:val="26"/>
          <w:szCs w:val="28"/>
        </w:rPr>
        <w:t xml:space="preserve"> </w:t>
      </w:r>
      <w:r w:rsidRPr="00DF4154">
        <w:rPr>
          <w:rStyle w:val="Bold"/>
          <w:rFonts w:ascii="Arial" w:hAnsi="Arial" w:cs="Arial"/>
          <w:b w:val="0"/>
          <w:bCs/>
          <w:sz w:val="26"/>
          <w:szCs w:val="28"/>
        </w:rPr>
        <w:t xml:space="preserve"> Respondent</w:t>
      </w:r>
    </w:p>
    <w:p w14:paraId="197F156E" w14:textId="77777777" w:rsidR="00C07AFD" w:rsidRPr="00DF4154" w:rsidRDefault="00C07AFD" w:rsidP="00C07AFD">
      <w:pPr>
        <w:pBdr>
          <w:bottom w:val="single" w:sz="12" w:space="1" w:color="auto"/>
        </w:pBdr>
        <w:spacing w:after="0" w:line="240" w:lineRule="auto"/>
        <w:jc w:val="both"/>
        <w:rPr>
          <w:rFonts w:ascii="Arial" w:hAnsi="Arial" w:cs="Arial"/>
          <w:sz w:val="26"/>
          <w:szCs w:val="28"/>
        </w:rPr>
      </w:pPr>
    </w:p>
    <w:p w14:paraId="3B65CCFE" w14:textId="77777777" w:rsidR="00C07AFD" w:rsidRPr="00DF4154" w:rsidRDefault="00C07AFD" w:rsidP="00C07AFD">
      <w:pPr>
        <w:pBdr>
          <w:bottom w:val="single" w:sz="12" w:space="1" w:color="auto"/>
        </w:pBdr>
        <w:spacing w:after="0" w:line="240" w:lineRule="auto"/>
        <w:jc w:val="both"/>
        <w:rPr>
          <w:rFonts w:ascii="Arial" w:hAnsi="Arial" w:cs="Arial"/>
          <w:sz w:val="26"/>
          <w:szCs w:val="28"/>
        </w:rPr>
      </w:pPr>
    </w:p>
    <w:p w14:paraId="4B75F04F" w14:textId="77777777" w:rsidR="00C07AFD" w:rsidRPr="00DF4154" w:rsidRDefault="00C07AFD" w:rsidP="00C07AFD">
      <w:pPr>
        <w:pBdr>
          <w:bottom w:val="single" w:sz="12" w:space="1" w:color="auto"/>
        </w:pBdr>
        <w:spacing w:after="0" w:line="240" w:lineRule="auto"/>
        <w:jc w:val="both"/>
        <w:rPr>
          <w:rFonts w:ascii="Arial" w:hAnsi="Arial" w:cs="Arial"/>
          <w:sz w:val="26"/>
          <w:szCs w:val="28"/>
        </w:rPr>
      </w:pPr>
    </w:p>
    <w:p w14:paraId="0690DDD8" w14:textId="77777777" w:rsidR="00C07AFD" w:rsidRPr="00DF4154" w:rsidRDefault="00C07AFD" w:rsidP="00C07AFD">
      <w:pPr>
        <w:pBdr>
          <w:bottom w:val="single" w:sz="12" w:space="1" w:color="auto"/>
        </w:pBdr>
        <w:spacing w:after="0" w:line="240" w:lineRule="auto"/>
        <w:jc w:val="both"/>
        <w:rPr>
          <w:rFonts w:ascii="Arial" w:hAnsi="Arial" w:cs="Arial"/>
          <w:sz w:val="26"/>
          <w:szCs w:val="28"/>
        </w:rPr>
      </w:pPr>
    </w:p>
    <w:p w14:paraId="7E9B6475" w14:textId="77777777" w:rsidR="00C07AFD" w:rsidRPr="00DF4154" w:rsidRDefault="00C07AFD" w:rsidP="00C07AFD">
      <w:pPr>
        <w:spacing w:after="0" w:line="240" w:lineRule="auto"/>
        <w:jc w:val="both"/>
        <w:rPr>
          <w:rFonts w:ascii="Arial" w:hAnsi="Arial" w:cs="Arial"/>
          <w:sz w:val="26"/>
          <w:szCs w:val="28"/>
        </w:rPr>
      </w:pPr>
    </w:p>
    <w:p w14:paraId="2A69D72A" w14:textId="77777777" w:rsidR="00C07AFD" w:rsidRPr="00DF4154" w:rsidRDefault="00C07AFD" w:rsidP="00C07AFD">
      <w:pPr>
        <w:spacing w:after="0" w:line="240" w:lineRule="auto"/>
        <w:jc w:val="center"/>
        <w:rPr>
          <w:rFonts w:ascii="Arial" w:hAnsi="Arial" w:cs="Arial"/>
          <w:sz w:val="26"/>
          <w:szCs w:val="28"/>
        </w:rPr>
      </w:pPr>
      <w:r w:rsidRPr="00DF4154">
        <w:rPr>
          <w:rStyle w:val="Bold"/>
          <w:rFonts w:ascii="Arial" w:hAnsi="Arial" w:cs="Arial"/>
          <w:sz w:val="26"/>
          <w:szCs w:val="28"/>
        </w:rPr>
        <w:t>RESPONDENT’S WRITTEN SUBMISSIONS</w:t>
      </w:r>
    </w:p>
    <w:p w14:paraId="39702712" w14:textId="77777777" w:rsidR="00C07AFD" w:rsidRPr="00DF4154" w:rsidRDefault="00C07AFD" w:rsidP="00C07AFD">
      <w:pPr>
        <w:pBdr>
          <w:bottom w:val="single" w:sz="12" w:space="1" w:color="auto"/>
        </w:pBdr>
        <w:spacing w:after="0" w:line="240" w:lineRule="auto"/>
        <w:jc w:val="both"/>
        <w:rPr>
          <w:rFonts w:ascii="Arial" w:hAnsi="Arial" w:cs="Arial"/>
          <w:sz w:val="26"/>
          <w:szCs w:val="28"/>
        </w:rPr>
      </w:pPr>
    </w:p>
    <w:p w14:paraId="5A7C605D" w14:textId="77777777" w:rsidR="00C07AFD" w:rsidRPr="00DF4154" w:rsidRDefault="00C07AFD" w:rsidP="00C07AFD">
      <w:pPr>
        <w:spacing w:after="0" w:line="240" w:lineRule="auto"/>
        <w:jc w:val="both"/>
        <w:rPr>
          <w:rFonts w:ascii="Arial" w:hAnsi="Arial" w:cs="Arial"/>
          <w:sz w:val="26"/>
          <w:szCs w:val="28"/>
        </w:rPr>
      </w:pPr>
    </w:p>
    <w:p w14:paraId="7089B4DC" w14:textId="74DA1636" w:rsidR="00C07AFD" w:rsidRPr="00DF4154" w:rsidRDefault="00C07AFD" w:rsidP="00C07AFD">
      <w:pPr>
        <w:spacing w:after="0" w:line="259" w:lineRule="auto"/>
        <w:rPr>
          <w:rFonts w:ascii="Arial" w:hAnsi="Arial" w:cs="Arial"/>
          <w:sz w:val="26"/>
          <w:szCs w:val="28"/>
        </w:rPr>
      </w:pPr>
    </w:p>
    <w:p w14:paraId="493D67B8" w14:textId="77777777" w:rsidR="00AD193B" w:rsidRPr="00DF4154" w:rsidRDefault="00AD193B">
      <w:pPr>
        <w:spacing w:line="259" w:lineRule="auto"/>
        <w:rPr>
          <w:rFonts w:ascii="Arial" w:hAnsi="Arial" w:cs="Arial"/>
          <w:b/>
          <w:bCs/>
          <w:sz w:val="26"/>
          <w:szCs w:val="28"/>
          <w:u w:val="single"/>
        </w:rPr>
      </w:pPr>
      <w:r w:rsidRPr="00DF4154">
        <w:rPr>
          <w:rFonts w:ascii="Arial" w:hAnsi="Arial" w:cs="Arial"/>
          <w:b/>
          <w:bCs/>
          <w:sz w:val="26"/>
          <w:szCs w:val="28"/>
          <w:u w:val="single"/>
        </w:rPr>
        <w:br w:type="page"/>
      </w:r>
    </w:p>
    <w:p w14:paraId="6DEC5D65" w14:textId="6D1B3E99" w:rsidR="00C07AFD" w:rsidRPr="00DF4154" w:rsidRDefault="00C07AFD" w:rsidP="00C07AFD">
      <w:pPr>
        <w:spacing w:after="0" w:line="360" w:lineRule="auto"/>
        <w:jc w:val="center"/>
        <w:rPr>
          <w:rFonts w:ascii="Arial" w:hAnsi="Arial" w:cs="Arial"/>
          <w:b/>
          <w:bCs/>
          <w:sz w:val="26"/>
          <w:szCs w:val="28"/>
          <w:u w:val="single"/>
        </w:rPr>
      </w:pPr>
      <w:r w:rsidRPr="00DF4154">
        <w:rPr>
          <w:rFonts w:ascii="Arial" w:hAnsi="Arial" w:cs="Arial"/>
          <w:b/>
          <w:bCs/>
          <w:sz w:val="26"/>
          <w:szCs w:val="28"/>
          <w:u w:val="single"/>
        </w:rPr>
        <w:lastRenderedPageBreak/>
        <w:t>INDEX</w:t>
      </w:r>
    </w:p>
    <w:p w14:paraId="1FC7E71A" w14:textId="77777777" w:rsidR="00C07AFD" w:rsidRPr="00DF4154" w:rsidRDefault="00C07AFD" w:rsidP="00C07AFD">
      <w:pPr>
        <w:spacing w:after="0" w:line="480" w:lineRule="auto"/>
        <w:jc w:val="both"/>
        <w:rPr>
          <w:rFonts w:ascii="Arial" w:hAnsi="Arial" w:cs="Arial"/>
          <w:sz w:val="26"/>
          <w:szCs w:val="28"/>
        </w:rPr>
      </w:pPr>
      <w:r w:rsidRPr="00DF4154">
        <w:rPr>
          <w:rFonts w:ascii="Arial" w:hAnsi="Arial" w:cs="Arial"/>
          <w:sz w:val="26"/>
          <w:szCs w:val="28"/>
          <w:u w:val="single"/>
        </w:rPr>
        <w:t>Contents</w:t>
      </w:r>
      <w:r w:rsidRPr="00DF4154">
        <w:rPr>
          <w:rFonts w:ascii="Arial" w:hAnsi="Arial" w:cs="Arial"/>
          <w:sz w:val="26"/>
          <w:szCs w:val="28"/>
        </w:rPr>
        <w:t>:</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t xml:space="preserve">    </w:t>
      </w:r>
      <w:r w:rsidRPr="00DF4154">
        <w:rPr>
          <w:rFonts w:ascii="Arial" w:hAnsi="Arial" w:cs="Arial"/>
          <w:sz w:val="26"/>
          <w:szCs w:val="28"/>
          <w:u w:val="single"/>
        </w:rPr>
        <w:t>Page no</w:t>
      </w:r>
      <w:r w:rsidRPr="00DF4154">
        <w:rPr>
          <w:rFonts w:ascii="Arial" w:hAnsi="Arial" w:cs="Arial"/>
          <w:sz w:val="26"/>
          <w:szCs w:val="28"/>
        </w:rPr>
        <w:t>:</w:t>
      </w:r>
    </w:p>
    <w:p w14:paraId="52F98A37" w14:textId="6D930137" w:rsidR="00C07AFD" w:rsidRPr="00DF4154" w:rsidRDefault="00712D96" w:rsidP="004716B1">
      <w:pPr>
        <w:spacing w:after="0" w:line="480" w:lineRule="auto"/>
        <w:rPr>
          <w:rFonts w:ascii="Arial" w:hAnsi="Arial" w:cs="Arial"/>
          <w:sz w:val="26"/>
          <w:szCs w:val="28"/>
        </w:rPr>
      </w:pPr>
      <w:r w:rsidRPr="00DF4154">
        <w:rPr>
          <w:rFonts w:ascii="Arial" w:hAnsi="Arial" w:cs="Arial"/>
          <w:sz w:val="26"/>
          <w:szCs w:val="28"/>
        </w:rPr>
        <w:t>INTRODUCTION</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4716B1" w:rsidRPr="00DF4154">
        <w:rPr>
          <w:rFonts w:ascii="Arial" w:hAnsi="Arial" w:cs="Arial"/>
          <w:sz w:val="26"/>
          <w:szCs w:val="28"/>
        </w:rPr>
        <w:tab/>
      </w:r>
      <w:r w:rsidR="00AD193B" w:rsidRPr="00DF4154">
        <w:rPr>
          <w:rFonts w:ascii="Arial" w:hAnsi="Arial" w:cs="Arial"/>
          <w:sz w:val="26"/>
          <w:szCs w:val="28"/>
        </w:rPr>
        <w:t>4</w:t>
      </w:r>
    </w:p>
    <w:p w14:paraId="4A383B8B" w14:textId="0D9FE175" w:rsidR="00C07AFD"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THE KEY PROVISIONS</w:t>
      </w:r>
      <w:r w:rsidR="00C07AFD" w:rsidRPr="00DF4154">
        <w:rPr>
          <w:rFonts w:ascii="Arial" w:hAnsi="Arial" w:cs="Arial"/>
          <w:sz w:val="26"/>
          <w:szCs w:val="28"/>
        </w:rPr>
        <w:tab/>
      </w:r>
      <w:r w:rsidR="00C07AFD" w:rsidRPr="00DF4154">
        <w:rPr>
          <w:rFonts w:ascii="Arial" w:hAnsi="Arial" w:cs="Arial"/>
          <w:sz w:val="26"/>
          <w:szCs w:val="28"/>
        </w:rPr>
        <w:tab/>
      </w:r>
      <w:r w:rsidR="00C07AFD" w:rsidRPr="00DF4154">
        <w:rPr>
          <w:rFonts w:ascii="Arial" w:hAnsi="Arial" w:cs="Arial"/>
          <w:sz w:val="26"/>
          <w:szCs w:val="28"/>
        </w:rPr>
        <w:tab/>
      </w:r>
      <w:r w:rsidR="00C07AFD" w:rsidRPr="00DF4154">
        <w:rPr>
          <w:rFonts w:ascii="Arial" w:hAnsi="Arial" w:cs="Arial"/>
          <w:sz w:val="26"/>
          <w:szCs w:val="28"/>
        </w:rPr>
        <w:tab/>
      </w:r>
      <w:r w:rsidR="00C07AFD" w:rsidRPr="00DF4154">
        <w:rPr>
          <w:rFonts w:ascii="Arial" w:hAnsi="Arial" w:cs="Arial"/>
          <w:sz w:val="26"/>
          <w:szCs w:val="28"/>
        </w:rPr>
        <w:tab/>
      </w:r>
      <w:r w:rsidR="00C07AFD"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004716B1" w:rsidRPr="00DF4154">
        <w:rPr>
          <w:rFonts w:ascii="Arial" w:hAnsi="Arial" w:cs="Arial"/>
          <w:sz w:val="26"/>
          <w:szCs w:val="28"/>
        </w:rPr>
        <w:tab/>
      </w:r>
      <w:r w:rsidR="00CA43DA">
        <w:rPr>
          <w:rFonts w:ascii="Arial" w:hAnsi="Arial" w:cs="Arial"/>
          <w:sz w:val="26"/>
          <w:szCs w:val="28"/>
        </w:rPr>
        <w:t>7</w:t>
      </w:r>
    </w:p>
    <w:p w14:paraId="5E816748" w14:textId="0B9D51FB"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Initiation, investigation and referral of complaints</w:t>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7</w:t>
      </w:r>
    </w:p>
    <w:p w14:paraId="3823C3A4" w14:textId="7A124F6B"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Requirements for initiation of a complaint</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9</w:t>
      </w:r>
    </w:p>
    <w:p w14:paraId="00A79679" w14:textId="4FDE749E"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THE CONDUCT ALLEGED IN THE COMPLAINT</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t>1</w:t>
      </w:r>
      <w:r w:rsidR="004D301E">
        <w:rPr>
          <w:rFonts w:ascii="Arial" w:hAnsi="Arial" w:cs="Arial"/>
          <w:sz w:val="26"/>
          <w:szCs w:val="28"/>
        </w:rPr>
        <w:t>3</w:t>
      </w:r>
    </w:p>
    <w:p w14:paraId="30B495D3" w14:textId="261DA83E"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THE INITIATION ISSUE</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t>1</w:t>
      </w:r>
      <w:r w:rsidR="00CA43DA">
        <w:rPr>
          <w:rFonts w:ascii="Arial" w:hAnsi="Arial" w:cs="Arial"/>
          <w:sz w:val="26"/>
          <w:szCs w:val="28"/>
        </w:rPr>
        <w:t>6</w:t>
      </w:r>
    </w:p>
    <w:p w14:paraId="47EAA4C7" w14:textId="6239C6B6"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The pertinent complaint initiations by the Commission</w:t>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t>1</w:t>
      </w:r>
      <w:r w:rsidR="00CA43DA">
        <w:rPr>
          <w:rFonts w:ascii="Arial" w:hAnsi="Arial" w:cs="Arial"/>
          <w:sz w:val="26"/>
          <w:szCs w:val="28"/>
        </w:rPr>
        <w:t>6</w:t>
      </w:r>
    </w:p>
    <w:p w14:paraId="11A80128" w14:textId="69BDF3F2"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 xml:space="preserve">The </w:t>
      </w:r>
      <w:r w:rsidR="00990563" w:rsidRPr="00DF4154">
        <w:rPr>
          <w:rFonts w:ascii="Arial" w:hAnsi="Arial" w:cs="Arial"/>
          <w:sz w:val="26"/>
          <w:szCs w:val="28"/>
        </w:rPr>
        <w:t>Commissioner</w:t>
      </w:r>
      <w:r w:rsidRPr="00DF4154">
        <w:rPr>
          <w:rFonts w:ascii="Arial" w:hAnsi="Arial" w:cs="Arial"/>
          <w:sz w:val="26"/>
          <w:szCs w:val="28"/>
        </w:rPr>
        <w:t>’</w:t>
      </w:r>
      <w:r w:rsidR="00990563" w:rsidRPr="00DF4154">
        <w:rPr>
          <w:rFonts w:ascii="Arial" w:hAnsi="Arial" w:cs="Arial"/>
          <w:sz w:val="26"/>
          <w:szCs w:val="28"/>
        </w:rPr>
        <w:t>s</w:t>
      </w:r>
      <w:r w:rsidRPr="00DF4154">
        <w:rPr>
          <w:rFonts w:ascii="Arial" w:hAnsi="Arial" w:cs="Arial"/>
          <w:sz w:val="26"/>
          <w:szCs w:val="28"/>
        </w:rPr>
        <w:t xml:space="preserve"> averments in </w:t>
      </w:r>
      <w:r w:rsidR="00990563" w:rsidRPr="00DF4154">
        <w:rPr>
          <w:rFonts w:ascii="Arial" w:hAnsi="Arial" w:cs="Arial"/>
          <w:sz w:val="26"/>
          <w:szCs w:val="28"/>
        </w:rPr>
        <w:t>respect of the initiations</w:t>
      </w:r>
      <w:r w:rsidR="00DF4154">
        <w:rPr>
          <w:rFonts w:ascii="Arial" w:hAnsi="Arial" w:cs="Arial"/>
          <w:sz w:val="26"/>
          <w:szCs w:val="28"/>
        </w:rPr>
        <w:tab/>
      </w:r>
      <w:r w:rsidR="00990563" w:rsidRPr="00DF4154">
        <w:rPr>
          <w:rFonts w:ascii="Arial" w:hAnsi="Arial" w:cs="Arial"/>
          <w:sz w:val="26"/>
          <w:szCs w:val="28"/>
        </w:rPr>
        <w:tab/>
      </w:r>
      <w:r w:rsidR="00CA43DA">
        <w:rPr>
          <w:rFonts w:ascii="Arial" w:hAnsi="Arial" w:cs="Arial"/>
          <w:sz w:val="26"/>
          <w:szCs w:val="28"/>
        </w:rPr>
        <w:t>19</w:t>
      </w:r>
    </w:p>
    <w:p w14:paraId="1AE44D55" w14:textId="59580990"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The findings of the Tribunal and the CAC</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t>2</w:t>
      </w:r>
      <w:r w:rsidR="00CA43DA">
        <w:rPr>
          <w:rFonts w:ascii="Arial" w:hAnsi="Arial" w:cs="Arial"/>
          <w:sz w:val="26"/>
          <w:szCs w:val="28"/>
        </w:rPr>
        <w:t>0</w:t>
      </w:r>
    </w:p>
    <w:p w14:paraId="76C3BA22" w14:textId="63B4722C"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Our submissions</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t>2</w:t>
      </w:r>
      <w:r w:rsidR="004D301E">
        <w:rPr>
          <w:rFonts w:ascii="Arial" w:hAnsi="Arial" w:cs="Arial"/>
          <w:sz w:val="26"/>
          <w:szCs w:val="28"/>
        </w:rPr>
        <w:t>2</w:t>
      </w:r>
    </w:p>
    <w:p w14:paraId="631E8C61" w14:textId="32143FBC"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t>Conclusion on the initiation issue</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t>2</w:t>
      </w:r>
      <w:r w:rsidR="00CA43DA">
        <w:rPr>
          <w:rFonts w:ascii="Arial" w:hAnsi="Arial" w:cs="Arial"/>
          <w:sz w:val="26"/>
          <w:szCs w:val="28"/>
        </w:rPr>
        <w:t>5</w:t>
      </w:r>
    </w:p>
    <w:p w14:paraId="29EDC29D" w14:textId="63FF3222"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THE COMMENCEMENT ISSUE</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t>2</w:t>
      </w:r>
      <w:r w:rsidR="004D301E">
        <w:rPr>
          <w:rFonts w:ascii="Arial" w:hAnsi="Arial" w:cs="Arial"/>
          <w:sz w:val="26"/>
          <w:szCs w:val="28"/>
        </w:rPr>
        <w:t>6</w:t>
      </w:r>
    </w:p>
    <w:p w14:paraId="0CA9D649" w14:textId="6BBB7A98" w:rsidR="00712D96" w:rsidRPr="00DF4154" w:rsidRDefault="00712D96" w:rsidP="004716B1">
      <w:pPr>
        <w:spacing w:after="0" w:line="480" w:lineRule="auto"/>
        <w:jc w:val="both"/>
        <w:rPr>
          <w:rFonts w:ascii="Arial" w:hAnsi="Arial" w:cs="Arial"/>
          <w:sz w:val="26"/>
          <w:szCs w:val="28"/>
        </w:rPr>
      </w:pPr>
      <w:r w:rsidRPr="00DF4154">
        <w:rPr>
          <w:rFonts w:ascii="Arial" w:hAnsi="Arial" w:cs="Arial"/>
          <w:sz w:val="26"/>
          <w:szCs w:val="28"/>
        </w:rPr>
        <w:tab/>
      </w:r>
      <w:r w:rsidR="004D301E">
        <w:rPr>
          <w:rFonts w:ascii="Arial" w:hAnsi="Arial" w:cs="Arial"/>
          <w:sz w:val="26"/>
          <w:szCs w:val="28"/>
        </w:rPr>
        <w:t>P</w:t>
      </w:r>
      <w:r w:rsidR="00CE6B72" w:rsidRPr="00DF4154">
        <w:rPr>
          <w:rFonts w:ascii="Arial" w:hAnsi="Arial" w:cs="Arial"/>
          <w:sz w:val="26"/>
          <w:szCs w:val="28"/>
        </w:rPr>
        <w:t>roper interpretation of section 67(1)</w:t>
      </w:r>
      <w:r w:rsidR="00CE6B72" w:rsidRPr="00DF4154">
        <w:rPr>
          <w:rFonts w:ascii="Arial" w:hAnsi="Arial" w:cs="Arial"/>
          <w:sz w:val="26"/>
          <w:szCs w:val="28"/>
        </w:rPr>
        <w:tab/>
      </w:r>
      <w:r w:rsidR="00CE6B72" w:rsidRPr="00DF4154">
        <w:rPr>
          <w:rFonts w:ascii="Arial" w:hAnsi="Arial" w:cs="Arial"/>
          <w:sz w:val="26"/>
          <w:szCs w:val="28"/>
        </w:rPr>
        <w:tab/>
      </w:r>
      <w:r w:rsidR="00CE6B72" w:rsidRPr="00DF4154">
        <w:rPr>
          <w:rFonts w:ascii="Arial" w:hAnsi="Arial" w:cs="Arial"/>
          <w:sz w:val="26"/>
          <w:szCs w:val="28"/>
        </w:rPr>
        <w:tab/>
      </w:r>
      <w:r w:rsidR="004D301E">
        <w:rPr>
          <w:rFonts w:ascii="Arial" w:hAnsi="Arial" w:cs="Arial"/>
          <w:sz w:val="26"/>
          <w:szCs w:val="28"/>
        </w:rPr>
        <w:tab/>
      </w:r>
      <w:r w:rsidR="00DF4154">
        <w:rPr>
          <w:rFonts w:ascii="Arial" w:hAnsi="Arial" w:cs="Arial"/>
          <w:sz w:val="26"/>
          <w:szCs w:val="28"/>
        </w:rPr>
        <w:tab/>
      </w:r>
      <w:r w:rsidR="00CE6B72" w:rsidRPr="00DF4154">
        <w:rPr>
          <w:rFonts w:ascii="Arial" w:hAnsi="Arial" w:cs="Arial"/>
          <w:sz w:val="26"/>
          <w:szCs w:val="28"/>
        </w:rPr>
        <w:tab/>
      </w:r>
      <w:r w:rsidR="00CA43DA">
        <w:rPr>
          <w:rFonts w:ascii="Arial" w:hAnsi="Arial" w:cs="Arial"/>
          <w:sz w:val="26"/>
          <w:szCs w:val="28"/>
        </w:rPr>
        <w:t>26</w:t>
      </w:r>
    </w:p>
    <w:p w14:paraId="5338EDB3" w14:textId="130D2FBC" w:rsidR="00CE6B72" w:rsidRPr="00DF4154" w:rsidRDefault="00CE6B72" w:rsidP="00BB6964">
      <w:pPr>
        <w:spacing w:after="0" w:line="240" w:lineRule="auto"/>
        <w:jc w:val="both"/>
        <w:rPr>
          <w:rFonts w:ascii="Arial" w:hAnsi="Arial" w:cs="Arial"/>
          <w:sz w:val="26"/>
          <w:szCs w:val="28"/>
        </w:rPr>
      </w:pPr>
      <w:r w:rsidRPr="00DF4154">
        <w:rPr>
          <w:rFonts w:ascii="Arial" w:hAnsi="Arial" w:cs="Arial"/>
          <w:sz w:val="26"/>
          <w:szCs w:val="28"/>
        </w:rPr>
        <w:tab/>
        <w:t>Section 67(1) is not reasonably capable of the meaning</w:t>
      </w:r>
    </w:p>
    <w:p w14:paraId="2A0C722D" w14:textId="7252D5D6"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ab/>
        <w:t>advanced</w:t>
      </w:r>
      <w:r w:rsidR="00D65F35" w:rsidRPr="00DF4154">
        <w:rPr>
          <w:rFonts w:ascii="Arial" w:hAnsi="Arial" w:cs="Arial"/>
          <w:sz w:val="26"/>
          <w:szCs w:val="28"/>
        </w:rPr>
        <w:t xml:space="preserve"> by the Commission</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28</w:t>
      </w:r>
    </w:p>
    <w:p w14:paraId="559C18C4" w14:textId="6BD02D31"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ab/>
        <w:t>Reading in of a knowledge requirement is not permissible</w:t>
      </w:r>
      <w:r w:rsidRP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29</w:t>
      </w:r>
    </w:p>
    <w:p w14:paraId="4CB8181C" w14:textId="1903964D"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ab/>
        <w:t>The application of section 16(1) of the Prescription Act</w:t>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30</w:t>
      </w:r>
    </w:p>
    <w:p w14:paraId="17470DFD" w14:textId="77777777" w:rsidR="00AD193B" w:rsidRPr="00DF4154" w:rsidRDefault="00CE6B72" w:rsidP="00AD193B">
      <w:pPr>
        <w:spacing w:after="0" w:line="240" w:lineRule="auto"/>
        <w:ind w:left="720" w:hanging="720"/>
        <w:jc w:val="both"/>
        <w:rPr>
          <w:rFonts w:ascii="Arial" w:hAnsi="Arial" w:cs="Arial"/>
          <w:sz w:val="26"/>
          <w:szCs w:val="28"/>
        </w:rPr>
      </w:pPr>
      <w:r w:rsidRPr="00DF4154">
        <w:rPr>
          <w:rFonts w:ascii="Arial" w:hAnsi="Arial" w:cs="Arial"/>
          <w:sz w:val="26"/>
          <w:szCs w:val="28"/>
        </w:rPr>
        <w:tab/>
      </w:r>
      <w:r w:rsidR="00AD193B" w:rsidRPr="00DF4154">
        <w:rPr>
          <w:rFonts w:ascii="Arial" w:hAnsi="Arial" w:cs="Arial"/>
          <w:sz w:val="26"/>
          <w:szCs w:val="28"/>
        </w:rPr>
        <w:t xml:space="preserve">Section 16(1) and the provisions in Chapter 3 of the </w:t>
      </w:r>
    </w:p>
    <w:p w14:paraId="59590379" w14:textId="4B137F9B" w:rsidR="00AD193B" w:rsidRPr="00DF4154" w:rsidRDefault="00CA43DA" w:rsidP="00BB6964">
      <w:pPr>
        <w:spacing w:after="0" w:line="240" w:lineRule="auto"/>
        <w:ind w:left="720"/>
        <w:jc w:val="both"/>
        <w:rPr>
          <w:rFonts w:ascii="Arial" w:hAnsi="Arial" w:cs="Arial"/>
          <w:sz w:val="26"/>
          <w:szCs w:val="28"/>
        </w:rPr>
      </w:pPr>
      <w:r>
        <w:rPr>
          <w:rFonts w:ascii="Arial" w:hAnsi="Arial" w:cs="Arial"/>
          <w:sz w:val="26"/>
          <w:szCs w:val="28"/>
        </w:rPr>
        <w:t>Prescription Act</w:t>
      </w:r>
      <w:r>
        <w:rPr>
          <w:rFonts w:ascii="Arial" w:hAnsi="Arial" w:cs="Arial"/>
          <w:sz w:val="26"/>
          <w:szCs w:val="28"/>
        </w:rPr>
        <w:tab/>
      </w:r>
      <w:r>
        <w:rPr>
          <w:rFonts w:ascii="Arial" w:hAnsi="Arial" w:cs="Arial"/>
          <w:sz w:val="26"/>
          <w:szCs w:val="28"/>
        </w:rPr>
        <w:tab/>
      </w:r>
      <w:r>
        <w:rPr>
          <w:rFonts w:ascii="Arial" w:hAnsi="Arial" w:cs="Arial"/>
          <w:sz w:val="26"/>
          <w:szCs w:val="28"/>
        </w:rPr>
        <w:tab/>
      </w:r>
      <w:r>
        <w:rPr>
          <w:rFonts w:ascii="Arial" w:hAnsi="Arial" w:cs="Arial"/>
          <w:sz w:val="26"/>
          <w:szCs w:val="28"/>
        </w:rPr>
        <w:tab/>
      </w:r>
      <w:r>
        <w:rPr>
          <w:rFonts w:ascii="Arial" w:hAnsi="Arial" w:cs="Arial"/>
          <w:sz w:val="26"/>
          <w:szCs w:val="28"/>
        </w:rPr>
        <w:tab/>
      </w:r>
      <w:r>
        <w:rPr>
          <w:rFonts w:ascii="Arial" w:hAnsi="Arial" w:cs="Arial"/>
          <w:sz w:val="26"/>
          <w:szCs w:val="28"/>
        </w:rPr>
        <w:tab/>
      </w:r>
      <w:r>
        <w:rPr>
          <w:rFonts w:ascii="Arial" w:hAnsi="Arial" w:cs="Arial"/>
          <w:sz w:val="26"/>
          <w:szCs w:val="28"/>
        </w:rPr>
        <w:tab/>
      </w:r>
      <w:r>
        <w:rPr>
          <w:rFonts w:ascii="Arial" w:hAnsi="Arial" w:cs="Arial"/>
          <w:sz w:val="26"/>
          <w:szCs w:val="28"/>
        </w:rPr>
        <w:tab/>
      </w:r>
      <w:r>
        <w:rPr>
          <w:rFonts w:ascii="Arial" w:hAnsi="Arial" w:cs="Arial"/>
          <w:sz w:val="26"/>
          <w:szCs w:val="28"/>
        </w:rPr>
        <w:tab/>
        <w:t>3</w:t>
      </w:r>
      <w:r w:rsidR="004D301E">
        <w:rPr>
          <w:rFonts w:ascii="Arial" w:hAnsi="Arial" w:cs="Arial"/>
          <w:sz w:val="26"/>
          <w:szCs w:val="28"/>
        </w:rPr>
        <w:t>1</w:t>
      </w:r>
    </w:p>
    <w:p w14:paraId="7F2EC2B4" w14:textId="4123041A" w:rsidR="00CE6B72" w:rsidRPr="00DF4154" w:rsidRDefault="00CE6B72" w:rsidP="00BB6964">
      <w:pPr>
        <w:spacing w:before="360" w:after="0" w:line="480" w:lineRule="auto"/>
        <w:ind w:firstLine="720"/>
        <w:jc w:val="both"/>
        <w:rPr>
          <w:rFonts w:ascii="Arial" w:hAnsi="Arial" w:cs="Arial"/>
          <w:sz w:val="26"/>
          <w:szCs w:val="28"/>
        </w:rPr>
      </w:pPr>
      <w:r w:rsidRPr="00DF4154">
        <w:rPr>
          <w:rFonts w:ascii="Arial" w:hAnsi="Arial" w:cs="Arial"/>
          <w:sz w:val="26"/>
          <w:szCs w:val="28"/>
        </w:rPr>
        <w:t>The implication</w:t>
      </w:r>
      <w:r w:rsidR="0051311E" w:rsidRPr="00DF4154">
        <w:rPr>
          <w:rFonts w:ascii="Arial" w:hAnsi="Arial" w:cs="Arial"/>
          <w:sz w:val="26"/>
          <w:szCs w:val="28"/>
        </w:rPr>
        <w:t>s</w:t>
      </w:r>
      <w:r w:rsidRPr="00DF4154">
        <w:rPr>
          <w:rFonts w:ascii="Arial" w:hAnsi="Arial" w:cs="Arial"/>
          <w:sz w:val="26"/>
          <w:szCs w:val="28"/>
        </w:rPr>
        <w:t xml:space="preserve"> of </w:t>
      </w:r>
      <w:r w:rsidR="0051311E" w:rsidRPr="00DF4154">
        <w:rPr>
          <w:rFonts w:ascii="Arial" w:hAnsi="Arial" w:cs="Arial"/>
          <w:sz w:val="26"/>
          <w:szCs w:val="28"/>
        </w:rPr>
        <w:t xml:space="preserve">applying </w:t>
      </w:r>
      <w:r w:rsidRPr="00DF4154">
        <w:rPr>
          <w:rFonts w:ascii="Arial" w:hAnsi="Arial" w:cs="Arial"/>
          <w:sz w:val="26"/>
          <w:szCs w:val="28"/>
        </w:rPr>
        <w:t>section 16(1)</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32</w:t>
      </w:r>
    </w:p>
    <w:p w14:paraId="1BFB5477" w14:textId="363DB425"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ab/>
        <w:t>Conclusion</w:t>
      </w:r>
      <w:r w:rsidR="00D65F35" w:rsidRPr="00DF4154">
        <w:rPr>
          <w:rFonts w:ascii="Arial" w:hAnsi="Arial" w:cs="Arial"/>
          <w:sz w:val="26"/>
          <w:szCs w:val="28"/>
        </w:rPr>
        <w:t xml:space="preserve"> </w:t>
      </w:r>
      <w:r w:rsidR="00D71F02" w:rsidRPr="00DF4154">
        <w:rPr>
          <w:rFonts w:ascii="Arial" w:hAnsi="Arial" w:cs="Arial"/>
          <w:sz w:val="26"/>
          <w:szCs w:val="28"/>
        </w:rPr>
        <w:t>on the commencement issue</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3</w:t>
      </w:r>
      <w:r w:rsidR="00161093">
        <w:rPr>
          <w:rFonts w:ascii="Arial" w:hAnsi="Arial" w:cs="Arial"/>
          <w:sz w:val="26"/>
          <w:szCs w:val="28"/>
        </w:rPr>
        <w:t>5</w:t>
      </w:r>
    </w:p>
    <w:p w14:paraId="1D61B5D9" w14:textId="661D13D2"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lastRenderedPageBreak/>
        <w:t>THE CONDONATION ISSUE</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00CA43DA">
        <w:rPr>
          <w:rFonts w:ascii="Arial" w:hAnsi="Arial" w:cs="Arial"/>
          <w:sz w:val="26"/>
          <w:szCs w:val="28"/>
        </w:rPr>
        <w:tab/>
        <w:t>35</w:t>
      </w:r>
    </w:p>
    <w:p w14:paraId="74E2872E" w14:textId="1BB6055B"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ab/>
        <w:t>The condonation issue is not ripe for adjudication</w:t>
      </w:r>
      <w:r w:rsidRPr="00DF4154">
        <w:rPr>
          <w:rFonts w:ascii="Arial" w:hAnsi="Arial" w:cs="Arial"/>
          <w:sz w:val="26"/>
          <w:szCs w:val="28"/>
        </w:rPr>
        <w:tab/>
      </w:r>
      <w:r w:rsidRPr="00DF4154">
        <w:rPr>
          <w:rFonts w:ascii="Arial" w:hAnsi="Arial" w:cs="Arial"/>
          <w:sz w:val="26"/>
          <w:szCs w:val="28"/>
        </w:rPr>
        <w:tab/>
      </w:r>
      <w:r w:rsidR="00DF4154">
        <w:rPr>
          <w:rFonts w:ascii="Arial" w:hAnsi="Arial" w:cs="Arial"/>
          <w:sz w:val="26"/>
          <w:szCs w:val="28"/>
        </w:rPr>
        <w:tab/>
      </w:r>
      <w:r w:rsidR="00CA43DA">
        <w:rPr>
          <w:rFonts w:ascii="Arial" w:hAnsi="Arial" w:cs="Arial"/>
          <w:sz w:val="26"/>
          <w:szCs w:val="28"/>
        </w:rPr>
        <w:tab/>
        <w:t>3</w:t>
      </w:r>
      <w:r w:rsidR="00161093">
        <w:rPr>
          <w:rFonts w:ascii="Arial" w:hAnsi="Arial" w:cs="Arial"/>
          <w:sz w:val="26"/>
          <w:szCs w:val="28"/>
        </w:rPr>
        <w:t>6</w:t>
      </w:r>
    </w:p>
    <w:p w14:paraId="0234F3A7" w14:textId="44AB0731" w:rsidR="00CE6B72" w:rsidRPr="00DF4154" w:rsidRDefault="00CE6B72" w:rsidP="00BB6964">
      <w:pPr>
        <w:spacing w:after="0" w:line="240" w:lineRule="auto"/>
        <w:jc w:val="both"/>
        <w:rPr>
          <w:rFonts w:ascii="Arial" w:hAnsi="Arial" w:cs="Arial"/>
          <w:sz w:val="26"/>
          <w:szCs w:val="28"/>
        </w:rPr>
      </w:pPr>
      <w:r w:rsidRPr="00DF4154">
        <w:rPr>
          <w:rFonts w:ascii="Arial" w:hAnsi="Arial" w:cs="Arial"/>
          <w:sz w:val="26"/>
          <w:szCs w:val="28"/>
        </w:rPr>
        <w:tab/>
        <w:t>The Commission’s contentions on the condonation issue</w:t>
      </w:r>
    </w:p>
    <w:p w14:paraId="703FB871" w14:textId="3F6152C8"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ab/>
        <w:t>lack merit</w:t>
      </w:r>
      <w:r w:rsidR="00D71F02"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CA43DA">
        <w:rPr>
          <w:rFonts w:ascii="Arial" w:hAnsi="Arial" w:cs="Arial"/>
          <w:sz w:val="26"/>
          <w:szCs w:val="28"/>
        </w:rPr>
        <w:t>3</w:t>
      </w:r>
      <w:r w:rsidR="00161093">
        <w:rPr>
          <w:rFonts w:ascii="Arial" w:hAnsi="Arial" w:cs="Arial"/>
          <w:sz w:val="26"/>
          <w:szCs w:val="28"/>
        </w:rPr>
        <w:t>7</w:t>
      </w:r>
    </w:p>
    <w:p w14:paraId="42B2C1F2" w14:textId="1AAD1309" w:rsidR="00D71F02" w:rsidRPr="00DF4154" w:rsidRDefault="00D71F02" w:rsidP="004716B1">
      <w:pPr>
        <w:spacing w:after="0" w:line="480" w:lineRule="auto"/>
        <w:jc w:val="both"/>
        <w:rPr>
          <w:rFonts w:ascii="Arial" w:hAnsi="Arial" w:cs="Arial"/>
          <w:sz w:val="26"/>
          <w:szCs w:val="28"/>
        </w:rPr>
      </w:pPr>
      <w:r w:rsidRPr="00DF4154">
        <w:rPr>
          <w:rFonts w:ascii="Arial" w:hAnsi="Arial" w:cs="Arial"/>
          <w:sz w:val="26"/>
          <w:szCs w:val="28"/>
        </w:rPr>
        <w:tab/>
        <w:t>Conclusion on the condonation issue</w:t>
      </w:r>
      <w:r w:rsidR="00D65F35" w:rsidRPr="00DF4154">
        <w:rPr>
          <w:rFonts w:ascii="Arial" w:hAnsi="Arial" w:cs="Arial"/>
          <w:sz w:val="26"/>
          <w:szCs w:val="28"/>
        </w:rPr>
        <w:tab/>
      </w:r>
      <w:r w:rsidR="00D65F35" w:rsidRPr="00DF4154">
        <w:rPr>
          <w:rFonts w:ascii="Arial" w:hAnsi="Arial" w:cs="Arial"/>
          <w:sz w:val="26"/>
          <w:szCs w:val="28"/>
        </w:rPr>
        <w:tab/>
      </w:r>
      <w:r w:rsidR="00D65F35" w:rsidRPr="00DF4154">
        <w:rPr>
          <w:rFonts w:ascii="Arial" w:hAnsi="Arial" w:cs="Arial"/>
          <w:sz w:val="26"/>
          <w:szCs w:val="28"/>
        </w:rPr>
        <w:tab/>
      </w:r>
      <w:bookmarkStart w:id="2" w:name="_GoBack"/>
      <w:bookmarkEnd w:id="2"/>
      <w:r w:rsidR="00D65F35" w:rsidRPr="00DF4154">
        <w:rPr>
          <w:rFonts w:ascii="Arial" w:hAnsi="Arial" w:cs="Arial"/>
          <w:sz w:val="26"/>
          <w:szCs w:val="28"/>
        </w:rPr>
        <w:tab/>
      </w:r>
      <w:r w:rsidR="00DF4154">
        <w:rPr>
          <w:rFonts w:ascii="Arial" w:hAnsi="Arial" w:cs="Arial"/>
          <w:sz w:val="26"/>
          <w:szCs w:val="28"/>
        </w:rPr>
        <w:tab/>
      </w:r>
      <w:r w:rsidR="00CA43DA">
        <w:rPr>
          <w:rFonts w:ascii="Arial" w:hAnsi="Arial" w:cs="Arial"/>
          <w:sz w:val="26"/>
          <w:szCs w:val="28"/>
        </w:rPr>
        <w:tab/>
      </w:r>
      <w:r w:rsidR="00585DE7">
        <w:rPr>
          <w:rFonts w:ascii="Arial" w:hAnsi="Arial" w:cs="Arial"/>
          <w:sz w:val="26"/>
          <w:szCs w:val="28"/>
        </w:rPr>
        <w:t>40</w:t>
      </w:r>
    </w:p>
    <w:p w14:paraId="72FF72C7" w14:textId="71229654" w:rsidR="00CE6B72" w:rsidRPr="00DF4154" w:rsidRDefault="00CE6B72" w:rsidP="004716B1">
      <w:pPr>
        <w:spacing w:after="0" w:line="480" w:lineRule="auto"/>
        <w:jc w:val="both"/>
        <w:rPr>
          <w:rFonts w:ascii="Arial" w:hAnsi="Arial" w:cs="Arial"/>
          <w:sz w:val="26"/>
          <w:szCs w:val="28"/>
        </w:rPr>
      </w:pPr>
      <w:r w:rsidRPr="00DF4154">
        <w:rPr>
          <w:rFonts w:ascii="Arial" w:hAnsi="Arial" w:cs="Arial"/>
          <w:sz w:val="26"/>
          <w:szCs w:val="28"/>
        </w:rPr>
        <w:t>CONCLUSION</w:t>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D65F35" w:rsidRPr="00DF4154">
        <w:rPr>
          <w:rFonts w:ascii="Arial" w:hAnsi="Arial" w:cs="Arial"/>
          <w:sz w:val="26"/>
          <w:szCs w:val="28"/>
        </w:rPr>
        <w:t>4</w:t>
      </w:r>
      <w:r w:rsidR="00CA43DA">
        <w:rPr>
          <w:rFonts w:ascii="Arial" w:hAnsi="Arial" w:cs="Arial"/>
          <w:sz w:val="26"/>
          <w:szCs w:val="28"/>
        </w:rPr>
        <w:t>0</w:t>
      </w:r>
    </w:p>
    <w:p w14:paraId="1C7F18D3" w14:textId="53C0ECA9" w:rsidR="00AD193B" w:rsidRPr="00DF4154" w:rsidRDefault="00AD193B">
      <w:pPr>
        <w:spacing w:line="259" w:lineRule="auto"/>
        <w:rPr>
          <w:rFonts w:ascii="Arial" w:hAnsi="Arial" w:cs="Arial"/>
          <w:sz w:val="26"/>
          <w:szCs w:val="28"/>
        </w:rPr>
      </w:pPr>
      <w:r w:rsidRPr="00DF4154">
        <w:rPr>
          <w:rFonts w:ascii="Arial" w:hAnsi="Arial" w:cs="Arial"/>
          <w:sz w:val="26"/>
          <w:szCs w:val="28"/>
        </w:rPr>
        <w:br w:type="page"/>
      </w:r>
    </w:p>
    <w:p w14:paraId="1886B73F" w14:textId="6900B210" w:rsidR="00C07AFD" w:rsidRPr="00DF4154" w:rsidRDefault="00C07AFD" w:rsidP="00BB6964">
      <w:pPr>
        <w:spacing w:after="0" w:line="259" w:lineRule="auto"/>
        <w:rPr>
          <w:rFonts w:ascii="Arial" w:hAnsi="Arial" w:cs="Arial"/>
          <w:b/>
          <w:sz w:val="26"/>
          <w:szCs w:val="28"/>
        </w:rPr>
      </w:pPr>
      <w:bookmarkStart w:id="3" w:name="_Hlk497307450"/>
      <w:r w:rsidRPr="00DF4154">
        <w:rPr>
          <w:rFonts w:ascii="Arial" w:hAnsi="Arial" w:cs="Arial"/>
          <w:b/>
          <w:sz w:val="26"/>
          <w:szCs w:val="28"/>
        </w:rPr>
        <w:lastRenderedPageBreak/>
        <w:t>INTRODUCTION</w:t>
      </w:r>
    </w:p>
    <w:p w14:paraId="0330B4CC" w14:textId="77777777" w:rsidR="00C07AFD" w:rsidRPr="00DF4154" w:rsidRDefault="00C07AFD" w:rsidP="001368AC">
      <w:pPr>
        <w:pStyle w:val="ListParagraph"/>
        <w:spacing w:after="0" w:line="276" w:lineRule="auto"/>
        <w:jc w:val="both"/>
        <w:rPr>
          <w:rFonts w:ascii="Arial" w:hAnsi="Arial" w:cs="Arial"/>
          <w:sz w:val="26"/>
          <w:szCs w:val="28"/>
        </w:rPr>
      </w:pPr>
    </w:p>
    <w:p w14:paraId="565B5FED" w14:textId="53587245"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This appeal concerns the interpretation and application of section 67(1) of the Competition Act, 89 of 1998</w:t>
      </w:r>
      <w:r w:rsidR="00744229" w:rsidRPr="00DF4154">
        <w:rPr>
          <w:rFonts w:ascii="Arial" w:hAnsi="Arial" w:cs="Arial"/>
          <w:sz w:val="26"/>
          <w:szCs w:val="28"/>
        </w:rPr>
        <w:t xml:space="preserve"> </w:t>
      </w:r>
      <w:r w:rsidRPr="00DF4154">
        <w:rPr>
          <w:rFonts w:ascii="Arial" w:hAnsi="Arial" w:cs="Arial"/>
          <w:sz w:val="26"/>
          <w:szCs w:val="28"/>
        </w:rPr>
        <w:t xml:space="preserve"> (the </w:t>
      </w:r>
      <w:r w:rsidR="00CC336C" w:rsidRPr="00DF4154">
        <w:rPr>
          <w:rFonts w:ascii="Arial" w:hAnsi="Arial" w:cs="Arial"/>
          <w:sz w:val="26"/>
          <w:szCs w:val="28"/>
        </w:rPr>
        <w:t xml:space="preserve">Competition </w:t>
      </w:r>
      <w:r w:rsidRPr="00DF4154">
        <w:rPr>
          <w:rFonts w:ascii="Arial" w:hAnsi="Arial" w:cs="Arial"/>
          <w:sz w:val="26"/>
          <w:szCs w:val="28"/>
        </w:rPr>
        <w:t>Act)</w:t>
      </w:r>
      <w:r w:rsidR="00744229" w:rsidRPr="00DF4154">
        <w:rPr>
          <w:rFonts w:ascii="Arial" w:hAnsi="Arial" w:cs="Arial"/>
          <w:sz w:val="26"/>
          <w:szCs w:val="28"/>
        </w:rPr>
        <w:t xml:space="preserve"> </w:t>
      </w:r>
      <w:r w:rsidRPr="00DF4154">
        <w:rPr>
          <w:rFonts w:ascii="Arial" w:hAnsi="Arial" w:cs="Arial"/>
          <w:sz w:val="26"/>
          <w:szCs w:val="28"/>
        </w:rPr>
        <w:t>which</w:t>
      </w:r>
      <w:r w:rsidR="00744229" w:rsidRPr="00DF4154">
        <w:rPr>
          <w:rFonts w:ascii="Arial" w:hAnsi="Arial" w:cs="Arial"/>
          <w:sz w:val="26"/>
          <w:szCs w:val="28"/>
        </w:rPr>
        <w:t>, before its recent amendment,</w:t>
      </w:r>
      <w:r w:rsidR="00E375BA" w:rsidRPr="00DF4154">
        <w:rPr>
          <w:rStyle w:val="FootnoteReference"/>
          <w:rFonts w:ascii="Arial" w:hAnsi="Arial" w:cs="Arial"/>
          <w:sz w:val="26"/>
          <w:szCs w:val="28"/>
        </w:rPr>
        <w:footnoteReference w:id="1"/>
      </w:r>
      <w:r w:rsidRPr="00DF4154">
        <w:rPr>
          <w:rFonts w:ascii="Arial" w:hAnsi="Arial" w:cs="Arial"/>
          <w:sz w:val="26"/>
          <w:szCs w:val="28"/>
        </w:rPr>
        <w:t xml:space="preserve"> provide</w:t>
      </w:r>
      <w:r w:rsidR="00744229" w:rsidRPr="00DF4154">
        <w:rPr>
          <w:rFonts w:ascii="Arial" w:hAnsi="Arial" w:cs="Arial"/>
          <w:sz w:val="26"/>
          <w:szCs w:val="28"/>
        </w:rPr>
        <w:t>d</w:t>
      </w:r>
      <w:r w:rsidRPr="00DF4154">
        <w:rPr>
          <w:rFonts w:ascii="Arial" w:hAnsi="Arial" w:cs="Arial"/>
          <w:sz w:val="26"/>
          <w:szCs w:val="28"/>
        </w:rPr>
        <w:t xml:space="preserve"> that a complaint in respect of a prohibited practice</w:t>
      </w:r>
      <w:r w:rsidR="004F373D" w:rsidRPr="00DF4154">
        <w:rPr>
          <w:rStyle w:val="FootnoteReference"/>
          <w:rFonts w:ascii="Arial" w:hAnsi="Arial" w:cs="Arial"/>
          <w:sz w:val="26"/>
          <w:szCs w:val="28"/>
        </w:rPr>
        <w:footnoteReference w:id="2"/>
      </w:r>
      <w:r w:rsidRPr="00DF4154">
        <w:rPr>
          <w:rFonts w:ascii="Arial" w:hAnsi="Arial" w:cs="Arial"/>
          <w:sz w:val="26"/>
          <w:szCs w:val="28"/>
        </w:rPr>
        <w:t xml:space="preserve"> may not be initiated more than three years after the prohibited practice has ceased.</w:t>
      </w:r>
    </w:p>
    <w:p w14:paraId="0A7BE86F" w14:textId="77777777" w:rsidR="00C848E2" w:rsidRPr="00DF4154" w:rsidRDefault="00C848E2" w:rsidP="00C848E2">
      <w:pPr>
        <w:pStyle w:val="ListParagraph"/>
        <w:spacing w:line="276" w:lineRule="auto"/>
        <w:jc w:val="both"/>
        <w:rPr>
          <w:rFonts w:ascii="Arial" w:hAnsi="Arial" w:cs="Arial"/>
          <w:sz w:val="26"/>
          <w:szCs w:val="28"/>
        </w:rPr>
      </w:pPr>
    </w:p>
    <w:p w14:paraId="4E909BED" w14:textId="6619980A"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Section 67(1) </w:t>
      </w:r>
      <w:r w:rsidR="00D57D57" w:rsidRPr="00DF4154">
        <w:rPr>
          <w:rFonts w:ascii="Arial" w:hAnsi="Arial" w:cs="Arial"/>
          <w:sz w:val="26"/>
          <w:szCs w:val="28"/>
        </w:rPr>
        <w:t>circumscribes</w:t>
      </w:r>
      <w:r w:rsidRPr="00DF4154">
        <w:rPr>
          <w:rFonts w:ascii="Arial" w:hAnsi="Arial" w:cs="Arial"/>
          <w:sz w:val="26"/>
          <w:szCs w:val="28"/>
        </w:rPr>
        <w:t xml:space="preserve"> the </w:t>
      </w:r>
      <w:r w:rsidR="00D57D57" w:rsidRPr="00DF4154">
        <w:rPr>
          <w:rFonts w:ascii="Arial" w:hAnsi="Arial" w:cs="Arial"/>
          <w:sz w:val="26"/>
          <w:szCs w:val="28"/>
        </w:rPr>
        <w:t xml:space="preserve">power of the </w:t>
      </w:r>
      <w:r w:rsidRPr="00DF4154">
        <w:rPr>
          <w:rFonts w:ascii="Arial" w:hAnsi="Arial" w:cs="Arial"/>
          <w:sz w:val="26"/>
          <w:szCs w:val="28"/>
        </w:rPr>
        <w:t xml:space="preserve">Competition Commission (the Commission) under section 49B(1) of the </w:t>
      </w:r>
      <w:r w:rsidR="00CC336C" w:rsidRPr="00DF4154">
        <w:rPr>
          <w:rFonts w:ascii="Arial" w:hAnsi="Arial" w:cs="Arial"/>
          <w:sz w:val="26"/>
          <w:szCs w:val="28"/>
        </w:rPr>
        <w:t xml:space="preserve">Competition </w:t>
      </w:r>
      <w:r w:rsidRPr="00DF4154">
        <w:rPr>
          <w:rFonts w:ascii="Arial" w:hAnsi="Arial" w:cs="Arial"/>
          <w:sz w:val="26"/>
          <w:szCs w:val="28"/>
        </w:rPr>
        <w:t>Act to initiate a complaint against an alleged prohibited practice, and ensures that the Commission is not burdened, and respondent firms are not disadvantaged, by investigations into conduct which has long since ended.</w:t>
      </w:r>
    </w:p>
    <w:p w14:paraId="1CBAB661" w14:textId="77777777" w:rsidR="00C848E2" w:rsidRPr="00DF4154" w:rsidRDefault="00C848E2" w:rsidP="00C848E2">
      <w:pPr>
        <w:pStyle w:val="ListParagraph"/>
        <w:rPr>
          <w:rFonts w:ascii="Arial" w:hAnsi="Arial" w:cs="Arial"/>
          <w:sz w:val="26"/>
          <w:szCs w:val="28"/>
        </w:rPr>
      </w:pPr>
    </w:p>
    <w:p w14:paraId="41F37491" w14:textId="101D9E8D"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interests of justice are not served by the investigation of alleged prohibited practices long after the event, with all the uncertainty and prejudice </w:t>
      </w:r>
      <w:r w:rsidR="00D57D57" w:rsidRPr="00DF4154">
        <w:rPr>
          <w:rFonts w:ascii="Arial" w:hAnsi="Arial" w:cs="Arial"/>
          <w:sz w:val="26"/>
          <w:szCs w:val="28"/>
        </w:rPr>
        <w:t>occasioned by such a delay.</w:t>
      </w:r>
      <w:r w:rsidR="00E375BA" w:rsidRPr="00DF4154">
        <w:rPr>
          <w:rStyle w:val="FootnoteReference"/>
          <w:rFonts w:ascii="Arial" w:hAnsi="Arial" w:cs="Arial"/>
          <w:sz w:val="26"/>
          <w:szCs w:val="28"/>
        </w:rPr>
        <w:footnoteReference w:id="3"/>
      </w:r>
      <w:r w:rsidRPr="00DF4154">
        <w:rPr>
          <w:rFonts w:ascii="Arial" w:hAnsi="Arial" w:cs="Arial"/>
          <w:sz w:val="26"/>
          <w:szCs w:val="28"/>
        </w:rPr>
        <w:t xml:space="preserve"> All the more so when the investigation is conducted by a regulatory body which is armed with an </w:t>
      </w:r>
      <w:r w:rsidRPr="00DF4154">
        <w:rPr>
          <w:rFonts w:ascii="Arial" w:hAnsi="Arial" w:cs="Arial"/>
          <w:sz w:val="26"/>
          <w:szCs w:val="28"/>
        </w:rPr>
        <w:lastRenderedPageBreak/>
        <w:t xml:space="preserve">impressive array of </w:t>
      </w:r>
      <w:r w:rsidR="00D57D57" w:rsidRPr="00DF4154">
        <w:rPr>
          <w:rFonts w:ascii="Arial" w:hAnsi="Arial" w:cs="Arial"/>
          <w:sz w:val="26"/>
          <w:szCs w:val="28"/>
        </w:rPr>
        <w:t>far-reaching and invasive powers</w:t>
      </w:r>
      <w:r w:rsidRPr="00DF4154">
        <w:rPr>
          <w:rFonts w:ascii="Arial" w:hAnsi="Arial" w:cs="Arial"/>
          <w:sz w:val="26"/>
          <w:szCs w:val="28"/>
        </w:rPr>
        <w:t xml:space="preserve"> to identify misconduct, against a respondent which faces </w:t>
      </w:r>
      <w:r w:rsidR="00A9398C" w:rsidRPr="00DF4154">
        <w:rPr>
          <w:rFonts w:ascii="Arial" w:hAnsi="Arial" w:cs="Arial"/>
          <w:sz w:val="26"/>
          <w:szCs w:val="28"/>
        </w:rPr>
        <w:t>formidable</w:t>
      </w:r>
      <w:r w:rsidR="00D57D57" w:rsidRPr="00DF4154">
        <w:rPr>
          <w:rFonts w:ascii="Arial" w:hAnsi="Arial" w:cs="Arial"/>
          <w:sz w:val="26"/>
          <w:szCs w:val="28"/>
        </w:rPr>
        <w:t xml:space="preserve"> </w:t>
      </w:r>
      <w:r w:rsidRPr="00DF4154">
        <w:rPr>
          <w:rFonts w:ascii="Arial" w:hAnsi="Arial" w:cs="Arial"/>
          <w:sz w:val="26"/>
          <w:szCs w:val="28"/>
        </w:rPr>
        <w:t>civil and criminal penalties.</w:t>
      </w:r>
      <w:r w:rsidR="0018492A" w:rsidRPr="00DF4154">
        <w:rPr>
          <w:rStyle w:val="FootnoteReference"/>
          <w:rFonts w:ascii="Arial" w:hAnsi="Arial" w:cs="Arial"/>
          <w:sz w:val="26"/>
          <w:szCs w:val="28"/>
        </w:rPr>
        <w:footnoteReference w:id="4"/>
      </w:r>
    </w:p>
    <w:p w14:paraId="33CBA389" w14:textId="77777777" w:rsidR="00C848E2" w:rsidRPr="00DF4154" w:rsidRDefault="00C848E2" w:rsidP="00C848E2">
      <w:pPr>
        <w:pStyle w:val="ListParagraph"/>
        <w:spacing w:line="276" w:lineRule="auto"/>
        <w:jc w:val="both"/>
        <w:rPr>
          <w:rFonts w:ascii="Arial" w:hAnsi="Arial" w:cs="Arial"/>
          <w:sz w:val="26"/>
          <w:szCs w:val="28"/>
        </w:rPr>
      </w:pPr>
    </w:p>
    <w:p w14:paraId="264D95D7" w14:textId="0E2CEF5B"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In a complaint referred to the Competition Tribunal (the Tribunal) on 11 September 2015, the Commission alleged that the first respondent (Pickfords) had engaged </w:t>
      </w:r>
      <w:r w:rsidR="0018492A" w:rsidRPr="00DF4154">
        <w:rPr>
          <w:rFonts w:ascii="Arial" w:hAnsi="Arial" w:cs="Arial"/>
          <w:sz w:val="26"/>
          <w:szCs w:val="28"/>
        </w:rPr>
        <w:t>in 36 “</w:t>
      </w:r>
      <w:r w:rsidRPr="00DF4154">
        <w:rPr>
          <w:rFonts w:ascii="Arial" w:hAnsi="Arial" w:cs="Arial"/>
          <w:i/>
          <w:iCs/>
          <w:sz w:val="26"/>
          <w:szCs w:val="28"/>
        </w:rPr>
        <w:t>discrete bilateral collusive agreements</w:t>
      </w:r>
      <w:r w:rsidR="0018492A" w:rsidRPr="00DF4154">
        <w:rPr>
          <w:rFonts w:ascii="Arial" w:hAnsi="Arial" w:cs="Arial"/>
          <w:sz w:val="26"/>
          <w:szCs w:val="28"/>
        </w:rPr>
        <w:t>”</w:t>
      </w:r>
      <w:r w:rsidRPr="00DF4154">
        <w:rPr>
          <w:rFonts w:ascii="Arial" w:hAnsi="Arial" w:cs="Arial"/>
          <w:sz w:val="26"/>
          <w:szCs w:val="28"/>
        </w:rPr>
        <w:t xml:space="preserve"> in respect of tenders for furniture removals, in contravention of section</w:t>
      </w:r>
      <w:r w:rsidR="00027CFF">
        <w:rPr>
          <w:rFonts w:ascii="Arial" w:hAnsi="Arial" w:cs="Arial"/>
          <w:sz w:val="26"/>
          <w:szCs w:val="28"/>
        </w:rPr>
        <w:t> </w:t>
      </w:r>
      <w:r w:rsidRPr="00DF4154">
        <w:rPr>
          <w:rFonts w:ascii="Arial" w:hAnsi="Arial" w:cs="Arial"/>
          <w:sz w:val="26"/>
          <w:szCs w:val="28"/>
        </w:rPr>
        <w:t xml:space="preserve">4(1)(b)(iii) of the </w:t>
      </w:r>
      <w:r w:rsidR="0018492A" w:rsidRPr="00DF4154">
        <w:rPr>
          <w:rFonts w:ascii="Arial" w:hAnsi="Arial" w:cs="Arial"/>
          <w:sz w:val="26"/>
          <w:szCs w:val="28"/>
        </w:rPr>
        <w:t xml:space="preserve">Competition </w:t>
      </w:r>
      <w:r w:rsidRPr="00DF4154">
        <w:rPr>
          <w:rFonts w:ascii="Arial" w:hAnsi="Arial" w:cs="Arial"/>
          <w:sz w:val="26"/>
          <w:szCs w:val="28"/>
        </w:rPr>
        <w:t>Act (the alleged contraventions).</w:t>
      </w:r>
    </w:p>
    <w:p w14:paraId="097A0F22" w14:textId="77777777" w:rsidR="00C848E2" w:rsidRPr="00DF4154" w:rsidRDefault="00C848E2" w:rsidP="00C848E2">
      <w:pPr>
        <w:pStyle w:val="ListParagraph"/>
        <w:rPr>
          <w:rFonts w:ascii="Arial" w:hAnsi="Arial" w:cs="Arial"/>
          <w:sz w:val="26"/>
          <w:szCs w:val="28"/>
        </w:rPr>
      </w:pPr>
    </w:p>
    <w:p w14:paraId="2A558968" w14:textId="137FA5D2"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Pickfords raised a preliminary objection to the referral of 20 of the alleged contraventions (the impugned referrals), on the basis that they were precluded by section 67(1) of the </w:t>
      </w:r>
      <w:r w:rsidR="00CC336C" w:rsidRPr="00DF4154">
        <w:rPr>
          <w:rFonts w:ascii="Arial" w:hAnsi="Arial" w:cs="Arial"/>
          <w:sz w:val="26"/>
          <w:szCs w:val="28"/>
        </w:rPr>
        <w:t xml:space="preserve">Competition </w:t>
      </w:r>
      <w:r w:rsidRPr="00DF4154">
        <w:rPr>
          <w:rFonts w:ascii="Arial" w:hAnsi="Arial" w:cs="Arial"/>
          <w:sz w:val="26"/>
          <w:szCs w:val="28"/>
        </w:rPr>
        <w:t xml:space="preserve">Act because in each case the complaint had been initiated more than three years after the </w:t>
      </w:r>
      <w:r w:rsidR="004F373D" w:rsidRPr="00DF4154">
        <w:rPr>
          <w:rFonts w:ascii="Arial" w:hAnsi="Arial" w:cs="Arial"/>
          <w:sz w:val="26"/>
          <w:szCs w:val="28"/>
        </w:rPr>
        <w:t xml:space="preserve">alleged </w:t>
      </w:r>
      <w:r w:rsidR="0018492A" w:rsidRPr="00DF4154">
        <w:rPr>
          <w:rFonts w:ascii="Arial" w:hAnsi="Arial" w:cs="Arial"/>
          <w:sz w:val="26"/>
          <w:szCs w:val="28"/>
        </w:rPr>
        <w:t xml:space="preserve">prohibited </w:t>
      </w:r>
      <w:r w:rsidR="004F373D" w:rsidRPr="00DF4154">
        <w:rPr>
          <w:rFonts w:ascii="Arial" w:hAnsi="Arial" w:cs="Arial"/>
          <w:sz w:val="26"/>
          <w:szCs w:val="28"/>
        </w:rPr>
        <w:t xml:space="preserve">practice </w:t>
      </w:r>
      <w:r w:rsidRPr="00DF4154">
        <w:rPr>
          <w:rFonts w:ascii="Arial" w:hAnsi="Arial" w:cs="Arial"/>
          <w:sz w:val="26"/>
          <w:szCs w:val="28"/>
        </w:rPr>
        <w:t xml:space="preserve">ceased. </w:t>
      </w:r>
    </w:p>
    <w:p w14:paraId="2E8521E4" w14:textId="77777777" w:rsidR="00C848E2" w:rsidRPr="00DF4154" w:rsidRDefault="00C848E2" w:rsidP="00C848E2">
      <w:pPr>
        <w:pStyle w:val="ListParagraph"/>
        <w:spacing w:after="0" w:line="276" w:lineRule="auto"/>
        <w:jc w:val="both"/>
        <w:rPr>
          <w:rFonts w:ascii="Arial" w:hAnsi="Arial" w:cs="Arial"/>
          <w:sz w:val="26"/>
          <w:szCs w:val="28"/>
        </w:rPr>
      </w:pPr>
    </w:p>
    <w:p w14:paraId="4471E9C4" w14:textId="35E3DD70" w:rsidR="00C848E2" w:rsidRPr="00DF4154" w:rsidRDefault="004F373D"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Following </w:t>
      </w:r>
      <w:r w:rsidR="00C848E2" w:rsidRPr="00DF4154">
        <w:rPr>
          <w:rFonts w:ascii="Arial" w:hAnsi="Arial" w:cs="Arial"/>
          <w:sz w:val="26"/>
          <w:szCs w:val="28"/>
        </w:rPr>
        <w:t xml:space="preserve">the Tribunal’s determination of the preliminary objection, handed down on 28 June 2018 (the Tribunal decision), and the decision of the Competition Appeal Court (the CAC) in the Commission’s appeal against the Tribunal decision (the CAC decision), the following issues </w:t>
      </w:r>
      <w:r w:rsidR="00844C0F" w:rsidRPr="00DF4154">
        <w:rPr>
          <w:rFonts w:ascii="Arial" w:hAnsi="Arial" w:cs="Arial"/>
          <w:sz w:val="26"/>
          <w:szCs w:val="28"/>
        </w:rPr>
        <w:t xml:space="preserve">will be before this Court if the </w:t>
      </w:r>
      <w:r w:rsidR="00D65F35" w:rsidRPr="00DF4154">
        <w:rPr>
          <w:rFonts w:ascii="Arial" w:hAnsi="Arial" w:cs="Arial"/>
          <w:sz w:val="26"/>
          <w:szCs w:val="28"/>
        </w:rPr>
        <w:t>Commission’s application for leave to appeal succeed</w:t>
      </w:r>
      <w:r w:rsidR="00844C0F" w:rsidRPr="00DF4154">
        <w:rPr>
          <w:rFonts w:ascii="Arial" w:hAnsi="Arial" w:cs="Arial"/>
          <w:sz w:val="26"/>
          <w:szCs w:val="28"/>
        </w:rPr>
        <w:t>s</w:t>
      </w:r>
      <w:r w:rsidR="00C848E2" w:rsidRPr="00DF4154">
        <w:rPr>
          <w:rFonts w:ascii="Arial" w:hAnsi="Arial" w:cs="Arial"/>
          <w:sz w:val="26"/>
          <w:szCs w:val="28"/>
        </w:rPr>
        <w:t>:</w:t>
      </w:r>
    </w:p>
    <w:p w14:paraId="6121D80C" w14:textId="77777777" w:rsidR="00C848E2" w:rsidRPr="00DF4154" w:rsidRDefault="00C848E2" w:rsidP="00C848E2">
      <w:pPr>
        <w:pStyle w:val="ListParagraph"/>
        <w:rPr>
          <w:rFonts w:ascii="Arial" w:hAnsi="Arial" w:cs="Arial"/>
          <w:sz w:val="26"/>
          <w:szCs w:val="28"/>
        </w:rPr>
      </w:pPr>
    </w:p>
    <w:p w14:paraId="6A6A2803" w14:textId="77777777" w:rsidR="00C848E2" w:rsidRPr="00DF4154" w:rsidRDefault="00C848E2" w:rsidP="00C848E2">
      <w:pPr>
        <w:pStyle w:val="ListParagraph"/>
        <w:numPr>
          <w:ilvl w:val="1"/>
          <w:numId w:val="1"/>
        </w:numPr>
        <w:spacing w:after="0" w:line="480" w:lineRule="auto"/>
        <w:jc w:val="both"/>
        <w:rPr>
          <w:rFonts w:ascii="Arial" w:hAnsi="Arial" w:cs="Arial"/>
          <w:sz w:val="26"/>
          <w:szCs w:val="28"/>
        </w:rPr>
      </w:pPr>
      <w:r w:rsidRPr="00DF4154">
        <w:rPr>
          <w:rFonts w:ascii="Arial" w:hAnsi="Arial" w:cs="Arial"/>
          <w:sz w:val="26"/>
          <w:szCs w:val="28"/>
        </w:rPr>
        <w:t>First, whether the complaint which the Commission referred to the Tribunal in respect of the alleged contraventions was initiated on 3 November 2010 or on 1 June 2011 (the initiation issue).</w:t>
      </w:r>
    </w:p>
    <w:p w14:paraId="058DEB43" w14:textId="77777777" w:rsidR="00C848E2" w:rsidRPr="00DF4154" w:rsidRDefault="00C848E2" w:rsidP="00C848E2">
      <w:pPr>
        <w:pStyle w:val="ListParagraph"/>
        <w:spacing w:after="0" w:line="276" w:lineRule="auto"/>
        <w:ind w:left="1440"/>
        <w:jc w:val="both"/>
        <w:rPr>
          <w:rFonts w:ascii="Arial" w:hAnsi="Arial" w:cs="Arial"/>
          <w:sz w:val="26"/>
          <w:szCs w:val="28"/>
        </w:rPr>
      </w:pPr>
    </w:p>
    <w:p w14:paraId="30871998" w14:textId="6C605BD3" w:rsidR="00C848E2" w:rsidRPr="00DF4154" w:rsidRDefault="00C848E2" w:rsidP="00C848E2">
      <w:pPr>
        <w:pStyle w:val="ListParagraph"/>
        <w:numPr>
          <w:ilvl w:val="1"/>
          <w:numId w:val="1"/>
        </w:numPr>
        <w:spacing w:after="0" w:line="480" w:lineRule="auto"/>
        <w:jc w:val="both"/>
        <w:rPr>
          <w:rFonts w:ascii="Arial" w:hAnsi="Arial" w:cs="Arial"/>
          <w:sz w:val="26"/>
          <w:szCs w:val="28"/>
        </w:rPr>
      </w:pPr>
      <w:r w:rsidRPr="00DF4154">
        <w:rPr>
          <w:rFonts w:ascii="Arial" w:hAnsi="Arial" w:cs="Arial"/>
          <w:sz w:val="26"/>
          <w:szCs w:val="28"/>
        </w:rPr>
        <w:t xml:space="preserve">Second, whether the three-year period indicated in section 67(1) of the </w:t>
      </w:r>
      <w:r w:rsidR="00CC336C" w:rsidRPr="00DF4154">
        <w:rPr>
          <w:rFonts w:ascii="Arial" w:hAnsi="Arial" w:cs="Arial"/>
          <w:sz w:val="26"/>
          <w:szCs w:val="28"/>
        </w:rPr>
        <w:t xml:space="preserve">Competition </w:t>
      </w:r>
      <w:r w:rsidRPr="00DF4154">
        <w:rPr>
          <w:rFonts w:ascii="Arial" w:hAnsi="Arial" w:cs="Arial"/>
          <w:sz w:val="26"/>
          <w:szCs w:val="28"/>
        </w:rPr>
        <w:t xml:space="preserve">Act began to run, in respect of each of the alleged contraventions, (a) from the date on which the </w:t>
      </w:r>
      <w:r w:rsidR="00A9398C" w:rsidRPr="00DF4154">
        <w:rPr>
          <w:rFonts w:ascii="Arial" w:hAnsi="Arial" w:cs="Arial"/>
          <w:sz w:val="26"/>
          <w:szCs w:val="28"/>
        </w:rPr>
        <w:t>alleged prohibited practice</w:t>
      </w:r>
      <w:r w:rsidRPr="00DF4154">
        <w:rPr>
          <w:rFonts w:ascii="Arial" w:hAnsi="Arial" w:cs="Arial"/>
          <w:sz w:val="26"/>
          <w:szCs w:val="28"/>
        </w:rPr>
        <w:t xml:space="preserve"> c</w:t>
      </w:r>
      <w:r w:rsidR="0018492A" w:rsidRPr="00DF4154">
        <w:rPr>
          <w:rFonts w:ascii="Arial" w:hAnsi="Arial" w:cs="Arial"/>
          <w:sz w:val="26"/>
          <w:szCs w:val="28"/>
        </w:rPr>
        <w:t>eased,</w:t>
      </w:r>
      <w:r w:rsidR="00185528" w:rsidRPr="00DF4154">
        <w:rPr>
          <w:rStyle w:val="FootnoteReference"/>
          <w:rFonts w:ascii="Arial" w:hAnsi="Arial" w:cs="Arial"/>
          <w:sz w:val="26"/>
          <w:szCs w:val="28"/>
        </w:rPr>
        <w:footnoteReference w:id="5"/>
      </w:r>
      <w:r w:rsidR="0018492A" w:rsidRPr="00DF4154">
        <w:rPr>
          <w:rFonts w:ascii="Arial" w:hAnsi="Arial" w:cs="Arial"/>
          <w:sz w:val="26"/>
          <w:szCs w:val="28"/>
        </w:rPr>
        <w:t xml:space="preserve"> or (b) from the date on which</w:t>
      </w:r>
      <w:r w:rsidRPr="00DF4154">
        <w:rPr>
          <w:rFonts w:ascii="Arial" w:hAnsi="Arial" w:cs="Arial"/>
          <w:sz w:val="26"/>
          <w:szCs w:val="28"/>
        </w:rPr>
        <w:t xml:space="preserve"> the Commission acquired knowledge of the </w:t>
      </w:r>
      <w:r w:rsidR="00A9398C" w:rsidRPr="00DF4154">
        <w:rPr>
          <w:rFonts w:ascii="Arial" w:hAnsi="Arial" w:cs="Arial"/>
          <w:sz w:val="26"/>
          <w:szCs w:val="28"/>
        </w:rPr>
        <w:t>alleged prohibited practice</w:t>
      </w:r>
      <w:r w:rsidRPr="00DF4154">
        <w:rPr>
          <w:rFonts w:ascii="Arial" w:hAnsi="Arial" w:cs="Arial"/>
          <w:sz w:val="26"/>
          <w:szCs w:val="28"/>
        </w:rPr>
        <w:t xml:space="preserve"> (the commencement issue).</w:t>
      </w:r>
    </w:p>
    <w:p w14:paraId="49EDB529" w14:textId="77777777" w:rsidR="00C848E2" w:rsidRPr="00DF4154" w:rsidRDefault="00C848E2" w:rsidP="00C848E2">
      <w:pPr>
        <w:pStyle w:val="ListParagraph"/>
        <w:rPr>
          <w:rFonts w:ascii="Arial" w:hAnsi="Arial" w:cs="Arial"/>
          <w:sz w:val="26"/>
          <w:szCs w:val="28"/>
        </w:rPr>
      </w:pPr>
    </w:p>
    <w:p w14:paraId="3F4BB0AC" w14:textId="5E26FD1B" w:rsidR="00C848E2" w:rsidRPr="00DF4154" w:rsidRDefault="00C848E2" w:rsidP="00C848E2">
      <w:pPr>
        <w:pStyle w:val="ListParagraph"/>
        <w:numPr>
          <w:ilvl w:val="1"/>
          <w:numId w:val="1"/>
        </w:numPr>
        <w:spacing w:after="0" w:line="480" w:lineRule="auto"/>
        <w:jc w:val="both"/>
        <w:rPr>
          <w:rFonts w:ascii="Arial" w:hAnsi="Arial" w:cs="Arial"/>
          <w:sz w:val="26"/>
          <w:szCs w:val="28"/>
        </w:rPr>
      </w:pPr>
      <w:r w:rsidRPr="00DF4154">
        <w:rPr>
          <w:rFonts w:ascii="Arial" w:hAnsi="Arial" w:cs="Arial"/>
          <w:sz w:val="26"/>
          <w:szCs w:val="28"/>
        </w:rPr>
        <w:t xml:space="preserve">Third, whether the Tribunal has the power to condone </w:t>
      </w:r>
      <w:r w:rsidR="00BD7095" w:rsidRPr="00DF4154">
        <w:rPr>
          <w:rFonts w:ascii="Arial" w:hAnsi="Arial" w:cs="Arial"/>
          <w:sz w:val="26"/>
          <w:szCs w:val="28"/>
        </w:rPr>
        <w:t>“</w:t>
      </w:r>
      <w:r w:rsidRPr="00DF4154">
        <w:rPr>
          <w:rFonts w:ascii="Arial" w:hAnsi="Arial" w:cs="Arial"/>
          <w:sz w:val="26"/>
          <w:szCs w:val="28"/>
        </w:rPr>
        <w:t>non-compliance</w:t>
      </w:r>
      <w:r w:rsidR="00BD7095" w:rsidRPr="00DF4154">
        <w:rPr>
          <w:rFonts w:ascii="Arial" w:hAnsi="Arial" w:cs="Arial"/>
          <w:sz w:val="26"/>
          <w:szCs w:val="28"/>
        </w:rPr>
        <w:t>”</w:t>
      </w:r>
      <w:r w:rsidRPr="00DF4154">
        <w:rPr>
          <w:rFonts w:ascii="Arial" w:hAnsi="Arial" w:cs="Arial"/>
          <w:sz w:val="26"/>
          <w:szCs w:val="28"/>
        </w:rPr>
        <w:t xml:space="preserve"> with section 67(1) and authorise the initiation of a complaint after the three-year </w:t>
      </w:r>
      <w:r w:rsidR="004F373D" w:rsidRPr="00DF4154">
        <w:rPr>
          <w:rFonts w:ascii="Arial" w:hAnsi="Arial" w:cs="Arial"/>
          <w:sz w:val="26"/>
          <w:szCs w:val="28"/>
        </w:rPr>
        <w:t>p</w:t>
      </w:r>
      <w:r w:rsidRPr="00DF4154">
        <w:rPr>
          <w:rFonts w:ascii="Arial" w:hAnsi="Arial" w:cs="Arial"/>
          <w:sz w:val="26"/>
          <w:szCs w:val="28"/>
        </w:rPr>
        <w:t>eriod has elapsed (the condonation issue).</w:t>
      </w:r>
    </w:p>
    <w:p w14:paraId="55C59AF6" w14:textId="77777777" w:rsidR="00C848E2" w:rsidRPr="00DF4154" w:rsidRDefault="00C848E2" w:rsidP="00C848E2">
      <w:pPr>
        <w:pStyle w:val="ListParagraph"/>
        <w:spacing w:after="0" w:line="276" w:lineRule="auto"/>
        <w:jc w:val="both"/>
        <w:rPr>
          <w:rFonts w:ascii="Arial" w:hAnsi="Arial" w:cs="Arial"/>
          <w:sz w:val="26"/>
          <w:szCs w:val="28"/>
        </w:rPr>
      </w:pPr>
    </w:p>
    <w:p w14:paraId="18D6BF76" w14:textId="4CED46E7" w:rsidR="00C848E2" w:rsidRPr="00DF4154" w:rsidRDefault="00C848E2" w:rsidP="00C848E2">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lastRenderedPageBreak/>
        <w:t>Before addressing each of these issues in the light of the applicable law and the pertinent facts, we consider (a) the meaning and application of sections 49</w:t>
      </w:r>
      <w:proofErr w:type="gramStart"/>
      <w:r w:rsidRPr="00DF4154">
        <w:rPr>
          <w:rFonts w:ascii="Arial" w:hAnsi="Arial" w:cs="Arial"/>
          <w:sz w:val="26"/>
          <w:szCs w:val="28"/>
        </w:rPr>
        <w:t>B(</w:t>
      </w:r>
      <w:proofErr w:type="gramEnd"/>
      <w:r w:rsidRPr="00DF4154">
        <w:rPr>
          <w:rFonts w:ascii="Arial" w:hAnsi="Arial" w:cs="Arial"/>
          <w:sz w:val="26"/>
          <w:szCs w:val="28"/>
        </w:rPr>
        <w:t xml:space="preserve">1) and 67(1) of the </w:t>
      </w:r>
      <w:r w:rsidR="00CC336C" w:rsidRPr="00DF4154">
        <w:rPr>
          <w:rFonts w:ascii="Arial" w:hAnsi="Arial" w:cs="Arial"/>
          <w:sz w:val="26"/>
          <w:szCs w:val="28"/>
        </w:rPr>
        <w:t xml:space="preserve">Competition </w:t>
      </w:r>
      <w:r w:rsidRPr="00DF4154">
        <w:rPr>
          <w:rFonts w:ascii="Arial" w:hAnsi="Arial" w:cs="Arial"/>
          <w:sz w:val="26"/>
          <w:szCs w:val="28"/>
        </w:rPr>
        <w:t>Act (the key provisions); and (b) the conduct relied upon by the Commission to establish the alleged contraventions.</w:t>
      </w:r>
    </w:p>
    <w:p w14:paraId="45C5F006" w14:textId="77777777" w:rsidR="00185528" w:rsidRPr="00DF4154" w:rsidRDefault="00185528" w:rsidP="003D1E2B">
      <w:pPr>
        <w:pStyle w:val="ListParagraph"/>
        <w:spacing w:line="276" w:lineRule="auto"/>
        <w:jc w:val="both"/>
        <w:rPr>
          <w:rFonts w:ascii="Arial" w:hAnsi="Arial" w:cs="Arial"/>
          <w:sz w:val="26"/>
          <w:szCs w:val="28"/>
        </w:rPr>
      </w:pPr>
    </w:p>
    <w:p w14:paraId="4F4CB5F5" w14:textId="11AD00FA" w:rsidR="00185528" w:rsidRPr="00DF4154" w:rsidRDefault="00185528" w:rsidP="00C848E2">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In these submissions all references to the Competition Act are references to the</w:t>
      </w:r>
      <w:r w:rsidR="00B346FE" w:rsidRPr="00DF4154">
        <w:rPr>
          <w:rFonts w:ascii="Arial" w:hAnsi="Arial" w:cs="Arial"/>
          <w:sz w:val="26"/>
          <w:szCs w:val="28"/>
        </w:rPr>
        <w:t xml:space="preserve"> Competition Act before its amendment by the Competition</w:t>
      </w:r>
      <w:r w:rsidR="00027CFF">
        <w:rPr>
          <w:rFonts w:ascii="Arial" w:hAnsi="Arial" w:cs="Arial"/>
          <w:sz w:val="26"/>
          <w:szCs w:val="28"/>
        </w:rPr>
        <w:t xml:space="preserve"> Amendment</w:t>
      </w:r>
      <w:r w:rsidR="00B346FE" w:rsidRPr="00DF4154">
        <w:rPr>
          <w:rFonts w:ascii="Arial" w:hAnsi="Arial" w:cs="Arial"/>
          <w:sz w:val="26"/>
          <w:szCs w:val="28"/>
        </w:rPr>
        <w:t xml:space="preserve"> Act, 18 of</w:t>
      </w:r>
      <w:r w:rsidR="00027CFF">
        <w:rPr>
          <w:rFonts w:ascii="Arial" w:hAnsi="Arial" w:cs="Arial"/>
          <w:sz w:val="26"/>
          <w:szCs w:val="28"/>
        </w:rPr>
        <w:t> </w:t>
      </w:r>
      <w:r w:rsidR="00B346FE" w:rsidRPr="00DF4154">
        <w:rPr>
          <w:rFonts w:ascii="Arial" w:hAnsi="Arial" w:cs="Arial"/>
          <w:sz w:val="26"/>
          <w:szCs w:val="28"/>
        </w:rPr>
        <w:t>2018.</w:t>
      </w:r>
      <w:r w:rsidR="00B346FE" w:rsidRPr="00DF4154">
        <w:rPr>
          <w:rStyle w:val="FootnoteReference"/>
          <w:rFonts w:ascii="Arial" w:hAnsi="Arial" w:cs="Arial"/>
          <w:sz w:val="26"/>
          <w:szCs w:val="28"/>
        </w:rPr>
        <w:footnoteReference w:id="6"/>
      </w:r>
    </w:p>
    <w:p w14:paraId="4CC7FDDC" w14:textId="1CE2B449" w:rsidR="00C848E2" w:rsidRPr="00DF4154" w:rsidRDefault="00C848E2" w:rsidP="00C848E2">
      <w:pPr>
        <w:spacing w:before="240" w:after="120" w:line="480" w:lineRule="auto"/>
        <w:jc w:val="both"/>
        <w:rPr>
          <w:rFonts w:ascii="Arial" w:hAnsi="Arial" w:cs="Arial"/>
          <w:b/>
          <w:bCs/>
          <w:sz w:val="26"/>
          <w:szCs w:val="28"/>
        </w:rPr>
      </w:pPr>
      <w:r w:rsidRPr="00DF4154">
        <w:rPr>
          <w:rFonts w:ascii="Arial" w:hAnsi="Arial" w:cs="Arial"/>
          <w:b/>
          <w:bCs/>
          <w:sz w:val="26"/>
          <w:szCs w:val="28"/>
        </w:rPr>
        <w:t>THE KEY PROVISIONS</w:t>
      </w:r>
    </w:p>
    <w:p w14:paraId="0A004A38" w14:textId="314AE1CA" w:rsidR="00BF7846" w:rsidRPr="00DF4154" w:rsidRDefault="00BF7846" w:rsidP="00BF7846">
      <w:pPr>
        <w:spacing w:before="240" w:after="120" w:line="480" w:lineRule="auto"/>
        <w:jc w:val="both"/>
        <w:rPr>
          <w:rFonts w:ascii="Arial" w:hAnsi="Arial" w:cs="Arial"/>
          <w:b/>
          <w:bCs/>
          <w:sz w:val="26"/>
          <w:szCs w:val="28"/>
        </w:rPr>
      </w:pPr>
      <w:r w:rsidRPr="00DF4154">
        <w:rPr>
          <w:rFonts w:ascii="Arial" w:hAnsi="Arial" w:cs="Arial"/>
          <w:b/>
          <w:bCs/>
          <w:sz w:val="26"/>
          <w:szCs w:val="28"/>
        </w:rPr>
        <w:t>Initiation, investigation and referral of complaints</w:t>
      </w:r>
    </w:p>
    <w:p w14:paraId="21CB5F6C" w14:textId="13F75C7F" w:rsidR="006E21C5" w:rsidRPr="00DF4154" w:rsidRDefault="006E21C5" w:rsidP="00C848E2">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The Commission is a creature of statute, and</w:t>
      </w:r>
      <w:r w:rsidR="00F14424" w:rsidRPr="00DF4154">
        <w:rPr>
          <w:rFonts w:ascii="Arial" w:hAnsi="Arial" w:cs="Arial"/>
          <w:sz w:val="26"/>
          <w:szCs w:val="28"/>
        </w:rPr>
        <w:t xml:space="preserve"> has only the powers conferred on it by the </w:t>
      </w:r>
      <w:r w:rsidR="00CC336C" w:rsidRPr="00DF4154">
        <w:rPr>
          <w:rFonts w:ascii="Arial" w:hAnsi="Arial" w:cs="Arial"/>
          <w:sz w:val="26"/>
          <w:szCs w:val="28"/>
        </w:rPr>
        <w:t xml:space="preserve">Competition </w:t>
      </w:r>
      <w:r w:rsidR="00F14424" w:rsidRPr="00DF4154">
        <w:rPr>
          <w:rFonts w:ascii="Arial" w:hAnsi="Arial" w:cs="Arial"/>
          <w:sz w:val="26"/>
          <w:szCs w:val="28"/>
        </w:rPr>
        <w:t>Act.</w:t>
      </w:r>
      <w:r w:rsidR="003324DC" w:rsidRPr="00DF4154">
        <w:rPr>
          <w:rStyle w:val="FootnoteReference"/>
          <w:rFonts w:ascii="Arial" w:hAnsi="Arial" w:cs="Arial"/>
          <w:sz w:val="26"/>
          <w:szCs w:val="28"/>
        </w:rPr>
        <w:footnoteReference w:id="7"/>
      </w:r>
    </w:p>
    <w:p w14:paraId="30641B2F" w14:textId="77777777" w:rsidR="00C34BDB" w:rsidRPr="00DF4154" w:rsidRDefault="00C34BDB" w:rsidP="00115F73">
      <w:pPr>
        <w:pStyle w:val="ListParagraph"/>
        <w:spacing w:before="240" w:after="120" w:line="276" w:lineRule="auto"/>
        <w:jc w:val="both"/>
        <w:rPr>
          <w:rFonts w:ascii="Arial" w:hAnsi="Arial" w:cs="Arial"/>
          <w:sz w:val="26"/>
          <w:szCs w:val="28"/>
        </w:rPr>
      </w:pPr>
    </w:p>
    <w:p w14:paraId="4FE17CF4" w14:textId="2653A74D" w:rsidR="006E21C5" w:rsidRPr="00DF4154" w:rsidRDefault="006E21C5" w:rsidP="00C848E2">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One of its principal functions is to investigate alleged contraventions of Chapter 2 of the Act</w:t>
      </w:r>
      <w:r w:rsidR="00C34BDB" w:rsidRPr="00DF4154">
        <w:rPr>
          <w:rFonts w:ascii="Arial" w:hAnsi="Arial" w:cs="Arial"/>
          <w:sz w:val="26"/>
          <w:szCs w:val="28"/>
        </w:rPr>
        <w:t>, so-called “prohibited practices”.</w:t>
      </w:r>
      <w:r w:rsidR="00C34BDB" w:rsidRPr="00DF4154">
        <w:rPr>
          <w:rStyle w:val="FootnoteReference"/>
          <w:rFonts w:ascii="Arial" w:hAnsi="Arial" w:cs="Arial"/>
          <w:sz w:val="26"/>
          <w:szCs w:val="28"/>
        </w:rPr>
        <w:footnoteReference w:id="8"/>
      </w:r>
      <w:r w:rsidR="00C34BDB" w:rsidRPr="00DF4154">
        <w:rPr>
          <w:rFonts w:ascii="Arial" w:hAnsi="Arial" w:cs="Arial"/>
          <w:sz w:val="26"/>
          <w:szCs w:val="28"/>
        </w:rPr>
        <w:t xml:space="preserve"> Another is to refer</w:t>
      </w:r>
      <w:r w:rsidR="006D1149" w:rsidRPr="00DF4154">
        <w:rPr>
          <w:rFonts w:ascii="Arial" w:hAnsi="Arial" w:cs="Arial"/>
          <w:sz w:val="26"/>
          <w:szCs w:val="28"/>
        </w:rPr>
        <w:t xml:space="preserve"> complaints</w:t>
      </w:r>
      <w:r w:rsidR="00C34BDB" w:rsidRPr="00DF4154">
        <w:rPr>
          <w:rFonts w:ascii="Arial" w:hAnsi="Arial" w:cs="Arial"/>
          <w:sz w:val="26"/>
          <w:szCs w:val="28"/>
        </w:rPr>
        <w:t xml:space="preserve"> to the Tribunal.</w:t>
      </w:r>
      <w:r w:rsidR="00C34BDB" w:rsidRPr="00DF4154">
        <w:rPr>
          <w:rStyle w:val="FootnoteReference"/>
          <w:rFonts w:ascii="Arial" w:hAnsi="Arial" w:cs="Arial"/>
          <w:sz w:val="26"/>
          <w:szCs w:val="28"/>
        </w:rPr>
        <w:footnoteReference w:id="9"/>
      </w:r>
    </w:p>
    <w:p w14:paraId="64D5B813" w14:textId="77777777" w:rsidR="00115F73" w:rsidRPr="00DF4154" w:rsidRDefault="00115F73" w:rsidP="00115F73">
      <w:pPr>
        <w:pStyle w:val="ListParagraph"/>
        <w:rPr>
          <w:rFonts w:ascii="Arial" w:hAnsi="Arial" w:cs="Arial"/>
          <w:sz w:val="26"/>
          <w:szCs w:val="28"/>
        </w:rPr>
      </w:pPr>
    </w:p>
    <w:p w14:paraId="64A33DD2" w14:textId="551AA4CF" w:rsidR="00BF7846" w:rsidRPr="00DF4154" w:rsidRDefault="00C848E2" w:rsidP="00115F7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lastRenderedPageBreak/>
        <w:t>Section 49</w:t>
      </w:r>
      <w:proofErr w:type="gramStart"/>
      <w:r w:rsidRPr="00DF4154">
        <w:rPr>
          <w:rFonts w:ascii="Arial" w:hAnsi="Arial" w:cs="Arial"/>
          <w:sz w:val="26"/>
          <w:szCs w:val="28"/>
        </w:rPr>
        <w:t>B(</w:t>
      </w:r>
      <w:proofErr w:type="gramEnd"/>
      <w:r w:rsidRPr="00DF4154">
        <w:rPr>
          <w:rFonts w:ascii="Arial" w:hAnsi="Arial" w:cs="Arial"/>
          <w:sz w:val="26"/>
          <w:szCs w:val="28"/>
        </w:rPr>
        <w:t xml:space="preserve">1) of the </w:t>
      </w:r>
      <w:r w:rsidR="003324DC" w:rsidRPr="00DF4154">
        <w:rPr>
          <w:rFonts w:ascii="Arial" w:hAnsi="Arial" w:cs="Arial"/>
          <w:sz w:val="26"/>
          <w:szCs w:val="28"/>
        </w:rPr>
        <w:t xml:space="preserve">Competition </w:t>
      </w:r>
      <w:r w:rsidRPr="00DF4154">
        <w:rPr>
          <w:rFonts w:ascii="Arial" w:hAnsi="Arial" w:cs="Arial"/>
          <w:sz w:val="26"/>
          <w:szCs w:val="28"/>
        </w:rPr>
        <w:t>Act empowers the Commissioner</w:t>
      </w:r>
      <w:r w:rsidRPr="00DF4154">
        <w:rPr>
          <w:rStyle w:val="FootnoteReference"/>
          <w:rFonts w:ascii="Arial" w:hAnsi="Arial" w:cs="Arial"/>
          <w:iCs/>
          <w:sz w:val="26"/>
          <w:szCs w:val="28"/>
        </w:rPr>
        <w:footnoteReference w:id="10"/>
      </w:r>
      <w:r w:rsidRPr="00DF4154">
        <w:rPr>
          <w:rFonts w:ascii="Arial" w:hAnsi="Arial" w:cs="Arial"/>
          <w:sz w:val="26"/>
          <w:szCs w:val="28"/>
        </w:rPr>
        <w:t xml:space="preserve"> to </w:t>
      </w:r>
      <w:r w:rsidRPr="00DF4154">
        <w:rPr>
          <w:rFonts w:ascii="Arial" w:hAnsi="Arial" w:cs="Arial"/>
          <w:iCs/>
          <w:sz w:val="26"/>
          <w:szCs w:val="28"/>
        </w:rPr>
        <w:t>initiate a complaint against an alleged prohibited practice,</w:t>
      </w:r>
      <w:r w:rsidRPr="00DF4154">
        <w:rPr>
          <w:rStyle w:val="FootnoteReference"/>
          <w:rFonts w:ascii="Arial" w:hAnsi="Arial" w:cs="Arial"/>
          <w:iCs/>
          <w:sz w:val="26"/>
          <w:szCs w:val="28"/>
        </w:rPr>
        <w:footnoteReference w:id="11"/>
      </w:r>
      <w:r w:rsidRPr="00DF4154">
        <w:rPr>
          <w:rFonts w:ascii="Arial" w:hAnsi="Arial" w:cs="Arial"/>
          <w:iCs/>
          <w:sz w:val="26"/>
          <w:szCs w:val="28"/>
        </w:rPr>
        <w:t xml:space="preserve"> following which the </w:t>
      </w:r>
      <w:r w:rsidR="006D1149" w:rsidRPr="00DF4154">
        <w:rPr>
          <w:rFonts w:ascii="Arial" w:hAnsi="Arial" w:cs="Arial"/>
          <w:iCs/>
          <w:sz w:val="26"/>
          <w:szCs w:val="28"/>
        </w:rPr>
        <w:t>extensive investigation powers of the Commission are triggered.</w:t>
      </w:r>
      <w:r w:rsidRPr="00DF4154">
        <w:rPr>
          <w:rStyle w:val="FootnoteReference"/>
          <w:rFonts w:ascii="Arial" w:hAnsi="Arial" w:cs="Arial"/>
          <w:iCs/>
          <w:sz w:val="26"/>
          <w:szCs w:val="28"/>
        </w:rPr>
        <w:footnoteReference w:id="12"/>
      </w:r>
      <w:r w:rsidR="00C34BDB" w:rsidRPr="00DF4154">
        <w:rPr>
          <w:rFonts w:ascii="Arial" w:hAnsi="Arial" w:cs="Arial"/>
          <w:iCs/>
          <w:sz w:val="26"/>
          <w:szCs w:val="28"/>
        </w:rPr>
        <w:t xml:space="preserve"> </w:t>
      </w:r>
    </w:p>
    <w:p w14:paraId="65879D4B" w14:textId="77777777" w:rsidR="00BF7846" w:rsidRPr="00DF4154" w:rsidRDefault="00BF7846" w:rsidP="00BF7846">
      <w:pPr>
        <w:pStyle w:val="ListParagraph"/>
        <w:rPr>
          <w:rFonts w:ascii="Arial" w:hAnsi="Arial" w:cs="Arial"/>
          <w:iCs/>
          <w:sz w:val="26"/>
          <w:szCs w:val="28"/>
        </w:rPr>
      </w:pPr>
    </w:p>
    <w:p w14:paraId="1481DA89" w14:textId="00F28ADD" w:rsidR="00CA4DBA" w:rsidRPr="00DF4154" w:rsidRDefault="00C34BDB" w:rsidP="00115F7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iCs/>
          <w:sz w:val="26"/>
          <w:szCs w:val="28"/>
        </w:rPr>
        <w:t>Those powers include the power to enter and search premises with or without a warrant</w:t>
      </w:r>
      <w:r w:rsidR="00EB3F0F" w:rsidRPr="00DF4154">
        <w:rPr>
          <w:rFonts w:ascii="Arial" w:hAnsi="Arial" w:cs="Arial"/>
          <w:iCs/>
          <w:sz w:val="26"/>
          <w:szCs w:val="28"/>
        </w:rPr>
        <w:t>,</w:t>
      </w:r>
      <w:r w:rsidRPr="00DF4154">
        <w:rPr>
          <w:rStyle w:val="FootnoteReference"/>
          <w:rFonts w:ascii="Arial" w:hAnsi="Arial" w:cs="Arial"/>
          <w:iCs/>
          <w:sz w:val="26"/>
          <w:szCs w:val="28"/>
        </w:rPr>
        <w:footnoteReference w:id="13"/>
      </w:r>
      <w:r w:rsidR="00EB3F0F" w:rsidRPr="00DF4154">
        <w:rPr>
          <w:rFonts w:ascii="Arial" w:hAnsi="Arial" w:cs="Arial"/>
          <w:iCs/>
          <w:sz w:val="26"/>
          <w:szCs w:val="28"/>
        </w:rPr>
        <w:t xml:space="preserve"> and to summon any person believed to be able to furnish information to appear before the Commissioner to be interrogated or to deliver any book, document or other object to the Commissioner.</w:t>
      </w:r>
      <w:r w:rsidR="00EB3F0F" w:rsidRPr="00DF4154">
        <w:rPr>
          <w:rStyle w:val="FootnoteReference"/>
          <w:rFonts w:ascii="Arial" w:hAnsi="Arial" w:cs="Arial"/>
          <w:iCs/>
          <w:sz w:val="26"/>
          <w:szCs w:val="28"/>
        </w:rPr>
        <w:footnoteReference w:id="14"/>
      </w:r>
      <w:r w:rsidRPr="00DF4154">
        <w:rPr>
          <w:rFonts w:ascii="Arial" w:hAnsi="Arial" w:cs="Arial"/>
          <w:iCs/>
          <w:sz w:val="26"/>
          <w:szCs w:val="28"/>
        </w:rPr>
        <w:t xml:space="preserve"> </w:t>
      </w:r>
    </w:p>
    <w:p w14:paraId="392554A1" w14:textId="77777777" w:rsidR="00115F73" w:rsidRPr="00DF4154" w:rsidRDefault="00115F73" w:rsidP="00115F73">
      <w:pPr>
        <w:pStyle w:val="ListParagraph"/>
        <w:rPr>
          <w:rFonts w:ascii="Arial" w:hAnsi="Arial" w:cs="Arial"/>
          <w:sz w:val="26"/>
          <w:szCs w:val="28"/>
        </w:rPr>
      </w:pPr>
    </w:p>
    <w:p w14:paraId="2D47B85A" w14:textId="06BFE701" w:rsidR="00EB5127" w:rsidRPr="00DF4154" w:rsidRDefault="00CC336C" w:rsidP="00115F7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w:t>
      </w:r>
      <w:r w:rsidR="00EB5127" w:rsidRPr="00DF4154">
        <w:rPr>
          <w:rFonts w:ascii="Arial" w:hAnsi="Arial" w:cs="Arial"/>
          <w:sz w:val="26"/>
          <w:szCs w:val="28"/>
        </w:rPr>
        <w:t xml:space="preserve">he actions of the Commission in relation to prohibited practice complaints may </w:t>
      </w:r>
      <w:r w:rsidRPr="00DF4154">
        <w:rPr>
          <w:rFonts w:ascii="Arial" w:hAnsi="Arial" w:cs="Arial"/>
          <w:sz w:val="26"/>
          <w:szCs w:val="28"/>
        </w:rPr>
        <w:t>result in the imposition of significant civil</w:t>
      </w:r>
      <w:r w:rsidR="00EB5127" w:rsidRPr="00DF4154">
        <w:rPr>
          <w:rFonts w:ascii="Arial" w:hAnsi="Arial" w:cs="Arial"/>
          <w:sz w:val="26"/>
          <w:szCs w:val="28"/>
        </w:rPr>
        <w:t xml:space="preserve"> </w:t>
      </w:r>
      <w:r w:rsidRPr="00DF4154">
        <w:rPr>
          <w:rFonts w:ascii="Arial" w:hAnsi="Arial" w:cs="Arial"/>
          <w:sz w:val="26"/>
          <w:szCs w:val="28"/>
        </w:rPr>
        <w:t>and criminal penalties</w:t>
      </w:r>
      <w:r w:rsidR="00B346FE" w:rsidRPr="00DF4154">
        <w:rPr>
          <w:rFonts w:ascii="Arial" w:hAnsi="Arial" w:cs="Arial"/>
          <w:sz w:val="26"/>
          <w:szCs w:val="28"/>
        </w:rPr>
        <w:t>,</w:t>
      </w:r>
      <w:r w:rsidR="003324DC" w:rsidRPr="00DF4154">
        <w:rPr>
          <w:rStyle w:val="FootnoteReference"/>
          <w:rFonts w:ascii="Arial" w:hAnsi="Arial" w:cs="Arial"/>
          <w:sz w:val="26"/>
          <w:szCs w:val="28"/>
        </w:rPr>
        <w:footnoteReference w:id="15"/>
      </w:r>
      <w:r w:rsidRPr="00DF4154">
        <w:rPr>
          <w:rFonts w:ascii="Arial" w:hAnsi="Arial" w:cs="Arial"/>
          <w:sz w:val="26"/>
          <w:szCs w:val="28"/>
        </w:rPr>
        <w:t xml:space="preserve"> </w:t>
      </w:r>
      <w:r w:rsidR="00B346FE" w:rsidRPr="00DF4154">
        <w:rPr>
          <w:rFonts w:ascii="Arial" w:hAnsi="Arial" w:cs="Arial"/>
          <w:sz w:val="26"/>
          <w:szCs w:val="28"/>
        </w:rPr>
        <w:t xml:space="preserve">in the light of which the </w:t>
      </w:r>
      <w:r w:rsidR="00D35F87" w:rsidRPr="00DF4154">
        <w:rPr>
          <w:rFonts w:ascii="Arial" w:hAnsi="Arial" w:cs="Arial"/>
          <w:sz w:val="26"/>
          <w:szCs w:val="28"/>
        </w:rPr>
        <w:t xml:space="preserve">SCA </w:t>
      </w:r>
      <w:r w:rsidR="00B346FE" w:rsidRPr="00DF4154">
        <w:rPr>
          <w:rFonts w:ascii="Arial" w:hAnsi="Arial" w:cs="Arial"/>
          <w:sz w:val="26"/>
          <w:szCs w:val="28"/>
        </w:rPr>
        <w:t>has</w:t>
      </w:r>
      <w:r w:rsidR="00D35F87" w:rsidRPr="00DF4154">
        <w:rPr>
          <w:rFonts w:ascii="Arial" w:hAnsi="Arial" w:cs="Arial"/>
          <w:sz w:val="26"/>
          <w:szCs w:val="28"/>
        </w:rPr>
        <w:t xml:space="preserve"> underscore</w:t>
      </w:r>
      <w:r w:rsidR="00B346FE" w:rsidRPr="00DF4154">
        <w:rPr>
          <w:rFonts w:ascii="Arial" w:hAnsi="Arial" w:cs="Arial"/>
          <w:sz w:val="26"/>
          <w:szCs w:val="28"/>
        </w:rPr>
        <w:t>d</w:t>
      </w:r>
      <w:r w:rsidR="00D35F87" w:rsidRPr="00DF4154">
        <w:rPr>
          <w:rFonts w:ascii="Arial" w:hAnsi="Arial" w:cs="Arial"/>
          <w:sz w:val="26"/>
          <w:szCs w:val="28"/>
        </w:rPr>
        <w:t xml:space="preserve"> the necessity for the </w:t>
      </w:r>
      <w:r w:rsidR="00EB5127" w:rsidRPr="00DF4154">
        <w:rPr>
          <w:rFonts w:ascii="Arial" w:hAnsi="Arial" w:cs="Arial"/>
          <w:sz w:val="26"/>
          <w:szCs w:val="28"/>
        </w:rPr>
        <w:t xml:space="preserve">Commission’s procedural powers </w:t>
      </w:r>
      <w:r w:rsidR="00D35F87" w:rsidRPr="00DF4154">
        <w:rPr>
          <w:rFonts w:ascii="Arial" w:hAnsi="Arial" w:cs="Arial"/>
          <w:sz w:val="26"/>
          <w:szCs w:val="28"/>
        </w:rPr>
        <w:t>to be</w:t>
      </w:r>
      <w:r w:rsidR="00EB5127" w:rsidRPr="00DF4154">
        <w:rPr>
          <w:rFonts w:ascii="Arial" w:hAnsi="Arial" w:cs="Arial"/>
          <w:sz w:val="26"/>
          <w:szCs w:val="28"/>
        </w:rPr>
        <w:t xml:space="preserve"> interpreted in a mann</w:t>
      </w:r>
      <w:r w:rsidR="008626A3" w:rsidRPr="00DF4154">
        <w:rPr>
          <w:rFonts w:ascii="Arial" w:hAnsi="Arial" w:cs="Arial"/>
          <w:sz w:val="26"/>
          <w:szCs w:val="28"/>
        </w:rPr>
        <w:t xml:space="preserve">er which least impinges on the </w:t>
      </w:r>
      <w:r w:rsidR="00EB5127" w:rsidRPr="00DF4154">
        <w:rPr>
          <w:rFonts w:ascii="Arial" w:hAnsi="Arial" w:cs="Arial"/>
          <w:sz w:val="26"/>
          <w:szCs w:val="28"/>
        </w:rPr>
        <w:t>democratic values of dignity and freedom, and the rights to privacy, a fair trial and just administrative action.</w:t>
      </w:r>
      <w:r w:rsidR="00EB5127" w:rsidRPr="00DF4154">
        <w:rPr>
          <w:rStyle w:val="FootnoteReference"/>
          <w:rFonts w:ascii="Arial" w:hAnsi="Arial" w:cs="Arial"/>
          <w:sz w:val="26"/>
          <w:szCs w:val="28"/>
        </w:rPr>
        <w:footnoteReference w:id="16"/>
      </w:r>
    </w:p>
    <w:p w14:paraId="65E49462" w14:textId="77777777" w:rsidR="00115F73" w:rsidRPr="00DF4154" w:rsidRDefault="00115F73" w:rsidP="00115F73">
      <w:pPr>
        <w:pStyle w:val="ListParagraph"/>
        <w:rPr>
          <w:rFonts w:ascii="Arial" w:hAnsi="Arial" w:cs="Arial"/>
          <w:sz w:val="26"/>
          <w:szCs w:val="28"/>
        </w:rPr>
      </w:pPr>
    </w:p>
    <w:p w14:paraId="2F62AE10" w14:textId="1BF1FB70" w:rsidR="00C848E2" w:rsidRPr="00DF4154" w:rsidRDefault="00C848E2" w:rsidP="00115F7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iCs/>
          <w:sz w:val="26"/>
          <w:szCs w:val="28"/>
        </w:rPr>
        <w:lastRenderedPageBreak/>
        <w:t>At any time after initiating a complaint, the Commission may refer the complaint to the Tribunal.</w:t>
      </w:r>
      <w:r w:rsidRPr="00DF4154">
        <w:rPr>
          <w:rStyle w:val="FootnoteReference"/>
          <w:rFonts w:ascii="Arial" w:hAnsi="Arial" w:cs="Arial"/>
          <w:iCs/>
          <w:sz w:val="26"/>
          <w:szCs w:val="28"/>
        </w:rPr>
        <w:footnoteReference w:id="17"/>
      </w:r>
      <w:r w:rsidRPr="00DF4154">
        <w:rPr>
          <w:rFonts w:ascii="Arial" w:hAnsi="Arial" w:cs="Arial"/>
          <w:iCs/>
          <w:sz w:val="26"/>
          <w:szCs w:val="28"/>
        </w:rPr>
        <w:t xml:space="preserve"> The referral of a complaint triggers the exercise of the Tribunal’s adjudicative powers.</w:t>
      </w:r>
      <w:r w:rsidRPr="00DF4154">
        <w:rPr>
          <w:rStyle w:val="FootnoteReference"/>
          <w:rFonts w:ascii="Arial" w:hAnsi="Arial" w:cs="Arial"/>
          <w:iCs/>
          <w:sz w:val="26"/>
          <w:szCs w:val="28"/>
        </w:rPr>
        <w:footnoteReference w:id="18"/>
      </w:r>
    </w:p>
    <w:p w14:paraId="1A773C3E" w14:textId="50256693" w:rsidR="00EB3F0F" w:rsidRPr="00DF4154" w:rsidRDefault="00EB3F0F" w:rsidP="00115F73">
      <w:pPr>
        <w:keepNext/>
        <w:spacing w:before="240" w:after="120" w:line="480" w:lineRule="auto"/>
        <w:jc w:val="both"/>
        <w:rPr>
          <w:rFonts w:ascii="Arial" w:hAnsi="Arial" w:cs="Arial"/>
          <w:b/>
          <w:bCs/>
          <w:sz w:val="26"/>
          <w:szCs w:val="28"/>
        </w:rPr>
      </w:pPr>
      <w:r w:rsidRPr="00DF4154">
        <w:rPr>
          <w:rFonts w:ascii="Arial" w:hAnsi="Arial" w:cs="Arial"/>
          <w:b/>
          <w:bCs/>
          <w:sz w:val="26"/>
          <w:szCs w:val="28"/>
        </w:rPr>
        <w:t>Requirements for initiation</w:t>
      </w:r>
      <w:r w:rsidR="00BF7846" w:rsidRPr="00DF4154">
        <w:rPr>
          <w:rFonts w:ascii="Arial" w:hAnsi="Arial" w:cs="Arial"/>
          <w:b/>
          <w:bCs/>
          <w:sz w:val="26"/>
          <w:szCs w:val="28"/>
        </w:rPr>
        <w:t xml:space="preserve"> of a complaint</w:t>
      </w:r>
    </w:p>
    <w:p w14:paraId="11179A94" w14:textId="77777777" w:rsidR="00C848E2" w:rsidRPr="00DF4154" w:rsidRDefault="00C848E2" w:rsidP="00115F7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iCs/>
          <w:sz w:val="26"/>
          <w:szCs w:val="28"/>
        </w:rPr>
        <w:t>The initiation of a complaint is a distinctive juristic act,</w:t>
      </w:r>
      <w:r w:rsidRPr="00DF4154">
        <w:rPr>
          <w:rStyle w:val="FootnoteReference"/>
          <w:rFonts w:ascii="Arial" w:hAnsi="Arial" w:cs="Arial"/>
          <w:iCs/>
          <w:sz w:val="26"/>
          <w:szCs w:val="28"/>
        </w:rPr>
        <w:footnoteReference w:id="19"/>
      </w:r>
      <w:r w:rsidRPr="00DF4154">
        <w:rPr>
          <w:rFonts w:ascii="Arial" w:hAnsi="Arial" w:cs="Arial"/>
          <w:iCs/>
          <w:sz w:val="26"/>
          <w:szCs w:val="28"/>
        </w:rPr>
        <w:t xml:space="preserve"> and a lawful initiation is a jurisdictional fact for the lawful investigation of a complaint and the lawful referral of a complaint to the Tribunal.</w:t>
      </w:r>
      <w:r w:rsidRPr="00DF4154">
        <w:rPr>
          <w:rStyle w:val="FootnoteReference"/>
          <w:rFonts w:ascii="Arial" w:hAnsi="Arial" w:cs="Arial"/>
          <w:iCs/>
          <w:sz w:val="26"/>
          <w:szCs w:val="28"/>
        </w:rPr>
        <w:footnoteReference w:id="20"/>
      </w:r>
    </w:p>
    <w:p w14:paraId="5191EA2B" w14:textId="77777777" w:rsidR="00C848E2" w:rsidRPr="00DF4154" w:rsidRDefault="00C848E2" w:rsidP="00C848E2">
      <w:pPr>
        <w:pStyle w:val="ListParagraph"/>
        <w:rPr>
          <w:rFonts w:ascii="Arial" w:hAnsi="Arial" w:cs="Arial"/>
          <w:sz w:val="26"/>
          <w:szCs w:val="28"/>
        </w:rPr>
      </w:pPr>
    </w:p>
    <w:p w14:paraId="65D15B9F" w14:textId="7777777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form prescribed by the Minister of Trade and Industry for the initiation of a complaint under section 49B</w:t>
      </w:r>
      <w:r w:rsidRPr="00DF4154">
        <w:rPr>
          <w:rStyle w:val="FootnoteReference"/>
          <w:rFonts w:ascii="Arial" w:hAnsi="Arial" w:cs="Arial"/>
          <w:sz w:val="26"/>
          <w:szCs w:val="28"/>
        </w:rPr>
        <w:footnoteReference w:id="21"/>
      </w:r>
      <w:r w:rsidRPr="00DF4154">
        <w:rPr>
          <w:rFonts w:ascii="Arial" w:hAnsi="Arial" w:cs="Arial"/>
          <w:sz w:val="26"/>
          <w:szCs w:val="28"/>
        </w:rPr>
        <w:t xml:space="preserve"> requires, among the information to be provided, (a) the name of the person submitting the complaint; (b) the name of the person whose conduct is the subject of the complaint; (c) a concise statement of the conduct that is the subject of the complaint; and (d) a typed statement describing the conduct that is the subject of the complaint, including the names of each party involved in the conduct.</w:t>
      </w:r>
    </w:p>
    <w:p w14:paraId="47544CE7" w14:textId="77777777" w:rsidR="00115F73" w:rsidRPr="00DF4154" w:rsidRDefault="00115F73" w:rsidP="00115F73">
      <w:pPr>
        <w:pStyle w:val="ListParagraph"/>
        <w:rPr>
          <w:rFonts w:ascii="Arial" w:hAnsi="Arial" w:cs="Arial"/>
          <w:sz w:val="26"/>
          <w:szCs w:val="28"/>
        </w:rPr>
      </w:pPr>
    </w:p>
    <w:p w14:paraId="5060A9DB" w14:textId="4F5C8FBB" w:rsidR="00C848E2" w:rsidRPr="00DF4154" w:rsidRDefault="00C848E2" w:rsidP="00115F73">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In </w:t>
      </w:r>
      <w:r w:rsidRPr="00DF4154">
        <w:rPr>
          <w:rFonts w:ascii="Arial" w:hAnsi="Arial" w:cs="Arial"/>
          <w:i/>
          <w:iCs/>
          <w:sz w:val="26"/>
          <w:szCs w:val="28"/>
        </w:rPr>
        <w:t>Woodlands Dairy</w:t>
      </w:r>
      <w:r w:rsidRPr="00DF4154">
        <w:rPr>
          <w:rFonts w:ascii="Arial" w:hAnsi="Arial" w:cs="Arial"/>
          <w:sz w:val="26"/>
          <w:szCs w:val="28"/>
        </w:rPr>
        <w:t xml:space="preserve"> the SCA explained </w:t>
      </w:r>
      <w:r w:rsidR="00EB3F0F" w:rsidRPr="00DF4154">
        <w:rPr>
          <w:rFonts w:ascii="Arial" w:hAnsi="Arial" w:cs="Arial"/>
          <w:sz w:val="26"/>
          <w:szCs w:val="28"/>
        </w:rPr>
        <w:t>why the initiation of a complaint requires particularity</w:t>
      </w:r>
      <w:r w:rsidR="00611D4D" w:rsidRPr="00DF4154">
        <w:rPr>
          <w:rFonts w:ascii="Arial" w:hAnsi="Arial" w:cs="Arial"/>
          <w:sz w:val="26"/>
          <w:szCs w:val="28"/>
        </w:rPr>
        <w:t>:</w:t>
      </w:r>
    </w:p>
    <w:p w14:paraId="2761253B" w14:textId="65A82241" w:rsidR="00C848E2" w:rsidRPr="00DF4154" w:rsidRDefault="00C848E2" w:rsidP="00C848E2">
      <w:pPr>
        <w:pStyle w:val="ListParagraph"/>
        <w:spacing w:after="0" w:line="276" w:lineRule="auto"/>
        <w:rPr>
          <w:rFonts w:ascii="Arial" w:hAnsi="Arial" w:cs="Arial"/>
          <w:sz w:val="26"/>
          <w:szCs w:val="28"/>
        </w:rPr>
      </w:pPr>
    </w:p>
    <w:p w14:paraId="54DE06C6" w14:textId="7A316EB0" w:rsidR="00C848E2" w:rsidRPr="00DF4154" w:rsidRDefault="003A218D" w:rsidP="00C848E2">
      <w:pPr>
        <w:spacing w:line="240" w:lineRule="auto"/>
        <w:ind w:left="720"/>
        <w:jc w:val="both"/>
        <w:rPr>
          <w:rFonts w:ascii="Arial" w:hAnsi="Arial" w:cs="Arial"/>
          <w:i/>
          <w:iCs/>
          <w:sz w:val="26"/>
          <w:szCs w:val="28"/>
        </w:rPr>
      </w:pPr>
      <w:r w:rsidRPr="00DF4154">
        <w:rPr>
          <w:rFonts w:ascii="Arial" w:hAnsi="Arial" w:cs="Arial"/>
          <w:sz w:val="26"/>
          <w:szCs w:val="28"/>
        </w:rPr>
        <w:t>“</w:t>
      </w:r>
      <w:r w:rsidR="00C848E2" w:rsidRPr="00DF4154">
        <w:rPr>
          <w:rFonts w:ascii="Arial" w:hAnsi="Arial" w:cs="Arial"/>
          <w:i/>
          <w:iCs/>
          <w:sz w:val="26"/>
          <w:szCs w:val="28"/>
        </w:rPr>
        <w:t>There is…no reason to assume that the initiation requires less particularity or clarity than a summons. It must survive the test of legality and intelligibility. There are reasons for this. The first is that any interrogation or discovery summons depends on the terms of the initiation statement. The scope of a summons may not be wider than the initiation. Furthermore, the Act presupposes that the complaint (subject to possible amendment and fleshing out) as initiated wi</w:t>
      </w:r>
      <w:r w:rsidR="003324DC" w:rsidRPr="00DF4154">
        <w:rPr>
          <w:rFonts w:ascii="Arial" w:hAnsi="Arial" w:cs="Arial"/>
          <w:i/>
          <w:iCs/>
          <w:sz w:val="26"/>
          <w:szCs w:val="28"/>
        </w:rPr>
        <w:t>ll be referred to the tribunal.</w:t>
      </w:r>
      <w:r w:rsidR="003324DC" w:rsidRPr="00DF4154">
        <w:rPr>
          <w:rFonts w:ascii="Arial" w:hAnsi="Arial" w:cs="Arial"/>
          <w:sz w:val="26"/>
          <w:szCs w:val="28"/>
        </w:rPr>
        <w:t>”</w:t>
      </w:r>
      <w:r w:rsidR="00C848E2" w:rsidRPr="00DF4154">
        <w:rPr>
          <w:rStyle w:val="FootnoteReference"/>
          <w:rFonts w:ascii="Arial" w:hAnsi="Arial" w:cs="Arial"/>
          <w:iCs/>
          <w:sz w:val="26"/>
          <w:szCs w:val="28"/>
        </w:rPr>
        <w:footnoteReference w:id="22"/>
      </w:r>
    </w:p>
    <w:p w14:paraId="64B6B890" w14:textId="77777777" w:rsidR="00C848E2" w:rsidRPr="00DF4154" w:rsidRDefault="00C848E2" w:rsidP="00C848E2">
      <w:pPr>
        <w:pStyle w:val="ListParagraph"/>
        <w:rPr>
          <w:rFonts w:ascii="Arial" w:hAnsi="Arial" w:cs="Arial"/>
          <w:sz w:val="26"/>
          <w:szCs w:val="28"/>
        </w:rPr>
      </w:pPr>
    </w:p>
    <w:p w14:paraId="63D34894" w14:textId="77777777" w:rsidR="00BF7846" w:rsidRPr="00DF4154" w:rsidRDefault="00CA4DBA" w:rsidP="00CA4DBA">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A complaint may not be initiated </w:t>
      </w:r>
      <w:r w:rsidR="00EB3F0F" w:rsidRPr="00DF4154">
        <w:rPr>
          <w:rFonts w:ascii="Arial" w:hAnsi="Arial" w:cs="Arial"/>
          <w:sz w:val="26"/>
          <w:szCs w:val="28"/>
        </w:rPr>
        <w:t xml:space="preserve">in respect of a prohibited practice in the abstract or in respect of a prohibited practice alleged to have been perpetrated by </w:t>
      </w:r>
      <w:r w:rsidRPr="00DF4154">
        <w:rPr>
          <w:rFonts w:ascii="Arial" w:hAnsi="Arial" w:cs="Arial"/>
          <w:sz w:val="26"/>
          <w:szCs w:val="28"/>
        </w:rPr>
        <w:t xml:space="preserve">an industry </w:t>
      </w:r>
      <w:r w:rsidR="00EB5127" w:rsidRPr="00DF4154">
        <w:rPr>
          <w:rFonts w:ascii="Arial" w:hAnsi="Arial" w:cs="Arial"/>
          <w:sz w:val="26"/>
          <w:szCs w:val="28"/>
        </w:rPr>
        <w:t>as a whole</w:t>
      </w:r>
      <w:r w:rsidRPr="00DF4154">
        <w:rPr>
          <w:rFonts w:ascii="Arial" w:hAnsi="Arial" w:cs="Arial"/>
          <w:sz w:val="26"/>
          <w:szCs w:val="28"/>
        </w:rPr>
        <w:t>.</w:t>
      </w:r>
      <w:r w:rsidR="004F3EF0" w:rsidRPr="00DF4154">
        <w:rPr>
          <w:rStyle w:val="FootnoteReference"/>
          <w:rFonts w:ascii="Arial" w:hAnsi="Arial" w:cs="Arial"/>
          <w:sz w:val="26"/>
          <w:szCs w:val="28"/>
        </w:rPr>
        <w:footnoteReference w:id="23"/>
      </w:r>
      <w:r w:rsidR="004F3EF0" w:rsidRPr="00DF4154">
        <w:rPr>
          <w:rFonts w:ascii="Arial" w:hAnsi="Arial" w:cs="Arial"/>
          <w:sz w:val="26"/>
          <w:szCs w:val="28"/>
        </w:rPr>
        <w:t xml:space="preserve"> </w:t>
      </w:r>
    </w:p>
    <w:p w14:paraId="3F045E34" w14:textId="77777777" w:rsidR="00BF7846" w:rsidRPr="00DF4154" w:rsidRDefault="00BF7846" w:rsidP="001368AC">
      <w:pPr>
        <w:pStyle w:val="ListParagraph"/>
        <w:spacing w:line="276" w:lineRule="auto"/>
        <w:jc w:val="both"/>
        <w:rPr>
          <w:rFonts w:ascii="Arial" w:hAnsi="Arial" w:cs="Arial"/>
          <w:sz w:val="26"/>
          <w:szCs w:val="28"/>
        </w:rPr>
      </w:pPr>
    </w:p>
    <w:p w14:paraId="59CE22D8" w14:textId="15AB350E" w:rsidR="00BF7846" w:rsidRPr="00DF4154" w:rsidRDefault="00C848E2" w:rsidP="00CA4DBA">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The part</w:t>
      </w:r>
      <w:r w:rsidR="001068EC" w:rsidRPr="00DF4154">
        <w:rPr>
          <w:rFonts w:ascii="Arial" w:hAnsi="Arial" w:cs="Arial"/>
          <w:sz w:val="26"/>
          <w:szCs w:val="28"/>
        </w:rPr>
        <w:t>y or parties</w:t>
      </w:r>
      <w:r w:rsidRPr="00DF4154">
        <w:rPr>
          <w:rFonts w:ascii="Arial" w:hAnsi="Arial" w:cs="Arial"/>
          <w:sz w:val="26"/>
          <w:szCs w:val="28"/>
        </w:rPr>
        <w:t xml:space="preserve"> to the conduct to be investigated must be identified at the initiation stage, as </w:t>
      </w:r>
      <w:r w:rsidR="00D35F87" w:rsidRPr="00DF4154">
        <w:rPr>
          <w:rFonts w:ascii="Arial" w:hAnsi="Arial" w:cs="Arial"/>
          <w:sz w:val="26"/>
          <w:szCs w:val="28"/>
        </w:rPr>
        <w:t>“</w:t>
      </w:r>
      <w:r w:rsidRPr="00DF4154">
        <w:rPr>
          <w:rFonts w:ascii="Arial" w:hAnsi="Arial" w:cs="Arial"/>
          <w:i/>
          <w:iCs/>
          <w:sz w:val="26"/>
          <w:szCs w:val="28"/>
        </w:rPr>
        <w:t>a suspicion against some cannot be used as a springboard to investigate all and sundry</w:t>
      </w:r>
      <w:r w:rsidR="00D35F87" w:rsidRPr="00DF4154">
        <w:rPr>
          <w:rFonts w:ascii="Arial" w:hAnsi="Arial" w:cs="Arial"/>
          <w:i/>
          <w:iCs/>
          <w:sz w:val="26"/>
          <w:szCs w:val="28"/>
        </w:rPr>
        <w:t>”</w:t>
      </w:r>
      <w:r w:rsidRPr="00DF4154">
        <w:rPr>
          <w:rFonts w:ascii="Arial" w:hAnsi="Arial" w:cs="Arial"/>
          <w:i/>
          <w:iCs/>
          <w:sz w:val="26"/>
          <w:szCs w:val="28"/>
        </w:rPr>
        <w:t>.</w:t>
      </w:r>
      <w:r w:rsidRPr="00DF4154">
        <w:rPr>
          <w:rStyle w:val="FootnoteReference"/>
          <w:rFonts w:ascii="Arial" w:hAnsi="Arial" w:cs="Arial"/>
          <w:sz w:val="26"/>
          <w:szCs w:val="28"/>
        </w:rPr>
        <w:footnoteReference w:id="24"/>
      </w:r>
      <w:r w:rsidR="00BF7846" w:rsidRPr="00DF4154">
        <w:rPr>
          <w:rFonts w:ascii="Arial" w:hAnsi="Arial" w:cs="Arial"/>
          <w:sz w:val="26"/>
          <w:szCs w:val="28"/>
        </w:rPr>
        <w:t xml:space="preserve"> </w:t>
      </w:r>
      <w:r w:rsidR="001068EC" w:rsidRPr="00DF4154">
        <w:rPr>
          <w:rFonts w:ascii="Arial" w:hAnsi="Arial" w:cs="Arial"/>
          <w:sz w:val="26"/>
          <w:szCs w:val="28"/>
        </w:rPr>
        <w:t>Accordingly</w:t>
      </w:r>
      <w:r w:rsidR="00BF7846" w:rsidRPr="00DF4154">
        <w:rPr>
          <w:rFonts w:ascii="Arial" w:hAnsi="Arial" w:cs="Arial"/>
          <w:sz w:val="26"/>
          <w:szCs w:val="28"/>
        </w:rPr>
        <w:t xml:space="preserve"> the term “</w:t>
      </w:r>
      <w:r w:rsidR="00BF7846" w:rsidRPr="00DF4154">
        <w:rPr>
          <w:rFonts w:ascii="Arial" w:hAnsi="Arial" w:cs="Arial"/>
          <w:i/>
          <w:iCs/>
          <w:sz w:val="26"/>
          <w:szCs w:val="28"/>
        </w:rPr>
        <w:t>respondent</w:t>
      </w:r>
      <w:r w:rsidR="00BF7846" w:rsidRPr="00DF4154">
        <w:rPr>
          <w:rFonts w:ascii="Arial" w:hAnsi="Arial" w:cs="Arial"/>
          <w:sz w:val="26"/>
          <w:szCs w:val="28"/>
        </w:rPr>
        <w:t xml:space="preserve">” </w:t>
      </w:r>
      <w:r w:rsidR="001068EC" w:rsidRPr="00DF4154">
        <w:rPr>
          <w:rFonts w:ascii="Arial" w:hAnsi="Arial" w:cs="Arial"/>
          <w:sz w:val="26"/>
          <w:szCs w:val="28"/>
        </w:rPr>
        <w:t xml:space="preserve">(which is used in the </w:t>
      </w:r>
      <w:r w:rsidR="004C0C40" w:rsidRPr="00DF4154">
        <w:rPr>
          <w:rFonts w:ascii="Arial" w:hAnsi="Arial" w:cs="Arial"/>
          <w:sz w:val="26"/>
          <w:szCs w:val="28"/>
        </w:rPr>
        <w:t xml:space="preserve">Competition </w:t>
      </w:r>
      <w:r w:rsidR="001068EC" w:rsidRPr="00DF4154">
        <w:rPr>
          <w:rFonts w:ascii="Arial" w:hAnsi="Arial" w:cs="Arial"/>
          <w:sz w:val="26"/>
          <w:szCs w:val="28"/>
        </w:rPr>
        <w:t xml:space="preserve">Act to refer to particular firms </w:t>
      </w:r>
      <w:r w:rsidR="00CC336C" w:rsidRPr="00DF4154">
        <w:rPr>
          <w:rFonts w:ascii="Arial" w:hAnsi="Arial" w:cs="Arial"/>
          <w:sz w:val="26"/>
          <w:szCs w:val="28"/>
        </w:rPr>
        <w:t xml:space="preserve">in respect of steps which might be taken </w:t>
      </w:r>
      <w:r w:rsidR="001068EC" w:rsidRPr="00DF4154">
        <w:rPr>
          <w:rFonts w:ascii="Arial" w:hAnsi="Arial" w:cs="Arial"/>
          <w:sz w:val="26"/>
          <w:szCs w:val="28"/>
          <w:u w:val="single"/>
        </w:rPr>
        <w:t>during</w:t>
      </w:r>
      <w:r w:rsidR="001068EC" w:rsidRPr="00DF4154">
        <w:rPr>
          <w:rFonts w:ascii="Arial" w:hAnsi="Arial" w:cs="Arial"/>
          <w:sz w:val="26"/>
          <w:szCs w:val="28"/>
        </w:rPr>
        <w:t xml:space="preserve"> or </w:t>
      </w:r>
      <w:r w:rsidR="001068EC" w:rsidRPr="00DF4154">
        <w:rPr>
          <w:rFonts w:ascii="Arial" w:hAnsi="Arial" w:cs="Arial"/>
          <w:sz w:val="26"/>
          <w:szCs w:val="28"/>
          <w:u w:val="single"/>
        </w:rPr>
        <w:t>after</w:t>
      </w:r>
      <w:r w:rsidR="001068EC" w:rsidRPr="00DF4154">
        <w:rPr>
          <w:rFonts w:ascii="Arial" w:hAnsi="Arial" w:cs="Arial"/>
          <w:sz w:val="26"/>
          <w:szCs w:val="28"/>
        </w:rPr>
        <w:t xml:space="preserve"> an investigation of a complaint)</w:t>
      </w:r>
      <w:r w:rsidR="001068EC" w:rsidRPr="00DF4154">
        <w:rPr>
          <w:rStyle w:val="FootnoteReference"/>
          <w:rFonts w:ascii="Arial" w:hAnsi="Arial" w:cs="Arial"/>
          <w:sz w:val="26"/>
          <w:szCs w:val="28"/>
        </w:rPr>
        <w:footnoteReference w:id="25"/>
      </w:r>
      <w:r w:rsidR="001068EC" w:rsidRPr="00DF4154">
        <w:rPr>
          <w:rFonts w:ascii="Arial" w:hAnsi="Arial" w:cs="Arial"/>
          <w:sz w:val="26"/>
          <w:szCs w:val="28"/>
        </w:rPr>
        <w:t xml:space="preserve"> </w:t>
      </w:r>
      <w:r w:rsidR="00BF7846" w:rsidRPr="00DF4154">
        <w:rPr>
          <w:rFonts w:ascii="Arial" w:hAnsi="Arial" w:cs="Arial"/>
          <w:sz w:val="26"/>
          <w:szCs w:val="28"/>
        </w:rPr>
        <w:t xml:space="preserve">is </w:t>
      </w:r>
      <w:r w:rsidR="00CC336C" w:rsidRPr="00DF4154">
        <w:rPr>
          <w:rFonts w:ascii="Arial" w:hAnsi="Arial" w:cs="Arial"/>
          <w:sz w:val="26"/>
          <w:szCs w:val="28"/>
        </w:rPr>
        <w:t>d</w:t>
      </w:r>
      <w:r w:rsidR="00BF7846" w:rsidRPr="00DF4154">
        <w:rPr>
          <w:rFonts w:ascii="Arial" w:hAnsi="Arial" w:cs="Arial"/>
          <w:sz w:val="26"/>
          <w:szCs w:val="28"/>
        </w:rPr>
        <w:t>efined in the Act as meaning “</w:t>
      </w:r>
      <w:r w:rsidR="00BF7846" w:rsidRPr="00DF4154">
        <w:rPr>
          <w:rFonts w:ascii="Arial" w:hAnsi="Arial" w:cs="Arial"/>
          <w:i/>
          <w:iCs/>
          <w:sz w:val="26"/>
          <w:szCs w:val="28"/>
        </w:rPr>
        <w:t xml:space="preserve">a </w:t>
      </w:r>
      <w:r w:rsidR="00BF7846" w:rsidRPr="00DF4154">
        <w:rPr>
          <w:rFonts w:ascii="Arial" w:hAnsi="Arial" w:cs="Arial"/>
          <w:i/>
          <w:iCs/>
          <w:sz w:val="26"/>
          <w:szCs w:val="28"/>
          <w:u w:val="single"/>
        </w:rPr>
        <w:t>firm against whom</w:t>
      </w:r>
      <w:r w:rsidR="00BF7846" w:rsidRPr="00DF4154">
        <w:rPr>
          <w:rFonts w:ascii="Arial" w:hAnsi="Arial" w:cs="Arial"/>
          <w:i/>
          <w:iCs/>
          <w:sz w:val="26"/>
          <w:szCs w:val="28"/>
        </w:rPr>
        <w:t xml:space="preserve"> a complaint of a prohibited practice has been initiated in terms of this Act</w:t>
      </w:r>
      <w:r w:rsidR="00BF7846" w:rsidRPr="00DF4154">
        <w:rPr>
          <w:rFonts w:ascii="Arial" w:hAnsi="Arial" w:cs="Arial"/>
          <w:sz w:val="26"/>
          <w:szCs w:val="28"/>
        </w:rPr>
        <w:t>”.</w:t>
      </w:r>
      <w:r w:rsidR="004C0C40" w:rsidRPr="00DF4154">
        <w:rPr>
          <w:rStyle w:val="FootnoteReference"/>
          <w:rFonts w:ascii="Arial" w:hAnsi="Arial" w:cs="Arial"/>
          <w:sz w:val="26"/>
          <w:szCs w:val="28"/>
        </w:rPr>
        <w:footnoteReference w:id="26"/>
      </w:r>
    </w:p>
    <w:p w14:paraId="541B9574" w14:textId="77777777" w:rsidR="00BF7846" w:rsidRPr="00DF4154" w:rsidRDefault="00BF7846" w:rsidP="00BF7846">
      <w:pPr>
        <w:pStyle w:val="ListParagraph"/>
        <w:rPr>
          <w:rFonts w:ascii="Arial" w:hAnsi="Arial" w:cs="Arial"/>
          <w:sz w:val="26"/>
          <w:szCs w:val="28"/>
        </w:rPr>
      </w:pPr>
    </w:p>
    <w:p w14:paraId="50D355F6" w14:textId="65D015F5" w:rsidR="00C848E2" w:rsidRPr="00DF4154" w:rsidRDefault="00C848E2" w:rsidP="00CA4DBA">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lastRenderedPageBreak/>
        <w:t xml:space="preserve">If the Commission, in the course of a properly initiated investigation, obtains information about other firms or other transgressions not identified in the </w:t>
      </w:r>
      <w:r w:rsidR="004C0C40" w:rsidRPr="00DF4154">
        <w:rPr>
          <w:rFonts w:ascii="Arial" w:hAnsi="Arial" w:cs="Arial"/>
          <w:sz w:val="26"/>
          <w:szCs w:val="28"/>
        </w:rPr>
        <w:t>complaint which has been initiated</w:t>
      </w:r>
      <w:r w:rsidRPr="00DF4154">
        <w:rPr>
          <w:rFonts w:ascii="Arial" w:hAnsi="Arial" w:cs="Arial"/>
          <w:sz w:val="26"/>
          <w:szCs w:val="28"/>
        </w:rPr>
        <w:t>, it may use that information to amend the complaint or initiate another complaint.</w:t>
      </w:r>
      <w:r w:rsidRPr="00DF4154">
        <w:rPr>
          <w:rStyle w:val="FootnoteReference"/>
          <w:rFonts w:ascii="Arial" w:hAnsi="Arial" w:cs="Arial"/>
          <w:sz w:val="26"/>
          <w:szCs w:val="28"/>
        </w:rPr>
        <w:footnoteReference w:id="27"/>
      </w:r>
    </w:p>
    <w:p w14:paraId="56959C8D" w14:textId="77777777" w:rsidR="00C848E2" w:rsidRPr="00DF4154" w:rsidRDefault="00C848E2" w:rsidP="00C848E2">
      <w:pPr>
        <w:pStyle w:val="ListParagraph"/>
        <w:spacing w:line="276" w:lineRule="auto"/>
        <w:jc w:val="both"/>
        <w:rPr>
          <w:rFonts w:ascii="Arial" w:hAnsi="Arial" w:cs="Arial"/>
          <w:sz w:val="26"/>
          <w:szCs w:val="28"/>
        </w:rPr>
      </w:pPr>
    </w:p>
    <w:p w14:paraId="09B7F707" w14:textId="160D9380" w:rsidR="00164379" w:rsidRPr="00DF4154" w:rsidRDefault="00AA1904" w:rsidP="00C848E2">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Where a complaint is amended to include a firm not previously identified, the date of initiation of complaint </w:t>
      </w:r>
      <w:r w:rsidR="004C0C40" w:rsidRPr="00DF4154">
        <w:rPr>
          <w:rFonts w:ascii="Arial" w:hAnsi="Arial" w:cs="Arial"/>
          <w:sz w:val="26"/>
          <w:szCs w:val="28"/>
        </w:rPr>
        <w:t xml:space="preserve">against the new firm </w:t>
      </w:r>
      <w:r w:rsidRPr="00DF4154">
        <w:rPr>
          <w:rFonts w:ascii="Arial" w:hAnsi="Arial" w:cs="Arial"/>
          <w:sz w:val="26"/>
          <w:szCs w:val="28"/>
        </w:rPr>
        <w:t>must be the date of amendment, and not the date of the initiation of the original complaint.</w:t>
      </w:r>
      <w:r w:rsidR="00C848E2" w:rsidRPr="00DF4154">
        <w:rPr>
          <w:rFonts w:ascii="Arial" w:hAnsi="Arial" w:cs="Arial"/>
          <w:sz w:val="26"/>
          <w:szCs w:val="28"/>
        </w:rPr>
        <w:t xml:space="preserve"> </w:t>
      </w:r>
    </w:p>
    <w:p w14:paraId="718C8475" w14:textId="77777777" w:rsidR="00164379" w:rsidRPr="00DF4154" w:rsidRDefault="00164379" w:rsidP="00164379">
      <w:pPr>
        <w:pStyle w:val="ListParagraph"/>
        <w:rPr>
          <w:rFonts w:ascii="Arial" w:hAnsi="Arial" w:cs="Arial"/>
          <w:sz w:val="26"/>
          <w:szCs w:val="28"/>
        </w:rPr>
      </w:pPr>
    </w:p>
    <w:p w14:paraId="44A3B36D" w14:textId="37FABF90" w:rsidR="00C848E2" w:rsidRPr="00DF4154" w:rsidRDefault="00C848E2" w:rsidP="00C848E2">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In </w:t>
      </w:r>
      <w:r w:rsidRPr="00DF4154">
        <w:rPr>
          <w:rFonts w:ascii="Arial" w:hAnsi="Arial" w:cs="Arial"/>
          <w:i/>
          <w:iCs/>
          <w:sz w:val="26"/>
          <w:szCs w:val="28"/>
        </w:rPr>
        <w:t>Power Construction</w:t>
      </w:r>
      <w:r w:rsidRPr="00DF4154">
        <w:rPr>
          <w:rStyle w:val="FootnoteReference"/>
          <w:rFonts w:ascii="Arial" w:hAnsi="Arial" w:cs="Arial"/>
          <w:iCs/>
          <w:sz w:val="26"/>
          <w:szCs w:val="28"/>
        </w:rPr>
        <w:footnoteReference w:id="28"/>
      </w:r>
      <w:r w:rsidRPr="00DF4154">
        <w:rPr>
          <w:rFonts w:ascii="Arial" w:hAnsi="Arial" w:cs="Arial"/>
          <w:i/>
          <w:iCs/>
          <w:sz w:val="26"/>
          <w:szCs w:val="28"/>
        </w:rPr>
        <w:t xml:space="preserve"> </w:t>
      </w:r>
      <w:r w:rsidRPr="00DF4154">
        <w:rPr>
          <w:rFonts w:ascii="Arial" w:hAnsi="Arial" w:cs="Arial"/>
          <w:sz w:val="26"/>
          <w:szCs w:val="28"/>
        </w:rPr>
        <w:t>the CAC found</w:t>
      </w:r>
      <w:r w:rsidR="00AA1904" w:rsidRPr="00DF4154">
        <w:rPr>
          <w:rFonts w:ascii="Arial" w:hAnsi="Arial" w:cs="Arial"/>
          <w:sz w:val="26"/>
          <w:szCs w:val="28"/>
        </w:rPr>
        <w:t xml:space="preserve"> </w:t>
      </w:r>
      <w:r w:rsidRPr="00DF4154">
        <w:rPr>
          <w:rFonts w:ascii="Arial" w:hAnsi="Arial" w:cs="Arial"/>
          <w:sz w:val="26"/>
          <w:szCs w:val="28"/>
        </w:rPr>
        <w:t>that where further firms had been informally added to the initial complaint,</w:t>
      </w:r>
      <w:r w:rsidRPr="00DF4154">
        <w:rPr>
          <w:rStyle w:val="FootnoteReference"/>
          <w:rFonts w:ascii="Arial" w:hAnsi="Arial" w:cs="Arial"/>
          <w:sz w:val="26"/>
          <w:szCs w:val="28"/>
        </w:rPr>
        <w:footnoteReference w:id="29"/>
      </w:r>
      <w:r w:rsidRPr="00DF4154">
        <w:rPr>
          <w:rFonts w:ascii="Arial" w:hAnsi="Arial" w:cs="Arial"/>
          <w:sz w:val="26"/>
          <w:szCs w:val="28"/>
        </w:rPr>
        <w:t xml:space="preserve"> which had been initiated on 1 September 2009, the date of initiation of the complaint against the further firms was </w:t>
      </w:r>
      <w:r w:rsidR="004F3EF0" w:rsidRPr="00DF4154">
        <w:rPr>
          <w:rFonts w:ascii="Arial" w:hAnsi="Arial" w:cs="Arial"/>
          <w:sz w:val="26"/>
          <w:szCs w:val="28"/>
        </w:rPr>
        <w:t>the date on which the original complaint had been informally amended.</w:t>
      </w:r>
      <w:r w:rsidRPr="00DF4154">
        <w:rPr>
          <w:rStyle w:val="FootnoteReference"/>
          <w:rFonts w:ascii="Arial" w:hAnsi="Arial" w:cs="Arial"/>
          <w:sz w:val="26"/>
          <w:szCs w:val="28"/>
        </w:rPr>
        <w:footnoteReference w:id="30"/>
      </w:r>
      <w:r w:rsidRPr="00DF4154">
        <w:rPr>
          <w:rFonts w:ascii="Arial" w:hAnsi="Arial" w:cs="Arial"/>
          <w:sz w:val="26"/>
          <w:szCs w:val="28"/>
        </w:rPr>
        <w:t xml:space="preserve"> </w:t>
      </w:r>
    </w:p>
    <w:p w14:paraId="57272D25" w14:textId="77777777" w:rsidR="00C848E2" w:rsidRPr="00DF4154" w:rsidRDefault="00C848E2" w:rsidP="00C848E2">
      <w:pPr>
        <w:pStyle w:val="ListParagraph"/>
        <w:rPr>
          <w:rFonts w:ascii="Arial" w:hAnsi="Arial" w:cs="Arial"/>
          <w:sz w:val="26"/>
          <w:szCs w:val="28"/>
        </w:rPr>
      </w:pPr>
    </w:p>
    <w:p w14:paraId="14FBC866" w14:textId="4B1BB107" w:rsidR="00C848E2" w:rsidRPr="00DF4154" w:rsidRDefault="00C848E2" w:rsidP="00C848E2">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Th</w:t>
      </w:r>
      <w:r w:rsidR="00164379" w:rsidRPr="00DF4154">
        <w:rPr>
          <w:rFonts w:ascii="Arial" w:hAnsi="Arial" w:cs="Arial"/>
          <w:sz w:val="26"/>
          <w:szCs w:val="28"/>
        </w:rPr>
        <w:t>at</w:t>
      </w:r>
      <w:r w:rsidRPr="00DF4154">
        <w:rPr>
          <w:rFonts w:ascii="Arial" w:hAnsi="Arial" w:cs="Arial"/>
          <w:sz w:val="26"/>
          <w:szCs w:val="28"/>
        </w:rPr>
        <w:t xml:space="preserve"> conclusion is consistent with the purpose of section 67(1) of the Act, which provides that a complaint in respect of a prohibited practice </w:t>
      </w:r>
      <w:r w:rsidR="00611D4D" w:rsidRPr="00DF4154">
        <w:rPr>
          <w:rFonts w:ascii="Arial" w:hAnsi="Arial" w:cs="Arial"/>
          <w:sz w:val="26"/>
          <w:szCs w:val="28"/>
        </w:rPr>
        <w:t>“</w:t>
      </w:r>
      <w:r w:rsidRPr="00DF4154">
        <w:rPr>
          <w:rFonts w:ascii="Arial" w:hAnsi="Arial" w:cs="Arial"/>
          <w:i/>
          <w:iCs/>
          <w:sz w:val="26"/>
          <w:szCs w:val="28"/>
        </w:rPr>
        <w:t>may not be initiated more than three years after the practice has ceased</w:t>
      </w:r>
      <w:r w:rsidR="00611D4D" w:rsidRPr="00DF4154">
        <w:rPr>
          <w:rFonts w:ascii="Arial" w:hAnsi="Arial" w:cs="Arial"/>
          <w:i/>
          <w:iCs/>
          <w:sz w:val="26"/>
          <w:szCs w:val="28"/>
        </w:rPr>
        <w:t>”</w:t>
      </w:r>
      <w:r w:rsidRPr="00DF4154">
        <w:rPr>
          <w:rFonts w:ascii="Arial" w:hAnsi="Arial" w:cs="Arial"/>
          <w:i/>
          <w:iCs/>
          <w:sz w:val="26"/>
          <w:szCs w:val="28"/>
        </w:rPr>
        <w:t>.</w:t>
      </w:r>
    </w:p>
    <w:p w14:paraId="1A43B05F" w14:textId="77777777" w:rsidR="00C848E2" w:rsidRPr="00DF4154" w:rsidRDefault="00C848E2" w:rsidP="00C848E2">
      <w:pPr>
        <w:pStyle w:val="ListParagraph"/>
        <w:rPr>
          <w:rFonts w:ascii="Arial" w:hAnsi="Arial" w:cs="Arial"/>
          <w:sz w:val="26"/>
          <w:szCs w:val="28"/>
        </w:rPr>
      </w:pPr>
    </w:p>
    <w:p w14:paraId="31D1F2A5" w14:textId="7F830EA3" w:rsidR="00C848E2" w:rsidRPr="00DF4154" w:rsidRDefault="00C848E2" w:rsidP="00C848E2">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Section 67(1) is plainly aimed at ensuring that conduct which has long since ended is not subjected to the exercise of the Commission’s extensive investigative powers and functions. This serves two subsidiary purposes. First, it conserves the competition authorities’ resources for conduct which may </w:t>
      </w:r>
      <w:r w:rsidR="004F3EF0" w:rsidRPr="00DF4154">
        <w:rPr>
          <w:rFonts w:ascii="Arial" w:hAnsi="Arial" w:cs="Arial"/>
          <w:sz w:val="26"/>
          <w:szCs w:val="28"/>
        </w:rPr>
        <w:t xml:space="preserve">be </w:t>
      </w:r>
      <w:r w:rsidRPr="00DF4154">
        <w:rPr>
          <w:rFonts w:ascii="Arial" w:hAnsi="Arial" w:cs="Arial"/>
          <w:sz w:val="26"/>
          <w:szCs w:val="28"/>
        </w:rPr>
        <w:t>more effectively prosecuted. Second, it protects firms against the Commission’s invasive powers where this may not serve the purpose of an effective prosecution.</w:t>
      </w:r>
    </w:p>
    <w:p w14:paraId="5E567E61" w14:textId="77777777" w:rsidR="00C848E2" w:rsidRPr="00DF4154" w:rsidRDefault="00C848E2" w:rsidP="00C848E2">
      <w:pPr>
        <w:pStyle w:val="ListParagraph"/>
        <w:rPr>
          <w:rFonts w:ascii="Arial" w:hAnsi="Arial" w:cs="Arial"/>
          <w:sz w:val="26"/>
          <w:szCs w:val="28"/>
        </w:rPr>
      </w:pPr>
    </w:p>
    <w:p w14:paraId="40419E49" w14:textId="063836D6" w:rsidR="00F84595" w:rsidRPr="00DF4154" w:rsidRDefault="00F84595" w:rsidP="004C0C40">
      <w:pPr>
        <w:pStyle w:val="ListParagraph"/>
        <w:numPr>
          <w:ilvl w:val="0"/>
          <w:numId w:val="1"/>
        </w:numPr>
        <w:spacing w:after="240" w:line="480" w:lineRule="auto"/>
        <w:ind w:hanging="720"/>
        <w:jc w:val="both"/>
        <w:rPr>
          <w:rFonts w:ascii="Arial" w:hAnsi="Arial" w:cs="Arial"/>
          <w:sz w:val="26"/>
          <w:szCs w:val="28"/>
        </w:rPr>
      </w:pPr>
      <w:r w:rsidRPr="00DF4154">
        <w:rPr>
          <w:rFonts w:ascii="Arial" w:hAnsi="Arial" w:cs="Arial"/>
          <w:sz w:val="26"/>
          <w:szCs w:val="28"/>
        </w:rPr>
        <w:t xml:space="preserve">If the date of amendment of a complaint were not taken to be the relevant initiation date, the purpose of section 67(1) could be defeated by limitless retrospective expansions of a complaint </w:t>
      </w:r>
      <w:r w:rsidR="004C0C40" w:rsidRPr="00DF4154">
        <w:rPr>
          <w:rFonts w:ascii="Arial" w:hAnsi="Arial" w:cs="Arial"/>
          <w:sz w:val="26"/>
          <w:szCs w:val="28"/>
        </w:rPr>
        <w:t xml:space="preserve">after </w:t>
      </w:r>
      <w:r w:rsidRPr="00DF4154">
        <w:rPr>
          <w:rFonts w:ascii="Arial" w:hAnsi="Arial" w:cs="Arial"/>
          <w:sz w:val="26"/>
          <w:szCs w:val="28"/>
        </w:rPr>
        <w:t xml:space="preserve">initiation to include </w:t>
      </w:r>
      <w:r w:rsidR="001E54F3" w:rsidRPr="00DF4154">
        <w:rPr>
          <w:rFonts w:ascii="Arial" w:hAnsi="Arial" w:cs="Arial"/>
          <w:sz w:val="26"/>
          <w:szCs w:val="28"/>
        </w:rPr>
        <w:t>firms or conduct</w:t>
      </w:r>
      <w:r w:rsidRPr="00DF4154">
        <w:rPr>
          <w:rFonts w:ascii="Arial" w:hAnsi="Arial" w:cs="Arial"/>
          <w:sz w:val="26"/>
          <w:szCs w:val="28"/>
        </w:rPr>
        <w:t xml:space="preserve"> which could not validly be included in a new complaint initiation by virtue of the expiration of the three-year period. </w:t>
      </w:r>
    </w:p>
    <w:p w14:paraId="75054607" w14:textId="1D8A5217" w:rsidR="00C848E2" w:rsidRPr="00DF4154" w:rsidRDefault="00C848E2" w:rsidP="006B7B54">
      <w:pPr>
        <w:keepNext/>
        <w:spacing w:after="240" w:line="480" w:lineRule="auto"/>
        <w:jc w:val="both"/>
        <w:rPr>
          <w:rFonts w:ascii="Arial" w:hAnsi="Arial" w:cs="Arial"/>
          <w:sz w:val="26"/>
          <w:szCs w:val="28"/>
        </w:rPr>
      </w:pPr>
      <w:r w:rsidRPr="00DF4154">
        <w:rPr>
          <w:rFonts w:ascii="Arial" w:hAnsi="Arial" w:cs="Arial"/>
          <w:b/>
          <w:bCs/>
          <w:sz w:val="26"/>
          <w:szCs w:val="28"/>
        </w:rPr>
        <w:t>THE CONDUCT ALLEGED IN THE COMPLAINT</w:t>
      </w:r>
    </w:p>
    <w:p w14:paraId="665C7220" w14:textId="00E59EA3" w:rsidR="00C848E2" w:rsidRPr="00DF4154" w:rsidRDefault="00C848E2" w:rsidP="00C848E2">
      <w:pPr>
        <w:pStyle w:val="ListParagraph"/>
        <w:numPr>
          <w:ilvl w:val="0"/>
          <w:numId w:val="1"/>
        </w:numPr>
        <w:spacing w:after="240" w:line="480" w:lineRule="auto"/>
        <w:ind w:hanging="720"/>
        <w:jc w:val="both"/>
        <w:rPr>
          <w:rFonts w:ascii="Arial" w:hAnsi="Arial" w:cs="Arial"/>
          <w:sz w:val="26"/>
          <w:szCs w:val="28"/>
        </w:rPr>
      </w:pPr>
      <w:r w:rsidRPr="00DF4154">
        <w:rPr>
          <w:rFonts w:ascii="Arial" w:hAnsi="Arial" w:cs="Arial"/>
          <w:sz w:val="26"/>
          <w:szCs w:val="28"/>
        </w:rPr>
        <w:t>The complaint which the Commission referred to the Tribunal alleges that Pickfords entered into</w:t>
      </w:r>
      <w:r w:rsidR="004C0C40" w:rsidRPr="00DF4154">
        <w:rPr>
          <w:rFonts w:ascii="Arial" w:hAnsi="Arial" w:cs="Arial"/>
          <w:i/>
          <w:iCs/>
          <w:sz w:val="26"/>
          <w:szCs w:val="28"/>
        </w:rPr>
        <w:t xml:space="preserve"> “</w:t>
      </w:r>
      <w:r w:rsidRPr="00DF4154">
        <w:rPr>
          <w:rFonts w:ascii="Arial" w:hAnsi="Arial" w:cs="Arial"/>
          <w:i/>
          <w:iCs/>
          <w:sz w:val="26"/>
          <w:szCs w:val="28"/>
          <w:u w:val="single"/>
        </w:rPr>
        <w:t>discrete</w:t>
      </w:r>
      <w:r w:rsidRPr="00DF4154">
        <w:rPr>
          <w:rFonts w:ascii="Arial" w:hAnsi="Arial" w:cs="Arial"/>
          <w:i/>
          <w:iCs/>
          <w:sz w:val="26"/>
          <w:szCs w:val="28"/>
        </w:rPr>
        <w:t xml:space="preserve"> </w:t>
      </w:r>
      <w:r w:rsidRPr="00DF4154">
        <w:rPr>
          <w:rFonts w:ascii="Arial" w:hAnsi="Arial" w:cs="Arial"/>
          <w:i/>
          <w:iCs/>
          <w:sz w:val="26"/>
          <w:szCs w:val="28"/>
          <w:u w:val="single"/>
        </w:rPr>
        <w:t>bilateral</w:t>
      </w:r>
      <w:r w:rsidRPr="00DF4154">
        <w:rPr>
          <w:rFonts w:ascii="Arial" w:hAnsi="Arial" w:cs="Arial"/>
          <w:i/>
          <w:iCs/>
          <w:sz w:val="26"/>
          <w:szCs w:val="28"/>
        </w:rPr>
        <w:t xml:space="preserve"> collusive agreements with each of the other respondents in respe</w:t>
      </w:r>
      <w:r w:rsidR="004C0C40" w:rsidRPr="00DF4154">
        <w:rPr>
          <w:rFonts w:ascii="Arial" w:hAnsi="Arial" w:cs="Arial"/>
          <w:i/>
          <w:iCs/>
          <w:sz w:val="26"/>
          <w:szCs w:val="28"/>
        </w:rPr>
        <w:t>ct of furniture removal tenders”</w:t>
      </w:r>
      <w:r w:rsidRPr="00DF4154">
        <w:rPr>
          <w:rStyle w:val="FootnoteReference"/>
          <w:rFonts w:ascii="Arial" w:hAnsi="Arial" w:cs="Arial"/>
          <w:sz w:val="26"/>
          <w:szCs w:val="28"/>
        </w:rPr>
        <w:footnoteReference w:id="31"/>
      </w:r>
      <w:r w:rsidRPr="00DF4154">
        <w:rPr>
          <w:rFonts w:ascii="Arial" w:hAnsi="Arial" w:cs="Arial"/>
          <w:sz w:val="26"/>
          <w:szCs w:val="28"/>
        </w:rPr>
        <w:t xml:space="preserve"> in contravention of section 4(1)(b)(iii) of the </w:t>
      </w:r>
      <w:r w:rsidR="004C0C40" w:rsidRPr="00DF4154">
        <w:rPr>
          <w:rFonts w:ascii="Arial" w:hAnsi="Arial" w:cs="Arial"/>
          <w:sz w:val="26"/>
          <w:szCs w:val="28"/>
        </w:rPr>
        <w:t xml:space="preserve">Competition </w:t>
      </w:r>
      <w:r w:rsidRPr="00DF4154">
        <w:rPr>
          <w:rFonts w:ascii="Arial" w:hAnsi="Arial" w:cs="Arial"/>
          <w:sz w:val="26"/>
          <w:szCs w:val="28"/>
        </w:rPr>
        <w:t xml:space="preserve">Act. </w:t>
      </w:r>
    </w:p>
    <w:p w14:paraId="039331EF" w14:textId="77777777" w:rsidR="00C848E2" w:rsidRPr="00DF4154" w:rsidRDefault="00C848E2" w:rsidP="00C848E2">
      <w:pPr>
        <w:pStyle w:val="ListParagraph"/>
        <w:spacing w:after="0" w:line="276" w:lineRule="auto"/>
        <w:jc w:val="both"/>
        <w:rPr>
          <w:rFonts w:ascii="Arial" w:hAnsi="Arial" w:cs="Arial"/>
          <w:sz w:val="26"/>
          <w:szCs w:val="28"/>
        </w:rPr>
      </w:pPr>
    </w:p>
    <w:p w14:paraId="40EF5E6A" w14:textId="3FF185B0"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lastRenderedPageBreak/>
        <w:t xml:space="preserve">The other respondents </w:t>
      </w:r>
      <w:r w:rsidR="00777BFA" w:rsidRPr="00DF4154">
        <w:rPr>
          <w:rFonts w:ascii="Arial" w:hAnsi="Arial" w:cs="Arial"/>
          <w:sz w:val="26"/>
          <w:szCs w:val="28"/>
        </w:rPr>
        <w:t xml:space="preserve">in the referral </w:t>
      </w:r>
      <w:r w:rsidRPr="00DF4154">
        <w:rPr>
          <w:rFonts w:ascii="Arial" w:hAnsi="Arial" w:cs="Arial"/>
          <w:sz w:val="26"/>
          <w:szCs w:val="28"/>
        </w:rPr>
        <w:t xml:space="preserve">are JH Retief Transport CC (JH Retief); </w:t>
      </w:r>
      <w:proofErr w:type="spellStart"/>
      <w:r w:rsidRPr="00DF4154">
        <w:rPr>
          <w:rFonts w:ascii="Arial" w:hAnsi="Arial" w:cs="Arial"/>
          <w:sz w:val="26"/>
          <w:szCs w:val="28"/>
        </w:rPr>
        <w:t>Sifikile</w:t>
      </w:r>
      <w:proofErr w:type="spellEnd"/>
      <w:r w:rsidRPr="00DF4154">
        <w:rPr>
          <w:rFonts w:ascii="Arial" w:hAnsi="Arial" w:cs="Arial"/>
          <w:sz w:val="26"/>
          <w:szCs w:val="28"/>
        </w:rPr>
        <w:t xml:space="preserve"> Transport CC (</w:t>
      </w:r>
      <w:proofErr w:type="spellStart"/>
      <w:r w:rsidRPr="00DF4154">
        <w:rPr>
          <w:rFonts w:ascii="Arial" w:hAnsi="Arial" w:cs="Arial"/>
          <w:sz w:val="26"/>
          <w:szCs w:val="28"/>
        </w:rPr>
        <w:t>Sifikile</w:t>
      </w:r>
      <w:proofErr w:type="spellEnd"/>
      <w:r w:rsidRPr="00DF4154">
        <w:rPr>
          <w:rFonts w:ascii="Arial" w:hAnsi="Arial" w:cs="Arial"/>
          <w:sz w:val="26"/>
          <w:szCs w:val="28"/>
        </w:rPr>
        <w:t xml:space="preserve">) and Cape Express Removals (Pty) Ltd (Cape Express), respectively the second, third and fourth respondents. </w:t>
      </w:r>
      <w:r w:rsidR="00777BFA" w:rsidRPr="00DF4154">
        <w:rPr>
          <w:rFonts w:ascii="Arial" w:hAnsi="Arial" w:cs="Arial"/>
          <w:sz w:val="26"/>
          <w:szCs w:val="28"/>
        </w:rPr>
        <w:t xml:space="preserve">None of them participated in the proceedings </w:t>
      </w:r>
      <w:r w:rsidR="00DE09FD" w:rsidRPr="00DF4154">
        <w:rPr>
          <w:rFonts w:ascii="Arial" w:hAnsi="Arial" w:cs="Arial"/>
          <w:sz w:val="26"/>
          <w:szCs w:val="28"/>
        </w:rPr>
        <w:t xml:space="preserve">before the Tribunal and the CAC. We understand that </w:t>
      </w:r>
      <w:r w:rsidR="00611D4D" w:rsidRPr="00DF4154">
        <w:rPr>
          <w:rFonts w:ascii="Arial" w:hAnsi="Arial" w:cs="Arial"/>
          <w:sz w:val="26"/>
          <w:szCs w:val="28"/>
        </w:rPr>
        <w:t>they have settled with the Commission</w:t>
      </w:r>
      <w:r w:rsidR="00DE09FD" w:rsidRPr="00DF4154">
        <w:rPr>
          <w:rFonts w:ascii="Arial" w:hAnsi="Arial" w:cs="Arial"/>
          <w:sz w:val="26"/>
          <w:szCs w:val="28"/>
        </w:rPr>
        <w:t xml:space="preserve">. </w:t>
      </w:r>
      <w:proofErr w:type="spellStart"/>
      <w:r w:rsidR="00DE09FD" w:rsidRPr="00DF4154">
        <w:rPr>
          <w:rFonts w:ascii="Arial" w:hAnsi="Arial" w:cs="Arial"/>
          <w:sz w:val="26"/>
          <w:szCs w:val="28"/>
        </w:rPr>
        <w:t>Pickfords</w:t>
      </w:r>
      <w:r w:rsidR="00DE2BBD" w:rsidRPr="00DF4154">
        <w:rPr>
          <w:rFonts w:ascii="Arial" w:hAnsi="Arial" w:cs="Arial"/>
          <w:sz w:val="26"/>
          <w:szCs w:val="28"/>
        </w:rPr>
        <w:t>’</w:t>
      </w:r>
      <w:r w:rsidR="003B0D59" w:rsidRPr="00DF4154">
        <w:rPr>
          <w:rFonts w:ascii="Arial" w:hAnsi="Arial" w:cs="Arial"/>
          <w:sz w:val="26"/>
          <w:szCs w:val="28"/>
        </w:rPr>
        <w:t>s</w:t>
      </w:r>
      <w:proofErr w:type="spellEnd"/>
      <w:r w:rsidR="00DE2BBD" w:rsidRPr="00DF4154">
        <w:rPr>
          <w:rFonts w:ascii="Arial" w:hAnsi="Arial" w:cs="Arial"/>
          <w:sz w:val="26"/>
          <w:szCs w:val="28"/>
        </w:rPr>
        <w:t xml:space="preserve"> position is explained in its answering affidavit</w:t>
      </w:r>
      <w:r w:rsidR="00290135" w:rsidRPr="00DF4154">
        <w:rPr>
          <w:rFonts w:ascii="Arial" w:hAnsi="Arial" w:cs="Arial"/>
          <w:sz w:val="26"/>
          <w:szCs w:val="28"/>
        </w:rPr>
        <w:t>s</w:t>
      </w:r>
      <w:r w:rsidR="00DE2BBD" w:rsidRPr="00DF4154">
        <w:rPr>
          <w:rFonts w:ascii="Arial" w:hAnsi="Arial" w:cs="Arial"/>
          <w:sz w:val="26"/>
          <w:szCs w:val="28"/>
        </w:rPr>
        <w:t>.</w:t>
      </w:r>
      <w:r w:rsidR="00DE2BBD" w:rsidRPr="00DF4154">
        <w:rPr>
          <w:rStyle w:val="FootnoteReference"/>
          <w:rFonts w:ascii="Arial" w:hAnsi="Arial" w:cs="Arial"/>
          <w:sz w:val="26"/>
          <w:szCs w:val="28"/>
        </w:rPr>
        <w:footnoteReference w:id="32"/>
      </w:r>
    </w:p>
    <w:p w14:paraId="3A05D203" w14:textId="77777777" w:rsidR="00C848E2" w:rsidRPr="00DF4154" w:rsidRDefault="00C848E2" w:rsidP="00C848E2">
      <w:pPr>
        <w:pStyle w:val="ListParagraph"/>
        <w:spacing w:after="0" w:line="276" w:lineRule="auto"/>
        <w:jc w:val="both"/>
        <w:rPr>
          <w:rFonts w:ascii="Arial" w:hAnsi="Arial" w:cs="Arial"/>
          <w:sz w:val="26"/>
          <w:szCs w:val="28"/>
        </w:rPr>
      </w:pPr>
    </w:p>
    <w:p w14:paraId="0C569E33" w14:textId="63FB4AF5"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Commission alleges 36 separat</w:t>
      </w:r>
      <w:r w:rsidR="00162FC9" w:rsidRPr="00DF4154">
        <w:rPr>
          <w:rFonts w:ascii="Arial" w:hAnsi="Arial" w:cs="Arial"/>
          <w:sz w:val="26"/>
          <w:szCs w:val="28"/>
        </w:rPr>
        <w:t>e instances in which Pickfords “</w:t>
      </w:r>
      <w:r w:rsidRPr="00DF4154">
        <w:rPr>
          <w:rFonts w:ascii="Arial" w:hAnsi="Arial" w:cs="Arial"/>
          <w:i/>
          <w:iCs/>
          <w:sz w:val="26"/>
          <w:szCs w:val="28"/>
        </w:rPr>
        <w:t>concluded an agreemen</w:t>
      </w:r>
      <w:r w:rsidR="00162FC9" w:rsidRPr="00DF4154">
        <w:rPr>
          <w:rFonts w:ascii="Arial" w:hAnsi="Arial" w:cs="Arial"/>
          <w:i/>
          <w:iCs/>
          <w:sz w:val="26"/>
          <w:szCs w:val="28"/>
        </w:rPr>
        <w:t>t and/or exchanged cover prices”</w:t>
      </w:r>
      <w:r w:rsidRPr="00DF4154">
        <w:rPr>
          <w:rFonts w:ascii="Arial" w:hAnsi="Arial" w:cs="Arial"/>
          <w:sz w:val="26"/>
          <w:szCs w:val="28"/>
        </w:rPr>
        <w:t xml:space="preserve"> with JH Retief, </w:t>
      </w:r>
      <w:proofErr w:type="spellStart"/>
      <w:r w:rsidRPr="00DF4154">
        <w:rPr>
          <w:rFonts w:ascii="Arial" w:hAnsi="Arial" w:cs="Arial"/>
          <w:sz w:val="26"/>
          <w:szCs w:val="28"/>
        </w:rPr>
        <w:t>Sifikile</w:t>
      </w:r>
      <w:proofErr w:type="spellEnd"/>
      <w:r w:rsidRPr="00DF4154">
        <w:rPr>
          <w:rFonts w:ascii="Arial" w:hAnsi="Arial" w:cs="Arial"/>
          <w:sz w:val="26"/>
          <w:szCs w:val="28"/>
        </w:rPr>
        <w:t xml:space="preserve"> or Cape Express</w:t>
      </w:r>
      <w:r w:rsidR="00611D4D" w:rsidRPr="00DF4154">
        <w:rPr>
          <w:rFonts w:ascii="Arial" w:hAnsi="Arial" w:cs="Arial"/>
          <w:sz w:val="26"/>
          <w:szCs w:val="28"/>
        </w:rPr>
        <w:t>,</w:t>
      </w:r>
      <w:r w:rsidRPr="00DF4154">
        <w:rPr>
          <w:rStyle w:val="FootnoteReference"/>
          <w:rFonts w:ascii="Arial" w:hAnsi="Arial" w:cs="Arial"/>
          <w:sz w:val="26"/>
          <w:szCs w:val="28"/>
        </w:rPr>
        <w:footnoteReference w:id="33"/>
      </w:r>
      <w:r w:rsidR="00162FC9" w:rsidRPr="00DF4154">
        <w:rPr>
          <w:rFonts w:ascii="Arial" w:hAnsi="Arial" w:cs="Arial"/>
          <w:sz w:val="26"/>
          <w:szCs w:val="28"/>
        </w:rPr>
        <w:t xml:space="preserve"> </w:t>
      </w:r>
      <w:r w:rsidR="00611D4D" w:rsidRPr="00DF4154">
        <w:rPr>
          <w:rFonts w:ascii="Arial" w:hAnsi="Arial" w:cs="Arial"/>
          <w:sz w:val="26"/>
          <w:szCs w:val="28"/>
        </w:rPr>
        <w:t xml:space="preserve">describing a </w:t>
      </w:r>
      <w:r w:rsidR="00162FC9" w:rsidRPr="00DF4154">
        <w:rPr>
          <w:rFonts w:ascii="Arial" w:hAnsi="Arial" w:cs="Arial"/>
          <w:sz w:val="26"/>
          <w:szCs w:val="28"/>
        </w:rPr>
        <w:t>“cover price” or “cover quote”</w:t>
      </w:r>
      <w:r w:rsidRPr="00DF4154">
        <w:rPr>
          <w:rFonts w:ascii="Arial" w:hAnsi="Arial" w:cs="Arial"/>
          <w:sz w:val="26"/>
          <w:szCs w:val="28"/>
        </w:rPr>
        <w:t xml:space="preserve"> as follows:</w:t>
      </w:r>
    </w:p>
    <w:p w14:paraId="71FFCD96" w14:textId="77777777" w:rsidR="00C848E2" w:rsidRPr="00DF4154" w:rsidRDefault="00C848E2" w:rsidP="00C848E2">
      <w:pPr>
        <w:pStyle w:val="ListParagraph"/>
        <w:rPr>
          <w:rFonts w:ascii="Arial" w:hAnsi="Arial" w:cs="Arial"/>
          <w:sz w:val="26"/>
          <w:szCs w:val="28"/>
        </w:rPr>
      </w:pPr>
    </w:p>
    <w:p w14:paraId="7D7EE322" w14:textId="6926D6B8" w:rsidR="00C848E2" w:rsidRPr="00DF4154" w:rsidRDefault="00162FC9" w:rsidP="00C848E2">
      <w:pPr>
        <w:pStyle w:val="ListParagraph"/>
        <w:spacing w:after="0" w:line="240" w:lineRule="auto"/>
        <w:jc w:val="both"/>
        <w:rPr>
          <w:rFonts w:ascii="Arial" w:hAnsi="Arial" w:cs="Arial"/>
          <w:i/>
          <w:iCs/>
          <w:sz w:val="26"/>
          <w:szCs w:val="28"/>
        </w:rPr>
      </w:pPr>
      <w:r w:rsidRPr="00DF4154">
        <w:rPr>
          <w:rFonts w:ascii="Arial" w:hAnsi="Arial" w:cs="Arial"/>
          <w:sz w:val="26"/>
          <w:szCs w:val="28"/>
        </w:rPr>
        <w:t>“</w:t>
      </w:r>
      <w:r w:rsidR="00C848E2" w:rsidRPr="00DF4154">
        <w:rPr>
          <w:rFonts w:ascii="Arial" w:hAnsi="Arial" w:cs="Arial"/>
          <w:i/>
          <w:iCs/>
          <w:sz w:val="26"/>
          <w:szCs w:val="28"/>
        </w:rPr>
        <w:t>When employers, who transfer their employees, pay their transfer costs, the employer typically requires three competitive quotations for the transport of the employee’s household goods. Transport contractors sometimes collude by providing one another with “cover quotes” on request. A cover quote purports to be a competitive quotation but, by agreement, quotes a price higher than the price quoted by the contract</w:t>
      </w:r>
      <w:r w:rsidRPr="00DF4154">
        <w:rPr>
          <w:rFonts w:ascii="Arial" w:hAnsi="Arial" w:cs="Arial"/>
          <w:i/>
          <w:iCs/>
          <w:sz w:val="26"/>
          <w:szCs w:val="28"/>
        </w:rPr>
        <w:t>or at whose request it is given</w:t>
      </w:r>
      <w:r w:rsidR="00C848E2" w:rsidRPr="00DF4154">
        <w:rPr>
          <w:rFonts w:ascii="Arial" w:hAnsi="Arial" w:cs="Arial"/>
          <w:i/>
          <w:iCs/>
          <w:sz w:val="26"/>
          <w:szCs w:val="28"/>
        </w:rPr>
        <w:t>.</w:t>
      </w:r>
      <w:r w:rsidRPr="00DF4154">
        <w:rPr>
          <w:rFonts w:ascii="Arial" w:hAnsi="Arial" w:cs="Arial"/>
          <w:i/>
          <w:iCs/>
          <w:sz w:val="26"/>
          <w:szCs w:val="28"/>
        </w:rPr>
        <w:t>”</w:t>
      </w:r>
      <w:r w:rsidR="00C848E2" w:rsidRPr="00DF4154">
        <w:rPr>
          <w:rStyle w:val="FootnoteReference"/>
          <w:rFonts w:ascii="Arial" w:hAnsi="Arial" w:cs="Arial"/>
          <w:iCs/>
          <w:sz w:val="26"/>
          <w:szCs w:val="28"/>
        </w:rPr>
        <w:footnoteReference w:id="34"/>
      </w:r>
    </w:p>
    <w:p w14:paraId="07DC8212" w14:textId="77777777" w:rsidR="00C848E2" w:rsidRPr="00DF4154" w:rsidRDefault="00C848E2" w:rsidP="00C848E2">
      <w:pPr>
        <w:pStyle w:val="ListParagraph"/>
        <w:spacing w:after="0" w:line="240" w:lineRule="auto"/>
        <w:jc w:val="both"/>
        <w:rPr>
          <w:rFonts w:ascii="Arial" w:hAnsi="Arial" w:cs="Arial"/>
          <w:sz w:val="26"/>
          <w:szCs w:val="28"/>
        </w:rPr>
      </w:pPr>
    </w:p>
    <w:p w14:paraId="3176A39D" w14:textId="77777777" w:rsidR="00C848E2" w:rsidRPr="00DF4154" w:rsidRDefault="00C848E2" w:rsidP="00C848E2">
      <w:pPr>
        <w:pStyle w:val="ListParagraph"/>
        <w:spacing w:after="360" w:line="257" w:lineRule="auto"/>
        <w:rPr>
          <w:rFonts w:ascii="Arial" w:hAnsi="Arial" w:cs="Arial"/>
          <w:sz w:val="26"/>
          <w:szCs w:val="28"/>
        </w:rPr>
      </w:pPr>
    </w:p>
    <w:p w14:paraId="5D36EFAC" w14:textId="6D171169" w:rsidR="00C848E2" w:rsidRPr="00DF4154" w:rsidRDefault="00C848E2" w:rsidP="007A05DA">
      <w:pPr>
        <w:pStyle w:val="ListParagraph"/>
        <w:numPr>
          <w:ilvl w:val="0"/>
          <w:numId w:val="1"/>
        </w:numPr>
        <w:spacing w:before="480" w:after="0" w:line="480" w:lineRule="auto"/>
        <w:ind w:hanging="720"/>
        <w:jc w:val="both"/>
        <w:rPr>
          <w:rFonts w:ascii="Arial" w:hAnsi="Arial" w:cs="Arial"/>
          <w:sz w:val="26"/>
          <w:szCs w:val="28"/>
        </w:rPr>
      </w:pPr>
      <w:r w:rsidRPr="00DF4154">
        <w:rPr>
          <w:rFonts w:ascii="Arial" w:hAnsi="Arial" w:cs="Arial"/>
          <w:sz w:val="26"/>
          <w:szCs w:val="28"/>
        </w:rPr>
        <w:lastRenderedPageBreak/>
        <w:t>In each instance, Pickfords is alleged to have sought a cover quote for a particular removal contract from one of the three respondents, or one of the three respondents is alleged to have sought a cover quote from Pickfords</w:t>
      </w:r>
      <w:r w:rsidR="007A05DA" w:rsidRPr="00DF4154">
        <w:rPr>
          <w:rFonts w:ascii="Arial" w:hAnsi="Arial" w:cs="Arial"/>
          <w:sz w:val="26"/>
          <w:szCs w:val="28"/>
        </w:rPr>
        <w:t>.</w:t>
      </w:r>
      <w:r w:rsidRPr="00DF4154">
        <w:rPr>
          <w:rStyle w:val="FootnoteReference"/>
          <w:rFonts w:ascii="Arial" w:hAnsi="Arial" w:cs="Arial"/>
          <w:iCs/>
          <w:sz w:val="26"/>
          <w:szCs w:val="28"/>
        </w:rPr>
        <w:footnoteReference w:id="35"/>
      </w:r>
    </w:p>
    <w:p w14:paraId="1F959438" w14:textId="77777777" w:rsidR="00C848E2" w:rsidRPr="00027CFF" w:rsidRDefault="00C848E2" w:rsidP="00027CFF">
      <w:pPr>
        <w:spacing w:after="0" w:line="240" w:lineRule="auto"/>
        <w:ind w:left="720"/>
        <w:jc w:val="both"/>
        <w:rPr>
          <w:rFonts w:ascii="Arial" w:hAnsi="Arial" w:cs="Arial"/>
          <w:sz w:val="26"/>
          <w:szCs w:val="28"/>
        </w:rPr>
      </w:pPr>
    </w:p>
    <w:p w14:paraId="782F68C5" w14:textId="12082D15"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In respect of </w:t>
      </w:r>
      <w:r w:rsidRPr="00DF4154">
        <w:rPr>
          <w:rFonts w:ascii="Arial" w:hAnsi="Arial" w:cs="Arial"/>
          <w:sz w:val="26"/>
          <w:szCs w:val="28"/>
          <w:u w:val="single"/>
        </w:rPr>
        <w:t>each</w:t>
      </w:r>
      <w:r w:rsidRPr="00DF4154">
        <w:rPr>
          <w:rFonts w:ascii="Arial" w:hAnsi="Arial" w:cs="Arial"/>
          <w:sz w:val="26"/>
          <w:szCs w:val="28"/>
        </w:rPr>
        <w:t xml:space="preserve"> of the 36 instances, the Commission seeks an order declaring that (a) Pickfords has contravened section 4(1)(b) of the </w:t>
      </w:r>
      <w:r w:rsidR="00162FC9" w:rsidRPr="00DF4154">
        <w:rPr>
          <w:rFonts w:ascii="Arial" w:hAnsi="Arial" w:cs="Arial"/>
          <w:sz w:val="26"/>
          <w:szCs w:val="28"/>
        </w:rPr>
        <w:t xml:space="preserve">Competition </w:t>
      </w:r>
      <w:r w:rsidRPr="00DF4154">
        <w:rPr>
          <w:rFonts w:ascii="Arial" w:hAnsi="Arial" w:cs="Arial"/>
          <w:sz w:val="26"/>
          <w:szCs w:val="28"/>
        </w:rPr>
        <w:t>Act; and (b) Pickfords is liable for the payment of an administrative penalty equal to 10% of its annual turnover.</w:t>
      </w:r>
      <w:r w:rsidRPr="00DF4154">
        <w:rPr>
          <w:rStyle w:val="FootnoteReference"/>
          <w:rFonts w:ascii="Arial" w:hAnsi="Arial" w:cs="Arial"/>
          <w:sz w:val="26"/>
          <w:szCs w:val="28"/>
        </w:rPr>
        <w:footnoteReference w:id="36"/>
      </w:r>
    </w:p>
    <w:p w14:paraId="4DD33F28" w14:textId="77777777" w:rsidR="00C848E2" w:rsidRPr="00DF4154" w:rsidRDefault="00C848E2" w:rsidP="00C848E2">
      <w:pPr>
        <w:pStyle w:val="ListParagraph"/>
        <w:spacing w:after="0" w:line="276" w:lineRule="auto"/>
        <w:jc w:val="both"/>
        <w:rPr>
          <w:rFonts w:ascii="Arial" w:hAnsi="Arial" w:cs="Arial"/>
          <w:sz w:val="26"/>
          <w:szCs w:val="28"/>
        </w:rPr>
      </w:pPr>
    </w:p>
    <w:p w14:paraId="3C2AC975" w14:textId="7777777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Both the Tribunal and the CAC remarked on the Commission’s approach to the formulation of the complaint. </w:t>
      </w:r>
    </w:p>
    <w:p w14:paraId="507F64DF" w14:textId="77777777" w:rsidR="00C848E2" w:rsidRPr="00DF4154" w:rsidRDefault="00C848E2" w:rsidP="00C848E2">
      <w:pPr>
        <w:pStyle w:val="ListParagraph"/>
        <w:rPr>
          <w:rFonts w:ascii="Arial" w:hAnsi="Arial" w:cs="Arial"/>
          <w:sz w:val="26"/>
          <w:szCs w:val="28"/>
        </w:rPr>
      </w:pPr>
    </w:p>
    <w:p w14:paraId="424D90E9" w14:textId="7777777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Instead of relying on a single overarching agreement among furniture removal firms to engage in the practice of cover quoting, with individual exchanges of cover quotes identified as acts of execution of the overarching agreement, the Commission identifies each individual exchange of cover </w:t>
      </w:r>
      <w:r w:rsidRPr="00DF4154">
        <w:rPr>
          <w:rFonts w:ascii="Arial" w:hAnsi="Arial" w:cs="Arial"/>
          <w:sz w:val="26"/>
          <w:szCs w:val="28"/>
        </w:rPr>
        <w:lastRenderedPageBreak/>
        <w:t>quotes as a separate agreement or concerted practice in contravention of section 4(1)(b)(iii) of the Act.</w:t>
      </w:r>
      <w:r w:rsidRPr="00DF4154">
        <w:rPr>
          <w:rStyle w:val="FootnoteReference"/>
          <w:rFonts w:ascii="Arial" w:hAnsi="Arial" w:cs="Arial"/>
          <w:sz w:val="26"/>
          <w:szCs w:val="28"/>
        </w:rPr>
        <w:footnoteReference w:id="37"/>
      </w:r>
    </w:p>
    <w:p w14:paraId="34BD0294" w14:textId="77777777" w:rsidR="00C848E2" w:rsidRPr="00DF4154" w:rsidRDefault="00C848E2" w:rsidP="00C848E2">
      <w:pPr>
        <w:pStyle w:val="ListParagraph"/>
        <w:rPr>
          <w:rFonts w:ascii="Arial" w:hAnsi="Arial" w:cs="Arial"/>
          <w:sz w:val="26"/>
          <w:szCs w:val="28"/>
        </w:rPr>
      </w:pPr>
    </w:p>
    <w:p w14:paraId="5218A9A0" w14:textId="48E1A6A7" w:rsidR="00C848E2" w:rsidRPr="00DF4154" w:rsidRDefault="00162FC9"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Tribunal commented</w:t>
      </w:r>
      <w:r w:rsidR="00C848E2" w:rsidRPr="00DF4154">
        <w:rPr>
          <w:rFonts w:ascii="Arial" w:hAnsi="Arial" w:cs="Arial"/>
          <w:sz w:val="26"/>
          <w:szCs w:val="28"/>
        </w:rPr>
        <w:t xml:space="preserve">: </w:t>
      </w:r>
    </w:p>
    <w:p w14:paraId="1730525E" w14:textId="77777777" w:rsidR="00C848E2" w:rsidRPr="00DF4154" w:rsidRDefault="00C848E2" w:rsidP="00C848E2">
      <w:pPr>
        <w:pStyle w:val="ListParagraph"/>
        <w:rPr>
          <w:rFonts w:ascii="Arial" w:hAnsi="Arial" w:cs="Arial"/>
          <w:sz w:val="26"/>
          <w:szCs w:val="28"/>
        </w:rPr>
      </w:pPr>
    </w:p>
    <w:p w14:paraId="33D4A190" w14:textId="4532CEC3" w:rsidR="00C848E2" w:rsidRPr="00DF4154" w:rsidRDefault="00162FC9" w:rsidP="00C848E2">
      <w:pPr>
        <w:pStyle w:val="ListParagraph"/>
        <w:spacing w:after="0" w:line="240" w:lineRule="auto"/>
        <w:jc w:val="both"/>
        <w:rPr>
          <w:rFonts w:ascii="Arial" w:hAnsi="Arial" w:cs="Arial"/>
          <w:sz w:val="26"/>
          <w:szCs w:val="28"/>
        </w:rPr>
      </w:pPr>
      <w:r w:rsidRPr="00DF4154">
        <w:rPr>
          <w:rFonts w:ascii="Arial" w:hAnsi="Arial" w:cs="Arial"/>
          <w:sz w:val="26"/>
          <w:szCs w:val="28"/>
        </w:rPr>
        <w:t>“</w:t>
      </w:r>
      <w:r w:rsidR="00C848E2" w:rsidRPr="00DF4154">
        <w:rPr>
          <w:rFonts w:ascii="Arial" w:hAnsi="Arial" w:cs="Arial"/>
          <w:i/>
          <w:iCs/>
          <w:sz w:val="26"/>
          <w:szCs w:val="28"/>
        </w:rPr>
        <w:t xml:space="preserve">This is more than a purely technical distinction. A single over-arching conspiracy between a multiplicity [of] conspirators is a distinct concerted practice, distinguishable from [a] discrete, finite conspiracy, between a limited number of </w:t>
      </w:r>
      <w:r w:rsidRPr="00DF4154">
        <w:rPr>
          <w:rFonts w:ascii="Arial" w:hAnsi="Arial" w:cs="Arial"/>
          <w:i/>
          <w:iCs/>
          <w:sz w:val="26"/>
          <w:szCs w:val="28"/>
        </w:rPr>
        <w:t>conspirators</w:t>
      </w:r>
      <w:r w:rsidR="00C848E2" w:rsidRPr="00DF4154">
        <w:rPr>
          <w:rFonts w:ascii="Arial" w:hAnsi="Arial" w:cs="Arial"/>
          <w:i/>
          <w:iCs/>
          <w:sz w:val="26"/>
          <w:szCs w:val="28"/>
        </w:rPr>
        <w:t>.</w:t>
      </w:r>
      <w:r w:rsidRPr="00DF4154">
        <w:rPr>
          <w:rFonts w:ascii="Arial" w:hAnsi="Arial" w:cs="Arial"/>
          <w:i/>
          <w:iCs/>
          <w:sz w:val="26"/>
          <w:szCs w:val="28"/>
        </w:rPr>
        <w:t>”</w:t>
      </w:r>
      <w:r w:rsidR="00C848E2" w:rsidRPr="00DF4154">
        <w:rPr>
          <w:rStyle w:val="FootnoteReference"/>
          <w:rFonts w:ascii="Arial" w:hAnsi="Arial" w:cs="Arial"/>
          <w:iCs/>
          <w:sz w:val="26"/>
          <w:szCs w:val="28"/>
        </w:rPr>
        <w:footnoteReference w:id="38"/>
      </w:r>
    </w:p>
    <w:p w14:paraId="7F46DABD" w14:textId="77777777" w:rsidR="00C848E2" w:rsidRPr="00DF4154" w:rsidRDefault="00C848E2" w:rsidP="00C848E2">
      <w:pPr>
        <w:pStyle w:val="ListParagraph"/>
        <w:rPr>
          <w:rFonts w:ascii="Arial" w:hAnsi="Arial" w:cs="Arial"/>
          <w:sz w:val="26"/>
          <w:szCs w:val="28"/>
        </w:rPr>
      </w:pPr>
    </w:p>
    <w:p w14:paraId="5C428529" w14:textId="77777777" w:rsidR="00C848E2" w:rsidRPr="00DF4154" w:rsidRDefault="00C848E2" w:rsidP="00C848E2">
      <w:pPr>
        <w:pStyle w:val="ListParagraph"/>
        <w:rPr>
          <w:rFonts w:ascii="Arial" w:hAnsi="Arial" w:cs="Arial"/>
          <w:sz w:val="26"/>
          <w:szCs w:val="28"/>
        </w:rPr>
      </w:pPr>
    </w:p>
    <w:p w14:paraId="7EFB6383" w14:textId="77777777" w:rsidR="00C848E2" w:rsidRPr="00DF4154" w:rsidRDefault="00C848E2" w:rsidP="00C848E2">
      <w:pPr>
        <w:pStyle w:val="ListParagraph"/>
        <w:numPr>
          <w:ilvl w:val="0"/>
          <w:numId w:val="1"/>
        </w:numPr>
        <w:spacing w:after="240" w:line="480" w:lineRule="auto"/>
        <w:ind w:hanging="720"/>
        <w:jc w:val="both"/>
        <w:rPr>
          <w:rFonts w:ascii="Arial" w:hAnsi="Arial" w:cs="Arial"/>
          <w:sz w:val="26"/>
          <w:szCs w:val="28"/>
        </w:rPr>
      </w:pPr>
      <w:r w:rsidRPr="00DF4154">
        <w:rPr>
          <w:rFonts w:ascii="Arial" w:hAnsi="Arial" w:cs="Arial"/>
          <w:sz w:val="26"/>
          <w:szCs w:val="28"/>
        </w:rPr>
        <w:t xml:space="preserve">The CAC noted that in respect of the alleged contraventions involving JH Retief, </w:t>
      </w:r>
    </w:p>
    <w:p w14:paraId="0D258ED5" w14:textId="77777777" w:rsidR="00C848E2" w:rsidRPr="00DF4154" w:rsidRDefault="00C848E2" w:rsidP="00C848E2">
      <w:pPr>
        <w:pStyle w:val="ListParagraph"/>
        <w:spacing w:after="0" w:line="276" w:lineRule="auto"/>
        <w:jc w:val="both"/>
        <w:rPr>
          <w:rFonts w:ascii="Arial" w:hAnsi="Arial" w:cs="Arial"/>
          <w:sz w:val="26"/>
          <w:szCs w:val="28"/>
        </w:rPr>
      </w:pPr>
    </w:p>
    <w:p w14:paraId="74E526C4" w14:textId="168252FD" w:rsidR="00C848E2" w:rsidRPr="00DF4154" w:rsidRDefault="00162FC9" w:rsidP="00C848E2">
      <w:pPr>
        <w:pStyle w:val="ListParagraph"/>
        <w:spacing w:after="0" w:line="240" w:lineRule="auto"/>
        <w:jc w:val="both"/>
        <w:rPr>
          <w:rFonts w:ascii="Arial" w:hAnsi="Arial" w:cs="Arial"/>
          <w:sz w:val="26"/>
          <w:szCs w:val="28"/>
        </w:rPr>
      </w:pPr>
      <w:r w:rsidRPr="00DF4154">
        <w:rPr>
          <w:rFonts w:ascii="Arial" w:hAnsi="Arial" w:cs="Arial"/>
          <w:sz w:val="26"/>
          <w:szCs w:val="28"/>
        </w:rPr>
        <w:t>“</w:t>
      </w:r>
      <w:r w:rsidR="00C848E2" w:rsidRPr="00DF4154">
        <w:rPr>
          <w:rFonts w:ascii="Arial" w:hAnsi="Arial" w:cs="Arial"/>
          <w:i/>
          <w:iCs/>
          <w:sz w:val="26"/>
          <w:szCs w:val="28"/>
        </w:rPr>
        <w:t xml:space="preserve">the fact that no less than 35 agreements are alleged to have been concluded suggests that these were all simply </w:t>
      </w:r>
      <w:r w:rsidR="00C848E2" w:rsidRPr="00DF4154">
        <w:rPr>
          <w:rFonts w:ascii="Arial" w:hAnsi="Arial" w:cs="Arial"/>
          <w:i/>
          <w:iCs/>
          <w:sz w:val="26"/>
          <w:szCs w:val="28"/>
          <w:u w:val="single"/>
        </w:rPr>
        <w:t>examples</w:t>
      </w:r>
      <w:r w:rsidR="00C848E2" w:rsidRPr="00DF4154">
        <w:rPr>
          <w:rFonts w:ascii="Arial" w:hAnsi="Arial" w:cs="Arial"/>
          <w:i/>
          <w:iCs/>
          <w:sz w:val="26"/>
          <w:szCs w:val="28"/>
        </w:rPr>
        <w:t xml:space="preserve"> of the </w:t>
      </w:r>
      <w:r w:rsidR="00C848E2" w:rsidRPr="00DF4154">
        <w:rPr>
          <w:rFonts w:ascii="Arial" w:hAnsi="Arial" w:cs="Arial"/>
          <w:i/>
          <w:iCs/>
          <w:sz w:val="26"/>
          <w:szCs w:val="28"/>
          <w:u w:val="single"/>
        </w:rPr>
        <w:t>execution</w:t>
      </w:r>
      <w:r w:rsidR="00C848E2" w:rsidRPr="00DF4154">
        <w:rPr>
          <w:rFonts w:ascii="Arial" w:hAnsi="Arial" w:cs="Arial"/>
          <w:i/>
          <w:iCs/>
          <w:sz w:val="26"/>
          <w:szCs w:val="28"/>
        </w:rPr>
        <w:t xml:space="preserve"> by the respondent and JH Retief of </w:t>
      </w:r>
      <w:r w:rsidR="00C848E2" w:rsidRPr="00DF4154">
        <w:rPr>
          <w:rFonts w:ascii="Arial" w:hAnsi="Arial" w:cs="Arial"/>
          <w:i/>
          <w:iCs/>
          <w:sz w:val="26"/>
          <w:szCs w:val="28"/>
          <w:u w:val="single"/>
        </w:rPr>
        <w:t>one, single, concerted practice</w:t>
      </w:r>
      <w:r w:rsidR="00C848E2" w:rsidRPr="00DF4154">
        <w:rPr>
          <w:rFonts w:ascii="Arial" w:hAnsi="Arial" w:cs="Arial"/>
          <w:i/>
          <w:iCs/>
          <w:sz w:val="26"/>
          <w:szCs w:val="28"/>
        </w:rPr>
        <w:t xml:space="preserve"> between them during the years in question; and that 35 separate, distinct agreements, each one completely unrelated to the </w:t>
      </w:r>
      <w:r w:rsidRPr="00DF4154">
        <w:rPr>
          <w:rFonts w:ascii="Arial" w:hAnsi="Arial" w:cs="Arial"/>
          <w:i/>
          <w:iCs/>
          <w:sz w:val="26"/>
          <w:szCs w:val="28"/>
        </w:rPr>
        <w:t>others, smacks of improbability</w:t>
      </w:r>
      <w:r w:rsidR="00C848E2" w:rsidRPr="00DF4154">
        <w:rPr>
          <w:rFonts w:ascii="Arial" w:hAnsi="Arial" w:cs="Arial"/>
          <w:i/>
          <w:iCs/>
          <w:sz w:val="26"/>
          <w:szCs w:val="28"/>
        </w:rPr>
        <w:t>.</w:t>
      </w:r>
      <w:r w:rsidRPr="00DF4154">
        <w:rPr>
          <w:rFonts w:ascii="Arial" w:hAnsi="Arial" w:cs="Arial"/>
          <w:i/>
          <w:iCs/>
          <w:sz w:val="26"/>
          <w:szCs w:val="28"/>
        </w:rPr>
        <w:t>”</w:t>
      </w:r>
      <w:r w:rsidR="00C848E2" w:rsidRPr="00DF4154">
        <w:rPr>
          <w:rStyle w:val="FootnoteReference"/>
          <w:rFonts w:ascii="Arial" w:hAnsi="Arial" w:cs="Arial"/>
          <w:iCs/>
          <w:sz w:val="26"/>
          <w:szCs w:val="28"/>
        </w:rPr>
        <w:footnoteReference w:id="39"/>
      </w:r>
    </w:p>
    <w:p w14:paraId="160D1F8C" w14:textId="77777777" w:rsidR="00C848E2" w:rsidRPr="00DF4154" w:rsidRDefault="00C848E2" w:rsidP="00C848E2">
      <w:pPr>
        <w:pStyle w:val="ListParagraph"/>
        <w:rPr>
          <w:rFonts w:ascii="Arial" w:hAnsi="Arial" w:cs="Arial"/>
          <w:sz w:val="26"/>
          <w:szCs w:val="28"/>
        </w:rPr>
      </w:pPr>
    </w:p>
    <w:p w14:paraId="107FF888" w14:textId="77777777" w:rsidR="00C848E2" w:rsidRPr="00DF4154" w:rsidRDefault="00C848E2" w:rsidP="00C848E2">
      <w:pPr>
        <w:pStyle w:val="ListParagraph"/>
        <w:rPr>
          <w:rFonts w:ascii="Arial" w:hAnsi="Arial" w:cs="Arial"/>
          <w:sz w:val="26"/>
          <w:szCs w:val="28"/>
        </w:rPr>
      </w:pPr>
    </w:p>
    <w:p w14:paraId="186E3580" w14:textId="4A50E8A0"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rationale for the Commission’s approach is however evident. In terms of section 59 of the </w:t>
      </w:r>
      <w:r w:rsidR="00162FC9" w:rsidRPr="00DF4154">
        <w:rPr>
          <w:rFonts w:ascii="Arial" w:hAnsi="Arial" w:cs="Arial"/>
          <w:sz w:val="26"/>
          <w:szCs w:val="28"/>
        </w:rPr>
        <w:t xml:space="preserve">Competition </w:t>
      </w:r>
      <w:r w:rsidRPr="00DF4154">
        <w:rPr>
          <w:rFonts w:ascii="Arial" w:hAnsi="Arial" w:cs="Arial"/>
          <w:sz w:val="26"/>
          <w:szCs w:val="28"/>
        </w:rPr>
        <w:t>Act, the Competition Tribunal may impose an administrative penalty not exceeding 10% of a firm’s annual turnover for ‘</w:t>
      </w:r>
      <w:r w:rsidRPr="00DF4154">
        <w:rPr>
          <w:rFonts w:ascii="Arial" w:hAnsi="Arial" w:cs="Arial"/>
          <w:i/>
          <w:iCs/>
          <w:sz w:val="26"/>
          <w:szCs w:val="28"/>
        </w:rPr>
        <w:t>a prohibited practice</w:t>
      </w:r>
      <w:r w:rsidRPr="00DF4154">
        <w:rPr>
          <w:rFonts w:ascii="Arial" w:hAnsi="Arial" w:cs="Arial"/>
          <w:sz w:val="26"/>
          <w:szCs w:val="28"/>
        </w:rPr>
        <w:t>’.</w:t>
      </w:r>
      <w:r w:rsidRPr="00DF4154">
        <w:rPr>
          <w:rStyle w:val="FootnoteReference"/>
          <w:rFonts w:ascii="Arial" w:hAnsi="Arial" w:cs="Arial"/>
          <w:sz w:val="26"/>
          <w:szCs w:val="28"/>
        </w:rPr>
        <w:footnoteReference w:id="40"/>
      </w:r>
      <w:r w:rsidRPr="00DF4154">
        <w:rPr>
          <w:rFonts w:ascii="Arial" w:hAnsi="Arial" w:cs="Arial"/>
          <w:sz w:val="26"/>
          <w:szCs w:val="28"/>
        </w:rPr>
        <w:t xml:space="preserve"> By identifying 36 prohibited practices, the </w:t>
      </w:r>
      <w:r w:rsidRPr="00DF4154">
        <w:rPr>
          <w:rFonts w:ascii="Arial" w:hAnsi="Arial" w:cs="Arial"/>
          <w:sz w:val="26"/>
          <w:szCs w:val="28"/>
        </w:rPr>
        <w:lastRenderedPageBreak/>
        <w:t xml:space="preserve">Commission seeks to achieve the imposition of an administrative penalty which amounts to 360% of </w:t>
      </w:r>
      <w:proofErr w:type="spellStart"/>
      <w:r w:rsidRPr="00DF4154">
        <w:rPr>
          <w:rFonts w:ascii="Arial" w:hAnsi="Arial" w:cs="Arial"/>
          <w:sz w:val="26"/>
          <w:szCs w:val="28"/>
        </w:rPr>
        <w:t>Pickfords’s</w:t>
      </w:r>
      <w:proofErr w:type="spellEnd"/>
      <w:r w:rsidRPr="00DF4154">
        <w:rPr>
          <w:rFonts w:ascii="Arial" w:hAnsi="Arial" w:cs="Arial"/>
          <w:sz w:val="26"/>
          <w:szCs w:val="28"/>
        </w:rPr>
        <w:t xml:space="preserve"> annual turnover.</w:t>
      </w:r>
    </w:p>
    <w:p w14:paraId="57073CE6" w14:textId="77777777" w:rsidR="00C848E2" w:rsidRPr="00DF4154" w:rsidRDefault="00C848E2" w:rsidP="00C848E2">
      <w:pPr>
        <w:pStyle w:val="ListParagraph"/>
        <w:rPr>
          <w:rFonts w:ascii="Arial" w:hAnsi="Arial" w:cs="Arial"/>
          <w:sz w:val="26"/>
          <w:szCs w:val="28"/>
        </w:rPr>
      </w:pPr>
    </w:p>
    <w:p w14:paraId="1B374EB2" w14:textId="2FA27D71" w:rsidR="00611D4D" w:rsidRPr="00DF4154" w:rsidRDefault="00611D4D"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But the Commission’s </w:t>
      </w:r>
      <w:r w:rsidR="004E3C0D" w:rsidRPr="00DF4154">
        <w:rPr>
          <w:rFonts w:ascii="Arial" w:hAnsi="Arial" w:cs="Arial"/>
          <w:sz w:val="26"/>
          <w:szCs w:val="28"/>
        </w:rPr>
        <w:t xml:space="preserve">election </w:t>
      </w:r>
      <w:r w:rsidRPr="00DF4154">
        <w:rPr>
          <w:rFonts w:ascii="Arial" w:hAnsi="Arial" w:cs="Arial"/>
          <w:sz w:val="26"/>
          <w:szCs w:val="28"/>
        </w:rPr>
        <w:t>has implications for the application of section 67(1) of the Act.</w:t>
      </w:r>
      <w:r w:rsidR="007A4983" w:rsidRPr="00DF4154">
        <w:rPr>
          <w:rStyle w:val="FootnoteReference"/>
          <w:rFonts w:ascii="Arial" w:hAnsi="Arial" w:cs="Arial"/>
          <w:sz w:val="26"/>
          <w:szCs w:val="28"/>
        </w:rPr>
        <w:footnoteReference w:id="41"/>
      </w:r>
      <w:r w:rsidRPr="00DF4154">
        <w:rPr>
          <w:rFonts w:ascii="Arial" w:hAnsi="Arial" w:cs="Arial"/>
          <w:sz w:val="26"/>
          <w:szCs w:val="28"/>
        </w:rPr>
        <w:t xml:space="preserve"> As the CAC noted:</w:t>
      </w:r>
    </w:p>
    <w:p w14:paraId="7780A6F9" w14:textId="77777777" w:rsidR="009B7F8F" w:rsidRDefault="009B7F8F" w:rsidP="00C848E2">
      <w:pPr>
        <w:pStyle w:val="ListParagraph"/>
        <w:spacing w:after="0" w:line="240" w:lineRule="auto"/>
        <w:jc w:val="both"/>
        <w:rPr>
          <w:rFonts w:ascii="Arial" w:hAnsi="Arial" w:cs="Arial"/>
          <w:i/>
          <w:iCs/>
          <w:sz w:val="26"/>
          <w:szCs w:val="28"/>
        </w:rPr>
      </w:pPr>
    </w:p>
    <w:p w14:paraId="3055911B" w14:textId="30FD10F7" w:rsidR="00C848E2" w:rsidRPr="00DF4154" w:rsidRDefault="00611D4D" w:rsidP="00C848E2">
      <w:pPr>
        <w:pStyle w:val="ListParagraph"/>
        <w:spacing w:after="0" w:line="240" w:lineRule="auto"/>
        <w:jc w:val="both"/>
        <w:rPr>
          <w:rFonts w:ascii="Arial" w:hAnsi="Arial" w:cs="Arial"/>
          <w:sz w:val="26"/>
          <w:szCs w:val="28"/>
        </w:rPr>
      </w:pPr>
      <w:r w:rsidRPr="00DF4154">
        <w:rPr>
          <w:rFonts w:ascii="Arial" w:hAnsi="Arial" w:cs="Arial"/>
          <w:i/>
          <w:iCs/>
          <w:sz w:val="26"/>
          <w:szCs w:val="28"/>
        </w:rPr>
        <w:t>“</w:t>
      </w:r>
      <w:r w:rsidR="00C848E2" w:rsidRPr="00DF4154">
        <w:rPr>
          <w:rFonts w:ascii="Arial" w:hAnsi="Arial" w:cs="Arial"/>
          <w:i/>
          <w:iCs/>
          <w:sz w:val="26"/>
          <w:szCs w:val="28"/>
        </w:rPr>
        <w:t>[O]ne must look…at the Commission’s referral to assess what the case is on its own terms. When that is done, then one must eschew the notion of one single, over-arching collusive practice. Then it seems reasonably uncontested that the case is that of 35 individual, discrete, agreements, just as the Tribunal has – with respect – assessed it. Then each of these agreements is an alleged prohibited horizontal practice for purposes of s.4(1)(b)(ii); and then some of those agreements are in fact capable of being hit by the limitation/expiry period laid down by s.67(1)…</w:t>
      </w:r>
      <w:r w:rsidRPr="00DF4154">
        <w:rPr>
          <w:rFonts w:ascii="Arial" w:hAnsi="Arial" w:cs="Arial"/>
          <w:i/>
          <w:iCs/>
          <w:sz w:val="26"/>
          <w:szCs w:val="28"/>
        </w:rPr>
        <w:t>”</w:t>
      </w:r>
      <w:r w:rsidR="00C848E2" w:rsidRPr="00DF4154">
        <w:rPr>
          <w:rFonts w:ascii="Arial" w:hAnsi="Arial" w:cs="Arial"/>
          <w:sz w:val="26"/>
          <w:szCs w:val="28"/>
        </w:rPr>
        <w:t>.</w:t>
      </w:r>
      <w:r w:rsidR="00844C0F" w:rsidRPr="00DF4154">
        <w:rPr>
          <w:rStyle w:val="FootnoteReference"/>
          <w:rFonts w:ascii="Arial" w:hAnsi="Arial" w:cs="Arial"/>
          <w:sz w:val="26"/>
          <w:szCs w:val="28"/>
        </w:rPr>
        <w:footnoteReference w:id="42"/>
      </w:r>
    </w:p>
    <w:p w14:paraId="5DAC89A8" w14:textId="1D929718" w:rsidR="00C848E2" w:rsidRDefault="00C848E2" w:rsidP="009B7F8F">
      <w:pPr>
        <w:pStyle w:val="ListParagraph"/>
        <w:spacing w:line="240" w:lineRule="auto"/>
        <w:rPr>
          <w:rFonts w:ascii="Arial" w:hAnsi="Arial" w:cs="Arial"/>
          <w:sz w:val="26"/>
          <w:szCs w:val="28"/>
        </w:rPr>
      </w:pPr>
    </w:p>
    <w:p w14:paraId="1BBB3848" w14:textId="77777777" w:rsidR="009B7F8F" w:rsidRPr="00DF4154" w:rsidRDefault="009B7F8F" w:rsidP="009B7F8F">
      <w:pPr>
        <w:pStyle w:val="ListParagraph"/>
        <w:spacing w:line="240" w:lineRule="auto"/>
        <w:rPr>
          <w:rFonts w:ascii="Arial" w:hAnsi="Arial" w:cs="Arial"/>
          <w:sz w:val="26"/>
          <w:szCs w:val="28"/>
        </w:rPr>
      </w:pPr>
    </w:p>
    <w:p w14:paraId="41709C55" w14:textId="6244C4BC" w:rsidR="00C848E2" w:rsidRPr="00DF4154" w:rsidRDefault="00C848E2" w:rsidP="00990563">
      <w:pPr>
        <w:keepNext/>
        <w:spacing w:before="240" w:after="120" w:line="480" w:lineRule="auto"/>
        <w:jc w:val="both"/>
        <w:rPr>
          <w:rFonts w:ascii="Arial" w:hAnsi="Arial" w:cs="Arial"/>
          <w:b/>
          <w:sz w:val="26"/>
          <w:szCs w:val="28"/>
        </w:rPr>
      </w:pPr>
      <w:r w:rsidRPr="00DF4154">
        <w:rPr>
          <w:rFonts w:ascii="Arial" w:hAnsi="Arial" w:cs="Arial"/>
          <w:b/>
          <w:sz w:val="26"/>
          <w:szCs w:val="28"/>
        </w:rPr>
        <w:t>THE INITIATION ISSUE</w:t>
      </w:r>
    </w:p>
    <w:p w14:paraId="2593DDF2" w14:textId="79E88A63" w:rsidR="00C848E2" w:rsidRPr="00DF4154" w:rsidRDefault="00125A8B" w:rsidP="00990563">
      <w:pPr>
        <w:keepNext/>
        <w:spacing w:before="240" w:after="120" w:line="480" w:lineRule="auto"/>
        <w:jc w:val="both"/>
        <w:rPr>
          <w:rFonts w:ascii="Arial" w:hAnsi="Arial" w:cs="Arial"/>
          <w:b/>
          <w:bCs/>
          <w:sz w:val="26"/>
          <w:szCs w:val="28"/>
        </w:rPr>
      </w:pPr>
      <w:r w:rsidRPr="00DF4154">
        <w:rPr>
          <w:rFonts w:ascii="Arial" w:hAnsi="Arial" w:cs="Arial"/>
          <w:b/>
          <w:bCs/>
          <w:sz w:val="26"/>
          <w:szCs w:val="28"/>
        </w:rPr>
        <w:t>The pertinent co</w:t>
      </w:r>
      <w:r w:rsidR="00C848E2" w:rsidRPr="00DF4154">
        <w:rPr>
          <w:rFonts w:ascii="Arial" w:hAnsi="Arial" w:cs="Arial"/>
          <w:b/>
          <w:bCs/>
          <w:sz w:val="26"/>
          <w:szCs w:val="28"/>
        </w:rPr>
        <w:t>mplaint initiations by the Commission</w:t>
      </w:r>
    </w:p>
    <w:p w14:paraId="4F5827EC" w14:textId="258D397B"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On 3 November 2010 the Commissioner initiated a complaint against various firms in the furniture removal industry in respect of alleged contraventions of section 4(1)(b) of the </w:t>
      </w:r>
      <w:r w:rsidR="00C13C6E" w:rsidRPr="00DF4154">
        <w:rPr>
          <w:rFonts w:ascii="Arial" w:hAnsi="Arial" w:cs="Arial"/>
          <w:sz w:val="26"/>
          <w:szCs w:val="28"/>
        </w:rPr>
        <w:t xml:space="preserve">Competition </w:t>
      </w:r>
      <w:r w:rsidRPr="00DF4154">
        <w:rPr>
          <w:rFonts w:ascii="Arial" w:hAnsi="Arial" w:cs="Arial"/>
          <w:sz w:val="26"/>
          <w:szCs w:val="28"/>
        </w:rPr>
        <w:t>Act.</w:t>
      </w:r>
      <w:r w:rsidRPr="00DF4154">
        <w:rPr>
          <w:rStyle w:val="FootnoteReference"/>
          <w:rFonts w:ascii="Arial" w:hAnsi="Arial" w:cs="Arial"/>
          <w:sz w:val="26"/>
          <w:szCs w:val="28"/>
        </w:rPr>
        <w:footnoteReference w:id="43"/>
      </w:r>
      <w:r w:rsidRPr="00DF4154">
        <w:rPr>
          <w:rFonts w:ascii="Arial" w:hAnsi="Arial" w:cs="Arial"/>
          <w:sz w:val="26"/>
          <w:szCs w:val="28"/>
        </w:rPr>
        <w:t xml:space="preserve"> We refer to this initiation as </w:t>
      </w:r>
      <w:r w:rsidR="00C13C6E" w:rsidRPr="00DF4154">
        <w:rPr>
          <w:rFonts w:ascii="Arial" w:hAnsi="Arial" w:cs="Arial"/>
          <w:sz w:val="26"/>
          <w:szCs w:val="28"/>
        </w:rPr>
        <w:t>“</w:t>
      </w:r>
      <w:r w:rsidRPr="00DF4154">
        <w:rPr>
          <w:rFonts w:ascii="Arial" w:hAnsi="Arial" w:cs="Arial"/>
          <w:sz w:val="26"/>
          <w:szCs w:val="28"/>
        </w:rPr>
        <w:t>the 2010 Initiation</w:t>
      </w:r>
      <w:r w:rsidR="00C13C6E" w:rsidRPr="00DF4154">
        <w:rPr>
          <w:rFonts w:ascii="Arial" w:hAnsi="Arial" w:cs="Arial"/>
          <w:sz w:val="26"/>
          <w:szCs w:val="28"/>
        </w:rPr>
        <w:t>”</w:t>
      </w:r>
      <w:r w:rsidRPr="00DF4154">
        <w:rPr>
          <w:rFonts w:ascii="Arial" w:hAnsi="Arial" w:cs="Arial"/>
          <w:sz w:val="26"/>
          <w:szCs w:val="28"/>
        </w:rPr>
        <w:t xml:space="preserve">. </w:t>
      </w:r>
    </w:p>
    <w:p w14:paraId="04006041" w14:textId="77777777" w:rsidR="00C848E2" w:rsidRPr="00DF4154" w:rsidRDefault="00C848E2" w:rsidP="00C848E2">
      <w:pPr>
        <w:pStyle w:val="ListParagraph"/>
        <w:rPr>
          <w:rFonts w:ascii="Arial" w:hAnsi="Arial" w:cs="Arial"/>
          <w:sz w:val="26"/>
          <w:szCs w:val="28"/>
        </w:rPr>
      </w:pPr>
    </w:p>
    <w:p w14:paraId="1D795716" w14:textId="787E3ED0"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lastRenderedPageBreak/>
        <w:t>The conduct identif</w:t>
      </w:r>
      <w:r w:rsidR="00990563" w:rsidRPr="00DF4154">
        <w:rPr>
          <w:rFonts w:ascii="Arial" w:hAnsi="Arial" w:cs="Arial"/>
          <w:sz w:val="26"/>
          <w:szCs w:val="28"/>
        </w:rPr>
        <w:t>ied in the 2010 Initiation was “</w:t>
      </w:r>
      <w:r w:rsidR="00990563" w:rsidRPr="00DF4154">
        <w:rPr>
          <w:rFonts w:ascii="Arial" w:hAnsi="Arial" w:cs="Arial"/>
          <w:i/>
          <w:iCs/>
          <w:sz w:val="26"/>
          <w:szCs w:val="28"/>
        </w:rPr>
        <w:t>an arrangement to collude”</w:t>
      </w:r>
      <w:r w:rsidRPr="00DF4154">
        <w:rPr>
          <w:rFonts w:ascii="Arial" w:hAnsi="Arial" w:cs="Arial"/>
          <w:i/>
          <w:iCs/>
          <w:sz w:val="26"/>
          <w:szCs w:val="28"/>
        </w:rPr>
        <w:t xml:space="preserve"> </w:t>
      </w:r>
      <w:r w:rsidRPr="00DF4154">
        <w:rPr>
          <w:rFonts w:ascii="Arial" w:hAnsi="Arial" w:cs="Arial"/>
          <w:sz w:val="26"/>
          <w:szCs w:val="28"/>
        </w:rPr>
        <w:t xml:space="preserve">on tenders issued by various government departments and large corporates, </w:t>
      </w:r>
      <w:r w:rsidRPr="00DF4154">
        <w:rPr>
          <w:rFonts w:ascii="Arial" w:hAnsi="Arial" w:cs="Arial"/>
          <w:sz w:val="26"/>
          <w:szCs w:val="28"/>
          <w:u w:val="single"/>
        </w:rPr>
        <w:t>under which</w:t>
      </w:r>
      <w:r w:rsidRPr="00DF4154">
        <w:rPr>
          <w:rFonts w:ascii="Arial" w:hAnsi="Arial" w:cs="Arial"/>
          <w:sz w:val="26"/>
          <w:szCs w:val="28"/>
        </w:rPr>
        <w:t xml:space="preserve"> cover prices would be provided by one firm to another to ensure that the firm given the quote would be awarded the tender.</w:t>
      </w:r>
      <w:r w:rsidRPr="00DF4154">
        <w:rPr>
          <w:rStyle w:val="FootnoteReference"/>
          <w:rFonts w:ascii="Arial" w:hAnsi="Arial" w:cs="Arial"/>
          <w:sz w:val="26"/>
          <w:szCs w:val="28"/>
        </w:rPr>
        <w:footnoteReference w:id="44"/>
      </w:r>
    </w:p>
    <w:p w14:paraId="530EA6AE" w14:textId="77777777" w:rsidR="00C848E2" w:rsidRPr="00DF4154" w:rsidRDefault="00C848E2" w:rsidP="00C848E2">
      <w:pPr>
        <w:pStyle w:val="ListParagraph"/>
        <w:rPr>
          <w:rFonts w:ascii="Arial" w:hAnsi="Arial" w:cs="Arial"/>
          <w:sz w:val="26"/>
          <w:szCs w:val="28"/>
        </w:rPr>
      </w:pPr>
    </w:p>
    <w:p w14:paraId="741D4A2F" w14:textId="7777777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Pickfords was </w:t>
      </w:r>
      <w:r w:rsidRPr="00DF4154">
        <w:rPr>
          <w:rFonts w:ascii="Arial" w:hAnsi="Arial" w:cs="Arial"/>
          <w:sz w:val="26"/>
          <w:szCs w:val="28"/>
          <w:u w:val="single"/>
        </w:rPr>
        <w:t>not</w:t>
      </w:r>
      <w:r w:rsidRPr="00DF4154">
        <w:rPr>
          <w:rFonts w:ascii="Arial" w:hAnsi="Arial" w:cs="Arial"/>
          <w:sz w:val="26"/>
          <w:szCs w:val="28"/>
        </w:rPr>
        <w:t xml:space="preserve"> included among the eight firms whose conduct was stated to be the subject of the 2010 Initiation.</w:t>
      </w:r>
      <w:r w:rsidRPr="00DF4154">
        <w:rPr>
          <w:rStyle w:val="FootnoteReference"/>
          <w:rFonts w:ascii="Arial" w:hAnsi="Arial" w:cs="Arial"/>
          <w:sz w:val="26"/>
          <w:szCs w:val="28"/>
        </w:rPr>
        <w:footnoteReference w:id="45"/>
      </w:r>
    </w:p>
    <w:p w14:paraId="22B3D946" w14:textId="77777777" w:rsidR="00C848E2" w:rsidRPr="00DF4154" w:rsidRDefault="00C848E2" w:rsidP="00C848E2">
      <w:pPr>
        <w:pStyle w:val="ListParagraph"/>
        <w:rPr>
          <w:rFonts w:ascii="Arial" w:hAnsi="Arial" w:cs="Arial"/>
          <w:sz w:val="26"/>
          <w:szCs w:val="28"/>
        </w:rPr>
      </w:pPr>
    </w:p>
    <w:p w14:paraId="68A310FE" w14:textId="7777777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2010 Initiation contains the following statement by the Commissioner:</w:t>
      </w:r>
    </w:p>
    <w:p w14:paraId="52CFD3D0" w14:textId="77777777" w:rsidR="00C848E2" w:rsidRPr="00DF4154" w:rsidRDefault="00C848E2" w:rsidP="00C848E2">
      <w:pPr>
        <w:pStyle w:val="ListParagraph"/>
        <w:rPr>
          <w:rFonts w:ascii="Arial" w:hAnsi="Arial" w:cs="Arial"/>
          <w:sz w:val="26"/>
          <w:szCs w:val="28"/>
        </w:rPr>
      </w:pPr>
    </w:p>
    <w:p w14:paraId="09FDAFDA" w14:textId="2DB6B865" w:rsidR="00C848E2" w:rsidRPr="00DF4154" w:rsidRDefault="00990563" w:rsidP="00C848E2">
      <w:pPr>
        <w:pStyle w:val="ListParagraph"/>
        <w:spacing w:after="0" w:line="240" w:lineRule="auto"/>
        <w:jc w:val="both"/>
        <w:rPr>
          <w:rFonts w:ascii="Arial" w:hAnsi="Arial" w:cs="Arial"/>
          <w:i/>
          <w:iCs/>
          <w:sz w:val="26"/>
          <w:szCs w:val="28"/>
        </w:rPr>
      </w:pPr>
      <w:r w:rsidRPr="00DF4154">
        <w:rPr>
          <w:rFonts w:ascii="Arial" w:hAnsi="Arial" w:cs="Arial"/>
          <w:i/>
          <w:iCs/>
          <w:sz w:val="26"/>
          <w:szCs w:val="28"/>
        </w:rPr>
        <w:t>“</w:t>
      </w:r>
      <w:r w:rsidR="00C848E2" w:rsidRPr="00DF4154">
        <w:rPr>
          <w:rFonts w:ascii="Arial" w:hAnsi="Arial" w:cs="Arial"/>
          <w:i/>
          <w:iCs/>
          <w:sz w:val="26"/>
          <w:szCs w:val="28"/>
        </w:rPr>
        <w:t xml:space="preserve">In light of the </w:t>
      </w:r>
      <w:proofErr w:type="spellStart"/>
      <w:r w:rsidR="00C848E2" w:rsidRPr="00DF4154">
        <w:rPr>
          <w:rFonts w:ascii="Arial" w:hAnsi="Arial" w:cs="Arial"/>
          <w:i/>
          <w:iCs/>
          <w:sz w:val="26"/>
          <w:szCs w:val="28"/>
        </w:rPr>
        <w:t>aforegoing</w:t>
      </w:r>
      <w:proofErr w:type="spellEnd"/>
      <w:r w:rsidR="00C848E2" w:rsidRPr="00DF4154">
        <w:rPr>
          <w:rFonts w:ascii="Arial" w:hAnsi="Arial" w:cs="Arial"/>
          <w:i/>
          <w:iCs/>
          <w:sz w:val="26"/>
          <w:szCs w:val="28"/>
        </w:rPr>
        <w:t xml:space="preserve"> and in terms of section 49B(1) of the Act, </w:t>
      </w:r>
      <w:r w:rsidR="00C848E2" w:rsidRPr="00DF4154">
        <w:rPr>
          <w:rFonts w:ascii="Arial" w:hAnsi="Arial" w:cs="Arial"/>
          <w:i/>
          <w:iCs/>
          <w:sz w:val="26"/>
          <w:szCs w:val="28"/>
          <w:u w:val="single"/>
        </w:rPr>
        <w:t>I initiate a complaint</w:t>
      </w:r>
      <w:r w:rsidR="00C848E2" w:rsidRPr="00DF4154">
        <w:rPr>
          <w:rFonts w:ascii="Arial" w:hAnsi="Arial" w:cs="Arial"/>
          <w:i/>
          <w:iCs/>
          <w:sz w:val="26"/>
          <w:szCs w:val="28"/>
        </w:rPr>
        <w:t xml:space="preserve"> in respect of alleged contraventions of section 4(1)(b)(i), (ii) and/or (iii) of the Act by </w:t>
      </w:r>
      <w:r w:rsidR="00C848E2" w:rsidRPr="00DF4154">
        <w:rPr>
          <w:rFonts w:ascii="Arial" w:hAnsi="Arial" w:cs="Arial"/>
          <w:i/>
          <w:iCs/>
          <w:sz w:val="26"/>
          <w:szCs w:val="28"/>
          <w:u w:val="single"/>
        </w:rPr>
        <w:t>the abovementioned firms</w:t>
      </w:r>
      <w:r w:rsidR="00C848E2" w:rsidRPr="00DF4154">
        <w:rPr>
          <w:rFonts w:ascii="Arial" w:hAnsi="Arial" w:cs="Arial"/>
          <w:i/>
          <w:iCs/>
          <w:sz w:val="26"/>
          <w:szCs w:val="28"/>
        </w:rPr>
        <w:t xml:space="preserve"> in the furniture removal industry</w:t>
      </w:r>
      <w:r w:rsidRPr="00DF4154">
        <w:rPr>
          <w:rFonts w:ascii="Arial" w:hAnsi="Arial" w:cs="Arial"/>
          <w:i/>
          <w:iCs/>
          <w:sz w:val="26"/>
          <w:szCs w:val="28"/>
        </w:rPr>
        <w:t>.</w:t>
      </w:r>
      <w:r w:rsidR="00C848E2" w:rsidRPr="00DF4154">
        <w:rPr>
          <w:rFonts w:ascii="Arial" w:hAnsi="Arial" w:cs="Arial"/>
          <w:i/>
          <w:iCs/>
          <w:sz w:val="26"/>
          <w:szCs w:val="28"/>
        </w:rPr>
        <w:t>”</w:t>
      </w:r>
      <w:r w:rsidR="00C848E2" w:rsidRPr="00DF4154">
        <w:rPr>
          <w:rStyle w:val="FootnoteReference"/>
          <w:rFonts w:ascii="Arial" w:hAnsi="Arial" w:cs="Arial"/>
          <w:sz w:val="26"/>
          <w:szCs w:val="28"/>
        </w:rPr>
        <w:footnoteReference w:id="46"/>
      </w:r>
    </w:p>
    <w:p w14:paraId="644FF724" w14:textId="77777777" w:rsidR="00C848E2" w:rsidRPr="00DF4154" w:rsidRDefault="00C848E2" w:rsidP="00C848E2">
      <w:pPr>
        <w:pStyle w:val="ListParagraph"/>
        <w:spacing w:after="0" w:line="240" w:lineRule="auto"/>
        <w:jc w:val="both"/>
        <w:rPr>
          <w:rFonts w:ascii="Arial" w:hAnsi="Arial" w:cs="Arial"/>
          <w:i/>
          <w:iCs/>
          <w:sz w:val="26"/>
          <w:szCs w:val="28"/>
        </w:rPr>
      </w:pPr>
    </w:p>
    <w:p w14:paraId="6AC8FBB7" w14:textId="77777777" w:rsidR="00C848E2" w:rsidRPr="00DF4154" w:rsidRDefault="00C848E2" w:rsidP="00C848E2">
      <w:pPr>
        <w:pStyle w:val="ListParagraph"/>
        <w:rPr>
          <w:rFonts w:ascii="Arial" w:hAnsi="Arial" w:cs="Arial"/>
          <w:sz w:val="26"/>
          <w:szCs w:val="28"/>
        </w:rPr>
      </w:pPr>
    </w:p>
    <w:p w14:paraId="3B6D7AF1" w14:textId="0C4B21AF"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On 1 June 2011 the Commissioner initiated a further complaint against various firms, excluding the eight firms identified in the 2010 Initiation and including Pickfords</w:t>
      </w:r>
      <w:r w:rsidR="00552205" w:rsidRPr="00DF4154">
        <w:rPr>
          <w:rStyle w:val="FootnoteReference"/>
          <w:rFonts w:ascii="Arial" w:hAnsi="Arial" w:cs="Arial"/>
          <w:sz w:val="26"/>
          <w:szCs w:val="28"/>
        </w:rPr>
        <w:footnoteReference w:id="47"/>
      </w:r>
      <w:r w:rsidR="00552205" w:rsidRPr="00DF4154">
        <w:rPr>
          <w:rFonts w:ascii="Arial" w:hAnsi="Arial" w:cs="Arial"/>
          <w:sz w:val="26"/>
          <w:szCs w:val="28"/>
        </w:rPr>
        <w:t xml:space="preserve"> </w:t>
      </w:r>
      <w:r w:rsidRPr="00DF4154">
        <w:rPr>
          <w:rFonts w:ascii="Arial" w:hAnsi="Arial" w:cs="Arial"/>
          <w:sz w:val="26"/>
          <w:szCs w:val="28"/>
        </w:rPr>
        <w:t>in respect of alleged contraventions of section 4(1)(b) of the Act.</w:t>
      </w:r>
      <w:r w:rsidRPr="00DF4154">
        <w:rPr>
          <w:rStyle w:val="FootnoteReference"/>
          <w:rFonts w:ascii="Arial" w:hAnsi="Arial" w:cs="Arial"/>
          <w:sz w:val="26"/>
          <w:szCs w:val="28"/>
        </w:rPr>
        <w:footnoteReference w:id="48"/>
      </w:r>
      <w:r w:rsidRPr="00DF4154">
        <w:rPr>
          <w:rFonts w:ascii="Arial" w:hAnsi="Arial" w:cs="Arial"/>
          <w:sz w:val="26"/>
          <w:szCs w:val="28"/>
        </w:rPr>
        <w:t xml:space="preserve"> We refer to this initiation as </w:t>
      </w:r>
      <w:r w:rsidR="001C6178" w:rsidRPr="00DF4154">
        <w:rPr>
          <w:rFonts w:ascii="Arial" w:hAnsi="Arial" w:cs="Arial"/>
          <w:sz w:val="26"/>
          <w:szCs w:val="28"/>
        </w:rPr>
        <w:t>“</w:t>
      </w:r>
      <w:r w:rsidRPr="00DF4154">
        <w:rPr>
          <w:rFonts w:ascii="Arial" w:hAnsi="Arial" w:cs="Arial"/>
          <w:sz w:val="26"/>
          <w:szCs w:val="28"/>
        </w:rPr>
        <w:t>the 2011 Initiation</w:t>
      </w:r>
      <w:r w:rsidR="001C6178" w:rsidRPr="00DF4154">
        <w:rPr>
          <w:rFonts w:ascii="Arial" w:hAnsi="Arial" w:cs="Arial"/>
          <w:sz w:val="26"/>
          <w:szCs w:val="28"/>
        </w:rPr>
        <w:t>”</w:t>
      </w:r>
      <w:r w:rsidRPr="00DF4154">
        <w:rPr>
          <w:rFonts w:ascii="Arial" w:hAnsi="Arial" w:cs="Arial"/>
          <w:sz w:val="26"/>
          <w:szCs w:val="28"/>
        </w:rPr>
        <w:t>.</w:t>
      </w:r>
    </w:p>
    <w:p w14:paraId="721232E9" w14:textId="77777777" w:rsidR="00C848E2" w:rsidRPr="00DF4154" w:rsidRDefault="00C848E2" w:rsidP="00C848E2">
      <w:pPr>
        <w:pStyle w:val="ListParagraph"/>
        <w:spacing w:after="0" w:line="240" w:lineRule="auto"/>
        <w:jc w:val="both"/>
        <w:rPr>
          <w:rFonts w:ascii="Arial" w:hAnsi="Arial" w:cs="Arial"/>
          <w:sz w:val="26"/>
          <w:szCs w:val="28"/>
        </w:rPr>
      </w:pPr>
    </w:p>
    <w:p w14:paraId="3F37F9CC" w14:textId="1BA7ABD9"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It was stated in the 2011 Initiation, with reference to the 2010 Initiation, that</w:t>
      </w:r>
      <w:r w:rsidR="003D1E2B">
        <w:rPr>
          <w:rFonts w:ascii="Arial" w:hAnsi="Arial" w:cs="Arial"/>
          <w:sz w:val="26"/>
          <w:szCs w:val="28"/>
        </w:rPr>
        <w:t> </w:t>
      </w:r>
      <w:r w:rsidRPr="00DF4154">
        <w:rPr>
          <w:rFonts w:ascii="Arial" w:hAnsi="Arial" w:cs="Arial"/>
          <w:sz w:val="26"/>
          <w:szCs w:val="28"/>
        </w:rPr>
        <w:t>–</w:t>
      </w:r>
    </w:p>
    <w:p w14:paraId="6176E957" w14:textId="77777777" w:rsidR="00C848E2" w:rsidRPr="00DF4154" w:rsidRDefault="00C848E2" w:rsidP="00C848E2">
      <w:pPr>
        <w:pStyle w:val="ListParagraph"/>
        <w:rPr>
          <w:rFonts w:ascii="Arial" w:hAnsi="Arial" w:cs="Arial"/>
          <w:sz w:val="26"/>
          <w:szCs w:val="28"/>
        </w:rPr>
      </w:pPr>
    </w:p>
    <w:p w14:paraId="29E28D77" w14:textId="69E4FC10" w:rsidR="00C848E2" w:rsidRPr="00DF4154" w:rsidRDefault="00990563" w:rsidP="00C848E2">
      <w:pPr>
        <w:pStyle w:val="ListParagraph"/>
        <w:spacing w:after="0" w:line="240" w:lineRule="auto"/>
        <w:jc w:val="both"/>
        <w:rPr>
          <w:rFonts w:ascii="Arial" w:hAnsi="Arial" w:cs="Arial"/>
          <w:sz w:val="26"/>
          <w:szCs w:val="28"/>
        </w:rPr>
      </w:pPr>
      <w:r w:rsidRPr="00DF4154">
        <w:rPr>
          <w:rFonts w:ascii="Arial" w:hAnsi="Arial" w:cs="Arial"/>
          <w:i/>
          <w:iCs/>
          <w:sz w:val="26"/>
          <w:szCs w:val="28"/>
        </w:rPr>
        <w:t>“</w:t>
      </w:r>
      <w:r w:rsidR="00C848E2" w:rsidRPr="00DF4154">
        <w:rPr>
          <w:rFonts w:ascii="Arial" w:hAnsi="Arial" w:cs="Arial"/>
          <w:i/>
          <w:iCs/>
          <w:sz w:val="26"/>
          <w:szCs w:val="28"/>
        </w:rPr>
        <w:t>[f]</w:t>
      </w:r>
      <w:proofErr w:type="spellStart"/>
      <w:r w:rsidR="00C848E2" w:rsidRPr="00DF4154">
        <w:rPr>
          <w:rFonts w:ascii="Arial" w:hAnsi="Arial" w:cs="Arial"/>
          <w:i/>
          <w:iCs/>
          <w:sz w:val="26"/>
          <w:szCs w:val="28"/>
        </w:rPr>
        <w:t>ollowing</w:t>
      </w:r>
      <w:proofErr w:type="spellEnd"/>
      <w:r w:rsidR="00C848E2" w:rsidRPr="00DF4154">
        <w:rPr>
          <w:rFonts w:ascii="Arial" w:hAnsi="Arial" w:cs="Arial"/>
          <w:i/>
          <w:iCs/>
          <w:sz w:val="26"/>
          <w:szCs w:val="28"/>
        </w:rPr>
        <w:t xml:space="preserve"> the aforesaid initiation, </w:t>
      </w:r>
      <w:r w:rsidR="00C848E2" w:rsidRPr="00DF4154">
        <w:rPr>
          <w:rFonts w:ascii="Arial" w:hAnsi="Arial" w:cs="Arial"/>
          <w:i/>
          <w:iCs/>
          <w:sz w:val="26"/>
          <w:szCs w:val="28"/>
          <w:u w:val="single"/>
        </w:rPr>
        <w:t>further information has come to light</w:t>
      </w:r>
      <w:r w:rsidR="00C848E2" w:rsidRPr="00DF4154">
        <w:rPr>
          <w:rFonts w:ascii="Arial" w:hAnsi="Arial" w:cs="Arial"/>
          <w:i/>
          <w:iCs/>
          <w:sz w:val="26"/>
          <w:szCs w:val="28"/>
        </w:rPr>
        <w:t xml:space="preserve"> indicating that the following companies have also been involved in price </w:t>
      </w:r>
      <w:r w:rsidR="00C848E2" w:rsidRPr="00DF4154">
        <w:rPr>
          <w:rFonts w:ascii="Arial" w:hAnsi="Arial" w:cs="Arial"/>
          <w:i/>
          <w:iCs/>
          <w:sz w:val="26"/>
          <w:szCs w:val="28"/>
        </w:rPr>
        <w:lastRenderedPageBreak/>
        <w:t xml:space="preserve">fixing, market </w:t>
      </w:r>
      <w:r w:rsidR="00C848E2" w:rsidRPr="00DF4154">
        <w:rPr>
          <w:rFonts w:ascii="Arial" w:hAnsi="Arial" w:cs="Arial"/>
          <w:i/>
          <w:sz w:val="26"/>
          <w:szCs w:val="28"/>
        </w:rPr>
        <w:t>allocation and/or collusive tendering in respect of the provision of furniture removal services to the State Departments, priv</w:t>
      </w:r>
      <w:r w:rsidRPr="00DF4154">
        <w:rPr>
          <w:rFonts w:ascii="Arial" w:hAnsi="Arial" w:cs="Arial"/>
          <w:i/>
          <w:sz w:val="26"/>
          <w:szCs w:val="28"/>
        </w:rPr>
        <w:t>ate enterprises and individuals</w:t>
      </w:r>
      <w:r w:rsidR="009A2B20" w:rsidRPr="00DF4154">
        <w:rPr>
          <w:rFonts w:ascii="Arial" w:hAnsi="Arial" w:cs="Arial"/>
          <w:i/>
          <w:sz w:val="26"/>
          <w:szCs w:val="28"/>
        </w:rPr>
        <w:t>…</w:t>
      </w:r>
      <w:r w:rsidR="00C848E2" w:rsidRPr="00DF4154">
        <w:rPr>
          <w:rFonts w:ascii="Arial" w:hAnsi="Arial" w:cs="Arial"/>
          <w:i/>
          <w:iCs/>
          <w:sz w:val="26"/>
          <w:szCs w:val="28"/>
        </w:rPr>
        <w:t>.</w:t>
      </w:r>
      <w:r w:rsidRPr="00DF4154">
        <w:rPr>
          <w:rFonts w:ascii="Arial" w:hAnsi="Arial" w:cs="Arial"/>
          <w:sz w:val="26"/>
          <w:szCs w:val="28"/>
        </w:rPr>
        <w:t>”</w:t>
      </w:r>
      <w:r w:rsidRPr="00DF4154">
        <w:rPr>
          <w:rStyle w:val="FootnoteReference"/>
          <w:rFonts w:ascii="Arial" w:hAnsi="Arial" w:cs="Arial"/>
          <w:sz w:val="26"/>
          <w:szCs w:val="28"/>
        </w:rPr>
        <w:footnoteReference w:id="49"/>
      </w:r>
    </w:p>
    <w:p w14:paraId="7359E66B" w14:textId="77777777" w:rsidR="00C848E2" w:rsidRPr="00DF4154" w:rsidRDefault="00C848E2" w:rsidP="00C848E2">
      <w:pPr>
        <w:pStyle w:val="ListParagraph"/>
        <w:rPr>
          <w:rFonts w:ascii="Arial" w:hAnsi="Arial" w:cs="Arial"/>
          <w:sz w:val="26"/>
          <w:szCs w:val="28"/>
        </w:rPr>
      </w:pPr>
    </w:p>
    <w:p w14:paraId="5AE98F0E" w14:textId="77777777" w:rsidR="00C848E2" w:rsidRPr="00DF4154" w:rsidRDefault="00C848E2" w:rsidP="00C848E2">
      <w:pPr>
        <w:pStyle w:val="ListParagraph"/>
        <w:rPr>
          <w:rFonts w:ascii="Arial" w:hAnsi="Arial" w:cs="Arial"/>
          <w:sz w:val="26"/>
          <w:szCs w:val="28"/>
        </w:rPr>
      </w:pPr>
    </w:p>
    <w:p w14:paraId="4D21F369" w14:textId="0C34C920" w:rsidR="00C848E2" w:rsidRPr="00DF4154" w:rsidRDefault="00C848E2" w:rsidP="00C848E2">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The 2011 Initiation m</w:t>
      </w:r>
      <w:r w:rsidR="00990563" w:rsidRPr="00DF4154">
        <w:rPr>
          <w:rFonts w:ascii="Arial" w:hAnsi="Arial" w:cs="Arial"/>
          <w:sz w:val="26"/>
          <w:szCs w:val="28"/>
        </w:rPr>
        <w:t>ade no reference to an ongoing “</w:t>
      </w:r>
      <w:r w:rsidRPr="00DF4154">
        <w:rPr>
          <w:rFonts w:ascii="Arial" w:hAnsi="Arial" w:cs="Arial"/>
          <w:i/>
          <w:iCs/>
          <w:sz w:val="26"/>
          <w:szCs w:val="28"/>
        </w:rPr>
        <w:t>arrangement to collude</w:t>
      </w:r>
      <w:r w:rsidR="00990563" w:rsidRPr="00DF4154">
        <w:rPr>
          <w:rFonts w:ascii="Arial" w:hAnsi="Arial" w:cs="Arial"/>
          <w:sz w:val="26"/>
          <w:szCs w:val="28"/>
        </w:rPr>
        <w:t>”</w:t>
      </w:r>
      <w:r w:rsidRPr="00DF4154">
        <w:rPr>
          <w:rFonts w:ascii="Arial" w:hAnsi="Arial" w:cs="Arial"/>
          <w:sz w:val="26"/>
          <w:szCs w:val="28"/>
        </w:rPr>
        <w:t xml:space="preserve"> among the respondent firms.</w:t>
      </w:r>
    </w:p>
    <w:p w14:paraId="2A83EF7E" w14:textId="77777777" w:rsidR="00C848E2" w:rsidRPr="00DF4154" w:rsidRDefault="00C848E2" w:rsidP="00C848E2">
      <w:pPr>
        <w:pStyle w:val="ListParagraph"/>
        <w:spacing w:before="240" w:after="120" w:line="276" w:lineRule="auto"/>
        <w:jc w:val="both"/>
        <w:rPr>
          <w:rFonts w:ascii="Arial" w:hAnsi="Arial" w:cs="Arial"/>
          <w:sz w:val="26"/>
          <w:szCs w:val="28"/>
        </w:rPr>
      </w:pPr>
    </w:p>
    <w:p w14:paraId="22878147" w14:textId="77777777" w:rsidR="00C848E2" w:rsidRPr="00DF4154" w:rsidRDefault="00C848E2" w:rsidP="00C848E2">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The 2011 Initiation concluded with the following statement by the Commissioner:</w:t>
      </w:r>
    </w:p>
    <w:p w14:paraId="437745BA" w14:textId="77777777" w:rsidR="00C848E2" w:rsidRPr="00DF4154" w:rsidRDefault="00C848E2" w:rsidP="00C848E2">
      <w:pPr>
        <w:pStyle w:val="ListParagraph"/>
        <w:rPr>
          <w:rFonts w:ascii="Arial" w:hAnsi="Arial" w:cs="Arial"/>
          <w:sz w:val="26"/>
          <w:szCs w:val="28"/>
        </w:rPr>
      </w:pPr>
    </w:p>
    <w:p w14:paraId="51BACE9B" w14:textId="77777777" w:rsidR="00C848E2" w:rsidRPr="00DF4154" w:rsidRDefault="00C848E2" w:rsidP="00C848E2">
      <w:pPr>
        <w:pStyle w:val="ListParagraph"/>
        <w:spacing w:after="0" w:line="240" w:lineRule="auto"/>
        <w:jc w:val="both"/>
        <w:rPr>
          <w:rFonts w:ascii="Arial" w:hAnsi="Arial" w:cs="Arial"/>
          <w:sz w:val="26"/>
          <w:szCs w:val="28"/>
        </w:rPr>
      </w:pPr>
      <w:r w:rsidRPr="00DF4154">
        <w:rPr>
          <w:rFonts w:ascii="Arial" w:hAnsi="Arial" w:cs="Arial"/>
          <w:sz w:val="26"/>
          <w:szCs w:val="28"/>
        </w:rPr>
        <w:t>“</w:t>
      </w:r>
      <w:r w:rsidRPr="00DF4154">
        <w:rPr>
          <w:rFonts w:ascii="Arial" w:hAnsi="Arial" w:cs="Arial"/>
          <w:i/>
          <w:iCs/>
          <w:sz w:val="26"/>
          <w:szCs w:val="28"/>
        </w:rPr>
        <w:t xml:space="preserve">In light of the above and in terms of section 49B(1) of the Act, </w:t>
      </w:r>
      <w:r w:rsidRPr="00DF4154">
        <w:rPr>
          <w:rFonts w:ascii="Arial" w:hAnsi="Arial" w:cs="Arial"/>
          <w:i/>
          <w:iCs/>
          <w:sz w:val="26"/>
          <w:szCs w:val="28"/>
          <w:u w:val="single"/>
        </w:rPr>
        <w:t>I initiate a complaint</w:t>
      </w:r>
      <w:r w:rsidRPr="00DF4154">
        <w:rPr>
          <w:rFonts w:ascii="Arial" w:hAnsi="Arial" w:cs="Arial"/>
          <w:i/>
          <w:iCs/>
          <w:sz w:val="26"/>
          <w:szCs w:val="28"/>
        </w:rPr>
        <w:t xml:space="preserve"> against </w:t>
      </w:r>
      <w:r w:rsidRPr="00DF4154">
        <w:rPr>
          <w:rFonts w:ascii="Arial" w:hAnsi="Arial" w:cs="Arial"/>
          <w:i/>
          <w:iCs/>
          <w:sz w:val="26"/>
          <w:szCs w:val="28"/>
          <w:u w:val="single"/>
        </w:rPr>
        <w:t>the aforementioned firms</w:t>
      </w:r>
      <w:r w:rsidRPr="00DF4154">
        <w:rPr>
          <w:rFonts w:ascii="Arial" w:hAnsi="Arial" w:cs="Arial"/>
          <w:i/>
          <w:iCs/>
          <w:sz w:val="26"/>
          <w:szCs w:val="28"/>
        </w:rPr>
        <w:t xml:space="preserve"> for alleged contravention of section 4(1)(b)(i), (ii) and (iii) of the Act</w:t>
      </w:r>
      <w:r w:rsidRPr="00DF4154">
        <w:rPr>
          <w:rFonts w:ascii="Arial" w:hAnsi="Arial" w:cs="Arial"/>
          <w:sz w:val="26"/>
          <w:szCs w:val="28"/>
        </w:rPr>
        <w:t>”.</w:t>
      </w:r>
      <w:r w:rsidRPr="00DF4154">
        <w:rPr>
          <w:rStyle w:val="FootnoteReference"/>
          <w:rFonts w:ascii="Arial" w:hAnsi="Arial" w:cs="Arial"/>
          <w:sz w:val="26"/>
          <w:szCs w:val="28"/>
        </w:rPr>
        <w:footnoteReference w:id="50"/>
      </w:r>
    </w:p>
    <w:p w14:paraId="0694E894" w14:textId="77777777" w:rsidR="00C848E2" w:rsidRPr="00DF4154" w:rsidRDefault="00C848E2" w:rsidP="00C848E2">
      <w:pPr>
        <w:spacing w:after="0" w:line="240" w:lineRule="auto"/>
        <w:jc w:val="both"/>
        <w:rPr>
          <w:rFonts w:ascii="Arial" w:hAnsi="Arial" w:cs="Arial"/>
          <w:i/>
          <w:iCs/>
          <w:sz w:val="26"/>
          <w:szCs w:val="28"/>
        </w:rPr>
      </w:pPr>
    </w:p>
    <w:p w14:paraId="19AB2832" w14:textId="77777777" w:rsidR="00C848E2" w:rsidRPr="00DF4154" w:rsidRDefault="00C848E2" w:rsidP="00C848E2">
      <w:pPr>
        <w:pStyle w:val="ListParagraph"/>
        <w:rPr>
          <w:rFonts w:ascii="Arial" w:hAnsi="Arial" w:cs="Arial"/>
          <w:sz w:val="26"/>
          <w:szCs w:val="28"/>
        </w:rPr>
      </w:pPr>
    </w:p>
    <w:p w14:paraId="5631C301" w14:textId="7D6BCD94"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On 13 June 2013 the Commissioner initiated a further complaint against various firms in the furniture removal industry (excluding the firms identified in the 2010 </w:t>
      </w:r>
      <w:r w:rsidR="00DE56A6" w:rsidRPr="00DF4154">
        <w:rPr>
          <w:rFonts w:ascii="Arial" w:hAnsi="Arial" w:cs="Arial"/>
          <w:sz w:val="26"/>
          <w:szCs w:val="28"/>
        </w:rPr>
        <w:t>I</w:t>
      </w:r>
      <w:r w:rsidRPr="00DF4154">
        <w:rPr>
          <w:rFonts w:ascii="Arial" w:hAnsi="Arial" w:cs="Arial"/>
          <w:sz w:val="26"/>
          <w:szCs w:val="28"/>
        </w:rPr>
        <w:t xml:space="preserve">nitiation and the 2011 </w:t>
      </w:r>
      <w:r w:rsidR="00DE56A6" w:rsidRPr="00DF4154">
        <w:rPr>
          <w:rFonts w:ascii="Arial" w:hAnsi="Arial" w:cs="Arial"/>
          <w:sz w:val="26"/>
          <w:szCs w:val="28"/>
        </w:rPr>
        <w:t>I</w:t>
      </w:r>
      <w:r w:rsidRPr="00DF4154">
        <w:rPr>
          <w:rFonts w:ascii="Arial" w:hAnsi="Arial" w:cs="Arial"/>
          <w:sz w:val="26"/>
          <w:szCs w:val="28"/>
        </w:rPr>
        <w:t>nitiation) in respect of alleged contraventions of section 4(1)(b) of the Act.</w:t>
      </w:r>
      <w:r w:rsidRPr="00DF4154">
        <w:rPr>
          <w:rStyle w:val="FootnoteReference"/>
          <w:rFonts w:ascii="Arial" w:hAnsi="Arial" w:cs="Arial"/>
          <w:sz w:val="26"/>
          <w:szCs w:val="28"/>
        </w:rPr>
        <w:footnoteReference w:id="51"/>
      </w:r>
      <w:r w:rsidRPr="00DF4154">
        <w:rPr>
          <w:rFonts w:ascii="Arial" w:hAnsi="Arial" w:cs="Arial"/>
          <w:sz w:val="26"/>
          <w:szCs w:val="28"/>
        </w:rPr>
        <w:t xml:space="preserve"> </w:t>
      </w:r>
      <w:r w:rsidR="00990563" w:rsidRPr="00DF4154">
        <w:rPr>
          <w:rFonts w:ascii="Arial" w:hAnsi="Arial" w:cs="Arial"/>
          <w:sz w:val="26"/>
          <w:szCs w:val="28"/>
        </w:rPr>
        <w:t>We refer to this initiation as “the 2013 Initiation”</w:t>
      </w:r>
      <w:r w:rsidRPr="00DF4154">
        <w:rPr>
          <w:rFonts w:ascii="Arial" w:hAnsi="Arial" w:cs="Arial"/>
          <w:sz w:val="26"/>
          <w:szCs w:val="28"/>
        </w:rPr>
        <w:t xml:space="preserve">. </w:t>
      </w:r>
    </w:p>
    <w:p w14:paraId="4E12EA15" w14:textId="77777777" w:rsidR="00C848E2" w:rsidRPr="00DF4154" w:rsidRDefault="00C848E2" w:rsidP="00C848E2">
      <w:pPr>
        <w:pStyle w:val="ListParagraph"/>
        <w:rPr>
          <w:rFonts w:ascii="Arial" w:hAnsi="Arial" w:cs="Arial"/>
          <w:sz w:val="26"/>
          <w:szCs w:val="28"/>
        </w:rPr>
      </w:pPr>
    </w:p>
    <w:p w14:paraId="46AB16F9" w14:textId="58F67DF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In the 2013 </w:t>
      </w:r>
      <w:r w:rsidR="00DE56A6" w:rsidRPr="00DF4154">
        <w:rPr>
          <w:rFonts w:ascii="Arial" w:hAnsi="Arial" w:cs="Arial"/>
          <w:sz w:val="26"/>
          <w:szCs w:val="28"/>
        </w:rPr>
        <w:t>I</w:t>
      </w:r>
      <w:r w:rsidRPr="00DF4154">
        <w:rPr>
          <w:rFonts w:ascii="Arial" w:hAnsi="Arial" w:cs="Arial"/>
          <w:sz w:val="26"/>
          <w:szCs w:val="28"/>
        </w:rPr>
        <w:t xml:space="preserve">nitiation the Commissioner stated that the Commission, during its investigation pursuant to the 2010 </w:t>
      </w:r>
      <w:r w:rsidR="00DE56A6" w:rsidRPr="00DF4154">
        <w:rPr>
          <w:rFonts w:ascii="Arial" w:hAnsi="Arial" w:cs="Arial"/>
          <w:sz w:val="26"/>
          <w:szCs w:val="28"/>
        </w:rPr>
        <w:t>I</w:t>
      </w:r>
      <w:r w:rsidRPr="00DF4154">
        <w:rPr>
          <w:rFonts w:ascii="Arial" w:hAnsi="Arial" w:cs="Arial"/>
          <w:sz w:val="26"/>
          <w:szCs w:val="28"/>
        </w:rPr>
        <w:t xml:space="preserve">nitiation and the 2011 </w:t>
      </w:r>
      <w:r w:rsidR="00DE56A6" w:rsidRPr="00DF4154">
        <w:rPr>
          <w:rFonts w:ascii="Arial" w:hAnsi="Arial" w:cs="Arial"/>
          <w:sz w:val="26"/>
          <w:szCs w:val="28"/>
        </w:rPr>
        <w:t>I</w:t>
      </w:r>
      <w:r w:rsidRPr="00DF4154">
        <w:rPr>
          <w:rFonts w:ascii="Arial" w:hAnsi="Arial" w:cs="Arial"/>
          <w:sz w:val="26"/>
          <w:szCs w:val="28"/>
        </w:rPr>
        <w:t xml:space="preserve">nitiation (which he described as an amendment of the 2010 </w:t>
      </w:r>
      <w:r w:rsidR="00DE56A6" w:rsidRPr="00DF4154">
        <w:rPr>
          <w:rFonts w:ascii="Arial" w:hAnsi="Arial" w:cs="Arial"/>
          <w:sz w:val="26"/>
          <w:szCs w:val="28"/>
        </w:rPr>
        <w:t>I</w:t>
      </w:r>
      <w:r w:rsidRPr="00DF4154">
        <w:rPr>
          <w:rFonts w:ascii="Arial" w:hAnsi="Arial" w:cs="Arial"/>
          <w:sz w:val="26"/>
          <w:szCs w:val="28"/>
        </w:rPr>
        <w:t xml:space="preserve">nitiation), had obtained further </w:t>
      </w:r>
      <w:r w:rsidRPr="00DF4154">
        <w:rPr>
          <w:rFonts w:ascii="Arial" w:hAnsi="Arial" w:cs="Arial"/>
          <w:sz w:val="26"/>
          <w:szCs w:val="28"/>
        </w:rPr>
        <w:lastRenderedPageBreak/>
        <w:t>information indicating the i</w:t>
      </w:r>
      <w:r w:rsidR="00990563" w:rsidRPr="00DF4154">
        <w:rPr>
          <w:rFonts w:ascii="Arial" w:hAnsi="Arial" w:cs="Arial"/>
          <w:sz w:val="26"/>
          <w:szCs w:val="28"/>
        </w:rPr>
        <w:t>nvolvement of further firms in “</w:t>
      </w:r>
      <w:r w:rsidRPr="00DF4154">
        <w:rPr>
          <w:rFonts w:ascii="Arial" w:hAnsi="Arial" w:cs="Arial"/>
          <w:i/>
          <w:iCs/>
          <w:sz w:val="26"/>
          <w:szCs w:val="28"/>
        </w:rPr>
        <w:t>alleged price fixing, market all</w:t>
      </w:r>
      <w:r w:rsidR="00990563" w:rsidRPr="00DF4154">
        <w:rPr>
          <w:rFonts w:ascii="Arial" w:hAnsi="Arial" w:cs="Arial"/>
          <w:i/>
          <w:iCs/>
          <w:sz w:val="26"/>
          <w:szCs w:val="28"/>
        </w:rPr>
        <w:t>ocation and collusive tendering”</w:t>
      </w:r>
      <w:r w:rsidRPr="00DF4154">
        <w:rPr>
          <w:rFonts w:ascii="Arial" w:hAnsi="Arial" w:cs="Arial"/>
          <w:i/>
          <w:iCs/>
          <w:sz w:val="26"/>
          <w:szCs w:val="28"/>
        </w:rPr>
        <w:t xml:space="preserve">, </w:t>
      </w:r>
      <w:r w:rsidRPr="00DF4154">
        <w:rPr>
          <w:rFonts w:ascii="Arial" w:hAnsi="Arial" w:cs="Arial"/>
          <w:sz w:val="26"/>
          <w:szCs w:val="28"/>
        </w:rPr>
        <w:t>and concluded:</w:t>
      </w:r>
    </w:p>
    <w:p w14:paraId="2C9D2527" w14:textId="77777777" w:rsidR="00C848E2" w:rsidRPr="00DF4154" w:rsidRDefault="00C848E2" w:rsidP="00C848E2">
      <w:pPr>
        <w:pStyle w:val="ListParagraph"/>
        <w:rPr>
          <w:rFonts w:ascii="Arial" w:hAnsi="Arial" w:cs="Arial"/>
          <w:sz w:val="26"/>
          <w:szCs w:val="28"/>
        </w:rPr>
      </w:pPr>
    </w:p>
    <w:p w14:paraId="23A702B7" w14:textId="2F3F4225" w:rsidR="00C848E2" w:rsidRPr="00DF4154" w:rsidRDefault="00990563" w:rsidP="00C848E2">
      <w:pPr>
        <w:pStyle w:val="ListParagraph"/>
        <w:rPr>
          <w:rFonts w:ascii="Arial" w:hAnsi="Arial" w:cs="Arial"/>
          <w:i/>
          <w:iCs/>
          <w:sz w:val="26"/>
          <w:szCs w:val="28"/>
        </w:rPr>
      </w:pPr>
      <w:r w:rsidRPr="00DF4154">
        <w:rPr>
          <w:rFonts w:ascii="Arial" w:hAnsi="Arial" w:cs="Arial"/>
          <w:sz w:val="26"/>
          <w:szCs w:val="28"/>
        </w:rPr>
        <w:t>“</w:t>
      </w:r>
      <w:r w:rsidR="00C848E2" w:rsidRPr="00DF4154">
        <w:rPr>
          <w:rFonts w:ascii="Arial" w:hAnsi="Arial" w:cs="Arial"/>
          <w:i/>
          <w:iCs/>
          <w:sz w:val="26"/>
          <w:szCs w:val="28"/>
        </w:rPr>
        <w:t xml:space="preserve">I therefore further amend the complaint to include [the further firms] </w:t>
      </w:r>
      <w:r w:rsidRPr="00DF4154">
        <w:rPr>
          <w:rFonts w:ascii="Arial" w:hAnsi="Arial" w:cs="Arial"/>
          <w:i/>
          <w:iCs/>
          <w:sz w:val="26"/>
          <w:szCs w:val="28"/>
        </w:rPr>
        <w:t>as respondents to the complaint</w:t>
      </w:r>
      <w:r w:rsidR="00C848E2" w:rsidRPr="00DF4154">
        <w:rPr>
          <w:rFonts w:ascii="Arial" w:hAnsi="Arial" w:cs="Arial"/>
          <w:i/>
          <w:iCs/>
          <w:sz w:val="26"/>
          <w:szCs w:val="28"/>
        </w:rPr>
        <w:t>.</w:t>
      </w:r>
      <w:r w:rsidRPr="00DF4154">
        <w:rPr>
          <w:rFonts w:ascii="Arial" w:hAnsi="Arial" w:cs="Arial"/>
          <w:i/>
          <w:iCs/>
          <w:sz w:val="26"/>
          <w:szCs w:val="28"/>
        </w:rPr>
        <w:t>”</w:t>
      </w:r>
      <w:r w:rsidR="001C6178" w:rsidRPr="00DF4154">
        <w:rPr>
          <w:rStyle w:val="FootnoteReference"/>
          <w:rFonts w:ascii="Arial" w:hAnsi="Arial" w:cs="Arial"/>
          <w:i/>
          <w:iCs/>
          <w:sz w:val="26"/>
          <w:szCs w:val="28"/>
        </w:rPr>
        <w:footnoteReference w:id="52"/>
      </w:r>
    </w:p>
    <w:p w14:paraId="28D95731" w14:textId="77777777" w:rsidR="00844C0F" w:rsidRPr="00DF4154" w:rsidRDefault="00844C0F" w:rsidP="00C848E2">
      <w:pPr>
        <w:pStyle w:val="ListParagraph"/>
        <w:rPr>
          <w:rFonts w:ascii="Arial" w:hAnsi="Arial" w:cs="Arial"/>
          <w:i/>
          <w:iCs/>
          <w:sz w:val="26"/>
          <w:szCs w:val="28"/>
        </w:rPr>
      </w:pPr>
    </w:p>
    <w:p w14:paraId="00F57340" w14:textId="0C95C062" w:rsidR="00C848E2" w:rsidRPr="00DF4154" w:rsidRDefault="00990563" w:rsidP="00BB6964">
      <w:pPr>
        <w:keepNext/>
        <w:spacing w:after="0" w:line="480" w:lineRule="auto"/>
        <w:jc w:val="both"/>
        <w:rPr>
          <w:rFonts w:ascii="Arial" w:hAnsi="Arial" w:cs="Arial"/>
          <w:b/>
          <w:bCs/>
          <w:sz w:val="26"/>
          <w:szCs w:val="28"/>
        </w:rPr>
      </w:pPr>
      <w:r w:rsidRPr="00DF4154">
        <w:rPr>
          <w:rFonts w:ascii="Arial" w:hAnsi="Arial" w:cs="Arial"/>
          <w:b/>
          <w:bCs/>
          <w:sz w:val="26"/>
          <w:szCs w:val="28"/>
        </w:rPr>
        <w:t>The Commissioner’s</w:t>
      </w:r>
      <w:r w:rsidR="00C848E2" w:rsidRPr="00DF4154">
        <w:rPr>
          <w:rFonts w:ascii="Arial" w:hAnsi="Arial" w:cs="Arial"/>
          <w:b/>
          <w:bCs/>
          <w:sz w:val="26"/>
          <w:szCs w:val="28"/>
        </w:rPr>
        <w:t xml:space="preserve"> averments in respect of the initiations</w:t>
      </w:r>
    </w:p>
    <w:p w14:paraId="6353194B" w14:textId="77777777" w:rsidR="00C848E2" w:rsidRPr="00DF4154" w:rsidRDefault="00C848E2" w:rsidP="00BB6964">
      <w:pPr>
        <w:keepNext/>
        <w:spacing w:after="0" w:line="276" w:lineRule="auto"/>
        <w:jc w:val="both"/>
        <w:rPr>
          <w:rFonts w:ascii="Arial" w:hAnsi="Arial" w:cs="Arial"/>
          <w:b/>
          <w:bCs/>
          <w:i/>
          <w:iCs/>
          <w:sz w:val="26"/>
          <w:szCs w:val="28"/>
        </w:rPr>
      </w:pPr>
    </w:p>
    <w:p w14:paraId="05FE312F" w14:textId="0BE125C7" w:rsidR="00C848E2" w:rsidRPr="00DF4154" w:rsidRDefault="00C848E2" w:rsidP="00BB6964">
      <w:pPr>
        <w:pStyle w:val="ListParagraph"/>
        <w:keepNext/>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In the complaint referral the</w:t>
      </w:r>
      <w:r w:rsidR="00552205" w:rsidRPr="00DF4154">
        <w:rPr>
          <w:rFonts w:ascii="Arial" w:hAnsi="Arial" w:cs="Arial"/>
          <w:sz w:val="26"/>
          <w:szCs w:val="28"/>
        </w:rPr>
        <w:t xml:space="preserve"> deponent to the Commission’s founding affidavit</w:t>
      </w:r>
      <w:r w:rsidR="00125A8B" w:rsidRPr="00DF4154">
        <w:rPr>
          <w:rFonts w:ascii="Arial" w:hAnsi="Arial" w:cs="Arial"/>
          <w:sz w:val="26"/>
          <w:szCs w:val="28"/>
        </w:rPr>
        <w:t xml:space="preserve">, Mr </w:t>
      </w:r>
      <w:proofErr w:type="spellStart"/>
      <w:r w:rsidR="00125A8B" w:rsidRPr="00DF4154">
        <w:rPr>
          <w:rFonts w:ascii="Arial" w:hAnsi="Arial" w:cs="Arial"/>
          <w:sz w:val="26"/>
          <w:szCs w:val="28"/>
        </w:rPr>
        <w:t>Monareng</w:t>
      </w:r>
      <w:proofErr w:type="spellEnd"/>
      <w:r w:rsidR="00125A8B" w:rsidRPr="00DF4154">
        <w:rPr>
          <w:rFonts w:ascii="Arial" w:hAnsi="Arial" w:cs="Arial"/>
          <w:sz w:val="26"/>
          <w:szCs w:val="28"/>
        </w:rPr>
        <w:t>,</w:t>
      </w:r>
      <w:r w:rsidR="00990563" w:rsidRPr="00DF4154">
        <w:rPr>
          <w:rFonts w:ascii="Arial" w:hAnsi="Arial" w:cs="Arial"/>
          <w:sz w:val="26"/>
          <w:szCs w:val="28"/>
        </w:rPr>
        <w:t xml:space="preserve"> averred that the 2011 I</w:t>
      </w:r>
      <w:r w:rsidR="00552205" w:rsidRPr="00DF4154">
        <w:rPr>
          <w:rFonts w:ascii="Arial" w:hAnsi="Arial" w:cs="Arial"/>
          <w:sz w:val="26"/>
          <w:szCs w:val="28"/>
        </w:rPr>
        <w:t xml:space="preserve">nitiation was an amendment of the </w:t>
      </w:r>
      <w:r w:rsidRPr="00DF4154">
        <w:rPr>
          <w:rFonts w:ascii="Arial" w:hAnsi="Arial" w:cs="Arial"/>
          <w:sz w:val="26"/>
          <w:szCs w:val="28"/>
        </w:rPr>
        <w:t>2010</w:t>
      </w:r>
      <w:r w:rsidR="00990563" w:rsidRPr="00DF4154">
        <w:rPr>
          <w:rFonts w:ascii="Arial" w:hAnsi="Arial" w:cs="Arial"/>
          <w:sz w:val="26"/>
          <w:szCs w:val="28"/>
        </w:rPr>
        <w:t xml:space="preserve"> Initiation</w:t>
      </w:r>
      <w:r w:rsidR="00552205" w:rsidRPr="00DF4154">
        <w:rPr>
          <w:rFonts w:ascii="Arial" w:hAnsi="Arial" w:cs="Arial"/>
          <w:sz w:val="26"/>
          <w:szCs w:val="28"/>
        </w:rPr>
        <w:t>:</w:t>
      </w:r>
      <w:r w:rsidRPr="00DF4154">
        <w:rPr>
          <w:rFonts w:ascii="Arial" w:hAnsi="Arial" w:cs="Arial"/>
          <w:sz w:val="26"/>
          <w:szCs w:val="28"/>
        </w:rPr>
        <w:t xml:space="preserve"> </w:t>
      </w:r>
      <w:r w:rsidR="00552205" w:rsidRPr="00DF4154">
        <w:rPr>
          <w:rFonts w:ascii="Arial" w:hAnsi="Arial" w:cs="Arial"/>
          <w:sz w:val="26"/>
          <w:szCs w:val="28"/>
        </w:rPr>
        <w:t xml:space="preserve">the Commissioner </w:t>
      </w:r>
      <w:r w:rsidR="00990563" w:rsidRPr="00DF4154">
        <w:rPr>
          <w:rFonts w:ascii="Arial" w:hAnsi="Arial" w:cs="Arial"/>
          <w:sz w:val="26"/>
          <w:szCs w:val="28"/>
        </w:rPr>
        <w:t>had “</w:t>
      </w:r>
      <w:r w:rsidRPr="00DF4154">
        <w:rPr>
          <w:rFonts w:ascii="Arial" w:hAnsi="Arial" w:cs="Arial"/>
          <w:i/>
          <w:iCs/>
          <w:sz w:val="26"/>
          <w:szCs w:val="28"/>
        </w:rPr>
        <w:t>amended its complaint initiation to include Pickfords under case number 2011Jun0069</w:t>
      </w:r>
      <w:r w:rsidR="00990563" w:rsidRPr="00DF4154">
        <w:rPr>
          <w:rFonts w:ascii="Arial" w:hAnsi="Arial" w:cs="Arial"/>
          <w:sz w:val="26"/>
          <w:szCs w:val="28"/>
        </w:rPr>
        <w:t>”</w:t>
      </w:r>
      <w:r w:rsidRPr="00DF4154">
        <w:rPr>
          <w:rFonts w:ascii="Arial" w:hAnsi="Arial" w:cs="Arial"/>
          <w:sz w:val="26"/>
          <w:szCs w:val="28"/>
        </w:rPr>
        <w:t>.</w:t>
      </w:r>
      <w:r w:rsidRPr="00DF4154">
        <w:rPr>
          <w:rStyle w:val="FootnoteReference"/>
          <w:rFonts w:ascii="Arial" w:hAnsi="Arial" w:cs="Arial"/>
          <w:sz w:val="26"/>
          <w:szCs w:val="28"/>
        </w:rPr>
        <w:footnoteReference w:id="53"/>
      </w:r>
    </w:p>
    <w:p w14:paraId="03B19C57" w14:textId="77777777" w:rsidR="00C848E2" w:rsidRPr="00DF4154" w:rsidRDefault="00C848E2" w:rsidP="00C848E2">
      <w:pPr>
        <w:pStyle w:val="ListParagraph"/>
        <w:spacing w:after="0" w:line="276" w:lineRule="auto"/>
        <w:jc w:val="both"/>
        <w:rPr>
          <w:rFonts w:ascii="Arial" w:hAnsi="Arial" w:cs="Arial"/>
          <w:sz w:val="26"/>
          <w:szCs w:val="28"/>
        </w:rPr>
      </w:pPr>
    </w:p>
    <w:p w14:paraId="2666FBB6" w14:textId="570002E9" w:rsidR="00125A8B" w:rsidRPr="00DF4154" w:rsidRDefault="00C848E2" w:rsidP="00125A8B">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In the Commission’s Further Particulars</w:t>
      </w:r>
      <w:r w:rsidR="00125A8B" w:rsidRPr="00DF4154">
        <w:rPr>
          <w:rFonts w:ascii="Arial" w:hAnsi="Arial" w:cs="Arial"/>
          <w:sz w:val="26"/>
          <w:szCs w:val="28"/>
        </w:rPr>
        <w:t xml:space="preserve"> Mr </w:t>
      </w:r>
      <w:proofErr w:type="spellStart"/>
      <w:r w:rsidR="00125A8B" w:rsidRPr="00DF4154">
        <w:rPr>
          <w:rFonts w:ascii="Arial" w:hAnsi="Arial" w:cs="Arial"/>
          <w:sz w:val="26"/>
          <w:szCs w:val="28"/>
        </w:rPr>
        <w:t>Monareng</w:t>
      </w:r>
      <w:proofErr w:type="spellEnd"/>
      <w:r w:rsidR="00125A8B" w:rsidRPr="00DF4154">
        <w:rPr>
          <w:rFonts w:ascii="Arial" w:hAnsi="Arial" w:cs="Arial"/>
          <w:sz w:val="26"/>
          <w:szCs w:val="28"/>
        </w:rPr>
        <w:t xml:space="preserve"> stated:</w:t>
      </w:r>
    </w:p>
    <w:p w14:paraId="652C1D41" w14:textId="77777777" w:rsidR="001C6178" w:rsidRPr="00DF4154" w:rsidRDefault="001C6178" w:rsidP="001C6178">
      <w:pPr>
        <w:pStyle w:val="ListParagraph"/>
        <w:rPr>
          <w:rFonts w:ascii="Arial" w:hAnsi="Arial" w:cs="Arial"/>
          <w:sz w:val="26"/>
          <w:szCs w:val="28"/>
        </w:rPr>
      </w:pPr>
    </w:p>
    <w:p w14:paraId="1E7BBF6A" w14:textId="6F7236EF" w:rsidR="00125A8B" w:rsidRPr="00DF4154" w:rsidRDefault="00125A8B" w:rsidP="00BB6964">
      <w:pPr>
        <w:pStyle w:val="ListParagraph"/>
        <w:jc w:val="both"/>
        <w:rPr>
          <w:rFonts w:ascii="Arial" w:hAnsi="Arial" w:cs="Arial"/>
          <w:sz w:val="26"/>
          <w:szCs w:val="28"/>
        </w:rPr>
      </w:pPr>
      <w:r w:rsidRPr="00DF4154">
        <w:rPr>
          <w:rFonts w:ascii="Arial" w:hAnsi="Arial" w:cs="Arial"/>
          <w:sz w:val="26"/>
          <w:szCs w:val="28"/>
        </w:rPr>
        <w:t>“</w:t>
      </w:r>
      <w:r w:rsidRPr="00DF4154">
        <w:rPr>
          <w:rFonts w:ascii="Arial" w:hAnsi="Arial" w:cs="Arial"/>
          <w:i/>
          <w:iCs/>
          <w:sz w:val="26"/>
          <w:szCs w:val="28"/>
        </w:rPr>
        <w:t>On 1 June 2011 the Commissioner</w:t>
      </w:r>
      <w:r w:rsidRPr="00DF4154">
        <w:rPr>
          <w:rFonts w:ascii="Arial" w:hAnsi="Arial" w:cs="Arial"/>
          <w:i/>
          <w:iCs/>
          <w:sz w:val="26"/>
          <w:szCs w:val="28"/>
          <w:u w:val="single"/>
        </w:rPr>
        <w:t xml:space="preserve"> in effect extended the complaint</w:t>
      </w:r>
      <w:r w:rsidRPr="00DF4154">
        <w:rPr>
          <w:rFonts w:ascii="Arial" w:hAnsi="Arial" w:cs="Arial"/>
          <w:i/>
          <w:iCs/>
          <w:sz w:val="26"/>
          <w:szCs w:val="28"/>
        </w:rPr>
        <w:t xml:space="preserve"> by </w:t>
      </w:r>
      <w:r w:rsidRPr="00DF4154">
        <w:rPr>
          <w:rFonts w:ascii="Arial" w:hAnsi="Arial" w:cs="Arial"/>
          <w:i/>
          <w:iCs/>
          <w:sz w:val="26"/>
          <w:szCs w:val="28"/>
          <w:u w:val="single"/>
        </w:rPr>
        <w:t>initiating a further complaint</w:t>
      </w:r>
      <w:r w:rsidRPr="00DF4154">
        <w:rPr>
          <w:rFonts w:ascii="Arial" w:hAnsi="Arial" w:cs="Arial"/>
          <w:i/>
          <w:iCs/>
          <w:sz w:val="26"/>
          <w:szCs w:val="28"/>
        </w:rPr>
        <w:t xml:space="preserve"> against more firms identified by name….It named Pickfords as one of the implicated firms”</w:t>
      </w:r>
      <w:r w:rsidRPr="00DF4154">
        <w:rPr>
          <w:rFonts w:ascii="Arial" w:hAnsi="Arial" w:cs="Arial"/>
          <w:sz w:val="26"/>
          <w:szCs w:val="28"/>
        </w:rPr>
        <w:t>.</w:t>
      </w:r>
      <w:r w:rsidRPr="00DF4154">
        <w:rPr>
          <w:rStyle w:val="FootnoteReference"/>
          <w:rFonts w:ascii="Arial" w:hAnsi="Arial" w:cs="Arial"/>
          <w:sz w:val="26"/>
          <w:szCs w:val="28"/>
        </w:rPr>
        <w:footnoteReference w:id="54"/>
      </w:r>
    </w:p>
    <w:p w14:paraId="0BB26118" w14:textId="77777777" w:rsidR="001C6178" w:rsidRPr="00DF4154" w:rsidRDefault="001C6178" w:rsidP="00125A8B">
      <w:pPr>
        <w:pStyle w:val="ListParagraph"/>
        <w:rPr>
          <w:rFonts w:ascii="Arial" w:hAnsi="Arial" w:cs="Arial"/>
          <w:sz w:val="26"/>
          <w:szCs w:val="28"/>
        </w:rPr>
      </w:pPr>
    </w:p>
    <w:p w14:paraId="69B55E48" w14:textId="77777777" w:rsidR="00125A8B" w:rsidRPr="00DF4154" w:rsidRDefault="00125A8B" w:rsidP="00125A8B">
      <w:pPr>
        <w:pStyle w:val="ListParagraph"/>
        <w:rPr>
          <w:rFonts w:ascii="Arial" w:hAnsi="Arial" w:cs="Arial"/>
          <w:sz w:val="26"/>
          <w:szCs w:val="28"/>
        </w:rPr>
      </w:pPr>
    </w:p>
    <w:p w14:paraId="49500925" w14:textId="55438958" w:rsidR="00125A8B" w:rsidRPr="00DF4154" w:rsidRDefault="00125A8B" w:rsidP="00125A8B">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Mr </w:t>
      </w:r>
      <w:proofErr w:type="spellStart"/>
      <w:r w:rsidRPr="00DF4154">
        <w:rPr>
          <w:rFonts w:ascii="Arial" w:hAnsi="Arial" w:cs="Arial"/>
          <w:sz w:val="26"/>
          <w:szCs w:val="28"/>
        </w:rPr>
        <w:t>Monareng</w:t>
      </w:r>
      <w:proofErr w:type="spellEnd"/>
      <w:r w:rsidRPr="00DF4154">
        <w:rPr>
          <w:rFonts w:ascii="Arial" w:hAnsi="Arial" w:cs="Arial"/>
          <w:sz w:val="26"/>
          <w:szCs w:val="28"/>
        </w:rPr>
        <w:t xml:space="preserve"> explained the position as follows:</w:t>
      </w:r>
    </w:p>
    <w:p w14:paraId="1AF8D494" w14:textId="77777777" w:rsidR="001C6178" w:rsidRPr="00DF4154" w:rsidRDefault="001C6178" w:rsidP="00BB6964">
      <w:pPr>
        <w:pStyle w:val="ListParagraph"/>
        <w:spacing w:after="0" w:line="240" w:lineRule="auto"/>
        <w:jc w:val="both"/>
        <w:rPr>
          <w:rFonts w:ascii="Arial" w:hAnsi="Arial" w:cs="Arial"/>
          <w:sz w:val="26"/>
          <w:szCs w:val="28"/>
        </w:rPr>
      </w:pPr>
    </w:p>
    <w:p w14:paraId="7AC871BE" w14:textId="5BB2F6D5" w:rsidR="00C848E2" w:rsidRPr="00DF4154" w:rsidRDefault="00125A8B" w:rsidP="00125A8B">
      <w:pPr>
        <w:spacing w:after="0" w:line="240" w:lineRule="auto"/>
        <w:ind w:left="720"/>
        <w:jc w:val="both"/>
        <w:rPr>
          <w:rFonts w:ascii="Arial" w:hAnsi="Arial" w:cs="Arial"/>
          <w:sz w:val="26"/>
          <w:szCs w:val="28"/>
        </w:rPr>
      </w:pPr>
      <w:r w:rsidRPr="00DF4154">
        <w:rPr>
          <w:rFonts w:ascii="Arial" w:hAnsi="Arial" w:cs="Arial"/>
          <w:i/>
          <w:iCs/>
          <w:sz w:val="26"/>
          <w:szCs w:val="28"/>
        </w:rPr>
        <w:t>“</w:t>
      </w:r>
      <w:r w:rsidR="00C848E2" w:rsidRPr="00DF4154">
        <w:rPr>
          <w:rFonts w:ascii="Arial" w:hAnsi="Arial" w:cs="Arial"/>
          <w:i/>
          <w:iCs/>
          <w:sz w:val="26"/>
          <w:szCs w:val="28"/>
        </w:rPr>
        <w:t xml:space="preserve">The complaint of 3 November 2010 was directed at all the members of a cartel. Pickfords was a member of a cartel but was not named in the complaint because </w:t>
      </w:r>
      <w:r w:rsidR="00C848E2" w:rsidRPr="00DF4154">
        <w:rPr>
          <w:rFonts w:ascii="Arial" w:hAnsi="Arial" w:cs="Arial"/>
          <w:i/>
          <w:iCs/>
          <w:sz w:val="26"/>
          <w:szCs w:val="28"/>
          <w:u w:val="single"/>
        </w:rPr>
        <w:t>the Commissioner did not know that it was a member of the cartel</w:t>
      </w:r>
      <w:r w:rsidR="00C848E2" w:rsidRPr="00DF4154">
        <w:rPr>
          <w:rFonts w:ascii="Arial" w:hAnsi="Arial" w:cs="Arial"/>
          <w:i/>
          <w:iCs/>
          <w:sz w:val="26"/>
          <w:szCs w:val="28"/>
        </w:rPr>
        <w:t>. The complaint of 1 June 2011 named Pickfords as a member of the cartel. The complaint against Pickfords was accordingly initiated on 3 November 2010 or alternatively on 1 June 2011</w:t>
      </w:r>
      <w:r w:rsidRPr="00DF4154">
        <w:rPr>
          <w:rFonts w:ascii="Arial" w:hAnsi="Arial" w:cs="Arial"/>
          <w:i/>
          <w:iCs/>
          <w:sz w:val="26"/>
          <w:szCs w:val="28"/>
        </w:rPr>
        <w:t>”</w:t>
      </w:r>
      <w:r w:rsidR="00C848E2" w:rsidRPr="00DF4154">
        <w:rPr>
          <w:rFonts w:ascii="Arial" w:hAnsi="Arial" w:cs="Arial"/>
          <w:sz w:val="26"/>
          <w:szCs w:val="28"/>
        </w:rPr>
        <w:t>.</w:t>
      </w:r>
      <w:r w:rsidR="00C848E2" w:rsidRPr="00DF4154">
        <w:rPr>
          <w:rStyle w:val="FootnoteReference"/>
          <w:rFonts w:ascii="Arial" w:hAnsi="Arial" w:cs="Arial"/>
          <w:sz w:val="26"/>
          <w:szCs w:val="28"/>
        </w:rPr>
        <w:footnoteReference w:id="55"/>
      </w:r>
    </w:p>
    <w:p w14:paraId="32BCF9D6" w14:textId="16C95E56" w:rsidR="009B7F8F" w:rsidRDefault="009B7F8F" w:rsidP="009B7F8F">
      <w:pPr>
        <w:keepNext/>
        <w:spacing w:after="0" w:line="240" w:lineRule="auto"/>
        <w:jc w:val="both"/>
        <w:rPr>
          <w:rFonts w:ascii="Arial" w:hAnsi="Arial" w:cs="Arial"/>
          <w:b/>
          <w:bCs/>
          <w:sz w:val="26"/>
          <w:szCs w:val="28"/>
        </w:rPr>
      </w:pPr>
    </w:p>
    <w:p w14:paraId="4634C9AE" w14:textId="77777777" w:rsidR="009B7F8F" w:rsidRDefault="009B7F8F" w:rsidP="009B7F8F">
      <w:pPr>
        <w:keepNext/>
        <w:spacing w:after="0" w:line="240" w:lineRule="auto"/>
        <w:jc w:val="both"/>
        <w:rPr>
          <w:rFonts w:ascii="Arial" w:hAnsi="Arial" w:cs="Arial"/>
          <w:b/>
          <w:bCs/>
          <w:sz w:val="26"/>
          <w:szCs w:val="28"/>
        </w:rPr>
      </w:pPr>
    </w:p>
    <w:p w14:paraId="02F91690" w14:textId="5D3E1BCA" w:rsidR="00C848E2" w:rsidRPr="00DF4154" w:rsidRDefault="00C848E2" w:rsidP="00BE2F38">
      <w:pPr>
        <w:keepNext/>
        <w:spacing w:after="0" w:line="480" w:lineRule="auto"/>
        <w:jc w:val="both"/>
        <w:rPr>
          <w:rFonts w:ascii="Arial" w:hAnsi="Arial" w:cs="Arial"/>
          <w:b/>
          <w:bCs/>
          <w:sz w:val="26"/>
          <w:szCs w:val="28"/>
        </w:rPr>
      </w:pPr>
      <w:r w:rsidRPr="00DF4154">
        <w:rPr>
          <w:rFonts w:ascii="Arial" w:hAnsi="Arial" w:cs="Arial"/>
          <w:b/>
          <w:bCs/>
          <w:sz w:val="26"/>
          <w:szCs w:val="28"/>
        </w:rPr>
        <w:t>The findings of the Tribunal and the CAC</w:t>
      </w:r>
    </w:p>
    <w:p w14:paraId="28E34A23" w14:textId="77777777" w:rsidR="00C848E2" w:rsidRPr="00DF4154" w:rsidRDefault="00C848E2" w:rsidP="00BE2F38">
      <w:pPr>
        <w:keepNext/>
        <w:spacing w:after="0" w:line="276" w:lineRule="auto"/>
        <w:jc w:val="both"/>
        <w:rPr>
          <w:rFonts w:ascii="Arial" w:hAnsi="Arial" w:cs="Arial"/>
          <w:bCs/>
          <w:i/>
          <w:iCs/>
          <w:sz w:val="26"/>
          <w:szCs w:val="28"/>
        </w:rPr>
      </w:pPr>
    </w:p>
    <w:p w14:paraId="329FE08F" w14:textId="4F6E206D"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Tribunal found that the 2011 Initiation was not an amendment of the</w:t>
      </w:r>
      <w:r w:rsidR="009B7F8F">
        <w:rPr>
          <w:rFonts w:ascii="Arial" w:hAnsi="Arial" w:cs="Arial"/>
          <w:sz w:val="26"/>
          <w:szCs w:val="28"/>
        </w:rPr>
        <w:t> </w:t>
      </w:r>
      <w:r w:rsidRPr="00DF4154">
        <w:rPr>
          <w:rFonts w:ascii="Arial" w:hAnsi="Arial" w:cs="Arial"/>
          <w:sz w:val="26"/>
          <w:szCs w:val="28"/>
        </w:rPr>
        <w:t>2010 Initiation, but a self-standing initiation.</w:t>
      </w:r>
      <w:r w:rsidRPr="00DF4154">
        <w:rPr>
          <w:rStyle w:val="FootnoteReference"/>
          <w:rFonts w:ascii="Arial" w:hAnsi="Arial" w:cs="Arial"/>
          <w:sz w:val="26"/>
          <w:szCs w:val="28"/>
        </w:rPr>
        <w:footnoteReference w:id="56"/>
      </w:r>
      <w:r w:rsidRPr="00DF4154">
        <w:rPr>
          <w:rFonts w:ascii="Arial" w:hAnsi="Arial" w:cs="Arial"/>
          <w:sz w:val="26"/>
          <w:szCs w:val="28"/>
        </w:rPr>
        <w:t xml:space="preserve"> It did so on the basis that the respective initiations identified different conduct, and that the conduct alleged in the</w:t>
      </w:r>
      <w:r w:rsidR="00125A8B" w:rsidRPr="00DF4154">
        <w:rPr>
          <w:rFonts w:ascii="Arial" w:hAnsi="Arial" w:cs="Arial"/>
          <w:sz w:val="26"/>
          <w:szCs w:val="28"/>
        </w:rPr>
        <w:t xml:space="preserve"> complaint referred to the Tribunal </w:t>
      </w:r>
      <w:r w:rsidRPr="00DF4154">
        <w:rPr>
          <w:rFonts w:ascii="Arial" w:hAnsi="Arial" w:cs="Arial"/>
          <w:sz w:val="26"/>
          <w:szCs w:val="28"/>
        </w:rPr>
        <w:t>is consistent with the conduct alleged in the 2011 Initiation, and not with the conduct alleged in the 2010 Initiation. The relevant passages in the Tribunal decision are the following:</w:t>
      </w:r>
    </w:p>
    <w:p w14:paraId="3A768F23" w14:textId="77777777" w:rsidR="00C848E2" w:rsidRPr="00DF4154" w:rsidRDefault="00C848E2" w:rsidP="00C848E2">
      <w:pPr>
        <w:pStyle w:val="ListParagraph"/>
        <w:rPr>
          <w:rFonts w:ascii="Arial" w:hAnsi="Arial" w:cs="Arial"/>
          <w:sz w:val="26"/>
          <w:szCs w:val="28"/>
        </w:rPr>
      </w:pPr>
    </w:p>
    <w:p w14:paraId="715E0C9A" w14:textId="65F552F5" w:rsidR="00C848E2" w:rsidRPr="00DF4154" w:rsidRDefault="00990563" w:rsidP="00C848E2">
      <w:pPr>
        <w:pStyle w:val="ListParagraph"/>
        <w:numPr>
          <w:ilvl w:val="0"/>
          <w:numId w:val="6"/>
        </w:numPr>
        <w:spacing w:after="0" w:line="240" w:lineRule="auto"/>
        <w:jc w:val="both"/>
        <w:rPr>
          <w:rFonts w:ascii="Arial" w:hAnsi="Arial" w:cs="Arial"/>
          <w:sz w:val="26"/>
          <w:szCs w:val="28"/>
        </w:rPr>
      </w:pPr>
      <w:r w:rsidRPr="00DF4154">
        <w:rPr>
          <w:rFonts w:ascii="Arial" w:hAnsi="Arial" w:cs="Arial"/>
          <w:sz w:val="26"/>
          <w:szCs w:val="28"/>
        </w:rPr>
        <w:t>“</w:t>
      </w:r>
      <w:r w:rsidR="00C848E2" w:rsidRPr="00DF4154">
        <w:rPr>
          <w:rFonts w:ascii="Arial" w:hAnsi="Arial" w:cs="Arial"/>
          <w:i/>
          <w:iCs/>
          <w:sz w:val="26"/>
          <w:szCs w:val="28"/>
        </w:rPr>
        <w:t xml:space="preserve">In the first initiation statement, the Commissioner expressly identified a </w:t>
      </w:r>
      <w:r w:rsidR="00C848E2" w:rsidRPr="00DF4154">
        <w:rPr>
          <w:rFonts w:ascii="Arial" w:hAnsi="Arial" w:cs="Arial"/>
          <w:sz w:val="26"/>
          <w:szCs w:val="28"/>
        </w:rPr>
        <w:t>“</w:t>
      </w:r>
      <w:r w:rsidR="00C848E2" w:rsidRPr="00DF4154">
        <w:rPr>
          <w:rFonts w:ascii="Arial" w:hAnsi="Arial" w:cs="Arial"/>
          <w:i/>
          <w:sz w:val="26"/>
          <w:szCs w:val="28"/>
        </w:rPr>
        <w:t>single over-arching conspiracy”, which importantly, he alleged is still “ongoing”. These two features are absent in the second initiation. Here there is no reference to a single conspiracy or that the conduct is still ongoing</w:t>
      </w:r>
      <w:r w:rsidRPr="00DF4154">
        <w:rPr>
          <w:rFonts w:ascii="Arial" w:hAnsi="Arial" w:cs="Arial"/>
          <w:i/>
          <w:sz w:val="26"/>
          <w:szCs w:val="28"/>
        </w:rPr>
        <w:t>.</w:t>
      </w:r>
      <w:r w:rsidR="00C848E2" w:rsidRPr="00DF4154">
        <w:rPr>
          <w:rFonts w:ascii="Arial" w:hAnsi="Arial" w:cs="Arial"/>
          <w:sz w:val="26"/>
          <w:szCs w:val="28"/>
        </w:rPr>
        <w:t>”</w:t>
      </w:r>
      <w:r w:rsidR="00C848E2" w:rsidRPr="00DF4154">
        <w:rPr>
          <w:rStyle w:val="FootnoteReference"/>
          <w:rFonts w:ascii="Arial" w:hAnsi="Arial" w:cs="Arial"/>
          <w:sz w:val="26"/>
          <w:szCs w:val="28"/>
        </w:rPr>
        <w:footnoteReference w:id="57"/>
      </w:r>
    </w:p>
    <w:p w14:paraId="40165673" w14:textId="77777777" w:rsidR="00C848E2" w:rsidRPr="00DF4154" w:rsidRDefault="00C848E2" w:rsidP="00C848E2">
      <w:pPr>
        <w:pStyle w:val="ListParagraph"/>
        <w:spacing w:after="0" w:line="240" w:lineRule="auto"/>
        <w:ind w:left="1140"/>
        <w:jc w:val="both"/>
        <w:rPr>
          <w:rFonts w:ascii="Arial" w:hAnsi="Arial" w:cs="Arial"/>
          <w:sz w:val="26"/>
          <w:szCs w:val="28"/>
        </w:rPr>
      </w:pPr>
    </w:p>
    <w:p w14:paraId="33FF3FD6" w14:textId="20423CE5" w:rsidR="00C848E2" w:rsidRPr="00DF4154" w:rsidRDefault="00990563" w:rsidP="00C848E2">
      <w:pPr>
        <w:pStyle w:val="ListParagraph"/>
        <w:numPr>
          <w:ilvl w:val="0"/>
          <w:numId w:val="6"/>
        </w:numPr>
        <w:spacing w:after="0" w:line="240" w:lineRule="auto"/>
        <w:jc w:val="both"/>
        <w:rPr>
          <w:rFonts w:ascii="Arial" w:hAnsi="Arial" w:cs="Arial"/>
          <w:sz w:val="26"/>
          <w:szCs w:val="28"/>
        </w:rPr>
      </w:pPr>
      <w:r w:rsidRPr="00DF4154">
        <w:rPr>
          <w:rFonts w:ascii="Arial" w:hAnsi="Arial" w:cs="Arial"/>
          <w:i/>
          <w:sz w:val="26"/>
          <w:szCs w:val="28"/>
        </w:rPr>
        <w:t>“</w:t>
      </w:r>
      <w:r w:rsidR="00C848E2" w:rsidRPr="00DF4154">
        <w:rPr>
          <w:rFonts w:ascii="Arial" w:hAnsi="Arial" w:cs="Arial"/>
          <w:i/>
          <w:sz w:val="26"/>
          <w:szCs w:val="28"/>
        </w:rPr>
        <w:t xml:space="preserve">The present referral…does not allege a single ongoing conspiracy. On the contrary, each count constituted a separate, discrete, bilateral conspiracy, none of </w:t>
      </w:r>
      <w:r w:rsidRPr="00DF4154">
        <w:rPr>
          <w:rFonts w:ascii="Arial" w:hAnsi="Arial" w:cs="Arial"/>
          <w:i/>
          <w:sz w:val="26"/>
          <w:szCs w:val="28"/>
        </w:rPr>
        <w:t>which are alleged to be ongoing</w:t>
      </w:r>
      <w:r w:rsidR="00C848E2" w:rsidRPr="00DF4154">
        <w:rPr>
          <w:rFonts w:ascii="Arial" w:hAnsi="Arial" w:cs="Arial"/>
          <w:sz w:val="26"/>
          <w:szCs w:val="28"/>
        </w:rPr>
        <w:t>.</w:t>
      </w:r>
      <w:r w:rsidRPr="00DF4154">
        <w:rPr>
          <w:rFonts w:ascii="Arial" w:hAnsi="Arial" w:cs="Arial"/>
          <w:sz w:val="26"/>
          <w:szCs w:val="28"/>
        </w:rPr>
        <w:t>”</w:t>
      </w:r>
      <w:r w:rsidR="00C848E2" w:rsidRPr="00DF4154">
        <w:rPr>
          <w:rStyle w:val="FootnoteReference"/>
          <w:rFonts w:ascii="Arial" w:hAnsi="Arial" w:cs="Arial"/>
          <w:sz w:val="26"/>
          <w:szCs w:val="28"/>
        </w:rPr>
        <w:footnoteReference w:id="58"/>
      </w:r>
    </w:p>
    <w:p w14:paraId="6240C836" w14:textId="77777777" w:rsidR="00C848E2" w:rsidRPr="00DF4154" w:rsidRDefault="00C848E2" w:rsidP="00C848E2">
      <w:pPr>
        <w:pStyle w:val="ListParagraph"/>
        <w:spacing w:after="0" w:line="240" w:lineRule="auto"/>
        <w:ind w:left="1140"/>
        <w:jc w:val="both"/>
        <w:rPr>
          <w:rFonts w:ascii="Arial" w:hAnsi="Arial" w:cs="Arial"/>
          <w:sz w:val="26"/>
          <w:szCs w:val="28"/>
        </w:rPr>
      </w:pPr>
    </w:p>
    <w:p w14:paraId="6A4DA6CB" w14:textId="6C2D38AA" w:rsidR="00C848E2" w:rsidRPr="00DF4154" w:rsidRDefault="00990563" w:rsidP="00C848E2">
      <w:pPr>
        <w:pStyle w:val="ListParagraph"/>
        <w:numPr>
          <w:ilvl w:val="0"/>
          <w:numId w:val="6"/>
        </w:numPr>
        <w:spacing w:after="0" w:line="240" w:lineRule="auto"/>
        <w:jc w:val="both"/>
        <w:rPr>
          <w:rFonts w:ascii="Arial" w:hAnsi="Arial" w:cs="Arial"/>
          <w:sz w:val="26"/>
          <w:szCs w:val="28"/>
        </w:rPr>
      </w:pPr>
      <w:r w:rsidRPr="00DF4154">
        <w:rPr>
          <w:rFonts w:ascii="Arial" w:hAnsi="Arial" w:cs="Arial"/>
          <w:i/>
          <w:sz w:val="26"/>
          <w:szCs w:val="28"/>
        </w:rPr>
        <w:t>“</w:t>
      </w:r>
      <w:r w:rsidR="00C848E2" w:rsidRPr="00DF4154">
        <w:rPr>
          <w:rFonts w:ascii="Arial" w:hAnsi="Arial" w:cs="Arial"/>
          <w:i/>
          <w:sz w:val="26"/>
          <w:szCs w:val="28"/>
        </w:rPr>
        <w:t>This suggests that it is more probable that the two initiations contemplate separate conspiracies and that the referral is more probably linked to the second initiation. This conclusion is bolstered by the fact that in the second initiation, unlike in the first, Pi</w:t>
      </w:r>
      <w:r w:rsidRPr="00DF4154">
        <w:rPr>
          <w:rFonts w:ascii="Arial" w:hAnsi="Arial" w:cs="Arial"/>
          <w:i/>
          <w:sz w:val="26"/>
          <w:szCs w:val="28"/>
        </w:rPr>
        <w:t>ckfords is expressly identified</w:t>
      </w:r>
      <w:r w:rsidR="00C848E2" w:rsidRPr="00DF4154">
        <w:rPr>
          <w:rFonts w:ascii="Arial" w:hAnsi="Arial" w:cs="Arial"/>
          <w:sz w:val="26"/>
          <w:szCs w:val="28"/>
        </w:rPr>
        <w:t>.</w:t>
      </w:r>
      <w:r w:rsidRPr="00DF4154">
        <w:rPr>
          <w:rFonts w:ascii="Arial" w:hAnsi="Arial" w:cs="Arial"/>
          <w:sz w:val="26"/>
          <w:szCs w:val="28"/>
        </w:rPr>
        <w:t>”</w:t>
      </w:r>
      <w:r w:rsidR="00C848E2" w:rsidRPr="00DF4154">
        <w:rPr>
          <w:rStyle w:val="FootnoteReference"/>
          <w:rFonts w:ascii="Arial" w:hAnsi="Arial" w:cs="Arial"/>
          <w:sz w:val="26"/>
          <w:szCs w:val="28"/>
        </w:rPr>
        <w:footnoteReference w:id="59"/>
      </w:r>
    </w:p>
    <w:p w14:paraId="40049828" w14:textId="77777777" w:rsidR="00C848E2" w:rsidRPr="00DF4154" w:rsidRDefault="00C848E2" w:rsidP="00C848E2">
      <w:pPr>
        <w:pStyle w:val="ListParagraph"/>
        <w:rPr>
          <w:rFonts w:ascii="Arial" w:hAnsi="Arial" w:cs="Arial"/>
          <w:sz w:val="26"/>
          <w:szCs w:val="28"/>
        </w:rPr>
      </w:pPr>
    </w:p>
    <w:p w14:paraId="0B4E0B47" w14:textId="77777777" w:rsidR="00C848E2" w:rsidRPr="00DF4154" w:rsidRDefault="00C848E2" w:rsidP="00C848E2">
      <w:pPr>
        <w:pStyle w:val="ListParagraph"/>
        <w:rPr>
          <w:rFonts w:ascii="Arial" w:hAnsi="Arial" w:cs="Arial"/>
          <w:sz w:val="26"/>
          <w:szCs w:val="28"/>
        </w:rPr>
      </w:pPr>
    </w:p>
    <w:p w14:paraId="4C1366FA" w14:textId="5707B37E"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lastRenderedPageBreak/>
        <w:t xml:space="preserve">The CAC found that the 2011 </w:t>
      </w:r>
      <w:r w:rsidR="00DE56A6" w:rsidRPr="00DF4154">
        <w:rPr>
          <w:rFonts w:ascii="Arial" w:hAnsi="Arial" w:cs="Arial"/>
          <w:sz w:val="26"/>
          <w:szCs w:val="28"/>
        </w:rPr>
        <w:t>I</w:t>
      </w:r>
      <w:r w:rsidRPr="00DF4154">
        <w:rPr>
          <w:rFonts w:ascii="Arial" w:hAnsi="Arial" w:cs="Arial"/>
          <w:sz w:val="26"/>
          <w:szCs w:val="28"/>
        </w:rPr>
        <w:t xml:space="preserve">nitiation </w:t>
      </w:r>
      <w:r w:rsidRPr="00DF4154">
        <w:rPr>
          <w:rFonts w:ascii="Arial" w:hAnsi="Arial" w:cs="Arial"/>
          <w:sz w:val="26"/>
          <w:szCs w:val="28"/>
          <w:u w:val="single"/>
        </w:rPr>
        <w:t>was</w:t>
      </w:r>
      <w:r w:rsidRPr="00DF4154">
        <w:rPr>
          <w:rFonts w:ascii="Arial" w:hAnsi="Arial" w:cs="Arial"/>
          <w:sz w:val="26"/>
          <w:szCs w:val="28"/>
        </w:rPr>
        <w:t xml:space="preserve"> an amendment of the 2010 </w:t>
      </w:r>
      <w:r w:rsidR="00DE56A6" w:rsidRPr="00DF4154">
        <w:rPr>
          <w:rFonts w:ascii="Arial" w:hAnsi="Arial" w:cs="Arial"/>
          <w:sz w:val="26"/>
          <w:szCs w:val="28"/>
        </w:rPr>
        <w:t>I</w:t>
      </w:r>
      <w:r w:rsidRPr="00DF4154">
        <w:rPr>
          <w:rFonts w:ascii="Arial" w:hAnsi="Arial" w:cs="Arial"/>
          <w:sz w:val="26"/>
          <w:szCs w:val="28"/>
        </w:rPr>
        <w:t>nitiation, but that the issue to be determined was whether, in respect of Pickfords, the complaint against it was initiated on the date of the 2010 Initiation, when it was not mentioned as a respondent, or on the date of the</w:t>
      </w:r>
      <w:r w:rsidR="009B7F8F">
        <w:rPr>
          <w:rFonts w:ascii="Arial" w:hAnsi="Arial" w:cs="Arial"/>
          <w:sz w:val="26"/>
          <w:szCs w:val="28"/>
        </w:rPr>
        <w:t> </w:t>
      </w:r>
      <w:r w:rsidRPr="00DF4154">
        <w:rPr>
          <w:rFonts w:ascii="Arial" w:hAnsi="Arial" w:cs="Arial"/>
          <w:sz w:val="26"/>
          <w:szCs w:val="28"/>
        </w:rPr>
        <w:t>2011 Initiation, when it was first mentioned as a respondent.</w:t>
      </w:r>
      <w:r w:rsidRPr="00DF4154">
        <w:rPr>
          <w:rStyle w:val="FootnoteReference"/>
          <w:rFonts w:ascii="Arial" w:hAnsi="Arial" w:cs="Arial"/>
          <w:sz w:val="26"/>
          <w:szCs w:val="28"/>
        </w:rPr>
        <w:footnoteReference w:id="60"/>
      </w:r>
    </w:p>
    <w:p w14:paraId="1F6269E7" w14:textId="77777777" w:rsidR="00C848E2" w:rsidRPr="00DF4154" w:rsidRDefault="00C848E2" w:rsidP="00C848E2">
      <w:pPr>
        <w:pStyle w:val="ListParagraph"/>
        <w:spacing w:after="0" w:line="276" w:lineRule="auto"/>
        <w:jc w:val="both"/>
        <w:rPr>
          <w:rFonts w:ascii="Arial" w:hAnsi="Arial" w:cs="Arial"/>
          <w:sz w:val="26"/>
          <w:szCs w:val="28"/>
        </w:rPr>
      </w:pPr>
    </w:p>
    <w:p w14:paraId="1D8577AB" w14:textId="77777777" w:rsidR="00C848E2"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CAC concluded that the complaint against Pickfords was initiated only on the date of the 2011 Initiation.</w:t>
      </w:r>
    </w:p>
    <w:p w14:paraId="244CB02B" w14:textId="77777777" w:rsidR="00C848E2" w:rsidRPr="00DF4154" w:rsidRDefault="00C848E2" w:rsidP="00C848E2">
      <w:pPr>
        <w:pStyle w:val="ListParagraph"/>
        <w:rPr>
          <w:rFonts w:ascii="Arial" w:hAnsi="Arial" w:cs="Arial"/>
          <w:sz w:val="26"/>
          <w:szCs w:val="28"/>
        </w:rPr>
      </w:pPr>
    </w:p>
    <w:p w14:paraId="2D0F1B51" w14:textId="061CA69C" w:rsidR="00C848E2" w:rsidRPr="00DF4154" w:rsidRDefault="00990563" w:rsidP="00C848E2">
      <w:pPr>
        <w:pStyle w:val="ListParagraph"/>
        <w:spacing w:after="0" w:line="240" w:lineRule="auto"/>
        <w:jc w:val="both"/>
        <w:rPr>
          <w:rFonts w:ascii="Arial" w:hAnsi="Arial" w:cs="Arial"/>
          <w:i/>
          <w:iCs/>
          <w:sz w:val="26"/>
          <w:szCs w:val="28"/>
        </w:rPr>
      </w:pPr>
      <w:r w:rsidRPr="00DF4154">
        <w:rPr>
          <w:rFonts w:ascii="Arial" w:hAnsi="Arial" w:cs="Arial"/>
          <w:i/>
          <w:iCs/>
          <w:sz w:val="26"/>
          <w:szCs w:val="28"/>
        </w:rPr>
        <w:t>“</w:t>
      </w:r>
      <w:r w:rsidR="00C848E2" w:rsidRPr="00DF4154">
        <w:rPr>
          <w:rFonts w:ascii="Arial" w:hAnsi="Arial" w:cs="Arial"/>
          <w:i/>
          <w:iCs/>
          <w:sz w:val="26"/>
          <w:szCs w:val="28"/>
        </w:rPr>
        <w:t>If, as I have concluded, the complaint initiation must be taken at face value for purposes of determining its contents, then it would follow that the respondent was not alleged to be a party to a prohibited practice until the second complaint initiation had occurred. This proposition may be put differently: the substance of the complaint initiation cannot be assessed with reference to facts that only came into existence after the complaint was initiated, whether one is concerned with a first or a second initiation. The effect for the respondent is therefore that it only became a named party when the second complaint initiation occurred: before that, the alleged prohibited practice did not involve it. After all, if it had, the Commissioner was free to have mentioned the respondent by name when first it initiated</w:t>
      </w:r>
      <w:r w:rsidRPr="00DF4154">
        <w:rPr>
          <w:rFonts w:ascii="Arial" w:hAnsi="Arial" w:cs="Arial"/>
          <w:i/>
          <w:iCs/>
          <w:sz w:val="26"/>
          <w:szCs w:val="28"/>
        </w:rPr>
        <w:t xml:space="preserve"> the complaint, but it did not.”</w:t>
      </w:r>
      <w:r w:rsidR="00C848E2" w:rsidRPr="00DF4154">
        <w:rPr>
          <w:rStyle w:val="FootnoteReference"/>
          <w:rFonts w:ascii="Arial" w:hAnsi="Arial" w:cs="Arial"/>
          <w:iCs/>
          <w:sz w:val="26"/>
          <w:szCs w:val="28"/>
        </w:rPr>
        <w:footnoteReference w:id="61"/>
      </w:r>
    </w:p>
    <w:p w14:paraId="3797C705" w14:textId="77777777" w:rsidR="00C848E2" w:rsidRPr="00DF4154" w:rsidRDefault="00C848E2" w:rsidP="00C848E2">
      <w:pPr>
        <w:pStyle w:val="ListParagraph"/>
        <w:spacing w:after="0" w:line="480" w:lineRule="auto"/>
        <w:jc w:val="both"/>
        <w:rPr>
          <w:rFonts w:ascii="Arial" w:hAnsi="Arial" w:cs="Arial"/>
          <w:sz w:val="26"/>
          <w:szCs w:val="28"/>
        </w:rPr>
      </w:pPr>
    </w:p>
    <w:p w14:paraId="54BAE76D" w14:textId="77777777" w:rsidR="00C848E2" w:rsidRPr="00DF4154" w:rsidRDefault="00C848E2" w:rsidP="00BE2F38">
      <w:pPr>
        <w:keepNext/>
        <w:spacing w:after="0" w:line="480" w:lineRule="auto"/>
        <w:jc w:val="both"/>
        <w:rPr>
          <w:rFonts w:ascii="Arial" w:hAnsi="Arial" w:cs="Arial"/>
          <w:b/>
          <w:bCs/>
          <w:sz w:val="26"/>
          <w:szCs w:val="28"/>
        </w:rPr>
      </w:pPr>
      <w:r w:rsidRPr="00DF4154">
        <w:rPr>
          <w:rFonts w:ascii="Arial" w:hAnsi="Arial" w:cs="Arial"/>
          <w:b/>
          <w:bCs/>
          <w:sz w:val="26"/>
          <w:szCs w:val="28"/>
        </w:rPr>
        <w:t>Our submissions</w:t>
      </w:r>
    </w:p>
    <w:p w14:paraId="214D2DEC" w14:textId="77777777" w:rsidR="00C848E2" w:rsidRPr="00DF4154" w:rsidRDefault="00C848E2" w:rsidP="00BE2F38">
      <w:pPr>
        <w:pStyle w:val="ListParagraph"/>
        <w:keepNext/>
        <w:spacing w:after="0" w:line="276" w:lineRule="auto"/>
        <w:jc w:val="both"/>
        <w:rPr>
          <w:rFonts w:ascii="Arial" w:hAnsi="Arial" w:cs="Arial"/>
          <w:sz w:val="26"/>
          <w:szCs w:val="28"/>
        </w:rPr>
      </w:pPr>
    </w:p>
    <w:p w14:paraId="35BB3A03" w14:textId="4926BFBC" w:rsidR="007640CD" w:rsidRPr="00DF4154" w:rsidRDefault="00C848E2"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initiation issue turns on whether the complaint referred to the Tribunal was initiated </w:t>
      </w:r>
      <w:r w:rsidR="007640CD" w:rsidRPr="00DF4154">
        <w:rPr>
          <w:rFonts w:ascii="Arial" w:hAnsi="Arial" w:cs="Arial"/>
          <w:sz w:val="26"/>
          <w:szCs w:val="28"/>
        </w:rPr>
        <w:t xml:space="preserve">on </w:t>
      </w:r>
      <w:r w:rsidR="001C6178" w:rsidRPr="00DF4154">
        <w:rPr>
          <w:rFonts w:ascii="Arial" w:hAnsi="Arial" w:cs="Arial"/>
          <w:sz w:val="26"/>
          <w:szCs w:val="28"/>
        </w:rPr>
        <w:t>1 June</w:t>
      </w:r>
      <w:r w:rsidR="007640CD" w:rsidRPr="00DF4154">
        <w:rPr>
          <w:rFonts w:ascii="Arial" w:hAnsi="Arial" w:cs="Arial"/>
          <w:sz w:val="26"/>
          <w:szCs w:val="28"/>
        </w:rPr>
        <w:t xml:space="preserve"> 2011</w:t>
      </w:r>
      <w:r w:rsidRPr="00DF4154">
        <w:rPr>
          <w:rFonts w:ascii="Arial" w:hAnsi="Arial" w:cs="Arial"/>
          <w:sz w:val="26"/>
          <w:szCs w:val="28"/>
        </w:rPr>
        <w:t xml:space="preserve">, as contended by Pickfords, or </w:t>
      </w:r>
      <w:r w:rsidR="007640CD" w:rsidRPr="00DF4154">
        <w:rPr>
          <w:rFonts w:ascii="Arial" w:hAnsi="Arial" w:cs="Arial"/>
          <w:sz w:val="26"/>
          <w:szCs w:val="28"/>
        </w:rPr>
        <w:t xml:space="preserve">on </w:t>
      </w:r>
      <w:r w:rsidR="001C6178" w:rsidRPr="00DF4154">
        <w:rPr>
          <w:rFonts w:ascii="Arial" w:hAnsi="Arial" w:cs="Arial"/>
          <w:sz w:val="26"/>
          <w:szCs w:val="28"/>
        </w:rPr>
        <w:t>3 November</w:t>
      </w:r>
      <w:r w:rsidR="007640CD" w:rsidRPr="00DF4154">
        <w:rPr>
          <w:rFonts w:ascii="Arial" w:hAnsi="Arial" w:cs="Arial"/>
          <w:sz w:val="26"/>
          <w:szCs w:val="28"/>
        </w:rPr>
        <w:t xml:space="preserve"> 2010,</w:t>
      </w:r>
      <w:r w:rsidRPr="00DF4154">
        <w:rPr>
          <w:rFonts w:ascii="Arial" w:hAnsi="Arial" w:cs="Arial"/>
          <w:sz w:val="26"/>
          <w:szCs w:val="28"/>
        </w:rPr>
        <w:t xml:space="preserve"> as the Commission contends. </w:t>
      </w:r>
    </w:p>
    <w:p w14:paraId="5508339B" w14:textId="77777777" w:rsidR="000B6595" w:rsidRPr="00DF4154" w:rsidRDefault="000B6595" w:rsidP="00990563">
      <w:pPr>
        <w:pStyle w:val="ListParagraph"/>
        <w:spacing w:after="0" w:line="276" w:lineRule="auto"/>
        <w:jc w:val="both"/>
        <w:rPr>
          <w:rFonts w:ascii="Arial" w:hAnsi="Arial" w:cs="Arial"/>
          <w:sz w:val="26"/>
          <w:szCs w:val="28"/>
        </w:rPr>
      </w:pPr>
    </w:p>
    <w:p w14:paraId="56939EDF" w14:textId="0CC92D38" w:rsidR="007640CD" w:rsidRPr="00DF4154" w:rsidRDefault="00F91853"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lastRenderedPageBreak/>
        <w:t>On the approach which we take in these submissions, it is of no consequence whether the 2011 Initiation is viewed as a separate, self-standing initiation, or an “amendment” or “extension” of the 2010 Initiation.</w:t>
      </w:r>
    </w:p>
    <w:p w14:paraId="5E691BE5" w14:textId="77777777" w:rsidR="00F91853" w:rsidRPr="00DF4154" w:rsidRDefault="00F91853" w:rsidP="00F91853">
      <w:pPr>
        <w:pStyle w:val="ListParagraph"/>
        <w:rPr>
          <w:rFonts w:ascii="Arial" w:hAnsi="Arial" w:cs="Arial"/>
          <w:sz w:val="26"/>
          <w:szCs w:val="28"/>
        </w:rPr>
      </w:pPr>
    </w:p>
    <w:p w14:paraId="6C7BA4AB" w14:textId="5DAF6DAD" w:rsidR="00F91853" w:rsidRPr="00DF4154" w:rsidRDefault="00F91853" w:rsidP="00C848E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pertinent factors are the following.</w:t>
      </w:r>
    </w:p>
    <w:p w14:paraId="10430435" w14:textId="77777777" w:rsidR="00F91853" w:rsidRPr="00DF4154" w:rsidRDefault="00F91853" w:rsidP="00F91853">
      <w:pPr>
        <w:pStyle w:val="ListParagraph"/>
        <w:rPr>
          <w:rFonts w:ascii="Arial" w:hAnsi="Arial" w:cs="Arial"/>
          <w:sz w:val="26"/>
          <w:szCs w:val="28"/>
        </w:rPr>
      </w:pPr>
    </w:p>
    <w:p w14:paraId="49E3DB7F" w14:textId="49398E31" w:rsidR="00D13C24" w:rsidRPr="00DF4154" w:rsidRDefault="00F91853" w:rsidP="00F91853">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Commissioner, at the time of the 2010 Initiation, </w:t>
      </w:r>
      <w:r w:rsidR="00D13C24" w:rsidRPr="00DF4154">
        <w:rPr>
          <w:rFonts w:ascii="Arial" w:hAnsi="Arial" w:cs="Arial"/>
          <w:sz w:val="26"/>
          <w:szCs w:val="28"/>
        </w:rPr>
        <w:t>“</w:t>
      </w:r>
      <w:r w:rsidRPr="00DF4154">
        <w:rPr>
          <w:rFonts w:ascii="Arial" w:hAnsi="Arial" w:cs="Arial"/>
          <w:sz w:val="26"/>
          <w:szCs w:val="28"/>
        </w:rPr>
        <w:t>did not know</w:t>
      </w:r>
      <w:r w:rsidR="00D13C24" w:rsidRPr="00DF4154">
        <w:rPr>
          <w:rFonts w:ascii="Arial" w:hAnsi="Arial" w:cs="Arial"/>
          <w:sz w:val="26"/>
          <w:szCs w:val="28"/>
        </w:rPr>
        <w:t>”</w:t>
      </w:r>
      <w:r w:rsidRPr="00DF4154">
        <w:rPr>
          <w:rFonts w:ascii="Arial" w:hAnsi="Arial" w:cs="Arial"/>
          <w:sz w:val="26"/>
          <w:szCs w:val="28"/>
        </w:rPr>
        <w:t xml:space="preserve"> that Pickfords was </w:t>
      </w:r>
      <w:r w:rsidR="00207CC9">
        <w:rPr>
          <w:rFonts w:ascii="Arial" w:hAnsi="Arial" w:cs="Arial"/>
          <w:sz w:val="26"/>
          <w:szCs w:val="28"/>
        </w:rPr>
        <w:t xml:space="preserve">allegedly </w:t>
      </w:r>
      <w:r w:rsidRPr="00DF4154">
        <w:rPr>
          <w:rFonts w:ascii="Arial" w:hAnsi="Arial" w:cs="Arial"/>
          <w:sz w:val="26"/>
          <w:szCs w:val="28"/>
        </w:rPr>
        <w:t xml:space="preserve">involved in the conduct </w:t>
      </w:r>
      <w:r w:rsidR="00D13C24" w:rsidRPr="00DF4154">
        <w:rPr>
          <w:rFonts w:ascii="Arial" w:hAnsi="Arial" w:cs="Arial"/>
          <w:sz w:val="26"/>
          <w:szCs w:val="28"/>
        </w:rPr>
        <w:t>on which the complaint was based.</w:t>
      </w:r>
    </w:p>
    <w:p w14:paraId="45686403" w14:textId="77777777" w:rsidR="00D13C24" w:rsidRPr="00DF4154" w:rsidRDefault="00D13C24" w:rsidP="00D13C24">
      <w:pPr>
        <w:pStyle w:val="ListParagraph"/>
        <w:rPr>
          <w:rFonts w:ascii="Arial" w:hAnsi="Arial" w:cs="Arial"/>
          <w:sz w:val="26"/>
          <w:szCs w:val="28"/>
        </w:rPr>
      </w:pPr>
    </w:p>
    <w:p w14:paraId="6FA0E853" w14:textId="7121524B" w:rsidR="00F91853" w:rsidRPr="00DF4154" w:rsidRDefault="00D13C24" w:rsidP="00F91853">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I</w:t>
      </w:r>
      <w:r w:rsidR="00F91853" w:rsidRPr="00DF4154">
        <w:rPr>
          <w:rFonts w:ascii="Arial" w:hAnsi="Arial" w:cs="Arial"/>
          <w:sz w:val="26"/>
          <w:szCs w:val="28"/>
        </w:rPr>
        <w:t>t was only after “</w:t>
      </w:r>
      <w:r w:rsidR="00F91853" w:rsidRPr="00DF4154">
        <w:rPr>
          <w:rFonts w:ascii="Arial" w:hAnsi="Arial" w:cs="Arial"/>
          <w:i/>
          <w:sz w:val="26"/>
          <w:szCs w:val="28"/>
        </w:rPr>
        <w:t>further information came to light</w:t>
      </w:r>
      <w:r w:rsidR="00F91853" w:rsidRPr="00DF4154">
        <w:rPr>
          <w:rFonts w:ascii="Arial" w:hAnsi="Arial" w:cs="Arial"/>
          <w:sz w:val="26"/>
          <w:szCs w:val="28"/>
        </w:rPr>
        <w:t>” that the 2011 Initiation was made, in which Pickfords</w:t>
      </w:r>
      <w:r w:rsidRPr="00DF4154">
        <w:rPr>
          <w:rFonts w:ascii="Arial" w:hAnsi="Arial" w:cs="Arial"/>
          <w:sz w:val="26"/>
          <w:szCs w:val="28"/>
        </w:rPr>
        <w:t xml:space="preserve"> (among others)</w:t>
      </w:r>
      <w:r w:rsidR="00F91853" w:rsidRPr="00DF4154">
        <w:rPr>
          <w:rFonts w:ascii="Arial" w:hAnsi="Arial" w:cs="Arial"/>
          <w:sz w:val="26"/>
          <w:szCs w:val="28"/>
        </w:rPr>
        <w:t xml:space="preserve"> was identified as an implicated firm.</w:t>
      </w:r>
    </w:p>
    <w:p w14:paraId="23777D83" w14:textId="77777777" w:rsidR="00D13C24" w:rsidRPr="00DF4154" w:rsidRDefault="00D13C24" w:rsidP="00D13C24">
      <w:pPr>
        <w:pStyle w:val="ListParagraph"/>
        <w:rPr>
          <w:rFonts w:ascii="Arial" w:hAnsi="Arial" w:cs="Arial"/>
          <w:sz w:val="26"/>
          <w:szCs w:val="28"/>
        </w:rPr>
      </w:pPr>
    </w:p>
    <w:p w14:paraId="376D578B" w14:textId="6FA79909" w:rsidR="00D13C24" w:rsidRPr="00DF4154" w:rsidRDefault="002F0862"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T</w:t>
      </w:r>
      <w:r w:rsidR="001822A4" w:rsidRPr="00DF4154">
        <w:rPr>
          <w:rFonts w:ascii="Arial" w:hAnsi="Arial" w:cs="Arial"/>
          <w:sz w:val="26"/>
          <w:szCs w:val="28"/>
        </w:rPr>
        <w:t>he Commission must</w:t>
      </w:r>
      <w:r w:rsidR="00990563" w:rsidRPr="00DF4154">
        <w:rPr>
          <w:rFonts w:ascii="Arial" w:hAnsi="Arial" w:cs="Arial"/>
          <w:sz w:val="26"/>
          <w:szCs w:val="28"/>
        </w:rPr>
        <w:t>, as the SC</w:t>
      </w:r>
      <w:r w:rsidR="00DE56A6" w:rsidRPr="00DF4154">
        <w:rPr>
          <w:rFonts w:ascii="Arial" w:hAnsi="Arial" w:cs="Arial"/>
          <w:sz w:val="26"/>
          <w:szCs w:val="28"/>
        </w:rPr>
        <w:t>A</w:t>
      </w:r>
      <w:r w:rsidR="00990563" w:rsidRPr="00DF4154">
        <w:rPr>
          <w:rFonts w:ascii="Arial" w:hAnsi="Arial" w:cs="Arial"/>
          <w:sz w:val="26"/>
          <w:szCs w:val="28"/>
        </w:rPr>
        <w:t xml:space="preserve"> and the CAC</w:t>
      </w:r>
      <w:r w:rsidRPr="00DF4154">
        <w:rPr>
          <w:rFonts w:ascii="Arial" w:hAnsi="Arial" w:cs="Arial"/>
          <w:sz w:val="26"/>
          <w:szCs w:val="28"/>
        </w:rPr>
        <w:t xml:space="preserve"> have</w:t>
      </w:r>
      <w:r w:rsidR="001C6178" w:rsidRPr="00DF4154">
        <w:rPr>
          <w:rFonts w:ascii="Arial" w:hAnsi="Arial" w:cs="Arial"/>
          <w:sz w:val="26"/>
          <w:szCs w:val="28"/>
        </w:rPr>
        <w:t xml:space="preserve"> </w:t>
      </w:r>
      <w:r w:rsidRPr="00DF4154">
        <w:rPr>
          <w:rFonts w:ascii="Arial" w:hAnsi="Arial" w:cs="Arial"/>
          <w:sz w:val="26"/>
          <w:szCs w:val="28"/>
        </w:rPr>
        <w:t>affirmed,</w:t>
      </w:r>
      <w:r w:rsidR="001822A4" w:rsidRPr="00DF4154">
        <w:rPr>
          <w:rFonts w:ascii="Arial" w:hAnsi="Arial" w:cs="Arial"/>
          <w:sz w:val="26"/>
          <w:szCs w:val="28"/>
        </w:rPr>
        <w:t xml:space="preserve"> be permitted to amend a complaint or initiate another complaint if it subsequently obtains information about the involvement of other </w:t>
      </w:r>
      <w:r w:rsidR="00D13C24" w:rsidRPr="00DF4154">
        <w:rPr>
          <w:rFonts w:ascii="Arial" w:hAnsi="Arial" w:cs="Arial"/>
          <w:sz w:val="26"/>
          <w:szCs w:val="28"/>
        </w:rPr>
        <w:t xml:space="preserve">firms not identified in </w:t>
      </w:r>
      <w:r w:rsidR="001822A4" w:rsidRPr="00DF4154">
        <w:rPr>
          <w:rFonts w:ascii="Arial" w:hAnsi="Arial" w:cs="Arial"/>
          <w:sz w:val="26"/>
          <w:szCs w:val="28"/>
        </w:rPr>
        <w:t>a</w:t>
      </w:r>
      <w:r w:rsidR="00D13C24" w:rsidRPr="00DF4154">
        <w:rPr>
          <w:rFonts w:ascii="Arial" w:hAnsi="Arial" w:cs="Arial"/>
          <w:sz w:val="26"/>
          <w:szCs w:val="28"/>
        </w:rPr>
        <w:t xml:space="preserve"> </w:t>
      </w:r>
      <w:r w:rsidR="001822A4" w:rsidRPr="00DF4154">
        <w:rPr>
          <w:rFonts w:ascii="Arial" w:hAnsi="Arial" w:cs="Arial"/>
          <w:sz w:val="26"/>
          <w:szCs w:val="28"/>
        </w:rPr>
        <w:t>complaint which has already been initiated.</w:t>
      </w:r>
      <w:r w:rsidR="00D13C24" w:rsidRPr="00DF4154">
        <w:rPr>
          <w:rStyle w:val="FootnoteReference"/>
          <w:rFonts w:ascii="Arial" w:hAnsi="Arial" w:cs="Arial"/>
          <w:sz w:val="26"/>
          <w:szCs w:val="28"/>
        </w:rPr>
        <w:footnoteReference w:id="62"/>
      </w:r>
    </w:p>
    <w:p w14:paraId="5BB20037" w14:textId="77777777" w:rsidR="001822A4" w:rsidRPr="00DF4154" w:rsidRDefault="001822A4" w:rsidP="001822A4">
      <w:pPr>
        <w:pStyle w:val="ListParagraph"/>
        <w:rPr>
          <w:rFonts w:ascii="Arial" w:hAnsi="Arial" w:cs="Arial"/>
          <w:sz w:val="26"/>
          <w:szCs w:val="28"/>
        </w:rPr>
      </w:pPr>
    </w:p>
    <w:p w14:paraId="0E846E81" w14:textId="4CB72235" w:rsidR="00D13C24" w:rsidRPr="00DF4154" w:rsidRDefault="001822A4"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However, it does not follow that by choosing to amend the original complaint rather than initiate a new complaint</w:t>
      </w:r>
      <w:r w:rsidR="00DF7561" w:rsidRPr="00DF4154">
        <w:rPr>
          <w:rFonts w:ascii="Arial" w:hAnsi="Arial" w:cs="Arial"/>
          <w:sz w:val="26"/>
          <w:szCs w:val="28"/>
        </w:rPr>
        <w:t xml:space="preserve"> (or </w:t>
      </w:r>
      <w:r w:rsidR="00990563" w:rsidRPr="00DF4154">
        <w:rPr>
          <w:rFonts w:ascii="Arial" w:hAnsi="Arial" w:cs="Arial"/>
          <w:sz w:val="26"/>
          <w:szCs w:val="28"/>
        </w:rPr>
        <w:t>by characterising</w:t>
      </w:r>
      <w:r w:rsidR="002F0862" w:rsidRPr="00DF4154">
        <w:rPr>
          <w:rFonts w:ascii="Arial" w:hAnsi="Arial" w:cs="Arial"/>
          <w:sz w:val="26"/>
          <w:szCs w:val="28"/>
        </w:rPr>
        <w:t xml:space="preserve"> </w:t>
      </w:r>
      <w:r w:rsidR="00DF7561" w:rsidRPr="00DF4154">
        <w:rPr>
          <w:rFonts w:ascii="Arial" w:hAnsi="Arial" w:cs="Arial"/>
          <w:sz w:val="26"/>
          <w:szCs w:val="28"/>
        </w:rPr>
        <w:t>a</w:t>
      </w:r>
      <w:r w:rsidR="002F0862" w:rsidRPr="00DF4154">
        <w:rPr>
          <w:rFonts w:ascii="Arial" w:hAnsi="Arial" w:cs="Arial"/>
          <w:sz w:val="26"/>
          <w:szCs w:val="28"/>
        </w:rPr>
        <w:t xml:space="preserve"> further</w:t>
      </w:r>
      <w:r w:rsidR="00DF7561" w:rsidRPr="00DF4154">
        <w:rPr>
          <w:rFonts w:ascii="Arial" w:hAnsi="Arial" w:cs="Arial"/>
          <w:sz w:val="26"/>
          <w:szCs w:val="28"/>
        </w:rPr>
        <w:t xml:space="preserve"> initiation as an amendment </w:t>
      </w:r>
      <w:r w:rsidR="002F0862" w:rsidRPr="00DF4154">
        <w:rPr>
          <w:rFonts w:ascii="Arial" w:hAnsi="Arial" w:cs="Arial"/>
          <w:sz w:val="26"/>
          <w:szCs w:val="28"/>
        </w:rPr>
        <w:t>rather than</w:t>
      </w:r>
      <w:r w:rsidR="00DF7561" w:rsidRPr="00DF4154">
        <w:rPr>
          <w:rFonts w:ascii="Arial" w:hAnsi="Arial" w:cs="Arial"/>
          <w:sz w:val="26"/>
          <w:szCs w:val="28"/>
        </w:rPr>
        <w:t xml:space="preserve"> a separate initiation)</w:t>
      </w:r>
      <w:r w:rsidRPr="00DF4154">
        <w:rPr>
          <w:rFonts w:ascii="Arial" w:hAnsi="Arial" w:cs="Arial"/>
          <w:sz w:val="26"/>
          <w:szCs w:val="28"/>
        </w:rPr>
        <w:t xml:space="preserve">, the Commission may </w:t>
      </w:r>
      <w:r w:rsidRPr="00DF4154">
        <w:rPr>
          <w:rFonts w:ascii="Arial" w:hAnsi="Arial" w:cs="Arial"/>
          <w:sz w:val="26"/>
          <w:szCs w:val="28"/>
        </w:rPr>
        <w:lastRenderedPageBreak/>
        <w:t xml:space="preserve">“turn back the clock” and </w:t>
      </w:r>
      <w:r w:rsidR="009D708A" w:rsidRPr="00DF4154">
        <w:rPr>
          <w:rFonts w:ascii="Arial" w:hAnsi="Arial" w:cs="Arial"/>
          <w:sz w:val="26"/>
          <w:szCs w:val="28"/>
        </w:rPr>
        <w:t>avoid</w:t>
      </w:r>
      <w:r w:rsidR="000B6595" w:rsidRPr="00DF4154">
        <w:rPr>
          <w:rFonts w:ascii="Arial" w:hAnsi="Arial" w:cs="Arial"/>
          <w:sz w:val="26"/>
          <w:szCs w:val="28"/>
        </w:rPr>
        <w:t xml:space="preserve"> the </w:t>
      </w:r>
      <w:r w:rsidR="009D708A" w:rsidRPr="00DF4154">
        <w:rPr>
          <w:rFonts w:ascii="Arial" w:hAnsi="Arial" w:cs="Arial"/>
          <w:sz w:val="26"/>
          <w:szCs w:val="28"/>
        </w:rPr>
        <w:t>application</w:t>
      </w:r>
      <w:r w:rsidR="000B6595" w:rsidRPr="00DF4154">
        <w:rPr>
          <w:rFonts w:ascii="Arial" w:hAnsi="Arial" w:cs="Arial"/>
          <w:sz w:val="26"/>
          <w:szCs w:val="28"/>
        </w:rPr>
        <w:t xml:space="preserve"> of </w:t>
      </w:r>
      <w:r w:rsidRPr="00DF4154">
        <w:rPr>
          <w:rFonts w:ascii="Arial" w:hAnsi="Arial" w:cs="Arial"/>
          <w:sz w:val="26"/>
          <w:szCs w:val="28"/>
        </w:rPr>
        <w:t>section 67(1) of the Competition Act.</w:t>
      </w:r>
    </w:p>
    <w:p w14:paraId="01B9D141" w14:textId="77777777" w:rsidR="000B6595" w:rsidRPr="00DF4154" w:rsidRDefault="000B6595" w:rsidP="000B6595">
      <w:pPr>
        <w:pStyle w:val="ListParagraph"/>
        <w:rPr>
          <w:rFonts w:ascii="Arial" w:hAnsi="Arial" w:cs="Arial"/>
          <w:sz w:val="26"/>
          <w:szCs w:val="28"/>
        </w:rPr>
      </w:pPr>
    </w:p>
    <w:p w14:paraId="71987B29" w14:textId="7F5626A3" w:rsidR="000B6595" w:rsidRPr="00DF4154" w:rsidRDefault="000B6595"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To permit </w:t>
      </w:r>
      <w:r w:rsidR="009D708A" w:rsidRPr="00DF4154">
        <w:rPr>
          <w:rFonts w:ascii="Arial" w:hAnsi="Arial" w:cs="Arial"/>
          <w:sz w:val="26"/>
          <w:szCs w:val="28"/>
        </w:rPr>
        <w:t>further firms or further conduct to be included retrospectively in an initiated complaint, as if they had been included in the complaint when it was initiated, would frustrate the purpose of section 67(1), allowing the investigation of conduct which might have ceased significantly more than three years earlier.</w:t>
      </w:r>
    </w:p>
    <w:p w14:paraId="72DA9D88" w14:textId="77777777" w:rsidR="009D708A" w:rsidRPr="00DF4154" w:rsidRDefault="009D708A" w:rsidP="009D708A">
      <w:pPr>
        <w:pStyle w:val="ListParagraph"/>
        <w:rPr>
          <w:rFonts w:ascii="Arial" w:hAnsi="Arial" w:cs="Arial"/>
          <w:sz w:val="26"/>
          <w:szCs w:val="28"/>
        </w:rPr>
      </w:pPr>
    </w:p>
    <w:p w14:paraId="27152FE1" w14:textId="79C1085F" w:rsidR="009D708A" w:rsidRPr="00DF4154" w:rsidRDefault="009D708A"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Such retrospective inclusion would also </w:t>
      </w:r>
      <w:r w:rsidR="006065F2" w:rsidRPr="00DF4154">
        <w:rPr>
          <w:rFonts w:ascii="Arial" w:hAnsi="Arial" w:cs="Arial"/>
          <w:sz w:val="26"/>
          <w:szCs w:val="28"/>
        </w:rPr>
        <w:t>offend the principle of legality,</w:t>
      </w:r>
      <w:r w:rsidR="003643CC" w:rsidRPr="00DF4154">
        <w:rPr>
          <w:rStyle w:val="FootnoteReference"/>
          <w:rFonts w:ascii="Arial" w:hAnsi="Arial" w:cs="Arial"/>
          <w:sz w:val="26"/>
          <w:szCs w:val="28"/>
        </w:rPr>
        <w:footnoteReference w:id="63"/>
      </w:r>
      <w:r w:rsidR="006065F2" w:rsidRPr="00DF4154">
        <w:rPr>
          <w:rFonts w:ascii="Arial" w:hAnsi="Arial" w:cs="Arial"/>
          <w:sz w:val="26"/>
          <w:szCs w:val="28"/>
        </w:rPr>
        <w:t xml:space="preserve"> as the Commissioner would be taken to have exercised his power under section 49</w:t>
      </w:r>
      <w:proofErr w:type="gramStart"/>
      <w:r w:rsidR="006065F2" w:rsidRPr="00DF4154">
        <w:rPr>
          <w:rFonts w:ascii="Arial" w:hAnsi="Arial" w:cs="Arial"/>
          <w:sz w:val="26"/>
          <w:szCs w:val="28"/>
        </w:rPr>
        <w:t>B(</w:t>
      </w:r>
      <w:proofErr w:type="gramEnd"/>
      <w:r w:rsidR="006065F2" w:rsidRPr="00DF4154">
        <w:rPr>
          <w:rFonts w:ascii="Arial" w:hAnsi="Arial" w:cs="Arial"/>
          <w:sz w:val="26"/>
          <w:szCs w:val="28"/>
        </w:rPr>
        <w:t>1) in respect of a firm which he did not at the time suspect of involvement in the relevant prohibited practice.</w:t>
      </w:r>
    </w:p>
    <w:p w14:paraId="17849503" w14:textId="77777777" w:rsidR="006065F2" w:rsidRPr="00DF4154" w:rsidRDefault="006065F2" w:rsidP="006065F2">
      <w:pPr>
        <w:pStyle w:val="ListParagraph"/>
        <w:rPr>
          <w:rFonts w:ascii="Arial" w:hAnsi="Arial" w:cs="Arial"/>
          <w:sz w:val="26"/>
          <w:szCs w:val="28"/>
        </w:rPr>
      </w:pPr>
    </w:p>
    <w:p w14:paraId="7232877C" w14:textId="529EC1A6" w:rsidR="006065F2" w:rsidRPr="00DF4154" w:rsidRDefault="006065F2"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Whether the 2011 Initiation is construed as a new initiation or an amendment or extension of the 2010 Initiation, the date on which a complaint was initiated against Pickfords must accordingly be the date of the 2011 Initiation.</w:t>
      </w:r>
    </w:p>
    <w:p w14:paraId="52DDF378" w14:textId="77777777" w:rsidR="001822A4" w:rsidRPr="00DF4154" w:rsidRDefault="001822A4" w:rsidP="001822A4">
      <w:pPr>
        <w:pStyle w:val="ListParagraph"/>
        <w:rPr>
          <w:rFonts w:ascii="Arial" w:hAnsi="Arial" w:cs="Arial"/>
          <w:sz w:val="26"/>
          <w:szCs w:val="28"/>
        </w:rPr>
      </w:pPr>
    </w:p>
    <w:p w14:paraId="6D32315B" w14:textId="4531C437" w:rsidR="000F7979" w:rsidRPr="00DF4154" w:rsidRDefault="000F7979"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The Commission, having relied on a purported amendment of the 2010 Initiation by the 2011 Initiation, contends that the </w:t>
      </w:r>
      <w:r w:rsidRPr="00DF4154">
        <w:rPr>
          <w:rFonts w:ascii="Arial" w:hAnsi="Arial" w:cs="Arial"/>
          <w:sz w:val="26"/>
          <w:szCs w:val="28"/>
          <w:u w:val="single"/>
        </w:rPr>
        <w:t>date</w:t>
      </w:r>
      <w:r w:rsidRPr="00DF4154">
        <w:rPr>
          <w:rFonts w:ascii="Arial" w:hAnsi="Arial" w:cs="Arial"/>
          <w:sz w:val="26"/>
          <w:szCs w:val="28"/>
        </w:rPr>
        <w:t xml:space="preserve"> of the purported </w:t>
      </w:r>
      <w:r w:rsidRPr="00DF4154">
        <w:rPr>
          <w:rFonts w:ascii="Arial" w:hAnsi="Arial" w:cs="Arial"/>
          <w:sz w:val="26"/>
          <w:szCs w:val="28"/>
        </w:rPr>
        <w:lastRenderedPageBreak/>
        <w:t>amendment is of no consequence because the failure to identify Pickfords in the 2010 Initiation does not mean that the prohibited practice identified in the 2010 Initiation did not involve Pickfords.</w:t>
      </w:r>
      <w:r w:rsidRPr="00DF4154">
        <w:rPr>
          <w:rStyle w:val="FootnoteReference"/>
          <w:rFonts w:ascii="Arial" w:hAnsi="Arial" w:cs="Arial"/>
          <w:sz w:val="26"/>
          <w:szCs w:val="28"/>
        </w:rPr>
        <w:footnoteReference w:id="64"/>
      </w:r>
      <w:r w:rsidRPr="00DF4154">
        <w:rPr>
          <w:rFonts w:ascii="Arial" w:hAnsi="Arial" w:cs="Arial"/>
          <w:sz w:val="26"/>
          <w:szCs w:val="28"/>
        </w:rPr>
        <w:t xml:space="preserve"> </w:t>
      </w:r>
    </w:p>
    <w:p w14:paraId="399C5609" w14:textId="77777777" w:rsidR="000F7979" w:rsidRPr="00DF4154" w:rsidRDefault="000F7979" w:rsidP="000F7979">
      <w:pPr>
        <w:pStyle w:val="ListParagraph"/>
        <w:rPr>
          <w:rFonts w:ascii="Arial" w:hAnsi="Arial" w:cs="Arial"/>
          <w:sz w:val="26"/>
          <w:szCs w:val="28"/>
        </w:rPr>
      </w:pPr>
    </w:p>
    <w:p w14:paraId="6C8F99B0" w14:textId="3B5156CD" w:rsidR="000F7979" w:rsidRPr="00DF4154" w:rsidRDefault="000F7979"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The basis </w:t>
      </w:r>
      <w:r w:rsidR="00F774E0" w:rsidRPr="00DF4154">
        <w:rPr>
          <w:rFonts w:ascii="Arial" w:hAnsi="Arial" w:cs="Arial"/>
          <w:sz w:val="26"/>
          <w:szCs w:val="28"/>
        </w:rPr>
        <w:t xml:space="preserve">put forward </w:t>
      </w:r>
      <w:r w:rsidRPr="00DF4154">
        <w:rPr>
          <w:rFonts w:ascii="Arial" w:hAnsi="Arial" w:cs="Arial"/>
          <w:sz w:val="26"/>
          <w:szCs w:val="28"/>
        </w:rPr>
        <w:t xml:space="preserve">for this contention is that the Commission is not required to initiate a complaint against a specified firm, but only in respect of a prohibited practice. </w:t>
      </w:r>
      <w:r w:rsidR="00F774E0" w:rsidRPr="00DF4154">
        <w:rPr>
          <w:rFonts w:ascii="Arial" w:hAnsi="Arial" w:cs="Arial"/>
          <w:sz w:val="26"/>
          <w:szCs w:val="28"/>
        </w:rPr>
        <w:t>That proposition is incorrect.</w:t>
      </w:r>
    </w:p>
    <w:p w14:paraId="5285D306" w14:textId="77777777" w:rsidR="00F774E0" w:rsidRPr="00DF4154" w:rsidRDefault="00F774E0" w:rsidP="00F774E0">
      <w:pPr>
        <w:pStyle w:val="ListParagraph"/>
        <w:rPr>
          <w:rFonts w:ascii="Arial" w:hAnsi="Arial" w:cs="Arial"/>
          <w:sz w:val="26"/>
          <w:szCs w:val="28"/>
        </w:rPr>
      </w:pPr>
    </w:p>
    <w:p w14:paraId="247BD659" w14:textId="0BA6CFC1" w:rsidR="00F05F33" w:rsidRPr="00DF4154" w:rsidRDefault="00F05F33"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As the CA</w:t>
      </w:r>
      <w:r w:rsidR="00326392" w:rsidRPr="00DF4154">
        <w:rPr>
          <w:rFonts w:ascii="Arial" w:hAnsi="Arial" w:cs="Arial"/>
          <w:sz w:val="26"/>
          <w:szCs w:val="28"/>
        </w:rPr>
        <w:t>C</w:t>
      </w:r>
      <w:r w:rsidRPr="00DF4154">
        <w:rPr>
          <w:rFonts w:ascii="Arial" w:hAnsi="Arial" w:cs="Arial"/>
          <w:sz w:val="26"/>
          <w:szCs w:val="28"/>
        </w:rPr>
        <w:t xml:space="preserve"> </w:t>
      </w:r>
      <w:r w:rsidR="001C6178" w:rsidRPr="00DF4154">
        <w:rPr>
          <w:rFonts w:ascii="Arial" w:hAnsi="Arial" w:cs="Arial"/>
          <w:sz w:val="26"/>
          <w:szCs w:val="28"/>
        </w:rPr>
        <w:t xml:space="preserve">has </w:t>
      </w:r>
      <w:r w:rsidRPr="00DF4154">
        <w:rPr>
          <w:rFonts w:ascii="Arial" w:hAnsi="Arial" w:cs="Arial"/>
          <w:sz w:val="26"/>
          <w:szCs w:val="28"/>
        </w:rPr>
        <w:t xml:space="preserve">pointed out, all the prohibited practices </w:t>
      </w:r>
      <w:r w:rsidR="00295DC0" w:rsidRPr="00DF4154">
        <w:rPr>
          <w:rFonts w:ascii="Arial" w:hAnsi="Arial" w:cs="Arial"/>
          <w:sz w:val="26"/>
          <w:szCs w:val="28"/>
        </w:rPr>
        <w:t>set out in</w:t>
      </w:r>
      <w:r w:rsidRPr="00DF4154">
        <w:rPr>
          <w:rFonts w:ascii="Arial" w:hAnsi="Arial" w:cs="Arial"/>
          <w:sz w:val="26"/>
          <w:szCs w:val="28"/>
        </w:rPr>
        <w:t xml:space="preserve"> the Competition Act involve conduct by a firm or firms</w:t>
      </w:r>
      <w:r w:rsidR="00295DC0" w:rsidRPr="00DF4154">
        <w:rPr>
          <w:rFonts w:ascii="Arial" w:hAnsi="Arial" w:cs="Arial"/>
          <w:sz w:val="26"/>
          <w:szCs w:val="28"/>
        </w:rPr>
        <w:t>, and “</w:t>
      </w:r>
      <w:r w:rsidR="00295DC0" w:rsidRPr="00DF4154">
        <w:rPr>
          <w:rFonts w:ascii="Arial" w:hAnsi="Arial" w:cs="Arial"/>
          <w:i/>
          <w:iCs/>
          <w:sz w:val="26"/>
          <w:szCs w:val="28"/>
        </w:rPr>
        <w:t>cannot exist apart from the conduct of a firm or firms”.</w:t>
      </w:r>
      <w:r w:rsidR="00295DC0" w:rsidRPr="00DF4154">
        <w:rPr>
          <w:rStyle w:val="FootnoteReference"/>
          <w:rFonts w:ascii="Arial" w:hAnsi="Arial" w:cs="Arial"/>
          <w:sz w:val="26"/>
          <w:szCs w:val="28"/>
        </w:rPr>
        <w:footnoteReference w:id="65"/>
      </w:r>
    </w:p>
    <w:p w14:paraId="3DDAE016" w14:textId="77777777" w:rsidR="00F05F33" w:rsidRPr="00DF4154" w:rsidRDefault="00F05F33" w:rsidP="00F05F33">
      <w:pPr>
        <w:pStyle w:val="ListParagraph"/>
        <w:rPr>
          <w:rFonts w:ascii="Arial" w:hAnsi="Arial" w:cs="Arial"/>
          <w:sz w:val="26"/>
          <w:szCs w:val="28"/>
        </w:rPr>
      </w:pPr>
    </w:p>
    <w:p w14:paraId="000ECD13" w14:textId="40C1CCD1" w:rsidR="001822A4" w:rsidRPr="00DF4154" w:rsidRDefault="00F774E0"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T</w:t>
      </w:r>
      <w:r w:rsidR="002F0862" w:rsidRPr="00DF4154">
        <w:rPr>
          <w:rFonts w:ascii="Arial" w:hAnsi="Arial" w:cs="Arial"/>
          <w:sz w:val="26"/>
          <w:szCs w:val="28"/>
        </w:rPr>
        <w:t>he scheme of the initiation, investigation and referral provisions</w:t>
      </w:r>
      <w:r w:rsidRPr="00DF4154">
        <w:rPr>
          <w:rFonts w:ascii="Arial" w:hAnsi="Arial" w:cs="Arial"/>
          <w:sz w:val="26"/>
          <w:szCs w:val="28"/>
        </w:rPr>
        <w:t>, as well as the effective application of section 67(1)</w:t>
      </w:r>
      <w:r w:rsidR="001C6178" w:rsidRPr="00DF4154">
        <w:rPr>
          <w:rFonts w:ascii="Arial" w:hAnsi="Arial" w:cs="Arial"/>
          <w:sz w:val="26"/>
          <w:szCs w:val="28"/>
        </w:rPr>
        <w:t>,</w:t>
      </w:r>
      <w:r w:rsidR="002F0862" w:rsidRPr="00DF4154">
        <w:rPr>
          <w:rFonts w:ascii="Arial" w:hAnsi="Arial" w:cs="Arial"/>
          <w:sz w:val="26"/>
          <w:szCs w:val="28"/>
        </w:rPr>
        <w:t xml:space="preserve"> require that </w:t>
      </w:r>
      <w:r w:rsidRPr="00DF4154">
        <w:rPr>
          <w:rFonts w:ascii="Arial" w:hAnsi="Arial" w:cs="Arial"/>
          <w:sz w:val="26"/>
          <w:szCs w:val="28"/>
        </w:rPr>
        <w:t>the firm or firms involved in an alleged prohibited practice b</w:t>
      </w:r>
      <w:r w:rsidR="002F0862" w:rsidRPr="00DF4154">
        <w:rPr>
          <w:rFonts w:ascii="Arial" w:hAnsi="Arial" w:cs="Arial"/>
          <w:sz w:val="26"/>
          <w:szCs w:val="28"/>
        </w:rPr>
        <w:t>e identified at the initiation stage</w:t>
      </w:r>
      <w:r w:rsidRPr="00DF4154">
        <w:rPr>
          <w:rFonts w:ascii="Arial" w:hAnsi="Arial" w:cs="Arial"/>
          <w:sz w:val="26"/>
          <w:szCs w:val="28"/>
        </w:rPr>
        <w:t>.</w:t>
      </w:r>
    </w:p>
    <w:p w14:paraId="098FF367" w14:textId="77777777" w:rsidR="00D13C24" w:rsidRPr="00DF4154" w:rsidRDefault="00D13C24" w:rsidP="00D13C24">
      <w:pPr>
        <w:pStyle w:val="ListParagraph"/>
        <w:rPr>
          <w:rFonts w:ascii="Arial" w:hAnsi="Arial" w:cs="Arial"/>
          <w:sz w:val="26"/>
          <w:szCs w:val="28"/>
        </w:rPr>
      </w:pPr>
    </w:p>
    <w:p w14:paraId="0C5AFC38" w14:textId="66796793" w:rsidR="00F774E0" w:rsidRPr="00DF4154" w:rsidRDefault="00F774E0" w:rsidP="00D13C24">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As </w:t>
      </w:r>
      <w:r w:rsidR="001C6178" w:rsidRPr="00DF4154">
        <w:rPr>
          <w:rFonts w:ascii="Arial" w:hAnsi="Arial" w:cs="Arial"/>
          <w:sz w:val="26"/>
          <w:szCs w:val="28"/>
        </w:rPr>
        <w:t>we have</w:t>
      </w:r>
      <w:r w:rsidRPr="00DF4154">
        <w:rPr>
          <w:rFonts w:ascii="Arial" w:hAnsi="Arial" w:cs="Arial"/>
          <w:sz w:val="26"/>
          <w:szCs w:val="28"/>
        </w:rPr>
        <w:t xml:space="preserve"> noted, </w:t>
      </w:r>
      <w:r w:rsidR="00AB4FF9" w:rsidRPr="00DF4154">
        <w:rPr>
          <w:rFonts w:ascii="Arial" w:hAnsi="Arial" w:cs="Arial"/>
          <w:sz w:val="26"/>
          <w:szCs w:val="28"/>
        </w:rPr>
        <w:t>“</w:t>
      </w:r>
      <w:r w:rsidRPr="00DF4154">
        <w:rPr>
          <w:rFonts w:ascii="Arial" w:hAnsi="Arial" w:cs="Arial"/>
          <w:i/>
          <w:iCs/>
          <w:sz w:val="26"/>
          <w:szCs w:val="28"/>
        </w:rPr>
        <w:t>a suspicion against some cannot be used as a springboard to investigate all and sundry</w:t>
      </w:r>
      <w:r w:rsidR="00AB4FF9" w:rsidRPr="00DF4154">
        <w:rPr>
          <w:rFonts w:ascii="Arial" w:hAnsi="Arial" w:cs="Arial"/>
          <w:sz w:val="26"/>
          <w:szCs w:val="28"/>
        </w:rPr>
        <w:t>”</w:t>
      </w:r>
      <w:r w:rsidRPr="00DF4154">
        <w:rPr>
          <w:rFonts w:ascii="Arial" w:hAnsi="Arial" w:cs="Arial"/>
          <w:sz w:val="26"/>
          <w:szCs w:val="28"/>
        </w:rPr>
        <w:t>,</w:t>
      </w:r>
      <w:r w:rsidRPr="00DF4154">
        <w:rPr>
          <w:rStyle w:val="FootnoteReference"/>
          <w:rFonts w:ascii="Arial" w:hAnsi="Arial" w:cs="Arial"/>
          <w:sz w:val="26"/>
          <w:szCs w:val="28"/>
        </w:rPr>
        <w:footnoteReference w:id="66"/>
      </w:r>
      <w:r w:rsidRPr="00DF4154">
        <w:rPr>
          <w:rFonts w:ascii="Arial" w:hAnsi="Arial" w:cs="Arial"/>
          <w:sz w:val="26"/>
          <w:szCs w:val="28"/>
        </w:rPr>
        <w:t xml:space="preserve"> and </w:t>
      </w:r>
      <w:r w:rsidR="00D23EB7" w:rsidRPr="00DF4154">
        <w:rPr>
          <w:rFonts w:ascii="Arial" w:hAnsi="Arial" w:cs="Arial"/>
          <w:sz w:val="26"/>
          <w:szCs w:val="28"/>
        </w:rPr>
        <w:t xml:space="preserve">it is in light of this principle that </w:t>
      </w:r>
      <w:r w:rsidRPr="00DF4154">
        <w:rPr>
          <w:rFonts w:ascii="Arial" w:hAnsi="Arial" w:cs="Arial"/>
          <w:sz w:val="26"/>
          <w:szCs w:val="28"/>
        </w:rPr>
        <w:t>the SCA</w:t>
      </w:r>
      <w:r w:rsidR="001C6178" w:rsidRPr="00DF4154">
        <w:rPr>
          <w:rFonts w:ascii="Arial" w:hAnsi="Arial" w:cs="Arial"/>
          <w:sz w:val="26"/>
          <w:szCs w:val="28"/>
        </w:rPr>
        <w:t xml:space="preserve"> and the CAC have</w:t>
      </w:r>
      <w:r w:rsidRPr="00DF4154">
        <w:rPr>
          <w:rFonts w:ascii="Arial" w:hAnsi="Arial" w:cs="Arial"/>
          <w:sz w:val="26"/>
          <w:szCs w:val="28"/>
        </w:rPr>
        <w:t xml:space="preserve"> </w:t>
      </w:r>
      <w:r w:rsidR="001C6178" w:rsidRPr="00DF4154">
        <w:rPr>
          <w:rFonts w:ascii="Arial" w:hAnsi="Arial" w:cs="Arial"/>
          <w:sz w:val="26"/>
          <w:szCs w:val="28"/>
        </w:rPr>
        <w:t>affirmed</w:t>
      </w:r>
      <w:r w:rsidRPr="00DF4154">
        <w:rPr>
          <w:rFonts w:ascii="Arial" w:hAnsi="Arial" w:cs="Arial"/>
          <w:sz w:val="26"/>
          <w:szCs w:val="28"/>
        </w:rPr>
        <w:t xml:space="preserve"> that the Commission may amend an original complaint to add further firms when new facts come to light.</w:t>
      </w:r>
    </w:p>
    <w:p w14:paraId="2D726322" w14:textId="77777777" w:rsidR="00F05F33" w:rsidRPr="00DF4154" w:rsidRDefault="00F05F33" w:rsidP="00F05F33">
      <w:pPr>
        <w:pStyle w:val="ListParagraph"/>
        <w:rPr>
          <w:rFonts w:ascii="Arial" w:hAnsi="Arial" w:cs="Arial"/>
          <w:sz w:val="26"/>
          <w:szCs w:val="28"/>
        </w:rPr>
      </w:pPr>
    </w:p>
    <w:p w14:paraId="20D1DD99" w14:textId="014A6942" w:rsidR="00AC1085" w:rsidRPr="00DF4154" w:rsidRDefault="00AC1085" w:rsidP="003D1E2B">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lastRenderedPageBreak/>
        <w:t>The definition of “</w:t>
      </w:r>
      <w:r w:rsidRPr="00DF4154">
        <w:rPr>
          <w:rFonts w:ascii="Arial" w:hAnsi="Arial" w:cs="Arial"/>
          <w:i/>
          <w:iCs/>
          <w:sz w:val="26"/>
          <w:szCs w:val="28"/>
        </w:rPr>
        <w:t>the respondent</w:t>
      </w:r>
      <w:r w:rsidRPr="00DF4154">
        <w:rPr>
          <w:rFonts w:ascii="Arial" w:hAnsi="Arial" w:cs="Arial"/>
          <w:sz w:val="26"/>
          <w:szCs w:val="28"/>
        </w:rPr>
        <w:t>” in the Competition Act as meaning “</w:t>
      </w:r>
      <w:r w:rsidRPr="00DF4154">
        <w:rPr>
          <w:rFonts w:ascii="Arial" w:hAnsi="Arial" w:cs="Arial"/>
          <w:i/>
          <w:iCs/>
          <w:sz w:val="26"/>
          <w:szCs w:val="28"/>
        </w:rPr>
        <w:t xml:space="preserve">a </w:t>
      </w:r>
      <w:r w:rsidRPr="00DF4154">
        <w:rPr>
          <w:rFonts w:ascii="Arial" w:hAnsi="Arial" w:cs="Arial"/>
          <w:i/>
          <w:iCs/>
          <w:sz w:val="26"/>
          <w:szCs w:val="28"/>
          <w:u w:val="single"/>
        </w:rPr>
        <w:t>firm against whom</w:t>
      </w:r>
      <w:r w:rsidRPr="00DF4154">
        <w:rPr>
          <w:rFonts w:ascii="Arial" w:hAnsi="Arial" w:cs="Arial"/>
          <w:i/>
          <w:iCs/>
          <w:sz w:val="26"/>
          <w:szCs w:val="28"/>
        </w:rPr>
        <w:t xml:space="preserve"> a complaint of a prohibited practice has been initiated in terms of this Act</w:t>
      </w:r>
      <w:r w:rsidRPr="00DF4154">
        <w:rPr>
          <w:rFonts w:ascii="Arial" w:hAnsi="Arial" w:cs="Arial"/>
          <w:sz w:val="26"/>
          <w:szCs w:val="28"/>
        </w:rPr>
        <w:t>”</w:t>
      </w:r>
      <w:r w:rsidR="00D23EB7" w:rsidRPr="00DF4154">
        <w:rPr>
          <w:rStyle w:val="FootnoteReference"/>
          <w:rFonts w:ascii="Arial" w:hAnsi="Arial" w:cs="Arial"/>
          <w:sz w:val="26"/>
          <w:szCs w:val="28"/>
        </w:rPr>
        <w:footnoteReference w:id="67"/>
      </w:r>
      <w:r w:rsidRPr="00DF4154">
        <w:rPr>
          <w:rFonts w:ascii="Arial" w:hAnsi="Arial" w:cs="Arial"/>
          <w:sz w:val="26"/>
          <w:szCs w:val="28"/>
        </w:rPr>
        <w:t xml:space="preserve"> evidences the Legislature’s clear intention that a complaint which is initiated must identify the firm or firms involved in the alleged prohibited practice.</w:t>
      </w:r>
      <w:r w:rsidRPr="00DF4154">
        <w:rPr>
          <w:rStyle w:val="FootnoteReference"/>
          <w:rFonts w:ascii="Arial" w:hAnsi="Arial" w:cs="Arial"/>
          <w:sz w:val="26"/>
          <w:szCs w:val="28"/>
        </w:rPr>
        <w:footnoteReference w:id="68"/>
      </w:r>
    </w:p>
    <w:p w14:paraId="1A0CD31E" w14:textId="12CA3B0D" w:rsidR="00AC1085" w:rsidRPr="00DF4154" w:rsidRDefault="00AC1085" w:rsidP="003D1E2B">
      <w:pPr>
        <w:keepNext/>
        <w:spacing w:before="240" w:after="120" w:line="480" w:lineRule="auto"/>
        <w:jc w:val="both"/>
        <w:rPr>
          <w:rFonts w:ascii="Arial" w:hAnsi="Arial" w:cs="Arial"/>
          <w:b/>
          <w:bCs/>
          <w:sz w:val="26"/>
          <w:szCs w:val="28"/>
        </w:rPr>
      </w:pPr>
      <w:r w:rsidRPr="00DF4154">
        <w:rPr>
          <w:rFonts w:ascii="Arial" w:hAnsi="Arial" w:cs="Arial"/>
          <w:b/>
          <w:bCs/>
          <w:sz w:val="26"/>
          <w:szCs w:val="28"/>
        </w:rPr>
        <w:t>Conclusion on the initiation issue</w:t>
      </w:r>
    </w:p>
    <w:p w14:paraId="020939F2" w14:textId="2768AC77" w:rsidR="00AC1085" w:rsidRPr="00DF4154" w:rsidRDefault="001C6178" w:rsidP="003D1E2B">
      <w:pPr>
        <w:pStyle w:val="ListParagraph"/>
        <w:keepNext/>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The Commission’s contentions on this ground of appeal are without merit, and </w:t>
      </w:r>
      <w:r w:rsidR="0091113E" w:rsidRPr="00DF4154">
        <w:rPr>
          <w:rFonts w:ascii="Arial" w:hAnsi="Arial" w:cs="Arial"/>
          <w:sz w:val="26"/>
          <w:szCs w:val="28"/>
        </w:rPr>
        <w:t>the CAC’s findings on the initiation issue ought to be upheld.</w:t>
      </w:r>
    </w:p>
    <w:p w14:paraId="14A0BB7C" w14:textId="77777777" w:rsidR="00AC1085" w:rsidRPr="00DF4154" w:rsidRDefault="00AC1085" w:rsidP="003D1E2B">
      <w:pPr>
        <w:pStyle w:val="ListParagraph"/>
        <w:spacing w:after="0" w:line="276" w:lineRule="auto"/>
        <w:ind w:hanging="720"/>
        <w:jc w:val="both"/>
        <w:rPr>
          <w:rFonts w:ascii="Arial" w:hAnsi="Arial" w:cs="Arial"/>
          <w:b/>
          <w:sz w:val="26"/>
          <w:szCs w:val="28"/>
        </w:rPr>
      </w:pPr>
    </w:p>
    <w:p w14:paraId="00006954" w14:textId="1D9267B1" w:rsidR="00C07AFD" w:rsidRPr="00DF4154" w:rsidRDefault="00C07AFD" w:rsidP="00BB6964">
      <w:pPr>
        <w:pStyle w:val="ListParagraph"/>
        <w:keepNext/>
        <w:spacing w:after="0" w:line="480" w:lineRule="auto"/>
        <w:ind w:hanging="720"/>
        <w:jc w:val="both"/>
        <w:rPr>
          <w:rFonts w:ascii="Arial" w:hAnsi="Arial" w:cs="Arial"/>
          <w:b/>
          <w:sz w:val="26"/>
          <w:szCs w:val="28"/>
        </w:rPr>
      </w:pPr>
      <w:r w:rsidRPr="00DF4154">
        <w:rPr>
          <w:rFonts w:ascii="Arial" w:hAnsi="Arial" w:cs="Arial"/>
          <w:b/>
          <w:sz w:val="26"/>
          <w:szCs w:val="28"/>
        </w:rPr>
        <w:t xml:space="preserve">THE </w:t>
      </w:r>
      <w:r w:rsidR="00B222EE" w:rsidRPr="00DF4154">
        <w:rPr>
          <w:rFonts w:ascii="Arial" w:hAnsi="Arial" w:cs="Arial"/>
          <w:b/>
          <w:sz w:val="26"/>
          <w:szCs w:val="28"/>
        </w:rPr>
        <w:t>COMMENCEMENT</w:t>
      </w:r>
      <w:r w:rsidRPr="00DF4154">
        <w:rPr>
          <w:rFonts w:ascii="Arial" w:hAnsi="Arial" w:cs="Arial"/>
          <w:b/>
          <w:sz w:val="26"/>
          <w:szCs w:val="28"/>
        </w:rPr>
        <w:t xml:space="preserve"> ISSUE</w:t>
      </w:r>
    </w:p>
    <w:p w14:paraId="2AD56C5F" w14:textId="77777777" w:rsidR="00C07AFD" w:rsidRPr="00DF4154" w:rsidRDefault="00C07AFD" w:rsidP="003D1E2B">
      <w:pPr>
        <w:pStyle w:val="ListParagraph"/>
        <w:keepNext/>
        <w:spacing w:after="0" w:line="276" w:lineRule="auto"/>
        <w:jc w:val="both"/>
        <w:rPr>
          <w:rFonts w:ascii="Arial" w:hAnsi="Arial" w:cs="Arial"/>
          <w:sz w:val="26"/>
          <w:szCs w:val="28"/>
        </w:rPr>
      </w:pPr>
    </w:p>
    <w:p w14:paraId="2D1EC049" w14:textId="58793DBA" w:rsidR="00A23477" w:rsidRPr="00DF4154" w:rsidRDefault="002B2A11" w:rsidP="00BB6964">
      <w:pPr>
        <w:pStyle w:val="ListParagraph"/>
        <w:keepNext/>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On </w:t>
      </w:r>
      <w:r w:rsidR="001E54F3" w:rsidRPr="00DF4154">
        <w:rPr>
          <w:rFonts w:ascii="Arial" w:hAnsi="Arial" w:cs="Arial"/>
          <w:sz w:val="26"/>
          <w:szCs w:val="28"/>
        </w:rPr>
        <w:t>a plain reading of</w:t>
      </w:r>
      <w:r w:rsidRPr="00DF4154">
        <w:rPr>
          <w:rFonts w:ascii="Arial" w:hAnsi="Arial" w:cs="Arial"/>
          <w:sz w:val="26"/>
          <w:szCs w:val="28"/>
        </w:rPr>
        <w:t xml:space="preserve"> section 67(1), the </w:t>
      </w:r>
      <w:r w:rsidR="00A23477" w:rsidRPr="00DF4154">
        <w:rPr>
          <w:rFonts w:ascii="Arial" w:hAnsi="Arial" w:cs="Arial"/>
          <w:sz w:val="26"/>
          <w:szCs w:val="28"/>
        </w:rPr>
        <w:t>three</w:t>
      </w:r>
      <w:r w:rsidR="00DF3EEB" w:rsidRPr="00DF4154">
        <w:rPr>
          <w:rFonts w:ascii="Arial" w:hAnsi="Arial" w:cs="Arial"/>
          <w:sz w:val="26"/>
          <w:szCs w:val="28"/>
        </w:rPr>
        <w:t>-</w:t>
      </w:r>
      <w:r w:rsidR="00A23477" w:rsidRPr="00DF4154">
        <w:rPr>
          <w:rFonts w:ascii="Arial" w:hAnsi="Arial" w:cs="Arial"/>
          <w:sz w:val="26"/>
          <w:szCs w:val="28"/>
        </w:rPr>
        <w:t>year period</w:t>
      </w:r>
      <w:r w:rsidR="003668E5" w:rsidRPr="00DF4154">
        <w:rPr>
          <w:rFonts w:ascii="Arial" w:hAnsi="Arial" w:cs="Arial"/>
          <w:sz w:val="26"/>
          <w:szCs w:val="28"/>
        </w:rPr>
        <w:t xml:space="preserve"> which it identifies</w:t>
      </w:r>
      <w:r w:rsidR="00A23477" w:rsidRPr="00DF4154">
        <w:rPr>
          <w:rFonts w:ascii="Arial" w:hAnsi="Arial" w:cs="Arial"/>
          <w:sz w:val="26"/>
          <w:szCs w:val="28"/>
        </w:rPr>
        <w:t xml:space="preserve"> begins to run from the </w:t>
      </w:r>
      <w:r w:rsidR="00120B64" w:rsidRPr="00DF4154">
        <w:rPr>
          <w:rFonts w:ascii="Arial" w:hAnsi="Arial" w:cs="Arial"/>
          <w:sz w:val="26"/>
          <w:szCs w:val="28"/>
        </w:rPr>
        <w:t xml:space="preserve">day after the </w:t>
      </w:r>
      <w:r w:rsidR="00A23477" w:rsidRPr="00DF4154">
        <w:rPr>
          <w:rFonts w:ascii="Arial" w:hAnsi="Arial" w:cs="Arial"/>
          <w:sz w:val="26"/>
          <w:szCs w:val="28"/>
        </w:rPr>
        <w:t xml:space="preserve">date on which the prohibited practice has </w:t>
      </w:r>
      <w:r w:rsidR="00A23477" w:rsidRPr="00DF4154">
        <w:rPr>
          <w:rFonts w:ascii="Arial" w:hAnsi="Arial" w:cs="Arial"/>
          <w:sz w:val="26"/>
          <w:szCs w:val="28"/>
          <w:u w:val="single"/>
        </w:rPr>
        <w:t>ceased</w:t>
      </w:r>
      <w:r w:rsidR="00A23477" w:rsidRPr="00DF4154">
        <w:rPr>
          <w:rFonts w:ascii="Arial" w:hAnsi="Arial" w:cs="Arial"/>
          <w:sz w:val="26"/>
          <w:szCs w:val="28"/>
        </w:rPr>
        <w:t>.</w:t>
      </w:r>
    </w:p>
    <w:p w14:paraId="4945395D" w14:textId="77777777" w:rsidR="00120B64" w:rsidRPr="00DF4154" w:rsidRDefault="00120B64" w:rsidP="00D23EB7">
      <w:pPr>
        <w:pStyle w:val="ListParagraph"/>
        <w:spacing w:after="0" w:line="276" w:lineRule="auto"/>
        <w:jc w:val="both"/>
        <w:rPr>
          <w:rFonts w:ascii="Arial" w:hAnsi="Arial" w:cs="Arial"/>
          <w:sz w:val="26"/>
          <w:szCs w:val="28"/>
        </w:rPr>
      </w:pPr>
    </w:p>
    <w:p w14:paraId="4EB46290" w14:textId="1F4BDA82" w:rsidR="00CD1E17" w:rsidRPr="00DF4154" w:rsidRDefault="00120B64" w:rsidP="00A23477">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Commission contends </w:t>
      </w:r>
      <w:r w:rsidR="003D6544" w:rsidRPr="00DF4154">
        <w:rPr>
          <w:rFonts w:ascii="Arial" w:hAnsi="Arial" w:cs="Arial"/>
          <w:sz w:val="26"/>
          <w:szCs w:val="28"/>
        </w:rPr>
        <w:t xml:space="preserve">for an interpretation in terms of which </w:t>
      </w:r>
      <w:r w:rsidR="00B222EE" w:rsidRPr="00DF4154">
        <w:rPr>
          <w:rFonts w:ascii="Arial" w:hAnsi="Arial" w:cs="Arial"/>
          <w:sz w:val="26"/>
          <w:szCs w:val="28"/>
        </w:rPr>
        <w:t xml:space="preserve">the three-year period </w:t>
      </w:r>
      <w:r w:rsidR="00476534" w:rsidRPr="00DF4154">
        <w:rPr>
          <w:rFonts w:ascii="Arial" w:hAnsi="Arial" w:cs="Arial"/>
          <w:sz w:val="26"/>
          <w:szCs w:val="28"/>
        </w:rPr>
        <w:t>begins to run</w:t>
      </w:r>
      <w:r w:rsidR="00CD1E17" w:rsidRPr="00DF4154">
        <w:rPr>
          <w:rFonts w:ascii="Arial" w:hAnsi="Arial" w:cs="Arial"/>
          <w:sz w:val="26"/>
          <w:szCs w:val="28"/>
        </w:rPr>
        <w:t xml:space="preserve"> only when the Commission has </w:t>
      </w:r>
      <w:r w:rsidR="00CD1E17" w:rsidRPr="00DF4154">
        <w:rPr>
          <w:rFonts w:ascii="Arial" w:hAnsi="Arial" w:cs="Arial"/>
          <w:sz w:val="26"/>
          <w:szCs w:val="28"/>
          <w:u w:val="single"/>
        </w:rPr>
        <w:t>acquired knowledge</w:t>
      </w:r>
      <w:r w:rsidR="00CD1E17" w:rsidRPr="00DF4154">
        <w:rPr>
          <w:rFonts w:ascii="Arial" w:hAnsi="Arial" w:cs="Arial"/>
          <w:sz w:val="26"/>
          <w:szCs w:val="28"/>
        </w:rPr>
        <w:t xml:space="preserve"> of the prohibited practice to which the complaint refers.</w:t>
      </w:r>
    </w:p>
    <w:p w14:paraId="79097E92" w14:textId="77777777" w:rsidR="00476534" w:rsidRPr="00DF4154" w:rsidRDefault="00476534" w:rsidP="00D23EB7">
      <w:pPr>
        <w:pStyle w:val="ListParagraph"/>
        <w:spacing w:line="276" w:lineRule="auto"/>
        <w:rPr>
          <w:rFonts w:ascii="Arial" w:hAnsi="Arial" w:cs="Arial"/>
          <w:sz w:val="26"/>
          <w:szCs w:val="28"/>
        </w:rPr>
      </w:pPr>
    </w:p>
    <w:p w14:paraId="0CDE9243" w14:textId="5A8762B8" w:rsidR="00CD1E17" w:rsidRPr="00DF4154" w:rsidRDefault="00544B67" w:rsidP="00A23477">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lastRenderedPageBreak/>
        <w:t>Th</w:t>
      </w:r>
      <w:r w:rsidR="003643CC" w:rsidRPr="00DF4154">
        <w:rPr>
          <w:rFonts w:ascii="Arial" w:hAnsi="Arial" w:cs="Arial"/>
          <w:sz w:val="26"/>
          <w:szCs w:val="28"/>
        </w:rPr>
        <w:t>e Commission’</w:t>
      </w:r>
      <w:r w:rsidRPr="00DF4154">
        <w:rPr>
          <w:rFonts w:ascii="Arial" w:hAnsi="Arial" w:cs="Arial"/>
          <w:sz w:val="26"/>
          <w:szCs w:val="28"/>
        </w:rPr>
        <w:t xml:space="preserve">s </w:t>
      </w:r>
      <w:r w:rsidR="00476534" w:rsidRPr="00DF4154">
        <w:rPr>
          <w:rFonts w:ascii="Arial" w:hAnsi="Arial" w:cs="Arial"/>
          <w:sz w:val="26"/>
          <w:szCs w:val="28"/>
        </w:rPr>
        <w:t xml:space="preserve">interpretation </w:t>
      </w:r>
      <w:r w:rsidRPr="00DF4154">
        <w:rPr>
          <w:rFonts w:ascii="Arial" w:hAnsi="Arial" w:cs="Arial"/>
          <w:sz w:val="26"/>
          <w:szCs w:val="28"/>
        </w:rPr>
        <w:t>is advanced on the grounds that it accords with</w:t>
      </w:r>
      <w:r w:rsidR="00CD1E17" w:rsidRPr="00DF4154">
        <w:rPr>
          <w:rFonts w:ascii="Arial" w:hAnsi="Arial" w:cs="Arial"/>
          <w:sz w:val="26"/>
          <w:szCs w:val="28"/>
        </w:rPr>
        <w:t xml:space="preserve"> </w:t>
      </w:r>
      <w:r w:rsidR="0043529B" w:rsidRPr="00DF4154">
        <w:rPr>
          <w:rFonts w:ascii="Arial" w:hAnsi="Arial" w:cs="Arial"/>
          <w:sz w:val="26"/>
          <w:szCs w:val="28"/>
        </w:rPr>
        <w:t xml:space="preserve">(a) section 12(3) of the Prescription Act, 68 of 1969 (the Prescription Act), which requires knowledge by the creditor before prescription begins to run in respect of a </w:t>
      </w:r>
      <w:r w:rsidR="001653CC" w:rsidRPr="00DF4154">
        <w:rPr>
          <w:rFonts w:ascii="Arial" w:hAnsi="Arial" w:cs="Arial"/>
          <w:sz w:val="26"/>
          <w:szCs w:val="28"/>
        </w:rPr>
        <w:t xml:space="preserve">debt; and (b) section 34 of the Constitution, which entrenches everyone’s right to </w:t>
      </w:r>
      <w:r w:rsidR="00E67362" w:rsidRPr="00DF4154">
        <w:rPr>
          <w:rFonts w:ascii="Arial" w:hAnsi="Arial" w:cs="Arial"/>
          <w:sz w:val="26"/>
          <w:szCs w:val="28"/>
        </w:rPr>
        <w:t>have a legal dispute decided in a fai</w:t>
      </w:r>
      <w:r w:rsidR="001653CC" w:rsidRPr="00DF4154">
        <w:rPr>
          <w:rFonts w:ascii="Arial" w:hAnsi="Arial" w:cs="Arial"/>
          <w:sz w:val="26"/>
          <w:szCs w:val="28"/>
        </w:rPr>
        <w:t xml:space="preserve">r </w:t>
      </w:r>
      <w:r w:rsidR="00E67362" w:rsidRPr="00DF4154">
        <w:rPr>
          <w:rFonts w:ascii="Arial" w:hAnsi="Arial" w:cs="Arial"/>
          <w:sz w:val="26"/>
          <w:szCs w:val="28"/>
        </w:rPr>
        <w:t xml:space="preserve">public </w:t>
      </w:r>
      <w:r w:rsidR="001653CC" w:rsidRPr="00DF4154">
        <w:rPr>
          <w:rFonts w:ascii="Arial" w:hAnsi="Arial" w:cs="Arial"/>
          <w:sz w:val="26"/>
          <w:szCs w:val="28"/>
        </w:rPr>
        <w:t>hearing.</w:t>
      </w:r>
    </w:p>
    <w:p w14:paraId="066A030B" w14:textId="77777777" w:rsidR="001653CC" w:rsidRPr="00DF4154" w:rsidRDefault="001653CC" w:rsidP="001653CC">
      <w:pPr>
        <w:pStyle w:val="ListParagraph"/>
        <w:rPr>
          <w:rFonts w:ascii="Arial" w:hAnsi="Arial" w:cs="Arial"/>
          <w:sz w:val="26"/>
          <w:szCs w:val="28"/>
        </w:rPr>
      </w:pPr>
    </w:p>
    <w:p w14:paraId="5F5BA234" w14:textId="0126474F" w:rsidR="0052640F" w:rsidRPr="00DF4154" w:rsidRDefault="00E67362" w:rsidP="000B71CE">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We submit that </w:t>
      </w:r>
      <w:r w:rsidR="0052640F" w:rsidRPr="00DF4154">
        <w:rPr>
          <w:rFonts w:ascii="Arial" w:hAnsi="Arial" w:cs="Arial"/>
          <w:sz w:val="26"/>
          <w:szCs w:val="28"/>
        </w:rPr>
        <w:t>there is no basis on which a knowledge requirement can be i</w:t>
      </w:r>
      <w:r w:rsidR="00CE3884" w:rsidRPr="00DF4154">
        <w:rPr>
          <w:rFonts w:ascii="Arial" w:hAnsi="Arial" w:cs="Arial"/>
          <w:sz w:val="26"/>
          <w:szCs w:val="28"/>
        </w:rPr>
        <w:t xml:space="preserve">mported </w:t>
      </w:r>
      <w:r w:rsidR="0052640F" w:rsidRPr="00DF4154">
        <w:rPr>
          <w:rFonts w:ascii="Arial" w:hAnsi="Arial" w:cs="Arial"/>
          <w:sz w:val="26"/>
          <w:szCs w:val="28"/>
        </w:rPr>
        <w:t>in</w:t>
      </w:r>
      <w:r w:rsidR="00CE3884" w:rsidRPr="00DF4154">
        <w:rPr>
          <w:rFonts w:ascii="Arial" w:hAnsi="Arial" w:cs="Arial"/>
          <w:sz w:val="26"/>
          <w:szCs w:val="28"/>
        </w:rPr>
        <w:t>to</w:t>
      </w:r>
      <w:r w:rsidR="0052640F" w:rsidRPr="00DF4154">
        <w:rPr>
          <w:rFonts w:ascii="Arial" w:hAnsi="Arial" w:cs="Arial"/>
          <w:sz w:val="26"/>
          <w:szCs w:val="28"/>
        </w:rPr>
        <w:t xml:space="preserve"> section 67(1)</w:t>
      </w:r>
      <w:r w:rsidRPr="00DF4154">
        <w:rPr>
          <w:rFonts w:ascii="Arial" w:hAnsi="Arial" w:cs="Arial"/>
          <w:sz w:val="26"/>
          <w:szCs w:val="28"/>
        </w:rPr>
        <w:t>, either</w:t>
      </w:r>
      <w:r w:rsidR="0052640F" w:rsidRPr="00DF4154">
        <w:rPr>
          <w:rFonts w:ascii="Arial" w:hAnsi="Arial" w:cs="Arial"/>
          <w:sz w:val="26"/>
          <w:szCs w:val="28"/>
        </w:rPr>
        <w:t xml:space="preserve"> by </w:t>
      </w:r>
      <w:r w:rsidR="00F1734B" w:rsidRPr="00DF4154">
        <w:rPr>
          <w:rFonts w:ascii="Arial" w:hAnsi="Arial" w:cs="Arial"/>
          <w:sz w:val="26"/>
          <w:szCs w:val="28"/>
        </w:rPr>
        <w:t>interpretation</w:t>
      </w:r>
      <w:r w:rsidRPr="00DF4154">
        <w:rPr>
          <w:rFonts w:ascii="Arial" w:hAnsi="Arial" w:cs="Arial"/>
          <w:sz w:val="26"/>
          <w:szCs w:val="28"/>
        </w:rPr>
        <w:t xml:space="preserve"> </w:t>
      </w:r>
      <w:r w:rsidR="00F1734B" w:rsidRPr="00DF4154">
        <w:rPr>
          <w:rFonts w:ascii="Arial" w:hAnsi="Arial" w:cs="Arial"/>
          <w:sz w:val="26"/>
          <w:szCs w:val="28"/>
        </w:rPr>
        <w:t xml:space="preserve">or by the application </w:t>
      </w:r>
      <w:r w:rsidRPr="00DF4154">
        <w:rPr>
          <w:rFonts w:ascii="Arial" w:hAnsi="Arial" w:cs="Arial"/>
          <w:sz w:val="26"/>
          <w:szCs w:val="28"/>
        </w:rPr>
        <w:t xml:space="preserve">of the </w:t>
      </w:r>
      <w:r w:rsidR="0052640F" w:rsidRPr="00DF4154">
        <w:rPr>
          <w:rFonts w:ascii="Arial" w:hAnsi="Arial" w:cs="Arial"/>
          <w:sz w:val="26"/>
          <w:szCs w:val="28"/>
        </w:rPr>
        <w:t>Prescription Act.</w:t>
      </w:r>
    </w:p>
    <w:p w14:paraId="64A92497" w14:textId="1127427F" w:rsidR="00F1734B" w:rsidRPr="00DF4154" w:rsidRDefault="007D0960" w:rsidP="000B71CE">
      <w:pPr>
        <w:spacing w:before="240" w:after="120" w:line="480" w:lineRule="auto"/>
        <w:jc w:val="both"/>
        <w:rPr>
          <w:rFonts w:ascii="Arial" w:hAnsi="Arial" w:cs="Arial"/>
          <w:b/>
          <w:bCs/>
          <w:sz w:val="26"/>
          <w:szCs w:val="28"/>
        </w:rPr>
      </w:pPr>
      <w:r w:rsidRPr="00DF4154">
        <w:rPr>
          <w:rFonts w:ascii="Arial" w:hAnsi="Arial" w:cs="Arial"/>
          <w:b/>
          <w:bCs/>
          <w:sz w:val="26"/>
          <w:szCs w:val="28"/>
        </w:rPr>
        <w:t>P</w:t>
      </w:r>
      <w:r w:rsidR="00E67362" w:rsidRPr="00DF4154">
        <w:rPr>
          <w:rFonts w:ascii="Arial" w:hAnsi="Arial" w:cs="Arial"/>
          <w:b/>
          <w:bCs/>
          <w:sz w:val="26"/>
          <w:szCs w:val="28"/>
        </w:rPr>
        <w:t xml:space="preserve">roper interpretation of section 67(1) </w:t>
      </w:r>
    </w:p>
    <w:p w14:paraId="40E37871" w14:textId="717E3088" w:rsidR="00F1734B" w:rsidRPr="00DF4154" w:rsidRDefault="00F1734B" w:rsidP="000B71CE">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It is trite that all legislative provisions must be interpreted, not only in accordance with the traditional canons of construction</w:t>
      </w:r>
      <w:r w:rsidR="004E3C0D" w:rsidRPr="00DF4154">
        <w:rPr>
          <w:rFonts w:ascii="Arial" w:hAnsi="Arial" w:cs="Arial"/>
          <w:sz w:val="26"/>
          <w:szCs w:val="28"/>
        </w:rPr>
        <w:t xml:space="preserve"> (the starting point of which is the plain meaning of the words used)</w:t>
      </w:r>
      <w:r w:rsidRPr="00DF4154">
        <w:rPr>
          <w:rFonts w:ascii="Arial" w:hAnsi="Arial" w:cs="Arial"/>
          <w:sz w:val="26"/>
          <w:szCs w:val="28"/>
        </w:rPr>
        <w:t>,</w:t>
      </w:r>
      <w:r w:rsidR="004E3C0D" w:rsidRPr="00DF4154">
        <w:rPr>
          <w:rStyle w:val="FootnoteReference"/>
          <w:rFonts w:ascii="Arial" w:hAnsi="Arial" w:cs="Arial"/>
          <w:sz w:val="26"/>
          <w:szCs w:val="28"/>
        </w:rPr>
        <w:footnoteReference w:id="69"/>
      </w:r>
      <w:r w:rsidRPr="00DF4154">
        <w:rPr>
          <w:rFonts w:ascii="Arial" w:hAnsi="Arial" w:cs="Arial"/>
          <w:sz w:val="26"/>
          <w:szCs w:val="28"/>
        </w:rPr>
        <w:t xml:space="preserve"> but also in accordance with the Constitution,</w:t>
      </w:r>
      <w:r w:rsidRPr="00DF4154">
        <w:rPr>
          <w:rStyle w:val="FootnoteReference"/>
          <w:rFonts w:ascii="Arial" w:hAnsi="Arial" w:cs="Arial"/>
          <w:sz w:val="26"/>
          <w:szCs w:val="28"/>
        </w:rPr>
        <w:footnoteReference w:id="70"/>
      </w:r>
      <w:r w:rsidRPr="00DF4154">
        <w:rPr>
          <w:rFonts w:ascii="Arial" w:hAnsi="Arial" w:cs="Arial"/>
          <w:sz w:val="26"/>
          <w:szCs w:val="28"/>
        </w:rPr>
        <w:t xml:space="preserve"> and that the latter obligation is triggered when the provision under construction implicates or affects rights in the Bill of Rights.</w:t>
      </w:r>
      <w:r w:rsidRPr="00DF4154">
        <w:rPr>
          <w:rStyle w:val="FootnoteReference"/>
          <w:rFonts w:ascii="Arial" w:hAnsi="Arial" w:cs="Arial"/>
          <w:sz w:val="26"/>
          <w:szCs w:val="28"/>
        </w:rPr>
        <w:footnoteReference w:id="71"/>
      </w:r>
    </w:p>
    <w:p w14:paraId="16AB4D96" w14:textId="77777777" w:rsidR="006C09D6" w:rsidRDefault="006C09D6" w:rsidP="001368AC">
      <w:pPr>
        <w:pStyle w:val="ListParagraph"/>
        <w:spacing w:after="0" w:line="276" w:lineRule="auto"/>
        <w:jc w:val="both"/>
        <w:rPr>
          <w:rFonts w:ascii="Arial" w:hAnsi="Arial" w:cs="Arial"/>
          <w:sz w:val="26"/>
          <w:szCs w:val="28"/>
        </w:rPr>
      </w:pPr>
    </w:p>
    <w:p w14:paraId="36A13E1D" w14:textId="22F488E0" w:rsidR="00F1734B" w:rsidRPr="00DF4154" w:rsidRDefault="00023277" w:rsidP="00F1734B">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Statutory i</w:t>
      </w:r>
      <w:r w:rsidR="00F1734B" w:rsidRPr="00DF4154">
        <w:rPr>
          <w:rFonts w:ascii="Arial" w:hAnsi="Arial" w:cs="Arial"/>
          <w:sz w:val="26"/>
          <w:szCs w:val="28"/>
        </w:rPr>
        <w:t>nterpretation</w:t>
      </w:r>
      <w:r w:rsidR="00A5154A" w:rsidRPr="00DF4154">
        <w:rPr>
          <w:rFonts w:ascii="Arial" w:hAnsi="Arial" w:cs="Arial"/>
          <w:sz w:val="26"/>
          <w:szCs w:val="28"/>
        </w:rPr>
        <w:t xml:space="preserve"> under the Constitution</w:t>
      </w:r>
      <w:r w:rsidR="00F1734B" w:rsidRPr="00DF4154">
        <w:rPr>
          <w:rFonts w:ascii="Arial" w:hAnsi="Arial" w:cs="Arial"/>
          <w:sz w:val="26"/>
          <w:szCs w:val="28"/>
        </w:rPr>
        <w:t xml:space="preserve"> is however subject to </w:t>
      </w:r>
      <w:r w:rsidR="00A5154A" w:rsidRPr="00DF4154">
        <w:rPr>
          <w:rFonts w:ascii="Arial" w:hAnsi="Arial" w:cs="Arial"/>
          <w:sz w:val="26"/>
          <w:szCs w:val="28"/>
        </w:rPr>
        <w:t xml:space="preserve">two pertinent </w:t>
      </w:r>
      <w:r w:rsidR="00F1734B" w:rsidRPr="00DF4154">
        <w:rPr>
          <w:rFonts w:ascii="Arial" w:hAnsi="Arial" w:cs="Arial"/>
          <w:sz w:val="26"/>
          <w:szCs w:val="28"/>
        </w:rPr>
        <w:t>principles</w:t>
      </w:r>
      <w:r w:rsidRPr="00DF4154">
        <w:rPr>
          <w:rFonts w:ascii="Arial" w:hAnsi="Arial" w:cs="Arial"/>
          <w:sz w:val="26"/>
          <w:szCs w:val="28"/>
        </w:rPr>
        <w:t>.</w:t>
      </w:r>
    </w:p>
    <w:p w14:paraId="50871D5D" w14:textId="77777777" w:rsidR="00F1734B" w:rsidRPr="00DF4154" w:rsidRDefault="00F1734B" w:rsidP="00F1734B">
      <w:pPr>
        <w:pStyle w:val="ListParagraph"/>
        <w:rPr>
          <w:rFonts w:ascii="Arial" w:hAnsi="Arial" w:cs="Arial"/>
          <w:sz w:val="26"/>
          <w:szCs w:val="28"/>
        </w:rPr>
      </w:pPr>
    </w:p>
    <w:p w14:paraId="5969F273" w14:textId="6192A248" w:rsidR="00F1734B" w:rsidRPr="00DF4154" w:rsidRDefault="00F1734B" w:rsidP="00AC2AE6">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First, where a provision is capable of more than one meaning, the court should</w:t>
      </w:r>
      <w:r w:rsidR="00AC2AE6" w:rsidRPr="00DF4154">
        <w:rPr>
          <w:rFonts w:ascii="Arial" w:hAnsi="Arial" w:cs="Arial"/>
          <w:sz w:val="26"/>
          <w:szCs w:val="28"/>
        </w:rPr>
        <w:t xml:space="preserve"> adopt</w:t>
      </w:r>
      <w:r w:rsidRPr="00DF4154">
        <w:rPr>
          <w:rFonts w:ascii="Arial" w:hAnsi="Arial" w:cs="Arial"/>
          <w:sz w:val="26"/>
          <w:szCs w:val="28"/>
        </w:rPr>
        <w:t xml:space="preserve"> a meaning that promotes a right in the Bill of Rights, alternatively a meaning that does not limit such a right,</w:t>
      </w:r>
      <w:r w:rsidRPr="00DF4154">
        <w:rPr>
          <w:rStyle w:val="FootnoteReference"/>
          <w:rFonts w:ascii="Arial" w:hAnsi="Arial" w:cs="Arial"/>
          <w:sz w:val="26"/>
          <w:szCs w:val="28"/>
        </w:rPr>
        <w:footnoteReference w:id="72"/>
      </w:r>
      <w:r w:rsidRPr="00DF4154">
        <w:rPr>
          <w:rFonts w:ascii="Arial" w:hAnsi="Arial" w:cs="Arial"/>
          <w:sz w:val="26"/>
          <w:szCs w:val="28"/>
        </w:rPr>
        <w:t xml:space="preserve"> or the meaning that is least intrusive on the right,</w:t>
      </w:r>
      <w:r w:rsidRPr="00DF4154">
        <w:rPr>
          <w:rStyle w:val="FootnoteReference"/>
          <w:rFonts w:ascii="Arial" w:hAnsi="Arial" w:cs="Arial"/>
          <w:sz w:val="26"/>
          <w:szCs w:val="28"/>
        </w:rPr>
        <w:footnoteReference w:id="73"/>
      </w:r>
      <w:r w:rsidRPr="00DF4154">
        <w:rPr>
          <w:rFonts w:ascii="Arial" w:hAnsi="Arial" w:cs="Arial"/>
          <w:sz w:val="26"/>
          <w:szCs w:val="28"/>
        </w:rPr>
        <w:t xml:space="preserve"> subject to the proviso that “</w:t>
      </w:r>
      <w:r w:rsidRPr="00DF4154">
        <w:rPr>
          <w:rFonts w:ascii="Arial" w:hAnsi="Arial" w:cs="Arial"/>
          <w:i/>
          <w:sz w:val="26"/>
          <w:szCs w:val="28"/>
        </w:rPr>
        <w:t>the test is reasonably capable of bearing that meaning</w:t>
      </w:r>
      <w:r w:rsidRPr="00DF4154">
        <w:rPr>
          <w:rFonts w:ascii="Arial" w:hAnsi="Arial" w:cs="Arial"/>
          <w:sz w:val="26"/>
          <w:szCs w:val="28"/>
        </w:rPr>
        <w:t>”.</w:t>
      </w:r>
      <w:r w:rsidRPr="00DF4154">
        <w:rPr>
          <w:rStyle w:val="FootnoteReference"/>
          <w:rFonts w:ascii="Arial" w:hAnsi="Arial" w:cs="Arial"/>
          <w:sz w:val="26"/>
          <w:szCs w:val="28"/>
        </w:rPr>
        <w:footnoteReference w:id="74"/>
      </w:r>
      <w:r w:rsidRPr="00DF4154">
        <w:rPr>
          <w:rFonts w:ascii="Arial" w:hAnsi="Arial" w:cs="Arial"/>
          <w:sz w:val="26"/>
          <w:szCs w:val="28"/>
        </w:rPr>
        <w:t xml:space="preserve"> This involves the indirect application of the Constitution through “reading down”.</w:t>
      </w:r>
      <w:r w:rsidR="00023277" w:rsidRPr="00DF4154">
        <w:rPr>
          <w:rStyle w:val="FootnoteReference"/>
          <w:rFonts w:ascii="Arial" w:hAnsi="Arial" w:cs="Arial"/>
          <w:sz w:val="26"/>
          <w:szCs w:val="28"/>
        </w:rPr>
        <w:footnoteReference w:id="75"/>
      </w:r>
    </w:p>
    <w:p w14:paraId="0D167668" w14:textId="77777777" w:rsidR="00526F20" w:rsidRPr="00DF4154" w:rsidRDefault="00526F20" w:rsidP="00526F20">
      <w:pPr>
        <w:pStyle w:val="ListParagraph"/>
        <w:rPr>
          <w:rFonts w:ascii="Arial" w:hAnsi="Arial" w:cs="Arial"/>
          <w:sz w:val="26"/>
          <w:szCs w:val="28"/>
        </w:rPr>
      </w:pPr>
    </w:p>
    <w:p w14:paraId="05C2612C" w14:textId="549B8C56" w:rsidR="00526F20" w:rsidRPr="00DF4154" w:rsidRDefault="00526F20" w:rsidP="00F1734B">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Second, where the provision cannot reasonably bear the meaning which would accord with the Constitution, and the “reading in” of words is required, this is permissible only after the provision has been declared to be constitutionally invalid under section 172(1)(a) of the Constitution.</w:t>
      </w:r>
      <w:r w:rsidR="008B2262" w:rsidRPr="00DF4154">
        <w:rPr>
          <w:rStyle w:val="FootnoteReference"/>
          <w:rFonts w:ascii="Arial" w:hAnsi="Arial" w:cs="Arial"/>
          <w:sz w:val="26"/>
          <w:szCs w:val="28"/>
        </w:rPr>
        <w:footnoteReference w:id="76"/>
      </w:r>
    </w:p>
    <w:p w14:paraId="0197E267" w14:textId="77777777" w:rsidR="00A62806" w:rsidRPr="00DF4154" w:rsidRDefault="00A62806" w:rsidP="00A62806">
      <w:pPr>
        <w:pStyle w:val="ListParagraph"/>
        <w:rPr>
          <w:rFonts w:ascii="Arial" w:hAnsi="Arial" w:cs="Arial"/>
          <w:sz w:val="26"/>
          <w:szCs w:val="28"/>
        </w:rPr>
      </w:pPr>
    </w:p>
    <w:p w14:paraId="6E63B15B" w14:textId="0E5A5D61" w:rsidR="00A62806" w:rsidRPr="00DF4154" w:rsidRDefault="00A62806" w:rsidP="006B7B54">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We submit that section 67(1) is not reasonably capable of </w:t>
      </w:r>
      <w:r w:rsidR="003959EA" w:rsidRPr="00DF4154">
        <w:rPr>
          <w:rFonts w:ascii="Arial" w:hAnsi="Arial" w:cs="Arial"/>
          <w:sz w:val="26"/>
          <w:szCs w:val="28"/>
        </w:rPr>
        <w:t xml:space="preserve">being construed to encapsulate a knowledge requirement, </w:t>
      </w:r>
      <w:r w:rsidRPr="00DF4154">
        <w:rPr>
          <w:rFonts w:ascii="Arial" w:hAnsi="Arial" w:cs="Arial"/>
          <w:sz w:val="26"/>
          <w:szCs w:val="28"/>
        </w:rPr>
        <w:t>nor may a knowledge requirement be read in</w:t>
      </w:r>
      <w:r w:rsidR="003959EA" w:rsidRPr="00DF4154">
        <w:rPr>
          <w:rFonts w:ascii="Arial" w:hAnsi="Arial" w:cs="Arial"/>
          <w:sz w:val="26"/>
          <w:szCs w:val="28"/>
        </w:rPr>
        <w:t>, even if such a requirement would accord with the Constitution.</w:t>
      </w:r>
    </w:p>
    <w:p w14:paraId="76E28977" w14:textId="1DDE0B7A" w:rsidR="00474F12" w:rsidRPr="00DF4154" w:rsidRDefault="00A62806" w:rsidP="00BB6964">
      <w:pPr>
        <w:spacing w:before="240" w:after="120" w:line="360" w:lineRule="auto"/>
        <w:jc w:val="both"/>
        <w:rPr>
          <w:rFonts w:ascii="Arial" w:hAnsi="Arial" w:cs="Arial"/>
          <w:b/>
          <w:bCs/>
          <w:sz w:val="26"/>
          <w:szCs w:val="28"/>
        </w:rPr>
      </w:pPr>
      <w:r w:rsidRPr="00DF4154">
        <w:rPr>
          <w:rFonts w:ascii="Arial" w:hAnsi="Arial" w:cs="Arial"/>
          <w:b/>
          <w:bCs/>
          <w:sz w:val="26"/>
          <w:szCs w:val="28"/>
        </w:rPr>
        <w:t>S</w:t>
      </w:r>
      <w:r w:rsidR="00023277" w:rsidRPr="00DF4154">
        <w:rPr>
          <w:rFonts w:ascii="Arial" w:hAnsi="Arial" w:cs="Arial"/>
          <w:b/>
          <w:bCs/>
          <w:sz w:val="26"/>
          <w:szCs w:val="28"/>
        </w:rPr>
        <w:t>ection 67(1)</w:t>
      </w:r>
      <w:r w:rsidR="00474F12" w:rsidRPr="00DF4154">
        <w:rPr>
          <w:rFonts w:ascii="Arial" w:hAnsi="Arial" w:cs="Arial"/>
          <w:b/>
          <w:bCs/>
          <w:sz w:val="26"/>
          <w:szCs w:val="28"/>
        </w:rPr>
        <w:t xml:space="preserve"> </w:t>
      </w:r>
      <w:r w:rsidRPr="00DF4154">
        <w:rPr>
          <w:rFonts w:ascii="Arial" w:hAnsi="Arial" w:cs="Arial"/>
          <w:b/>
          <w:bCs/>
          <w:sz w:val="26"/>
          <w:szCs w:val="28"/>
        </w:rPr>
        <w:t xml:space="preserve">is not </w:t>
      </w:r>
      <w:r w:rsidR="00474F12" w:rsidRPr="00DF4154">
        <w:rPr>
          <w:rFonts w:ascii="Arial" w:hAnsi="Arial" w:cs="Arial"/>
          <w:b/>
          <w:bCs/>
          <w:sz w:val="26"/>
          <w:szCs w:val="28"/>
        </w:rPr>
        <w:t>reasonably capable of the meaning advanced</w:t>
      </w:r>
      <w:r w:rsidR="00583F4A" w:rsidRPr="00DF4154">
        <w:rPr>
          <w:rFonts w:ascii="Arial" w:hAnsi="Arial" w:cs="Arial"/>
          <w:b/>
          <w:bCs/>
          <w:sz w:val="26"/>
          <w:szCs w:val="28"/>
        </w:rPr>
        <w:t xml:space="preserve"> by the Commission</w:t>
      </w:r>
    </w:p>
    <w:p w14:paraId="2830E589" w14:textId="49C11136" w:rsidR="00474F12" w:rsidRPr="00DF4154" w:rsidRDefault="00A5154A" w:rsidP="006B7B54">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w:t>
      </w:r>
      <w:r w:rsidR="00474F12" w:rsidRPr="00DF4154">
        <w:rPr>
          <w:rFonts w:ascii="Arial" w:hAnsi="Arial" w:cs="Arial"/>
          <w:sz w:val="26"/>
          <w:szCs w:val="28"/>
        </w:rPr>
        <w:t xml:space="preserve">he language selected by the Legislature limits </w:t>
      </w:r>
      <w:r w:rsidR="003959EA" w:rsidRPr="00DF4154">
        <w:rPr>
          <w:rFonts w:ascii="Arial" w:hAnsi="Arial" w:cs="Arial"/>
          <w:sz w:val="26"/>
          <w:szCs w:val="28"/>
        </w:rPr>
        <w:t xml:space="preserve">a court’s interpretation of legislation </w:t>
      </w:r>
      <w:r w:rsidR="00474F12" w:rsidRPr="00DF4154">
        <w:rPr>
          <w:rFonts w:ascii="Arial" w:hAnsi="Arial" w:cs="Arial"/>
          <w:sz w:val="26"/>
          <w:szCs w:val="28"/>
        </w:rPr>
        <w:t>under section 39(2) of the Constitution.</w:t>
      </w:r>
      <w:r w:rsidR="00474F12" w:rsidRPr="00DF4154">
        <w:rPr>
          <w:rStyle w:val="FootnoteReference"/>
          <w:rFonts w:ascii="Arial" w:hAnsi="Arial" w:cs="Arial"/>
          <w:sz w:val="26"/>
          <w:szCs w:val="28"/>
        </w:rPr>
        <w:footnoteReference w:id="77"/>
      </w:r>
      <w:r w:rsidRPr="00DF4154">
        <w:rPr>
          <w:rFonts w:ascii="Arial" w:hAnsi="Arial" w:cs="Arial"/>
          <w:sz w:val="26"/>
          <w:szCs w:val="28"/>
        </w:rPr>
        <w:t xml:space="preserve"> </w:t>
      </w:r>
      <w:r w:rsidR="003959EA" w:rsidRPr="00DF4154">
        <w:rPr>
          <w:rFonts w:ascii="Arial" w:hAnsi="Arial" w:cs="Arial"/>
          <w:sz w:val="26"/>
          <w:szCs w:val="28"/>
        </w:rPr>
        <w:t>As this Court has affirmed, i</w:t>
      </w:r>
      <w:r w:rsidR="00474F12" w:rsidRPr="00DF4154">
        <w:rPr>
          <w:rFonts w:ascii="Arial" w:hAnsi="Arial" w:cs="Arial"/>
          <w:sz w:val="26"/>
          <w:szCs w:val="28"/>
        </w:rPr>
        <w:t>t is the constitutional function of the Legislature to legislate, and courts cannot adopt constructions beyond what is “</w:t>
      </w:r>
      <w:r w:rsidR="00474F12" w:rsidRPr="00DF4154">
        <w:rPr>
          <w:rFonts w:ascii="Arial" w:hAnsi="Arial" w:cs="Arial"/>
          <w:i/>
          <w:iCs/>
          <w:sz w:val="26"/>
          <w:szCs w:val="28"/>
        </w:rPr>
        <w:t>reasonably possible</w:t>
      </w:r>
      <w:r w:rsidR="00474F12" w:rsidRPr="00DF4154">
        <w:rPr>
          <w:rFonts w:ascii="Arial" w:hAnsi="Arial" w:cs="Arial"/>
          <w:sz w:val="26"/>
          <w:szCs w:val="28"/>
        </w:rPr>
        <w:t>” linguistically.</w:t>
      </w:r>
      <w:r w:rsidR="00474F12" w:rsidRPr="00DF4154">
        <w:rPr>
          <w:rStyle w:val="FootnoteReference"/>
          <w:rFonts w:ascii="Arial" w:hAnsi="Arial" w:cs="Arial"/>
          <w:sz w:val="26"/>
          <w:szCs w:val="28"/>
        </w:rPr>
        <w:footnoteReference w:id="78"/>
      </w:r>
      <w:r w:rsidR="00474F12" w:rsidRPr="00DF4154">
        <w:rPr>
          <w:rFonts w:ascii="Arial" w:hAnsi="Arial" w:cs="Arial"/>
          <w:sz w:val="26"/>
          <w:szCs w:val="28"/>
        </w:rPr>
        <w:t xml:space="preserve"> Courts may not adopt an “</w:t>
      </w:r>
      <w:r w:rsidR="00474F12" w:rsidRPr="00DF4154">
        <w:rPr>
          <w:rFonts w:ascii="Arial" w:hAnsi="Arial" w:cs="Arial"/>
          <w:i/>
          <w:iCs/>
          <w:sz w:val="26"/>
          <w:szCs w:val="28"/>
        </w:rPr>
        <w:t>unduly strained</w:t>
      </w:r>
      <w:r w:rsidR="00474F12" w:rsidRPr="00DF4154">
        <w:rPr>
          <w:rFonts w:ascii="Arial" w:hAnsi="Arial" w:cs="Arial"/>
          <w:sz w:val="26"/>
          <w:szCs w:val="28"/>
        </w:rPr>
        <w:t>” interpretation.</w:t>
      </w:r>
      <w:r w:rsidR="00474F12" w:rsidRPr="00DF4154">
        <w:rPr>
          <w:rStyle w:val="FootnoteReference"/>
          <w:rFonts w:ascii="Arial" w:hAnsi="Arial" w:cs="Arial"/>
          <w:sz w:val="26"/>
          <w:szCs w:val="28"/>
        </w:rPr>
        <w:footnoteReference w:id="79"/>
      </w:r>
    </w:p>
    <w:p w14:paraId="31A7FEFA" w14:textId="77777777" w:rsidR="00474F12" w:rsidRPr="00DF4154" w:rsidRDefault="00474F12" w:rsidP="006B7B54">
      <w:pPr>
        <w:pStyle w:val="ListParagraph"/>
        <w:spacing w:before="240" w:after="120" w:line="276" w:lineRule="auto"/>
        <w:jc w:val="both"/>
        <w:rPr>
          <w:rFonts w:ascii="Arial" w:hAnsi="Arial" w:cs="Arial"/>
          <w:sz w:val="26"/>
          <w:szCs w:val="28"/>
        </w:rPr>
      </w:pPr>
    </w:p>
    <w:p w14:paraId="55F032E9" w14:textId="0635B2BD" w:rsidR="00474F12" w:rsidRPr="00DF4154" w:rsidRDefault="00341273" w:rsidP="001368AC">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w:t>
      </w:r>
      <w:r w:rsidR="00474F12" w:rsidRPr="00DF4154">
        <w:rPr>
          <w:rFonts w:ascii="Arial" w:hAnsi="Arial" w:cs="Arial"/>
          <w:sz w:val="26"/>
          <w:szCs w:val="28"/>
        </w:rPr>
        <w:t xml:space="preserve">he language of section 67(1) is incapable of sustaining the </w:t>
      </w:r>
      <w:r w:rsidR="00023277" w:rsidRPr="00DF4154">
        <w:rPr>
          <w:rFonts w:ascii="Arial" w:hAnsi="Arial" w:cs="Arial"/>
          <w:sz w:val="26"/>
          <w:szCs w:val="28"/>
        </w:rPr>
        <w:t>meaning</w:t>
      </w:r>
      <w:r w:rsidR="00474F12" w:rsidRPr="00DF4154">
        <w:rPr>
          <w:rFonts w:ascii="Arial" w:hAnsi="Arial" w:cs="Arial"/>
          <w:sz w:val="26"/>
          <w:szCs w:val="28"/>
        </w:rPr>
        <w:t xml:space="preserve"> advanced by the Commission.</w:t>
      </w:r>
      <w:r w:rsidRPr="00DF4154">
        <w:rPr>
          <w:rFonts w:ascii="Arial" w:hAnsi="Arial" w:cs="Arial"/>
          <w:sz w:val="26"/>
          <w:szCs w:val="28"/>
        </w:rPr>
        <w:t xml:space="preserve"> </w:t>
      </w:r>
      <w:r w:rsidR="00474F12" w:rsidRPr="00DF4154">
        <w:rPr>
          <w:rFonts w:ascii="Arial" w:hAnsi="Arial" w:cs="Arial"/>
          <w:sz w:val="26"/>
          <w:szCs w:val="28"/>
        </w:rPr>
        <w:t xml:space="preserve">The provision contains no </w:t>
      </w:r>
      <w:r w:rsidRPr="00DF4154">
        <w:rPr>
          <w:rFonts w:ascii="Arial" w:hAnsi="Arial" w:cs="Arial"/>
          <w:sz w:val="26"/>
          <w:szCs w:val="28"/>
        </w:rPr>
        <w:t xml:space="preserve">reference to </w:t>
      </w:r>
      <w:r w:rsidR="003959EA" w:rsidRPr="00DF4154">
        <w:rPr>
          <w:rFonts w:ascii="Arial" w:hAnsi="Arial" w:cs="Arial"/>
          <w:sz w:val="26"/>
          <w:szCs w:val="28"/>
        </w:rPr>
        <w:t xml:space="preserve">the Commission’s </w:t>
      </w:r>
      <w:r w:rsidR="008A290A" w:rsidRPr="00DF4154">
        <w:rPr>
          <w:rFonts w:ascii="Arial" w:hAnsi="Arial" w:cs="Arial"/>
          <w:sz w:val="26"/>
          <w:szCs w:val="28"/>
        </w:rPr>
        <w:t>knowledge</w:t>
      </w:r>
      <w:r w:rsidR="003959EA" w:rsidRPr="00DF4154">
        <w:rPr>
          <w:rFonts w:ascii="Arial" w:hAnsi="Arial" w:cs="Arial"/>
          <w:sz w:val="26"/>
          <w:szCs w:val="28"/>
        </w:rPr>
        <w:t xml:space="preserve"> in respect of a prohibited practice</w:t>
      </w:r>
      <w:r w:rsidR="008A290A" w:rsidRPr="00DF4154">
        <w:rPr>
          <w:rFonts w:ascii="Arial" w:hAnsi="Arial" w:cs="Arial"/>
          <w:sz w:val="26"/>
          <w:szCs w:val="28"/>
        </w:rPr>
        <w:t>,</w:t>
      </w:r>
      <w:r w:rsidR="00D456A5" w:rsidRPr="00DF4154">
        <w:rPr>
          <w:rFonts w:ascii="Arial" w:hAnsi="Arial" w:cs="Arial"/>
          <w:sz w:val="26"/>
          <w:szCs w:val="28"/>
        </w:rPr>
        <w:t xml:space="preserve"> </w:t>
      </w:r>
      <w:r w:rsidR="008A290A" w:rsidRPr="00DF4154">
        <w:rPr>
          <w:rFonts w:ascii="Arial" w:hAnsi="Arial" w:cs="Arial"/>
          <w:sz w:val="26"/>
          <w:szCs w:val="28"/>
        </w:rPr>
        <w:t xml:space="preserve">and </w:t>
      </w:r>
      <w:r w:rsidR="00CE3884" w:rsidRPr="00DF4154">
        <w:rPr>
          <w:rFonts w:ascii="Arial" w:hAnsi="Arial" w:cs="Arial"/>
          <w:sz w:val="26"/>
          <w:szCs w:val="28"/>
        </w:rPr>
        <w:t xml:space="preserve">indeed </w:t>
      </w:r>
      <w:r w:rsidR="00023277" w:rsidRPr="00DF4154">
        <w:rPr>
          <w:rFonts w:ascii="Arial" w:hAnsi="Arial" w:cs="Arial"/>
          <w:sz w:val="26"/>
          <w:szCs w:val="28"/>
        </w:rPr>
        <w:t xml:space="preserve">prescribes </w:t>
      </w:r>
      <w:r w:rsidR="008A290A" w:rsidRPr="00DF4154">
        <w:rPr>
          <w:rFonts w:ascii="Arial" w:hAnsi="Arial" w:cs="Arial"/>
          <w:sz w:val="26"/>
          <w:szCs w:val="28"/>
        </w:rPr>
        <w:t xml:space="preserve">a </w:t>
      </w:r>
      <w:r w:rsidR="003959EA" w:rsidRPr="00DF4154">
        <w:rPr>
          <w:rFonts w:ascii="Arial" w:hAnsi="Arial" w:cs="Arial"/>
          <w:sz w:val="26"/>
          <w:szCs w:val="28"/>
        </w:rPr>
        <w:t>specific and different</w:t>
      </w:r>
      <w:r w:rsidR="00023277" w:rsidRPr="00DF4154">
        <w:rPr>
          <w:rFonts w:ascii="Arial" w:hAnsi="Arial" w:cs="Arial"/>
          <w:sz w:val="26"/>
          <w:szCs w:val="28"/>
        </w:rPr>
        <w:t xml:space="preserve"> criterion for identifying the commencement of the three-year period, namely </w:t>
      </w:r>
      <w:r w:rsidR="008A290A" w:rsidRPr="00DF4154">
        <w:rPr>
          <w:rFonts w:ascii="Arial" w:hAnsi="Arial" w:cs="Arial"/>
          <w:sz w:val="26"/>
          <w:szCs w:val="28"/>
        </w:rPr>
        <w:t xml:space="preserve">the </w:t>
      </w:r>
      <w:r w:rsidRPr="00DF4154">
        <w:rPr>
          <w:rFonts w:ascii="Arial" w:hAnsi="Arial" w:cs="Arial"/>
          <w:sz w:val="26"/>
          <w:szCs w:val="28"/>
        </w:rPr>
        <w:t>cessation of the prohibited practice.</w:t>
      </w:r>
    </w:p>
    <w:p w14:paraId="3E400B70" w14:textId="761E24FB" w:rsidR="00A5154A" w:rsidRPr="00DF4154" w:rsidRDefault="00A62806" w:rsidP="00BB6964">
      <w:pPr>
        <w:keepNext/>
        <w:spacing w:before="240" w:after="120" w:line="480" w:lineRule="auto"/>
        <w:jc w:val="both"/>
        <w:rPr>
          <w:rFonts w:ascii="Arial" w:hAnsi="Arial" w:cs="Arial"/>
          <w:b/>
          <w:bCs/>
          <w:sz w:val="26"/>
          <w:szCs w:val="28"/>
        </w:rPr>
      </w:pPr>
      <w:r w:rsidRPr="00DF4154">
        <w:rPr>
          <w:rFonts w:ascii="Arial" w:hAnsi="Arial" w:cs="Arial"/>
          <w:b/>
          <w:bCs/>
          <w:sz w:val="26"/>
          <w:szCs w:val="28"/>
        </w:rPr>
        <w:lastRenderedPageBreak/>
        <w:t>R</w:t>
      </w:r>
      <w:r w:rsidR="00403751" w:rsidRPr="00DF4154">
        <w:rPr>
          <w:rFonts w:ascii="Arial" w:hAnsi="Arial" w:cs="Arial"/>
          <w:b/>
          <w:bCs/>
          <w:sz w:val="26"/>
          <w:szCs w:val="28"/>
        </w:rPr>
        <w:t>eading in</w:t>
      </w:r>
      <w:r w:rsidRPr="00DF4154">
        <w:rPr>
          <w:rFonts w:ascii="Arial" w:hAnsi="Arial" w:cs="Arial"/>
          <w:b/>
          <w:bCs/>
          <w:sz w:val="26"/>
          <w:szCs w:val="28"/>
        </w:rPr>
        <w:t xml:space="preserve"> </w:t>
      </w:r>
      <w:r w:rsidR="003959EA" w:rsidRPr="00DF4154">
        <w:rPr>
          <w:rFonts w:ascii="Arial" w:hAnsi="Arial" w:cs="Arial"/>
          <w:b/>
          <w:bCs/>
          <w:sz w:val="26"/>
          <w:szCs w:val="28"/>
        </w:rPr>
        <w:t xml:space="preserve">of a knowledge requirement </w:t>
      </w:r>
      <w:r w:rsidRPr="00DF4154">
        <w:rPr>
          <w:rFonts w:ascii="Arial" w:hAnsi="Arial" w:cs="Arial"/>
          <w:b/>
          <w:bCs/>
          <w:sz w:val="26"/>
          <w:szCs w:val="28"/>
        </w:rPr>
        <w:t>is not</w:t>
      </w:r>
      <w:r w:rsidR="00403751" w:rsidRPr="00DF4154">
        <w:rPr>
          <w:rFonts w:ascii="Arial" w:hAnsi="Arial" w:cs="Arial"/>
          <w:b/>
          <w:bCs/>
          <w:sz w:val="26"/>
          <w:szCs w:val="28"/>
        </w:rPr>
        <w:t xml:space="preserve"> permissible</w:t>
      </w:r>
    </w:p>
    <w:p w14:paraId="16B23147" w14:textId="16E31166" w:rsidR="00CE3884" w:rsidRPr="00DF4154" w:rsidRDefault="00403751" w:rsidP="00BB6964">
      <w:pPr>
        <w:pStyle w:val="ListParagraph"/>
        <w:keepNext/>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As section 67(1) is not reasonably capable of bearing the meaning </w:t>
      </w:r>
      <w:r w:rsidR="003959EA" w:rsidRPr="00DF4154">
        <w:rPr>
          <w:rFonts w:ascii="Arial" w:hAnsi="Arial" w:cs="Arial"/>
          <w:sz w:val="26"/>
          <w:szCs w:val="28"/>
        </w:rPr>
        <w:t>advanced by the</w:t>
      </w:r>
      <w:r w:rsidRPr="00DF4154">
        <w:rPr>
          <w:rFonts w:ascii="Arial" w:hAnsi="Arial" w:cs="Arial"/>
          <w:sz w:val="26"/>
          <w:szCs w:val="28"/>
        </w:rPr>
        <w:t xml:space="preserve"> Commission proposed, the question arises whether </w:t>
      </w:r>
      <w:r w:rsidR="00CE3884" w:rsidRPr="00DF4154">
        <w:rPr>
          <w:rFonts w:ascii="Arial" w:hAnsi="Arial" w:cs="Arial"/>
          <w:sz w:val="26"/>
          <w:szCs w:val="28"/>
        </w:rPr>
        <w:t xml:space="preserve">a knowledge requirement </w:t>
      </w:r>
      <w:r w:rsidRPr="00DF4154">
        <w:rPr>
          <w:rFonts w:ascii="Arial" w:hAnsi="Arial" w:cs="Arial"/>
          <w:sz w:val="26"/>
          <w:szCs w:val="28"/>
        </w:rPr>
        <w:t xml:space="preserve">may </w:t>
      </w:r>
      <w:r w:rsidR="00CE3884" w:rsidRPr="00DF4154">
        <w:rPr>
          <w:rFonts w:ascii="Arial" w:hAnsi="Arial" w:cs="Arial"/>
          <w:sz w:val="26"/>
          <w:szCs w:val="28"/>
        </w:rPr>
        <w:t>be introduced into section 67(1) by reading in</w:t>
      </w:r>
      <w:r w:rsidRPr="00DF4154">
        <w:rPr>
          <w:rFonts w:ascii="Arial" w:hAnsi="Arial" w:cs="Arial"/>
          <w:sz w:val="26"/>
          <w:szCs w:val="28"/>
        </w:rPr>
        <w:t>.</w:t>
      </w:r>
    </w:p>
    <w:p w14:paraId="60B3C3B0" w14:textId="77777777" w:rsidR="00CE3884" w:rsidRPr="00DF4154" w:rsidRDefault="00CE3884" w:rsidP="00CE3884">
      <w:pPr>
        <w:pStyle w:val="ListParagraph"/>
        <w:rPr>
          <w:rFonts w:ascii="Arial" w:hAnsi="Arial" w:cs="Arial"/>
          <w:sz w:val="26"/>
          <w:szCs w:val="28"/>
        </w:rPr>
      </w:pPr>
    </w:p>
    <w:p w14:paraId="58B82293" w14:textId="201F46C1" w:rsidR="00403751" w:rsidRPr="00DF4154" w:rsidRDefault="00403751" w:rsidP="00CE388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Commission has not, however, brought a challenge to the constitutionality of section 67(1), and the circumstances in which a court may grant the remedy of reading in – after a successful constitutional attack on the statutory provision</w:t>
      </w:r>
      <w:r w:rsidRPr="00DF4154">
        <w:rPr>
          <w:rStyle w:val="FootnoteReference"/>
          <w:rFonts w:ascii="Arial" w:hAnsi="Arial" w:cs="Arial"/>
          <w:sz w:val="26"/>
          <w:szCs w:val="28"/>
        </w:rPr>
        <w:footnoteReference w:id="80"/>
      </w:r>
      <w:r w:rsidRPr="00DF4154">
        <w:rPr>
          <w:rFonts w:ascii="Arial" w:hAnsi="Arial" w:cs="Arial"/>
          <w:sz w:val="26"/>
          <w:szCs w:val="28"/>
        </w:rPr>
        <w:t xml:space="preserve"> </w:t>
      </w:r>
      <w:r w:rsidR="003643CC" w:rsidRPr="00DF4154">
        <w:rPr>
          <w:rFonts w:ascii="Arial" w:hAnsi="Arial" w:cs="Arial"/>
          <w:sz w:val="26"/>
          <w:szCs w:val="28"/>
        </w:rPr>
        <w:t>–</w:t>
      </w:r>
      <w:r w:rsidRPr="00DF4154">
        <w:rPr>
          <w:rFonts w:ascii="Arial" w:hAnsi="Arial" w:cs="Arial"/>
          <w:sz w:val="26"/>
          <w:szCs w:val="28"/>
        </w:rPr>
        <w:t xml:space="preserve"> are accordingly not present. </w:t>
      </w:r>
    </w:p>
    <w:p w14:paraId="4B2108F2" w14:textId="77777777" w:rsidR="003959EA" w:rsidRPr="00DF4154" w:rsidRDefault="003959EA" w:rsidP="003959EA">
      <w:pPr>
        <w:pStyle w:val="ListParagraph"/>
        <w:rPr>
          <w:rFonts w:ascii="Arial" w:hAnsi="Arial" w:cs="Arial"/>
          <w:sz w:val="26"/>
          <w:szCs w:val="28"/>
        </w:rPr>
      </w:pPr>
    </w:p>
    <w:p w14:paraId="64D789CB" w14:textId="7F876A98" w:rsidR="003959EA" w:rsidRPr="00DF4154" w:rsidRDefault="003959EA" w:rsidP="00AC7A6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In these circumstances, the question whether the importation of a knowledge requirement into section 67(1) would promote the right protected by section 34 of the Constitution does not arise.</w:t>
      </w:r>
      <w:r w:rsidR="0091113E" w:rsidRPr="00DF4154">
        <w:rPr>
          <w:rStyle w:val="FootnoteReference"/>
          <w:rFonts w:ascii="Arial" w:hAnsi="Arial" w:cs="Arial"/>
          <w:sz w:val="26"/>
          <w:szCs w:val="28"/>
        </w:rPr>
        <w:footnoteReference w:id="81"/>
      </w:r>
      <w:r w:rsidRPr="00DF4154">
        <w:rPr>
          <w:rFonts w:ascii="Arial" w:hAnsi="Arial" w:cs="Arial"/>
          <w:sz w:val="26"/>
          <w:szCs w:val="28"/>
        </w:rPr>
        <w:t xml:space="preserve"> In any event, we submit that that is not the case.</w:t>
      </w:r>
    </w:p>
    <w:p w14:paraId="5089E4FF" w14:textId="7750505B" w:rsidR="00CC68D8" w:rsidRPr="00DF4154" w:rsidRDefault="00A62806" w:rsidP="00BB6964">
      <w:pPr>
        <w:keepNext/>
        <w:spacing w:before="240" w:after="120" w:line="480" w:lineRule="auto"/>
        <w:jc w:val="both"/>
        <w:rPr>
          <w:rFonts w:ascii="Arial" w:hAnsi="Arial" w:cs="Arial"/>
          <w:sz w:val="26"/>
          <w:szCs w:val="28"/>
        </w:rPr>
      </w:pPr>
      <w:r w:rsidRPr="00DF4154">
        <w:rPr>
          <w:rFonts w:ascii="Arial" w:hAnsi="Arial" w:cs="Arial"/>
          <w:b/>
          <w:bCs/>
          <w:sz w:val="26"/>
          <w:szCs w:val="28"/>
        </w:rPr>
        <w:lastRenderedPageBreak/>
        <w:t>The application of s</w:t>
      </w:r>
      <w:r w:rsidR="00CC68D8" w:rsidRPr="00DF4154">
        <w:rPr>
          <w:rFonts w:ascii="Arial" w:hAnsi="Arial" w:cs="Arial"/>
          <w:b/>
          <w:bCs/>
          <w:sz w:val="26"/>
          <w:szCs w:val="28"/>
        </w:rPr>
        <w:t>ection 16(1) of the Prescription Act</w:t>
      </w:r>
    </w:p>
    <w:p w14:paraId="291CEDFA" w14:textId="48C0A63F" w:rsidR="00AF4E32" w:rsidRPr="00DF4154" w:rsidRDefault="00AF4E32" w:rsidP="00BB6964">
      <w:pPr>
        <w:pStyle w:val="ListParagraph"/>
        <w:keepNext/>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We turn to consider whether a knowledge requirement may be imported into section 67(1) by application of the relevant provisions of the Prescription Act. </w:t>
      </w:r>
    </w:p>
    <w:p w14:paraId="6813AB8D" w14:textId="77777777" w:rsidR="00AF4E32" w:rsidRPr="00DF4154" w:rsidRDefault="00AF4E32" w:rsidP="00AC7A63">
      <w:pPr>
        <w:pStyle w:val="ListParagraph"/>
        <w:spacing w:after="0" w:line="276" w:lineRule="auto"/>
        <w:jc w:val="both"/>
        <w:rPr>
          <w:rFonts w:ascii="Arial" w:hAnsi="Arial" w:cs="Arial"/>
          <w:sz w:val="26"/>
          <w:szCs w:val="28"/>
        </w:rPr>
      </w:pPr>
    </w:p>
    <w:p w14:paraId="5769498C" w14:textId="5DBBEFBD" w:rsidR="00AF4E32" w:rsidRPr="00DF4154" w:rsidRDefault="00AF4E32" w:rsidP="00CC68D8">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We submit that the relevant provisions of the Prescription Act cannot, as the Commission suggests, be imported into section 67(1) by way of interpretation (there being no requirement that one statute be interpreted in accordance with another), but only by the application of section 16(1) of the Prescription Act.</w:t>
      </w:r>
      <w:r w:rsidR="00552B99" w:rsidRPr="00DF4154">
        <w:rPr>
          <w:rStyle w:val="FootnoteReference"/>
          <w:rFonts w:ascii="Arial" w:hAnsi="Arial" w:cs="Arial"/>
          <w:sz w:val="26"/>
          <w:szCs w:val="28"/>
        </w:rPr>
        <w:footnoteReference w:id="82"/>
      </w:r>
      <w:r w:rsidRPr="00DF4154">
        <w:rPr>
          <w:rFonts w:ascii="Arial" w:hAnsi="Arial" w:cs="Arial"/>
          <w:sz w:val="26"/>
          <w:szCs w:val="28"/>
        </w:rPr>
        <w:t xml:space="preserve"> </w:t>
      </w:r>
    </w:p>
    <w:p w14:paraId="173229CF" w14:textId="77777777" w:rsidR="005124E9" w:rsidRPr="00DF4154" w:rsidRDefault="005124E9" w:rsidP="005124E9">
      <w:pPr>
        <w:pStyle w:val="ListParagraph"/>
        <w:rPr>
          <w:rFonts w:ascii="Arial" w:hAnsi="Arial" w:cs="Arial"/>
          <w:sz w:val="26"/>
          <w:szCs w:val="28"/>
        </w:rPr>
      </w:pPr>
    </w:p>
    <w:p w14:paraId="196D751A" w14:textId="4A50FD1D" w:rsidR="005124E9" w:rsidRPr="00DF4154" w:rsidRDefault="000E71C0" w:rsidP="00AC7A63">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In any event,</w:t>
      </w:r>
      <w:r w:rsidR="005124E9" w:rsidRPr="00DF4154">
        <w:rPr>
          <w:rFonts w:ascii="Arial" w:hAnsi="Arial" w:cs="Arial"/>
          <w:sz w:val="26"/>
          <w:szCs w:val="28"/>
        </w:rPr>
        <w:t xml:space="preserve"> as we demonstrate below, the application of section 16(1) of the Prescription Act would not bring about the result sought by the Commission. </w:t>
      </w:r>
    </w:p>
    <w:p w14:paraId="7D3753DA" w14:textId="3A63BA5B" w:rsidR="00AF4E32" w:rsidRPr="00DF4154" w:rsidRDefault="00D5181D" w:rsidP="00AC7A63">
      <w:pPr>
        <w:keepNext/>
        <w:spacing w:before="240" w:after="120" w:line="480" w:lineRule="auto"/>
        <w:rPr>
          <w:rFonts w:ascii="Arial" w:hAnsi="Arial" w:cs="Arial"/>
          <w:b/>
          <w:bCs/>
          <w:i/>
          <w:iCs/>
          <w:sz w:val="26"/>
          <w:szCs w:val="28"/>
        </w:rPr>
      </w:pPr>
      <w:bookmarkStart w:id="4" w:name="_Hlk29753910"/>
      <w:r w:rsidRPr="00DF4154">
        <w:rPr>
          <w:rFonts w:ascii="Arial" w:hAnsi="Arial" w:cs="Arial"/>
          <w:b/>
          <w:bCs/>
          <w:i/>
          <w:iCs/>
          <w:sz w:val="26"/>
          <w:szCs w:val="28"/>
        </w:rPr>
        <w:t>Section 16(1) and the provisions in Chapter 3 of the Prescription Act</w:t>
      </w:r>
    </w:p>
    <w:bookmarkEnd w:id="4"/>
    <w:p w14:paraId="377E642A" w14:textId="00A52DB9" w:rsidR="00CC68D8" w:rsidRPr="00DF4154" w:rsidRDefault="00CC68D8" w:rsidP="00CC68D8">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Section 16(1) of the Prescription Act provides that the provisions of Chapter</w:t>
      </w:r>
      <w:r w:rsidR="002C4A7F">
        <w:rPr>
          <w:rFonts w:ascii="Arial" w:hAnsi="Arial" w:cs="Arial"/>
          <w:sz w:val="26"/>
          <w:szCs w:val="28"/>
        </w:rPr>
        <w:t> </w:t>
      </w:r>
      <w:r w:rsidRPr="00DF4154">
        <w:rPr>
          <w:rFonts w:ascii="Arial" w:hAnsi="Arial" w:cs="Arial"/>
          <w:sz w:val="26"/>
          <w:szCs w:val="28"/>
        </w:rPr>
        <w:t>3 of the Act</w:t>
      </w:r>
      <w:r w:rsidR="00D5181D" w:rsidRPr="00DF4154">
        <w:rPr>
          <w:rFonts w:ascii="Arial" w:hAnsi="Arial" w:cs="Arial"/>
          <w:sz w:val="26"/>
          <w:szCs w:val="28"/>
        </w:rPr>
        <w:t xml:space="preserve"> (the Chapter 3 provisions)</w:t>
      </w:r>
      <w:r w:rsidRPr="00DF4154">
        <w:rPr>
          <w:rFonts w:ascii="Arial" w:hAnsi="Arial" w:cs="Arial"/>
          <w:sz w:val="26"/>
          <w:szCs w:val="28"/>
        </w:rPr>
        <w:t xml:space="preserve"> </w:t>
      </w:r>
      <w:r w:rsidR="001A6C2A" w:rsidRPr="00DF4154">
        <w:rPr>
          <w:rFonts w:ascii="Arial" w:hAnsi="Arial" w:cs="Arial"/>
          <w:sz w:val="26"/>
          <w:szCs w:val="28"/>
        </w:rPr>
        <w:t xml:space="preserve">– </w:t>
      </w:r>
    </w:p>
    <w:p w14:paraId="06D5725B" w14:textId="77777777" w:rsidR="00CC68D8" w:rsidRPr="00DF4154" w:rsidRDefault="00CC68D8" w:rsidP="00CC68D8">
      <w:pPr>
        <w:pStyle w:val="ListParagraph"/>
        <w:rPr>
          <w:rFonts w:ascii="Arial" w:hAnsi="Arial" w:cs="Arial"/>
          <w:sz w:val="26"/>
          <w:szCs w:val="28"/>
        </w:rPr>
      </w:pPr>
    </w:p>
    <w:p w14:paraId="4590D165" w14:textId="77777777" w:rsidR="00CC68D8" w:rsidRPr="00DF4154" w:rsidRDefault="00CC68D8" w:rsidP="00CC68D8">
      <w:pPr>
        <w:pStyle w:val="ListParagraph"/>
        <w:spacing w:after="0" w:line="240" w:lineRule="auto"/>
        <w:jc w:val="both"/>
        <w:rPr>
          <w:rFonts w:ascii="Arial" w:hAnsi="Arial" w:cs="Arial"/>
          <w:sz w:val="26"/>
          <w:szCs w:val="28"/>
        </w:rPr>
      </w:pPr>
      <w:r w:rsidRPr="00DF4154">
        <w:rPr>
          <w:rFonts w:ascii="Arial" w:hAnsi="Arial" w:cs="Arial"/>
          <w:sz w:val="26"/>
          <w:szCs w:val="28"/>
        </w:rPr>
        <w:t>“</w:t>
      </w:r>
      <w:r w:rsidRPr="00DF4154">
        <w:rPr>
          <w:rFonts w:ascii="Arial" w:hAnsi="Arial" w:cs="Arial"/>
          <w:i/>
          <w:sz w:val="26"/>
          <w:szCs w:val="28"/>
        </w:rPr>
        <w:t xml:space="preserve">shall, save in so far as they are </w:t>
      </w:r>
      <w:r w:rsidRPr="00DF4154">
        <w:rPr>
          <w:rFonts w:ascii="Arial" w:hAnsi="Arial" w:cs="Arial"/>
          <w:i/>
          <w:sz w:val="26"/>
          <w:szCs w:val="28"/>
          <w:u w:val="single"/>
        </w:rPr>
        <w:t>inconsistent</w:t>
      </w:r>
      <w:r w:rsidRPr="00DF4154">
        <w:rPr>
          <w:rFonts w:ascii="Arial" w:hAnsi="Arial" w:cs="Arial"/>
          <w:i/>
          <w:sz w:val="26"/>
          <w:szCs w:val="28"/>
        </w:rPr>
        <w:t xml:space="preserve"> with the provisions of any Act of Parliament which prescribes a specified period within which a </w:t>
      </w:r>
      <w:r w:rsidRPr="00DF4154">
        <w:rPr>
          <w:rFonts w:ascii="Arial" w:hAnsi="Arial" w:cs="Arial"/>
          <w:i/>
          <w:sz w:val="26"/>
          <w:szCs w:val="28"/>
          <w:u w:val="single"/>
        </w:rPr>
        <w:t>claim is to be made</w:t>
      </w:r>
      <w:r w:rsidRPr="00DF4154">
        <w:rPr>
          <w:rFonts w:ascii="Arial" w:hAnsi="Arial" w:cs="Arial"/>
          <w:i/>
          <w:sz w:val="26"/>
          <w:szCs w:val="28"/>
        </w:rPr>
        <w:t xml:space="preserve"> or an </w:t>
      </w:r>
      <w:r w:rsidRPr="00DF4154">
        <w:rPr>
          <w:rFonts w:ascii="Arial" w:hAnsi="Arial" w:cs="Arial"/>
          <w:i/>
          <w:sz w:val="26"/>
          <w:szCs w:val="28"/>
          <w:u w:val="single"/>
        </w:rPr>
        <w:t>action to be instituted</w:t>
      </w:r>
      <w:r w:rsidRPr="00DF4154">
        <w:rPr>
          <w:rFonts w:ascii="Arial" w:hAnsi="Arial" w:cs="Arial"/>
          <w:i/>
          <w:sz w:val="26"/>
          <w:szCs w:val="28"/>
        </w:rPr>
        <w:t xml:space="preserve"> in respect of a </w:t>
      </w:r>
      <w:r w:rsidRPr="00DF4154">
        <w:rPr>
          <w:rFonts w:ascii="Arial" w:hAnsi="Arial" w:cs="Arial"/>
          <w:i/>
          <w:sz w:val="26"/>
          <w:szCs w:val="28"/>
          <w:u w:val="single"/>
        </w:rPr>
        <w:t>debt</w:t>
      </w:r>
      <w:r w:rsidRPr="00DF4154">
        <w:rPr>
          <w:rFonts w:ascii="Arial" w:hAnsi="Arial" w:cs="Arial"/>
          <w:i/>
          <w:sz w:val="26"/>
          <w:szCs w:val="28"/>
        </w:rPr>
        <w:t xml:space="preserve"> or imposes conditions on the institution of an action for the recovery of a debt, apply to any debt arising after the commencement of this Act</w:t>
      </w:r>
      <w:r w:rsidRPr="00DF4154">
        <w:rPr>
          <w:rFonts w:ascii="Arial" w:hAnsi="Arial" w:cs="Arial"/>
          <w:sz w:val="26"/>
          <w:szCs w:val="28"/>
        </w:rPr>
        <w:t>”.</w:t>
      </w:r>
      <w:r w:rsidRPr="00DF4154">
        <w:rPr>
          <w:rStyle w:val="FootnoteReference"/>
          <w:rFonts w:ascii="Arial" w:hAnsi="Arial" w:cs="Arial"/>
          <w:sz w:val="26"/>
          <w:szCs w:val="28"/>
        </w:rPr>
        <w:footnoteReference w:id="83"/>
      </w:r>
    </w:p>
    <w:p w14:paraId="5FBDDC57" w14:textId="77777777" w:rsidR="00CC68D8" w:rsidRPr="00DF4154" w:rsidRDefault="00CC68D8" w:rsidP="00CC68D8">
      <w:pPr>
        <w:spacing w:after="0" w:line="480" w:lineRule="auto"/>
        <w:jc w:val="both"/>
        <w:rPr>
          <w:rFonts w:ascii="Arial" w:hAnsi="Arial" w:cs="Arial"/>
          <w:sz w:val="26"/>
          <w:szCs w:val="28"/>
        </w:rPr>
      </w:pPr>
    </w:p>
    <w:p w14:paraId="6ABFCAC3" w14:textId="14314AD0" w:rsidR="007B7D63" w:rsidRPr="00DF4154" w:rsidRDefault="002B58D8" w:rsidP="00CD7116">
      <w:pPr>
        <w:pStyle w:val="ListParagraph"/>
        <w:numPr>
          <w:ilvl w:val="0"/>
          <w:numId w:val="1"/>
        </w:numPr>
        <w:spacing w:line="480" w:lineRule="auto"/>
        <w:ind w:hanging="720"/>
        <w:jc w:val="both"/>
        <w:rPr>
          <w:rFonts w:ascii="Arial" w:hAnsi="Arial" w:cs="Arial"/>
          <w:sz w:val="26"/>
          <w:szCs w:val="28"/>
        </w:rPr>
      </w:pPr>
      <w:r w:rsidRPr="00DF4154">
        <w:rPr>
          <w:rFonts w:ascii="Arial" w:hAnsi="Arial" w:cs="Arial"/>
          <w:sz w:val="26"/>
          <w:szCs w:val="28"/>
        </w:rPr>
        <w:t xml:space="preserve">The </w:t>
      </w:r>
      <w:r w:rsidR="00D5181D" w:rsidRPr="00DF4154">
        <w:rPr>
          <w:rFonts w:ascii="Arial" w:hAnsi="Arial" w:cs="Arial"/>
          <w:sz w:val="26"/>
          <w:szCs w:val="28"/>
        </w:rPr>
        <w:t>Chapter 3 provisions</w:t>
      </w:r>
      <w:r w:rsidRPr="00DF4154">
        <w:rPr>
          <w:rFonts w:ascii="Arial" w:hAnsi="Arial" w:cs="Arial"/>
          <w:sz w:val="26"/>
          <w:szCs w:val="28"/>
        </w:rPr>
        <w:t xml:space="preserve"> govern the extinction of debts by prescription.</w:t>
      </w:r>
    </w:p>
    <w:p w14:paraId="31113F0A" w14:textId="77777777" w:rsidR="00CD7116" w:rsidRPr="00DF4154" w:rsidRDefault="00CD7116" w:rsidP="006B7B54">
      <w:pPr>
        <w:pStyle w:val="ListParagraph"/>
        <w:spacing w:before="240" w:after="120" w:line="276" w:lineRule="auto"/>
        <w:jc w:val="both"/>
        <w:rPr>
          <w:rFonts w:ascii="Arial" w:hAnsi="Arial" w:cs="Arial"/>
          <w:sz w:val="26"/>
          <w:szCs w:val="28"/>
        </w:rPr>
      </w:pPr>
    </w:p>
    <w:p w14:paraId="3EBC0FB0" w14:textId="0566B545" w:rsidR="00F6095A" w:rsidRPr="00DF4154" w:rsidRDefault="00FF7264" w:rsidP="00CC68D8">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S</w:t>
      </w:r>
      <w:r w:rsidR="002B58D8" w:rsidRPr="00DF4154">
        <w:rPr>
          <w:rFonts w:ascii="Arial" w:hAnsi="Arial" w:cs="Arial"/>
          <w:sz w:val="26"/>
          <w:szCs w:val="28"/>
        </w:rPr>
        <w:t>ection 11(d)</w:t>
      </w:r>
      <w:r w:rsidR="007B7D63" w:rsidRPr="00DF4154">
        <w:rPr>
          <w:rFonts w:ascii="Arial" w:hAnsi="Arial" w:cs="Arial"/>
          <w:sz w:val="26"/>
          <w:szCs w:val="28"/>
        </w:rPr>
        <w:t xml:space="preserve"> read with section 10(1)</w:t>
      </w:r>
      <w:r w:rsidRPr="00DF4154">
        <w:rPr>
          <w:rFonts w:ascii="Arial" w:hAnsi="Arial" w:cs="Arial"/>
          <w:sz w:val="26"/>
          <w:szCs w:val="28"/>
        </w:rPr>
        <w:t xml:space="preserve"> provides that </w:t>
      </w:r>
      <w:r w:rsidR="002B58D8" w:rsidRPr="00DF4154">
        <w:rPr>
          <w:rFonts w:ascii="Arial" w:hAnsi="Arial" w:cs="Arial"/>
          <w:sz w:val="26"/>
          <w:szCs w:val="28"/>
        </w:rPr>
        <w:t>debts other than those specified in sub-sections (a), (b) and (c)</w:t>
      </w:r>
      <w:r w:rsidR="007B7D63" w:rsidRPr="00DF4154">
        <w:rPr>
          <w:rFonts w:ascii="Arial" w:hAnsi="Arial" w:cs="Arial"/>
          <w:sz w:val="26"/>
          <w:szCs w:val="28"/>
        </w:rPr>
        <w:t xml:space="preserve"> </w:t>
      </w:r>
      <w:r w:rsidR="002B58D8" w:rsidRPr="00DF4154">
        <w:rPr>
          <w:rFonts w:ascii="Arial" w:hAnsi="Arial" w:cs="Arial"/>
          <w:sz w:val="26"/>
          <w:szCs w:val="28"/>
        </w:rPr>
        <w:t>will be extinguished by prescription after the lapse of a period of three years.</w:t>
      </w:r>
      <w:r w:rsidRPr="00DF4154">
        <w:rPr>
          <w:rFonts w:ascii="Arial" w:hAnsi="Arial" w:cs="Arial"/>
          <w:sz w:val="26"/>
          <w:szCs w:val="28"/>
        </w:rPr>
        <w:t xml:space="preserve"> </w:t>
      </w:r>
    </w:p>
    <w:p w14:paraId="073E923D" w14:textId="77777777" w:rsidR="00FF7264" w:rsidRPr="00DF4154" w:rsidRDefault="00FF7264" w:rsidP="00FF7264">
      <w:pPr>
        <w:pStyle w:val="ListParagraph"/>
        <w:rPr>
          <w:rFonts w:ascii="Arial" w:hAnsi="Arial" w:cs="Arial"/>
          <w:sz w:val="26"/>
          <w:szCs w:val="28"/>
        </w:rPr>
      </w:pPr>
    </w:p>
    <w:p w14:paraId="7235A1CD" w14:textId="2DC0D7E3" w:rsidR="00FF7264" w:rsidRPr="00DF4154" w:rsidRDefault="00FF7264" w:rsidP="00FF726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Section 12(1) provides that prescription shall commence to run “</w:t>
      </w:r>
      <w:r w:rsidRPr="00DF4154">
        <w:rPr>
          <w:rFonts w:ascii="Arial" w:hAnsi="Arial" w:cs="Arial"/>
          <w:i/>
          <w:iCs/>
          <w:sz w:val="26"/>
          <w:szCs w:val="28"/>
        </w:rPr>
        <w:t xml:space="preserve">as soon as the debt is due”, </w:t>
      </w:r>
      <w:r w:rsidRPr="00DF4154">
        <w:rPr>
          <w:rFonts w:ascii="Arial" w:hAnsi="Arial" w:cs="Arial"/>
          <w:sz w:val="26"/>
          <w:szCs w:val="28"/>
        </w:rPr>
        <w:t>subject to the proviso under section 12(3) that “</w:t>
      </w:r>
      <w:r w:rsidRPr="00DF4154">
        <w:rPr>
          <w:rFonts w:ascii="Arial" w:hAnsi="Arial" w:cs="Arial"/>
          <w:i/>
          <w:iCs/>
          <w:sz w:val="26"/>
          <w:szCs w:val="28"/>
        </w:rPr>
        <w:t>a debt shall not be deemed to be due until the creditor has knowledge of the identity of the debtor and of the facts from which the debt arises: Provided that a creditor shall be deemed to have such knowledge if he could have acquired it by exercising reasonable care</w:t>
      </w:r>
      <w:r w:rsidRPr="00DF4154">
        <w:rPr>
          <w:rFonts w:ascii="Arial" w:hAnsi="Arial" w:cs="Arial"/>
          <w:sz w:val="26"/>
          <w:szCs w:val="28"/>
        </w:rPr>
        <w:t>.”</w:t>
      </w:r>
      <w:r w:rsidRPr="00DF4154">
        <w:rPr>
          <w:rFonts w:ascii="Arial" w:hAnsi="Arial" w:cs="Arial"/>
          <w:i/>
          <w:iCs/>
          <w:sz w:val="26"/>
          <w:szCs w:val="28"/>
        </w:rPr>
        <w:t xml:space="preserve"> </w:t>
      </w:r>
    </w:p>
    <w:p w14:paraId="22AD28BA" w14:textId="77777777" w:rsidR="00FF7264" w:rsidRPr="00DF4154" w:rsidRDefault="00FF7264" w:rsidP="00FF7264">
      <w:pPr>
        <w:pStyle w:val="ListParagraph"/>
        <w:rPr>
          <w:rFonts w:ascii="Arial" w:hAnsi="Arial" w:cs="Arial"/>
          <w:sz w:val="26"/>
          <w:szCs w:val="28"/>
        </w:rPr>
      </w:pPr>
    </w:p>
    <w:p w14:paraId="20C80EE6" w14:textId="686A7DE9" w:rsidR="00FF7264" w:rsidRPr="00DF4154" w:rsidRDefault="00FF7264" w:rsidP="00FF726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A debt is due </w:t>
      </w:r>
      <w:r w:rsidR="00A62806" w:rsidRPr="00DF4154">
        <w:rPr>
          <w:rFonts w:ascii="Arial" w:hAnsi="Arial" w:cs="Arial"/>
          <w:sz w:val="26"/>
          <w:szCs w:val="28"/>
        </w:rPr>
        <w:t>“</w:t>
      </w:r>
      <w:r w:rsidRPr="00DF4154">
        <w:rPr>
          <w:rFonts w:ascii="Arial" w:hAnsi="Arial" w:cs="Arial"/>
          <w:i/>
          <w:iCs/>
          <w:sz w:val="26"/>
          <w:szCs w:val="28"/>
        </w:rPr>
        <w:t>when the entire set of facts which the creditor must prove in order to succeed with his or her claim against the debtor is in place</w:t>
      </w:r>
      <w:r w:rsidR="00A62806" w:rsidRPr="00DF4154">
        <w:rPr>
          <w:rFonts w:ascii="Arial" w:hAnsi="Arial" w:cs="Arial"/>
          <w:sz w:val="26"/>
          <w:szCs w:val="28"/>
        </w:rPr>
        <w:t>”</w:t>
      </w:r>
      <w:r w:rsidR="000E71C0" w:rsidRPr="00DF4154">
        <w:rPr>
          <w:rFonts w:ascii="Arial" w:hAnsi="Arial" w:cs="Arial"/>
          <w:sz w:val="26"/>
          <w:szCs w:val="28"/>
        </w:rPr>
        <w:t>,</w:t>
      </w:r>
      <w:r w:rsidR="00A62806" w:rsidRPr="00DF4154">
        <w:rPr>
          <w:rStyle w:val="FootnoteReference"/>
          <w:rFonts w:ascii="Arial" w:hAnsi="Arial" w:cs="Arial"/>
          <w:sz w:val="26"/>
          <w:szCs w:val="28"/>
        </w:rPr>
        <w:footnoteReference w:id="84"/>
      </w:r>
      <w:r w:rsidR="00A62806" w:rsidRPr="00DF4154">
        <w:rPr>
          <w:rFonts w:ascii="Arial" w:hAnsi="Arial" w:cs="Arial"/>
          <w:sz w:val="26"/>
          <w:szCs w:val="28"/>
        </w:rPr>
        <w:t xml:space="preserve"> that is, “</w:t>
      </w:r>
      <w:r w:rsidRPr="00DF4154">
        <w:rPr>
          <w:rFonts w:ascii="Arial" w:hAnsi="Arial" w:cs="Arial"/>
          <w:i/>
          <w:iCs/>
          <w:sz w:val="26"/>
          <w:szCs w:val="28"/>
        </w:rPr>
        <w:t>when everything has happened which would entitled the creditor to institute action and to pursue his or her claim</w:t>
      </w:r>
      <w:r w:rsidR="00A62806" w:rsidRPr="00DF4154">
        <w:rPr>
          <w:rFonts w:ascii="Arial" w:hAnsi="Arial" w:cs="Arial"/>
          <w:sz w:val="26"/>
          <w:szCs w:val="28"/>
        </w:rPr>
        <w:t>”.</w:t>
      </w:r>
      <w:r w:rsidR="00A62806" w:rsidRPr="00DF4154">
        <w:rPr>
          <w:rStyle w:val="FootnoteReference"/>
          <w:rFonts w:ascii="Arial" w:hAnsi="Arial" w:cs="Arial"/>
          <w:sz w:val="26"/>
          <w:szCs w:val="28"/>
        </w:rPr>
        <w:footnoteReference w:id="85"/>
      </w:r>
      <w:r w:rsidR="00A62806" w:rsidRPr="00DF4154">
        <w:rPr>
          <w:rFonts w:ascii="Arial" w:hAnsi="Arial" w:cs="Arial"/>
          <w:sz w:val="26"/>
          <w:szCs w:val="28"/>
        </w:rPr>
        <w:t xml:space="preserve"> </w:t>
      </w:r>
    </w:p>
    <w:p w14:paraId="53665C97" w14:textId="77777777" w:rsidR="00D5181D" w:rsidRPr="00DF4154" w:rsidRDefault="00D5181D" w:rsidP="00D5181D">
      <w:pPr>
        <w:pStyle w:val="ListParagraph"/>
        <w:rPr>
          <w:rFonts w:ascii="Arial" w:hAnsi="Arial" w:cs="Arial"/>
          <w:sz w:val="26"/>
          <w:szCs w:val="28"/>
        </w:rPr>
      </w:pPr>
    </w:p>
    <w:p w14:paraId="7A66C37C" w14:textId="604431AA" w:rsidR="00D5181D" w:rsidRPr="00DF4154" w:rsidRDefault="00D5181D" w:rsidP="003D1E2B">
      <w:pPr>
        <w:keepNext/>
        <w:spacing w:after="0" w:line="480" w:lineRule="auto"/>
        <w:jc w:val="both"/>
        <w:rPr>
          <w:rFonts w:ascii="Arial" w:hAnsi="Arial" w:cs="Arial"/>
          <w:b/>
          <w:bCs/>
          <w:sz w:val="26"/>
          <w:szCs w:val="28"/>
        </w:rPr>
      </w:pPr>
      <w:r w:rsidRPr="00DF4154">
        <w:rPr>
          <w:rFonts w:ascii="Arial" w:hAnsi="Arial" w:cs="Arial"/>
          <w:b/>
          <w:bCs/>
          <w:sz w:val="26"/>
          <w:szCs w:val="28"/>
        </w:rPr>
        <w:t>The implications of section 16(1)</w:t>
      </w:r>
    </w:p>
    <w:p w14:paraId="10B5593F" w14:textId="77777777" w:rsidR="00F6095A" w:rsidRPr="00DF4154" w:rsidRDefault="00F6095A" w:rsidP="003D1E2B">
      <w:pPr>
        <w:pStyle w:val="ListParagraph"/>
        <w:keepNext/>
        <w:spacing w:line="257" w:lineRule="auto"/>
        <w:rPr>
          <w:rFonts w:ascii="Arial" w:hAnsi="Arial" w:cs="Arial"/>
          <w:sz w:val="26"/>
          <w:szCs w:val="28"/>
        </w:rPr>
      </w:pPr>
    </w:p>
    <w:p w14:paraId="5B1DBB71" w14:textId="33B2E204" w:rsidR="00E9611B" w:rsidRPr="00DF4154" w:rsidRDefault="009674DC" w:rsidP="007B7D63">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Assuming for the purposes of </w:t>
      </w:r>
      <w:r w:rsidR="00D5181D" w:rsidRPr="00DF4154">
        <w:rPr>
          <w:rFonts w:ascii="Arial" w:hAnsi="Arial" w:cs="Arial"/>
          <w:sz w:val="26"/>
          <w:szCs w:val="28"/>
        </w:rPr>
        <w:t>our submissions</w:t>
      </w:r>
      <w:r w:rsidRPr="00DF4154">
        <w:rPr>
          <w:rFonts w:ascii="Arial" w:hAnsi="Arial" w:cs="Arial"/>
          <w:sz w:val="26"/>
          <w:szCs w:val="28"/>
        </w:rPr>
        <w:t xml:space="preserve"> that </w:t>
      </w:r>
      <w:r w:rsidR="001A6C2A" w:rsidRPr="00DF4154">
        <w:rPr>
          <w:rFonts w:ascii="Arial" w:hAnsi="Arial" w:cs="Arial"/>
          <w:sz w:val="26"/>
          <w:szCs w:val="28"/>
        </w:rPr>
        <w:t xml:space="preserve">– </w:t>
      </w:r>
    </w:p>
    <w:p w14:paraId="7A45CA5A" w14:textId="77777777" w:rsidR="00F8308F" w:rsidRPr="00DF4154" w:rsidRDefault="00F8308F" w:rsidP="00EF2838">
      <w:pPr>
        <w:pStyle w:val="ListParagraph"/>
        <w:spacing w:after="0" w:line="276" w:lineRule="auto"/>
        <w:jc w:val="both"/>
        <w:rPr>
          <w:rFonts w:ascii="Arial" w:hAnsi="Arial" w:cs="Arial"/>
          <w:sz w:val="26"/>
          <w:szCs w:val="28"/>
        </w:rPr>
      </w:pPr>
    </w:p>
    <w:p w14:paraId="1A8468C2" w14:textId="47A6F1E1" w:rsidR="00E9611B" w:rsidRPr="00DF4154" w:rsidRDefault="009674DC" w:rsidP="00E9611B">
      <w:pPr>
        <w:pStyle w:val="ListParagraph"/>
        <w:numPr>
          <w:ilvl w:val="1"/>
          <w:numId w:val="1"/>
        </w:numPr>
        <w:spacing w:after="0" w:line="480" w:lineRule="auto"/>
        <w:jc w:val="both"/>
        <w:rPr>
          <w:rFonts w:ascii="Arial" w:hAnsi="Arial" w:cs="Arial"/>
          <w:sz w:val="26"/>
          <w:szCs w:val="28"/>
        </w:rPr>
      </w:pPr>
      <w:r w:rsidRPr="00DF4154">
        <w:rPr>
          <w:rFonts w:ascii="Arial" w:hAnsi="Arial" w:cs="Arial"/>
          <w:sz w:val="26"/>
          <w:szCs w:val="28"/>
        </w:rPr>
        <w:t>a firm’s liability for a prohibited practice under the Competition Act is a “</w:t>
      </w:r>
      <w:r w:rsidRPr="00DF4154">
        <w:rPr>
          <w:rFonts w:ascii="Arial" w:hAnsi="Arial" w:cs="Arial"/>
          <w:i/>
          <w:iCs/>
          <w:sz w:val="26"/>
          <w:szCs w:val="28"/>
        </w:rPr>
        <w:t>debt</w:t>
      </w:r>
      <w:r w:rsidRPr="00DF4154">
        <w:rPr>
          <w:rFonts w:ascii="Arial" w:hAnsi="Arial" w:cs="Arial"/>
          <w:sz w:val="26"/>
          <w:szCs w:val="28"/>
        </w:rPr>
        <w:t xml:space="preserve">” as </w:t>
      </w:r>
      <w:r w:rsidR="000E71C0" w:rsidRPr="00DF4154">
        <w:rPr>
          <w:rFonts w:ascii="Arial" w:hAnsi="Arial" w:cs="Arial"/>
          <w:sz w:val="26"/>
          <w:szCs w:val="28"/>
        </w:rPr>
        <w:t>contemplated</w:t>
      </w:r>
      <w:r w:rsidRPr="00DF4154">
        <w:rPr>
          <w:rFonts w:ascii="Arial" w:hAnsi="Arial" w:cs="Arial"/>
          <w:sz w:val="26"/>
          <w:szCs w:val="28"/>
        </w:rPr>
        <w:t xml:space="preserve"> in section 16(1)</w:t>
      </w:r>
      <w:r w:rsidR="00E9611B" w:rsidRPr="00DF4154">
        <w:rPr>
          <w:rFonts w:ascii="Arial" w:hAnsi="Arial" w:cs="Arial"/>
          <w:sz w:val="26"/>
          <w:szCs w:val="28"/>
        </w:rPr>
        <w:t xml:space="preserve"> of the Prescription Act</w:t>
      </w:r>
      <w:r w:rsidR="00D5181D" w:rsidRPr="00DF4154">
        <w:rPr>
          <w:rFonts w:ascii="Arial" w:hAnsi="Arial" w:cs="Arial"/>
          <w:sz w:val="26"/>
          <w:szCs w:val="28"/>
        </w:rPr>
        <w:t>;</w:t>
      </w:r>
      <w:r w:rsidR="007D7744" w:rsidRPr="00DF4154">
        <w:rPr>
          <w:rStyle w:val="FootnoteReference"/>
          <w:rFonts w:ascii="Arial" w:hAnsi="Arial" w:cs="Arial"/>
          <w:sz w:val="26"/>
          <w:szCs w:val="28"/>
        </w:rPr>
        <w:footnoteReference w:id="86"/>
      </w:r>
      <w:r w:rsidRPr="00DF4154">
        <w:rPr>
          <w:rFonts w:ascii="Arial" w:hAnsi="Arial" w:cs="Arial"/>
          <w:sz w:val="26"/>
          <w:szCs w:val="28"/>
        </w:rPr>
        <w:t xml:space="preserve"> and</w:t>
      </w:r>
    </w:p>
    <w:p w14:paraId="4B25EB74" w14:textId="77777777" w:rsidR="00EF2838" w:rsidRPr="00DF4154" w:rsidRDefault="00EF2838" w:rsidP="00EF2838">
      <w:pPr>
        <w:pStyle w:val="ListParagraph"/>
        <w:spacing w:after="0" w:line="276" w:lineRule="auto"/>
        <w:ind w:left="1440"/>
        <w:jc w:val="both"/>
        <w:rPr>
          <w:rFonts w:ascii="Arial" w:hAnsi="Arial" w:cs="Arial"/>
          <w:sz w:val="26"/>
          <w:szCs w:val="28"/>
        </w:rPr>
      </w:pPr>
    </w:p>
    <w:p w14:paraId="63117E75" w14:textId="05665B6B" w:rsidR="00E9611B" w:rsidRPr="00DF4154" w:rsidRDefault="009674DC" w:rsidP="00E9611B">
      <w:pPr>
        <w:pStyle w:val="ListParagraph"/>
        <w:numPr>
          <w:ilvl w:val="1"/>
          <w:numId w:val="1"/>
        </w:numPr>
        <w:spacing w:after="0" w:line="480" w:lineRule="auto"/>
        <w:jc w:val="both"/>
        <w:rPr>
          <w:rFonts w:ascii="Arial" w:hAnsi="Arial" w:cs="Arial"/>
          <w:sz w:val="26"/>
          <w:szCs w:val="28"/>
        </w:rPr>
      </w:pPr>
      <w:r w:rsidRPr="00DF4154">
        <w:rPr>
          <w:rFonts w:ascii="Arial" w:hAnsi="Arial" w:cs="Arial"/>
          <w:sz w:val="26"/>
          <w:szCs w:val="28"/>
        </w:rPr>
        <w:t>section 67(1)</w:t>
      </w:r>
      <w:r w:rsidR="00E9611B" w:rsidRPr="00DF4154">
        <w:rPr>
          <w:rFonts w:ascii="Arial" w:hAnsi="Arial" w:cs="Arial"/>
          <w:sz w:val="26"/>
          <w:szCs w:val="28"/>
        </w:rPr>
        <w:t xml:space="preserve"> of the Competition Act</w:t>
      </w:r>
      <w:r w:rsidRPr="00DF4154">
        <w:rPr>
          <w:rFonts w:ascii="Arial" w:hAnsi="Arial" w:cs="Arial"/>
          <w:sz w:val="26"/>
          <w:szCs w:val="28"/>
        </w:rPr>
        <w:t xml:space="preserve"> prescribes a specified period for a “</w:t>
      </w:r>
      <w:r w:rsidRPr="00DF4154">
        <w:rPr>
          <w:rFonts w:ascii="Arial" w:hAnsi="Arial" w:cs="Arial"/>
          <w:i/>
          <w:sz w:val="26"/>
          <w:szCs w:val="28"/>
        </w:rPr>
        <w:t xml:space="preserve">claim to be </w:t>
      </w:r>
      <w:r w:rsidRPr="00DF4154">
        <w:rPr>
          <w:rFonts w:ascii="Arial" w:hAnsi="Arial" w:cs="Arial"/>
          <w:i/>
          <w:iCs/>
          <w:sz w:val="26"/>
          <w:szCs w:val="28"/>
        </w:rPr>
        <w:t>made</w:t>
      </w:r>
      <w:r w:rsidRPr="00DF4154">
        <w:rPr>
          <w:rFonts w:ascii="Arial" w:hAnsi="Arial" w:cs="Arial"/>
          <w:sz w:val="26"/>
          <w:szCs w:val="28"/>
        </w:rPr>
        <w:t>” or an “</w:t>
      </w:r>
      <w:r w:rsidRPr="00DF4154">
        <w:rPr>
          <w:rFonts w:ascii="Arial" w:hAnsi="Arial" w:cs="Arial"/>
          <w:i/>
          <w:sz w:val="26"/>
          <w:szCs w:val="28"/>
        </w:rPr>
        <w:t>action to be instituted</w:t>
      </w:r>
      <w:r w:rsidRPr="00DF4154">
        <w:rPr>
          <w:rFonts w:ascii="Arial" w:hAnsi="Arial" w:cs="Arial"/>
          <w:sz w:val="26"/>
          <w:szCs w:val="28"/>
        </w:rPr>
        <w:t xml:space="preserve">” in respect of that </w:t>
      </w:r>
      <w:r w:rsidR="00ED14A2" w:rsidRPr="00DF4154">
        <w:rPr>
          <w:rFonts w:ascii="Arial" w:hAnsi="Arial" w:cs="Arial"/>
          <w:sz w:val="26"/>
          <w:szCs w:val="28"/>
        </w:rPr>
        <w:t>“</w:t>
      </w:r>
      <w:r w:rsidRPr="00DF4154">
        <w:rPr>
          <w:rFonts w:ascii="Arial" w:hAnsi="Arial" w:cs="Arial"/>
          <w:i/>
          <w:iCs/>
          <w:sz w:val="26"/>
          <w:szCs w:val="28"/>
        </w:rPr>
        <w:t>debt</w:t>
      </w:r>
      <w:r w:rsidR="00ED14A2" w:rsidRPr="00DF4154">
        <w:rPr>
          <w:rFonts w:ascii="Arial" w:hAnsi="Arial" w:cs="Arial"/>
          <w:sz w:val="26"/>
          <w:szCs w:val="28"/>
        </w:rPr>
        <w:t>”</w:t>
      </w:r>
      <w:r w:rsidRPr="00DF4154">
        <w:rPr>
          <w:rFonts w:ascii="Arial" w:hAnsi="Arial" w:cs="Arial"/>
          <w:sz w:val="26"/>
          <w:szCs w:val="28"/>
        </w:rPr>
        <w:t>,</w:t>
      </w:r>
    </w:p>
    <w:p w14:paraId="2023C3B8" w14:textId="77777777" w:rsidR="00F8308F" w:rsidRPr="00DF4154" w:rsidRDefault="00F8308F" w:rsidP="00EF2838">
      <w:pPr>
        <w:spacing w:after="0" w:line="276" w:lineRule="auto"/>
        <w:ind w:left="720"/>
        <w:jc w:val="both"/>
        <w:rPr>
          <w:rFonts w:ascii="Arial" w:hAnsi="Arial" w:cs="Arial"/>
          <w:sz w:val="26"/>
          <w:szCs w:val="28"/>
        </w:rPr>
      </w:pPr>
    </w:p>
    <w:p w14:paraId="2CCD733D" w14:textId="4925EA61" w:rsidR="009674DC" w:rsidRPr="00DF4154" w:rsidRDefault="009674DC" w:rsidP="00E9611B">
      <w:pPr>
        <w:spacing w:after="0" w:line="480" w:lineRule="auto"/>
        <w:ind w:left="720"/>
        <w:jc w:val="both"/>
        <w:rPr>
          <w:rFonts w:ascii="Arial" w:hAnsi="Arial" w:cs="Arial"/>
          <w:sz w:val="26"/>
          <w:szCs w:val="28"/>
        </w:rPr>
      </w:pPr>
      <w:r w:rsidRPr="00DF4154">
        <w:rPr>
          <w:rFonts w:ascii="Arial" w:hAnsi="Arial" w:cs="Arial"/>
          <w:sz w:val="26"/>
          <w:szCs w:val="28"/>
        </w:rPr>
        <w:t xml:space="preserve">the Chapter 3 provisions would </w:t>
      </w:r>
      <w:r w:rsidR="000F6817" w:rsidRPr="00DF4154">
        <w:rPr>
          <w:rFonts w:ascii="Arial" w:hAnsi="Arial" w:cs="Arial"/>
          <w:sz w:val="26"/>
          <w:szCs w:val="28"/>
        </w:rPr>
        <w:t>(</w:t>
      </w:r>
      <w:r w:rsidRPr="00DF4154">
        <w:rPr>
          <w:rFonts w:ascii="Arial" w:hAnsi="Arial" w:cs="Arial"/>
          <w:sz w:val="26"/>
          <w:szCs w:val="28"/>
        </w:rPr>
        <w:t xml:space="preserve">in terms of section 16(1) </w:t>
      </w:r>
      <w:r w:rsidR="00E9611B" w:rsidRPr="00DF4154">
        <w:rPr>
          <w:rFonts w:ascii="Arial" w:hAnsi="Arial" w:cs="Arial"/>
          <w:sz w:val="26"/>
          <w:szCs w:val="28"/>
        </w:rPr>
        <w:t>of the Prescription Act</w:t>
      </w:r>
      <w:r w:rsidR="000F6817" w:rsidRPr="00DF4154">
        <w:rPr>
          <w:rFonts w:ascii="Arial" w:hAnsi="Arial" w:cs="Arial"/>
          <w:sz w:val="26"/>
          <w:szCs w:val="28"/>
        </w:rPr>
        <w:t>)</w:t>
      </w:r>
      <w:r w:rsidR="00E9611B" w:rsidRPr="00DF4154">
        <w:rPr>
          <w:rFonts w:ascii="Arial" w:hAnsi="Arial" w:cs="Arial"/>
          <w:sz w:val="26"/>
          <w:szCs w:val="28"/>
        </w:rPr>
        <w:t xml:space="preserve"> </w:t>
      </w:r>
      <w:r w:rsidRPr="00DF4154">
        <w:rPr>
          <w:rFonts w:ascii="Arial" w:hAnsi="Arial" w:cs="Arial"/>
          <w:sz w:val="26"/>
          <w:szCs w:val="28"/>
        </w:rPr>
        <w:t>apply to the firm’s “</w:t>
      </w:r>
      <w:r w:rsidRPr="00DF4154">
        <w:rPr>
          <w:rFonts w:ascii="Arial" w:hAnsi="Arial" w:cs="Arial"/>
          <w:i/>
          <w:iCs/>
          <w:sz w:val="26"/>
          <w:szCs w:val="28"/>
        </w:rPr>
        <w:t>debt</w:t>
      </w:r>
      <w:r w:rsidRPr="00DF4154">
        <w:rPr>
          <w:rFonts w:ascii="Arial" w:hAnsi="Arial" w:cs="Arial"/>
          <w:sz w:val="26"/>
          <w:szCs w:val="28"/>
        </w:rPr>
        <w:t>”</w:t>
      </w:r>
      <w:r w:rsidR="00E9611B" w:rsidRPr="00DF4154">
        <w:rPr>
          <w:rFonts w:ascii="Arial" w:hAnsi="Arial" w:cs="Arial"/>
          <w:sz w:val="26"/>
          <w:szCs w:val="28"/>
        </w:rPr>
        <w:t>,</w:t>
      </w:r>
      <w:r w:rsidRPr="00DF4154">
        <w:rPr>
          <w:rFonts w:ascii="Arial" w:hAnsi="Arial" w:cs="Arial"/>
          <w:sz w:val="26"/>
          <w:szCs w:val="28"/>
        </w:rPr>
        <w:t xml:space="preserve"> provided that they are not inconsistent with section 67(1)</w:t>
      </w:r>
      <w:r w:rsidR="00E9611B" w:rsidRPr="00DF4154">
        <w:rPr>
          <w:rFonts w:ascii="Arial" w:hAnsi="Arial" w:cs="Arial"/>
          <w:sz w:val="26"/>
          <w:szCs w:val="28"/>
        </w:rPr>
        <w:t xml:space="preserve"> of the Competition Act.</w:t>
      </w:r>
    </w:p>
    <w:p w14:paraId="38B5BA6D" w14:textId="77777777" w:rsidR="006B7B54" w:rsidRPr="00DF4154" w:rsidRDefault="006B7B54" w:rsidP="006B7B54">
      <w:pPr>
        <w:pStyle w:val="ListParagraph"/>
        <w:rPr>
          <w:rFonts w:ascii="Arial" w:hAnsi="Arial" w:cs="Arial"/>
          <w:sz w:val="26"/>
          <w:szCs w:val="28"/>
        </w:rPr>
      </w:pPr>
    </w:p>
    <w:p w14:paraId="54B5D4C9" w14:textId="324A2785" w:rsidR="009674DC" w:rsidRPr="00DF4154" w:rsidRDefault="00ED0270" w:rsidP="006B7B5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We note that </w:t>
      </w:r>
      <w:r w:rsidRPr="00DF4154">
        <w:rPr>
          <w:rFonts w:ascii="Arial" w:hAnsi="Arial" w:cs="Arial"/>
          <w:sz w:val="26"/>
          <w:szCs w:val="28"/>
          <w:u w:val="single"/>
        </w:rPr>
        <w:t>all the</w:t>
      </w:r>
      <w:r w:rsidR="00F8308F" w:rsidRPr="00DF4154">
        <w:rPr>
          <w:rFonts w:ascii="Arial" w:hAnsi="Arial" w:cs="Arial"/>
          <w:sz w:val="26"/>
          <w:szCs w:val="28"/>
          <w:u w:val="single"/>
        </w:rPr>
        <w:t xml:space="preserve"> relevant</w:t>
      </w:r>
      <w:r w:rsidRPr="00DF4154">
        <w:rPr>
          <w:rFonts w:ascii="Arial" w:hAnsi="Arial" w:cs="Arial"/>
          <w:sz w:val="26"/>
          <w:szCs w:val="28"/>
          <w:u w:val="single"/>
        </w:rPr>
        <w:t xml:space="preserve"> </w:t>
      </w:r>
      <w:r w:rsidR="00E9611B" w:rsidRPr="00DF4154">
        <w:rPr>
          <w:rFonts w:ascii="Arial" w:hAnsi="Arial" w:cs="Arial"/>
          <w:sz w:val="26"/>
          <w:szCs w:val="28"/>
          <w:u w:val="single"/>
        </w:rPr>
        <w:t xml:space="preserve">Chapter </w:t>
      </w:r>
      <w:r w:rsidRPr="00DF4154">
        <w:rPr>
          <w:rFonts w:ascii="Arial" w:hAnsi="Arial" w:cs="Arial"/>
          <w:sz w:val="26"/>
          <w:szCs w:val="28"/>
          <w:u w:val="single"/>
        </w:rPr>
        <w:t xml:space="preserve">3 </w:t>
      </w:r>
      <w:r w:rsidR="00E9611B" w:rsidRPr="00DF4154">
        <w:rPr>
          <w:rFonts w:ascii="Arial" w:hAnsi="Arial" w:cs="Arial"/>
          <w:sz w:val="26"/>
          <w:szCs w:val="28"/>
          <w:u w:val="single"/>
        </w:rPr>
        <w:t>provisions</w:t>
      </w:r>
      <w:r w:rsidR="00E9611B" w:rsidRPr="00DF4154">
        <w:rPr>
          <w:rFonts w:ascii="Arial" w:hAnsi="Arial" w:cs="Arial"/>
          <w:sz w:val="26"/>
          <w:szCs w:val="28"/>
        </w:rPr>
        <w:t xml:space="preserve"> </w:t>
      </w:r>
      <w:r w:rsidRPr="00DF4154">
        <w:rPr>
          <w:rFonts w:ascii="Arial" w:hAnsi="Arial" w:cs="Arial"/>
          <w:sz w:val="26"/>
          <w:szCs w:val="28"/>
        </w:rPr>
        <w:t xml:space="preserve">would apply to such a debt. Section 16(1) does not </w:t>
      </w:r>
      <w:r w:rsidR="00E9611B" w:rsidRPr="00DF4154">
        <w:rPr>
          <w:rFonts w:ascii="Arial" w:hAnsi="Arial" w:cs="Arial"/>
          <w:sz w:val="26"/>
          <w:szCs w:val="28"/>
        </w:rPr>
        <w:t xml:space="preserve">permit of </w:t>
      </w:r>
      <w:r w:rsidRPr="00DF4154">
        <w:rPr>
          <w:rFonts w:ascii="Arial" w:hAnsi="Arial" w:cs="Arial"/>
          <w:sz w:val="26"/>
          <w:szCs w:val="28"/>
        </w:rPr>
        <w:t xml:space="preserve">the selective </w:t>
      </w:r>
      <w:r w:rsidR="00E9611B" w:rsidRPr="00DF4154">
        <w:rPr>
          <w:rFonts w:ascii="Arial" w:hAnsi="Arial" w:cs="Arial"/>
          <w:sz w:val="26"/>
          <w:szCs w:val="28"/>
        </w:rPr>
        <w:t>application</w:t>
      </w:r>
      <w:r w:rsidRPr="00DF4154">
        <w:rPr>
          <w:rFonts w:ascii="Arial" w:hAnsi="Arial" w:cs="Arial"/>
          <w:sz w:val="26"/>
          <w:szCs w:val="28"/>
        </w:rPr>
        <w:t xml:space="preserve"> of one</w:t>
      </w:r>
      <w:r w:rsidR="00E9611B" w:rsidRPr="00DF4154">
        <w:rPr>
          <w:rFonts w:ascii="Arial" w:hAnsi="Arial" w:cs="Arial"/>
          <w:sz w:val="26"/>
          <w:szCs w:val="28"/>
        </w:rPr>
        <w:t xml:space="preserve"> or more of the Chapter 3 provisions</w:t>
      </w:r>
      <w:r w:rsidRPr="00DF4154">
        <w:rPr>
          <w:rFonts w:ascii="Arial" w:hAnsi="Arial" w:cs="Arial"/>
          <w:sz w:val="26"/>
          <w:szCs w:val="28"/>
        </w:rPr>
        <w:t xml:space="preserve">. </w:t>
      </w:r>
    </w:p>
    <w:p w14:paraId="69EE8805" w14:textId="77777777" w:rsidR="00F8308F" w:rsidRPr="00DF4154" w:rsidRDefault="00F8308F" w:rsidP="00EF2838">
      <w:pPr>
        <w:pStyle w:val="ListParagraph"/>
        <w:spacing w:after="0" w:line="276" w:lineRule="auto"/>
        <w:jc w:val="both"/>
        <w:rPr>
          <w:rFonts w:ascii="Arial" w:hAnsi="Arial" w:cs="Arial"/>
          <w:sz w:val="26"/>
          <w:szCs w:val="28"/>
        </w:rPr>
      </w:pPr>
    </w:p>
    <w:p w14:paraId="730FB3CC" w14:textId="5CEA04D6" w:rsidR="00F8308F" w:rsidRPr="00DF4154" w:rsidRDefault="00F8308F" w:rsidP="006B7B5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lastRenderedPageBreak/>
        <w:t>If all the relevant Chapter 3 provisions were applied to a firm’s liability for collusive tendering in terms of section 4(b)(iii) of the Competition Act, the following consequences would follow</w:t>
      </w:r>
      <w:r w:rsidR="0074513A" w:rsidRPr="00DF4154">
        <w:rPr>
          <w:rFonts w:ascii="Arial" w:hAnsi="Arial" w:cs="Arial"/>
          <w:sz w:val="26"/>
          <w:szCs w:val="28"/>
        </w:rPr>
        <w:t>.</w:t>
      </w:r>
    </w:p>
    <w:p w14:paraId="5C0FF164" w14:textId="77777777" w:rsidR="0074513A" w:rsidRPr="00DF4154" w:rsidRDefault="0074513A" w:rsidP="0074513A">
      <w:pPr>
        <w:pStyle w:val="ListParagraph"/>
        <w:rPr>
          <w:rFonts w:ascii="Arial" w:hAnsi="Arial" w:cs="Arial"/>
          <w:sz w:val="26"/>
          <w:szCs w:val="28"/>
        </w:rPr>
      </w:pPr>
    </w:p>
    <w:p w14:paraId="67FA6A76" w14:textId="4E9D7749" w:rsidR="00ED0270" w:rsidRPr="00DF4154" w:rsidRDefault="00ED0270" w:rsidP="0074513A">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firm’s liability would</w:t>
      </w:r>
      <w:r w:rsidR="000F6817" w:rsidRPr="00DF4154">
        <w:rPr>
          <w:rFonts w:ascii="Arial" w:hAnsi="Arial" w:cs="Arial"/>
          <w:sz w:val="26"/>
          <w:szCs w:val="28"/>
        </w:rPr>
        <w:t>,</w:t>
      </w:r>
      <w:r w:rsidRPr="00DF4154">
        <w:rPr>
          <w:rFonts w:ascii="Arial" w:hAnsi="Arial" w:cs="Arial"/>
          <w:sz w:val="26"/>
          <w:szCs w:val="28"/>
        </w:rPr>
        <w:t xml:space="preserve"> </w:t>
      </w:r>
      <w:r w:rsidR="00F8308F" w:rsidRPr="00DF4154">
        <w:rPr>
          <w:rFonts w:ascii="Arial" w:hAnsi="Arial" w:cs="Arial"/>
          <w:sz w:val="26"/>
          <w:szCs w:val="28"/>
        </w:rPr>
        <w:t xml:space="preserve">by operation of </w:t>
      </w:r>
      <w:r w:rsidRPr="00DF4154">
        <w:rPr>
          <w:rFonts w:ascii="Arial" w:hAnsi="Arial" w:cs="Arial"/>
          <w:sz w:val="26"/>
          <w:szCs w:val="28"/>
        </w:rPr>
        <w:t>section</w:t>
      </w:r>
      <w:r w:rsidR="00F8308F" w:rsidRPr="00DF4154">
        <w:rPr>
          <w:rFonts w:ascii="Arial" w:hAnsi="Arial" w:cs="Arial"/>
          <w:sz w:val="26"/>
          <w:szCs w:val="28"/>
        </w:rPr>
        <w:t>s 1</w:t>
      </w:r>
      <w:r w:rsidRPr="00DF4154">
        <w:rPr>
          <w:rFonts w:ascii="Arial" w:hAnsi="Arial" w:cs="Arial"/>
          <w:sz w:val="26"/>
          <w:szCs w:val="28"/>
        </w:rPr>
        <w:t>0(1), 11(d) and 12(1)</w:t>
      </w:r>
      <w:r w:rsidR="00F8308F" w:rsidRPr="00DF4154">
        <w:rPr>
          <w:rFonts w:ascii="Arial" w:hAnsi="Arial" w:cs="Arial"/>
          <w:sz w:val="26"/>
          <w:szCs w:val="28"/>
        </w:rPr>
        <w:t xml:space="preserve"> of the Prescription Act</w:t>
      </w:r>
      <w:r w:rsidRPr="00DF4154">
        <w:rPr>
          <w:rFonts w:ascii="Arial" w:hAnsi="Arial" w:cs="Arial"/>
          <w:sz w:val="26"/>
          <w:szCs w:val="28"/>
        </w:rPr>
        <w:t xml:space="preserve">, be extinguished by prescription after the lapse of three years from the date on which </w:t>
      </w:r>
      <w:r w:rsidR="00530DE6" w:rsidRPr="00DF4154">
        <w:rPr>
          <w:rFonts w:ascii="Arial" w:hAnsi="Arial" w:cs="Arial"/>
          <w:sz w:val="26"/>
          <w:szCs w:val="28"/>
          <w:u w:val="single"/>
        </w:rPr>
        <w:t>the debt wa</w:t>
      </w:r>
      <w:r w:rsidRPr="00DF4154">
        <w:rPr>
          <w:rFonts w:ascii="Arial" w:hAnsi="Arial" w:cs="Arial"/>
          <w:sz w:val="26"/>
          <w:szCs w:val="28"/>
          <w:u w:val="single"/>
        </w:rPr>
        <w:t>s due</w:t>
      </w:r>
      <w:r w:rsidR="00F8308F" w:rsidRPr="00DF4154">
        <w:rPr>
          <w:rFonts w:ascii="Arial" w:hAnsi="Arial" w:cs="Arial"/>
          <w:sz w:val="26"/>
          <w:szCs w:val="28"/>
        </w:rPr>
        <w:t xml:space="preserve">, that is, </w:t>
      </w:r>
      <w:r w:rsidR="00AF1FBF" w:rsidRPr="00DF4154">
        <w:rPr>
          <w:rFonts w:ascii="Arial" w:hAnsi="Arial" w:cs="Arial"/>
          <w:sz w:val="26"/>
          <w:szCs w:val="28"/>
        </w:rPr>
        <w:t xml:space="preserve">the date on which all </w:t>
      </w:r>
      <w:r w:rsidR="00530DE6" w:rsidRPr="00DF4154">
        <w:rPr>
          <w:rFonts w:ascii="Arial" w:hAnsi="Arial" w:cs="Arial"/>
          <w:sz w:val="26"/>
          <w:szCs w:val="28"/>
        </w:rPr>
        <w:t xml:space="preserve">the </w:t>
      </w:r>
      <w:r w:rsidR="00AF1FBF" w:rsidRPr="00DF4154">
        <w:rPr>
          <w:rFonts w:ascii="Arial" w:hAnsi="Arial" w:cs="Arial"/>
          <w:sz w:val="26"/>
          <w:szCs w:val="28"/>
        </w:rPr>
        <w:t>material facts were in place</w:t>
      </w:r>
      <w:r w:rsidR="00F8308F" w:rsidRPr="00DF4154">
        <w:rPr>
          <w:rFonts w:ascii="Arial" w:hAnsi="Arial" w:cs="Arial"/>
          <w:sz w:val="26"/>
          <w:szCs w:val="28"/>
        </w:rPr>
        <w:t xml:space="preserve"> (</w:t>
      </w:r>
      <w:r w:rsidR="00AF1FBF" w:rsidRPr="00DF4154">
        <w:rPr>
          <w:rFonts w:ascii="Arial" w:hAnsi="Arial" w:cs="Arial"/>
          <w:sz w:val="26"/>
          <w:szCs w:val="28"/>
        </w:rPr>
        <w:t xml:space="preserve">subject to the </w:t>
      </w:r>
      <w:r w:rsidR="00F8308F" w:rsidRPr="00DF4154">
        <w:rPr>
          <w:rFonts w:ascii="Arial" w:hAnsi="Arial" w:cs="Arial"/>
          <w:sz w:val="26"/>
          <w:szCs w:val="28"/>
        </w:rPr>
        <w:t>Commission’s</w:t>
      </w:r>
      <w:r w:rsidR="00AF1FBF" w:rsidRPr="00DF4154">
        <w:rPr>
          <w:rFonts w:ascii="Arial" w:hAnsi="Arial" w:cs="Arial"/>
          <w:sz w:val="26"/>
          <w:szCs w:val="28"/>
        </w:rPr>
        <w:t xml:space="preserve"> knowledge</w:t>
      </w:r>
      <w:r w:rsidR="00F8308F" w:rsidRPr="00DF4154">
        <w:rPr>
          <w:rFonts w:ascii="Arial" w:hAnsi="Arial" w:cs="Arial"/>
          <w:sz w:val="26"/>
          <w:szCs w:val="28"/>
        </w:rPr>
        <w:t xml:space="preserve"> or deemed knowledge</w:t>
      </w:r>
      <w:r w:rsidR="00AF1FBF" w:rsidRPr="00DF4154">
        <w:rPr>
          <w:rFonts w:ascii="Arial" w:hAnsi="Arial" w:cs="Arial"/>
          <w:sz w:val="26"/>
          <w:szCs w:val="28"/>
        </w:rPr>
        <w:t xml:space="preserve"> of the identity of the </w:t>
      </w:r>
      <w:r w:rsidR="00F8308F" w:rsidRPr="00DF4154">
        <w:rPr>
          <w:rFonts w:ascii="Arial" w:hAnsi="Arial" w:cs="Arial"/>
          <w:sz w:val="26"/>
          <w:szCs w:val="28"/>
        </w:rPr>
        <w:t>firm</w:t>
      </w:r>
      <w:r w:rsidR="00AF1FBF" w:rsidRPr="00DF4154">
        <w:rPr>
          <w:rFonts w:ascii="Arial" w:hAnsi="Arial" w:cs="Arial"/>
          <w:sz w:val="26"/>
          <w:szCs w:val="28"/>
        </w:rPr>
        <w:t xml:space="preserve"> and of the facts from which </w:t>
      </w:r>
      <w:r w:rsidR="00F8308F" w:rsidRPr="00DF4154">
        <w:rPr>
          <w:rFonts w:ascii="Arial" w:hAnsi="Arial" w:cs="Arial"/>
          <w:sz w:val="26"/>
          <w:szCs w:val="28"/>
        </w:rPr>
        <w:t xml:space="preserve">its liability </w:t>
      </w:r>
      <w:r w:rsidR="00AF1FBF" w:rsidRPr="00DF4154">
        <w:rPr>
          <w:rFonts w:ascii="Arial" w:hAnsi="Arial" w:cs="Arial"/>
          <w:sz w:val="26"/>
          <w:szCs w:val="28"/>
        </w:rPr>
        <w:t>arises</w:t>
      </w:r>
      <w:r w:rsidR="00F8308F" w:rsidRPr="00DF4154">
        <w:rPr>
          <w:rFonts w:ascii="Arial" w:hAnsi="Arial" w:cs="Arial"/>
          <w:sz w:val="26"/>
          <w:szCs w:val="28"/>
        </w:rPr>
        <w:t>).</w:t>
      </w:r>
    </w:p>
    <w:p w14:paraId="7AA76FBE" w14:textId="77777777" w:rsidR="0074513A" w:rsidRPr="00DF4154" w:rsidRDefault="0074513A" w:rsidP="0074513A">
      <w:pPr>
        <w:pStyle w:val="ListParagraph"/>
        <w:rPr>
          <w:rFonts w:ascii="Arial" w:hAnsi="Arial" w:cs="Arial"/>
          <w:sz w:val="26"/>
          <w:szCs w:val="28"/>
        </w:rPr>
      </w:pPr>
    </w:p>
    <w:p w14:paraId="6EE0D06C" w14:textId="27638676" w:rsidR="00F8308F" w:rsidRPr="00DF4154" w:rsidRDefault="00F8308F" w:rsidP="0074513A">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w:t>
      </w:r>
      <w:r w:rsidR="000C03D7" w:rsidRPr="00DF4154">
        <w:rPr>
          <w:rFonts w:ascii="Arial" w:hAnsi="Arial" w:cs="Arial"/>
          <w:sz w:val="26"/>
          <w:szCs w:val="28"/>
        </w:rPr>
        <w:t xml:space="preserve">re would be </w:t>
      </w:r>
      <w:r w:rsidRPr="00DF4154">
        <w:rPr>
          <w:rFonts w:ascii="Arial" w:hAnsi="Arial" w:cs="Arial"/>
          <w:sz w:val="26"/>
          <w:szCs w:val="28"/>
          <w:u w:val="single"/>
        </w:rPr>
        <w:t>no effect</w:t>
      </w:r>
      <w:r w:rsidRPr="00DF4154">
        <w:rPr>
          <w:rFonts w:ascii="Arial" w:hAnsi="Arial" w:cs="Arial"/>
          <w:sz w:val="26"/>
          <w:szCs w:val="28"/>
        </w:rPr>
        <w:t xml:space="preserve"> on </w:t>
      </w:r>
      <w:r w:rsidR="000C03D7" w:rsidRPr="00DF4154">
        <w:rPr>
          <w:rFonts w:ascii="Arial" w:hAnsi="Arial" w:cs="Arial"/>
          <w:sz w:val="26"/>
          <w:szCs w:val="28"/>
        </w:rPr>
        <w:t xml:space="preserve">the meaning, scope or application of </w:t>
      </w:r>
      <w:r w:rsidRPr="00DF4154">
        <w:rPr>
          <w:rFonts w:ascii="Arial" w:hAnsi="Arial" w:cs="Arial"/>
          <w:sz w:val="26"/>
          <w:szCs w:val="28"/>
        </w:rPr>
        <w:t>section 67(1) of the Competition Act, which does not concern a “</w:t>
      </w:r>
      <w:r w:rsidRPr="00DF4154">
        <w:rPr>
          <w:rFonts w:ascii="Arial" w:hAnsi="Arial" w:cs="Arial"/>
          <w:i/>
          <w:iCs/>
          <w:sz w:val="26"/>
          <w:szCs w:val="28"/>
        </w:rPr>
        <w:t>debt</w:t>
      </w:r>
      <w:r w:rsidRPr="00DF4154">
        <w:rPr>
          <w:rFonts w:ascii="Arial" w:hAnsi="Arial" w:cs="Arial"/>
          <w:sz w:val="26"/>
          <w:szCs w:val="28"/>
        </w:rPr>
        <w:t>” or liability, but</w:t>
      </w:r>
      <w:r w:rsidR="0045655A" w:rsidRPr="00DF4154">
        <w:rPr>
          <w:rFonts w:ascii="Arial" w:hAnsi="Arial" w:cs="Arial"/>
          <w:sz w:val="26"/>
          <w:szCs w:val="28"/>
        </w:rPr>
        <w:t xml:space="preserve"> rather</w:t>
      </w:r>
      <w:r w:rsidRPr="00DF4154">
        <w:rPr>
          <w:rFonts w:ascii="Arial" w:hAnsi="Arial" w:cs="Arial"/>
          <w:sz w:val="26"/>
          <w:szCs w:val="28"/>
        </w:rPr>
        <w:t xml:space="preserve"> the Commission’s power to initiate a complaint in respect of the prohibited practice which is alleged to give rise to the “</w:t>
      </w:r>
      <w:r w:rsidRPr="00DF4154">
        <w:rPr>
          <w:rFonts w:ascii="Arial" w:hAnsi="Arial" w:cs="Arial"/>
          <w:i/>
          <w:iCs/>
          <w:sz w:val="26"/>
          <w:szCs w:val="28"/>
        </w:rPr>
        <w:t>debt</w:t>
      </w:r>
      <w:r w:rsidRPr="00DF4154">
        <w:rPr>
          <w:rFonts w:ascii="Arial" w:hAnsi="Arial" w:cs="Arial"/>
          <w:sz w:val="26"/>
          <w:szCs w:val="28"/>
        </w:rPr>
        <w:t>”</w:t>
      </w:r>
      <w:r w:rsidR="000F6817" w:rsidRPr="00DF4154">
        <w:rPr>
          <w:rFonts w:ascii="Arial" w:hAnsi="Arial" w:cs="Arial"/>
          <w:sz w:val="26"/>
          <w:szCs w:val="28"/>
        </w:rPr>
        <w:t xml:space="preserve"> or liability</w:t>
      </w:r>
      <w:r w:rsidRPr="00DF4154">
        <w:rPr>
          <w:rFonts w:ascii="Arial" w:hAnsi="Arial" w:cs="Arial"/>
          <w:sz w:val="26"/>
          <w:szCs w:val="28"/>
        </w:rPr>
        <w:t xml:space="preserve">. </w:t>
      </w:r>
    </w:p>
    <w:p w14:paraId="51C31E6F" w14:textId="77777777" w:rsidR="0074513A" w:rsidRPr="00DF4154" w:rsidRDefault="0074513A" w:rsidP="0074513A">
      <w:pPr>
        <w:pStyle w:val="ListParagraph"/>
        <w:rPr>
          <w:rFonts w:ascii="Arial" w:hAnsi="Arial" w:cs="Arial"/>
          <w:sz w:val="26"/>
          <w:szCs w:val="28"/>
        </w:rPr>
      </w:pPr>
    </w:p>
    <w:p w14:paraId="34D105BF" w14:textId="57652DB6" w:rsidR="00F8308F" w:rsidRPr="00DF4154" w:rsidRDefault="00F8308F" w:rsidP="0074513A">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Accordingly section 67(1) would continue to govern the exercise of the Commission’s power of initiation, while the relevant Chapter 3 provisions would govern the circumstances in which the underlying </w:t>
      </w:r>
      <w:r w:rsidR="000F6817" w:rsidRPr="00DF4154">
        <w:rPr>
          <w:rFonts w:ascii="Arial" w:hAnsi="Arial" w:cs="Arial"/>
          <w:sz w:val="26"/>
          <w:szCs w:val="28"/>
        </w:rPr>
        <w:t>liability</w:t>
      </w:r>
      <w:r w:rsidR="00641AF9" w:rsidRPr="00DF4154">
        <w:rPr>
          <w:rFonts w:ascii="Arial" w:hAnsi="Arial" w:cs="Arial"/>
          <w:sz w:val="26"/>
          <w:szCs w:val="28"/>
        </w:rPr>
        <w:t xml:space="preserve"> would be extinguished by prescription.</w:t>
      </w:r>
    </w:p>
    <w:p w14:paraId="64DAA7AF" w14:textId="77777777" w:rsidR="0074513A" w:rsidRPr="00DF4154" w:rsidRDefault="0074513A" w:rsidP="0074513A">
      <w:pPr>
        <w:pStyle w:val="ListParagraph"/>
        <w:rPr>
          <w:rFonts w:ascii="Arial" w:hAnsi="Arial" w:cs="Arial"/>
          <w:sz w:val="26"/>
          <w:szCs w:val="28"/>
        </w:rPr>
      </w:pPr>
    </w:p>
    <w:p w14:paraId="356B0F05" w14:textId="2879F50B" w:rsidR="0074513A" w:rsidRPr="00DF4154" w:rsidRDefault="0074513A" w:rsidP="0074513A">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effect of importing the </w:t>
      </w:r>
      <w:r w:rsidR="00530DE6" w:rsidRPr="00DF4154">
        <w:rPr>
          <w:rFonts w:ascii="Arial" w:hAnsi="Arial" w:cs="Arial"/>
          <w:sz w:val="26"/>
          <w:szCs w:val="28"/>
        </w:rPr>
        <w:t>Chapter 3</w:t>
      </w:r>
      <w:r w:rsidRPr="00DF4154">
        <w:rPr>
          <w:rFonts w:ascii="Arial" w:hAnsi="Arial" w:cs="Arial"/>
          <w:sz w:val="26"/>
          <w:szCs w:val="28"/>
        </w:rPr>
        <w:t xml:space="preserve"> provisions into the Competition Act is that there </w:t>
      </w:r>
      <w:r w:rsidR="00ED14A2" w:rsidRPr="00DF4154">
        <w:rPr>
          <w:rFonts w:ascii="Arial" w:hAnsi="Arial" w:cs="Arial"/>
          <w:sz w:val="26"/>
          <w:szCs w:val="28"/>
        </w:rPr>
        <w:t>would</w:t>
      </w:r>
      <w:r w:rsidRPr="00DF4154">
        <w:rPr>
          <w:rFonts w:ascii="Arial" w:hAnsi="Arial" w:cs="Arial"/>
          <w:sz w:val="26"/>
          <w:szCs w:val="28"/>
        </w:rPr>
        <w:t xml:space="preserve"> be </w:t>
      </w:r>
      <w:r w:rsidRPr="00DF4154">
        <w:rPr>
          <w:rFonts w:ascii="Arial" w:hAnsi="Arial" w:cs="Arial"/>
          <w:sz w:val="26"/>
          <w:szCs w:val="28"/>
          <w:u w:val="single"/>
        </w:rPr>
        <w:t>different time periods</w:t>
      </w:r>
      <w:r w:rsidRPr="00DF4154">
        <w:rPr>
          <w:rFonts w:ascii="Arial" w:hAnsi="Arial" w:cs="Arial"/>
          <w:sz w:val="26"/>
          <w:szCs w:val="28"/>
        </w:rPr>
        <w:t xml:space="preserve"> governing (a) the initiation of a </w:t>
      </w:r>
      <w:r w:rsidRPr="00DF4154">
        <w:rPr>
          <w:rFonts w:ascii="Arial" w:hAnsi="Arial" w:cs="Arial"/>
          <w:sz w:val="26"/>
          <w:szCs w:val="28"/>
        </w:rPr>
        <w:lastRenderedPageBreak/>
        <w:t>complaint</w:t>
      </w:r>
      <w:r w:rsidR="00ED14A2" w:rsidRPr="00DF4154">
        <w:rPr>
          <w:rFonts w:ascii="Arial" w:hAnsi="Arial" w:cs="Arial"/>
          <w:sz w:val="26"/>
          <w:szCs w:val="28"/>
        </w:rPr>
        <w:t xml:space="preserve"> by the Commission</w:t>
      </w:r>
      <w:r w:rsidRPr="00DF4154">
        <w:rPr>
          <w:rFonts w:ascii="Arial" w:hAnsi="Arial" w:cs="Arial"/>
          <w:sz w:val="26"/>
          <w:szCs w:val="28"/>
        </w:rPr>
        <w:t>; and (b) the ext</w:t>
      </w:r>
      <w:r w:rsidR="00530DE6" w:rsidRPr="00DF4154">
        <w:rPr>
          <w:rFonts w:ascii="Arial" w:hAnsi="Arial" w:cs="Arial"/>
          <w:sz w:val="26"/>
          <w:szCs w:val="28"/>
        </w:rPr>
        <w:t>inction</w:t>
      </w:r>
      <w:r w:rsidRPr="00DF4154">
        <w:rPr>
          <w:rFonts w:ascii="Arial" w:hAnsi="Arial" w:cs="Arial"/>
          <w:sz w:val="26"/>
          <w:szCs w:val="28"/>
        </w:rPr>
        <w:t xml:space="preserve"> of</w:t>
      </w:r>
      <w:r w:rsidR="00ED14A2" w:rsidRPr="00DF4154">
        <w:rPr>
          <w:rFonts w:ascii="Arial" w:hAnsi="Arial" w:cs="Arial"/>
          <w:sz w:val="26"/>
          <w:szCs w:val="28"/>
        </w:rPr>
        <w:t xml:space="preserve"> the underlying </w:t>
      </w:r>
      <w:r w:rsidR="000F6817" w:rsidRPr="00DF4154">
        <w:rPr>
          <w:rFonts w:ascii="Arial" w:hAnsi="Arial" w:cs="Arial"/>
          <w:sz w:val="26"/>
          <w:szCs w:val="28"/>
        </w:rPr>
        <w:t>liability</w:t>
      </w:r>
      <w:r w:rsidRPr="00DF4154">
        <w:rPr>
          <w:rFonts w:ascii="Arial" w:hAnsi="Arial" w:cs="Arial"/>
          <w:sz w:val="26"/>
          <w:szCs w:val="28"/>
        </w:rPr>
        <w:t xml:space="preserve"> by prescription.</w:t>
      </w:r>
    </w:p>
    <w:p w14:paraId="4129463A" w14:textId="77777777" w:rsidR="0074513A" w:rsidRPr="00DF4154" w:rsidRDefault="0074513A" w:rsidP="0074513A">
      <w:pPr>
        <w:pStyle w:val="ListParagraph"/>
        <w:rPr>
          <w:rFonts w:ascii="Arial" w:hAnsi="Arial" w:cs="Arial"/>
          <w:sz w:val="26"/>
          <w:szCs w:val="28"/>
        </w:rPr>
      </w:pPr>
    </w:p>
    <w:p w14:paraId="441535C7" w14:textId="4123160B" w:rsidR="00ED14A2" w:rsidRPr="00DF4154" w:rsidRDefault="00F33F37" w:rsidP="00EF2838">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We note that t</w:t>
      </w:r>
      <w:r w:rsidR="00641AF9" w:rsidRPr="00DF4154">
        <w:rPr>
          <w:rFonts w:ascii="Arial" w:hAnsi="Arial" w:cs="Arial"/>
          <w:sz w:val="26"/>
          <w:szCs w:val="28"/>
        </w:rPr>
        <w:t xml:space="preserve">his might give rise to a situation in which </w:t>
      </w:r>
      <w:r w:rsidR="000F6817" w:rsidRPr="00DF4154">
        <w:rPr>
          <w:rFonts w:ascii="Arial" w:hAnsi="Arial" w:cs="Arial"/>
          <w:sz w:val="26"/>
          <w:szCs w:val="28"/>
        </w:rPr>
        <w:t>a firm’s liability</w:t>
      </w:r>
      <w:r w:rsidR="00641AF9" w:rsidRPr="00DF4154">
        <w:rPr>
          <w:rFonts w:ascii="Arial" w:hAnsi="Arial" w:cs="Arial"/>
          <w:sz w:val="26"/>
          <w:szCs w:val="28"/>
        </w:rPr>
        <w:t xml:space="preserve"> </w:t>
      </w:r>
      <w:r w:rsidR="003E5D03" w:rsidRPr="00DF4154">
        <w:rPr>
          <w:rFonts w:ascii="Arial" w:hAnsi="Arial" w:cs="Arial"/>
          <w:sz w:val="26"/>
          <w:szCs w:val="28"/>
        </w:rPr>
        <w:t xml:space="preserve">(i.e. its </w:t>
      </w:r>
      <w:r w:rsidRPr="00DF4154">
        <w:rPr>
          <w:rFonts w:ascii="Arial" w:hAnsi="Arial" w:cs="Arial"/>
          <w:sz w:val="26"/>
          <w:szCs w:val="28"/>
        </w:rPr>
        <w:t>“</w:t>
      </w:r>
      <w:r w:rsidR="00641AF9" w:rsidRPr="00DF4154">
        <w:rPr>
          <w:rFonts w:ascii="Arial" w:hAnsi="Arial" w:cs="Arial"/>
          <w:i/>
          <w:iCs/>
          <w:sz w:val="26"/>
          <w:szCs w:val="28"/>
        </w:rPr>
        <w:t>debt</w:t>
      </w:r>
      <w:r w:rsidRPr="00DF4154">
        <w:rPr>
          <w:rFonts w:ascii="Arial" w:hAnsi="Arial" w:cs="Arial"/>
          <w:sz w:val="26"/>
          <w:szCs w:val="28"/>
        </w:rPr>
        <w:t>”</w:t>
      </w:r>
      <w:r w:rsidR="003E5D03" w:rsidRPr="00DF4154">
        <w:rPr>
          <w:rFonts w:ascii="Arial" w:hAnsi="Arial" w:cs="Arial"/>
          <w:sz w:val="26"/>
          <w:szCs w:val="28"/>
        </w:rPr>
        <w:t>)</w:t>
      </w:r>
      <w:r w:rsidR="00641AF9" w:rsidRPr="00DF4154">
        <w:rPr>
          <w:rFonts w:ascii="Arial" w:hAnsi="Arial" w:cs="Arial"/>
          <w:sz w:val="26"/>
          <w:szCs w:val="28"/>
        </w:rPr>
        <w:t xml:space="preserve"> </w:t>
      </w:r>
      <w:r w:rsidR="0074513A" w:rsidRPr="00DF4154">
        <w:rPr>
          <w:rFonts w:ascii="Arial" w:hAnsi="Arial" w:cs="Arial"/>
          <w:sz w:val="26"/>
          <w:szCs w:val="28"/>
        </w:rPr>
        <w:t xml:space="preserve">endures beyond the extinction of the </w:t>
      </w:r>
      <w:r w:rsidR="00641AF9" w:rsidRPr="00DF4154">
        <w:rPr>
          <w:rFonts w:ascii="Arial" w:hAnsi="Arial" w:cs="Arial"/>
          <w:sz w:val="26"/>
          <w:szCs w:val="28"/>
        </w:rPr>
        <w:t xml:space="preserve">Commission’s power, or the Commission’s power </w:t>
      </w:r>
      <w:r w:rsidR="0074513A" w:rsidRPr="00DF4154">
        <w:rPr>
          <w:rFonts w:ascii="Arial" w:hAnsi="Arial" w:cs="Arial"/>
          <w:sz w:val="26"/>
          <w:szCs w:val="28"/>
        </w:rPr>
        <w:t xml:space="preserve">endures beyond the </w:t>
      </w:r>
      <w:r w:rsidR="00641AF9" w:rsidRPr="00DF4154">
        <w:rPr>
          <w:rFonts w:ascii="Arial" w:hAnsi="Arial" w:cs="Arial"/>
          <w:sz w:val="26"/>
          <w:szCs w:val="28"/>
        </w:rPr>
        <w:t xml:space="preserve">extinction of </w:t>
      </w:r>
      <w:r w:rsidR="000F6817" w:rsidRPr="00DF4154">
        <w:rPr>
          <w:rFonts w:ascii="Arial" w:hAnsi="Arial" w:cs="Arial"/>
          <w:sz w:val="26"/>
          <w:szCs w:val="28"/>
        </w:rPr>
        <w:t>a firm’s liability</w:t>
      </w:r>
      <w:r w:rsidR="00641AF9" w:rsidRPr="00DF4154">
        <w:rPr>
          <w:rFonts w:ascii="Arial" w:hAnsi="Arial" w:cs="Arial"/>
          <w:sz w:val="26"/>
          <w:szCs w:val="28"/>
        </w:rPr>
        <w:t>.</w:t>
      </w:r>
      <w:r w:rsidRPr="00DF4154">
        <w:rPr>
          <w:rStyle w:val="FootnoteReference"/>
          <w:rFonts w:ascii="Arial" w:hAnsi="Arial" w:cs="Arial"/>
          <w:sz w:val="26"/>
          <w:szCs w:val="28"/>
        </w:rPr>
        <w:footnoteReference w:id="87"/>
      </w:r>
      <w:r w:rsidR="0074513A" w:rsidRPr="00DF4154">
        <w:rPr>
          <w:rFonts w:ascii="Arial" w:hAnsi="Arial" w:cs="Arial"/>
          <w:sz w:val="26"/>
          <w:szCs w:val="28"/>
        </w:rPr>
        <w:t xml:space="preserve"> </w:t>
      </w:r>
    </w:p>
    <w:p w14:paraId="3BCE7B81" w14:textId="26861E8D" w:rsidR="00ED14A2" w:rsidRPr="00DF4154" w:rsidRDefault="00ED14A2" w:rsidP="00CE6B72">
      <w:pPr>
        <w:keepNext/>
        <w:spacing w:before="240" w:after="120" w:line="480" w:lineRule="auto"/>
        <w:jc w:val="both"/>
        <w:rPr>
          <w:rFonts w:ascii="Arial" w:hAnsi="Arial" w:cs="Arial"/>
          <w:b/>
          <w:bCs/>
          <w:sz w:val="26"/>
          <w:szCs w:val="28"/>
        </w:rPr>
      </w:pPr>
      <w:r w:rsidRPr="00DF4154">
        <w:rPr>
          <w:rFonts w:ascii="Arial" w:hAnsi="Arial" w:cs="Arial"/>
          <w:b/>
          <w:bCs/>
          <w:sz w:val="26"/>
          <w:szCs w:val="28"/>
        </w:rPr>
        <w:t>Conclusion</w:t>
      </w:r>
      <w:r w:rsidR="000D51B2" w:rsidRPr="00DF4154">
        <w:rPr>
          <w:rFonts w:ascii="Arial" w:hAnsi="Arial" w:cs="Arial"/>
          <w:b/>
          <w:bCs/>
          <w:sz w:val="26"/>
          <w:szCs w:val="28"/>
        </w:rPr>
        <w:t xml:space="preserve"> on the commencement issue</w:t>
      </w:r>
    </w:p>
    <w:p w14:paraId="6100E34D" w14:textId="2F765CFD" w:rsidR="00562EC1" w:rsidRPr="00DF4154" w:rsidRDefault="00562EC1" w:rsidP="00EF2838">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A knowledge requirement may not be incorporated into section 67(1) by interpretation, reading in, or the application of section 16(1) of the Prescription Act.</w:t>
      </w:r>
    </w:p>
    <w:p w14:paraId="3B3F44FB" w14:textId="77777777" w:rsidR="00562EC1" w:rsidRPr="00DF4154" w:rsidRDefault="00562EC1" w:rsidP="002C4A7F">
      <w:pPr>
        <w:pStyle w:val="ListParagraph"/>
        <w:spacing w:before="240" w:after="120" w:line="240" w:lineRule="auto"/>
        <w:jc w:val="both"/>
        <w:rPr>
          <w:rFonts w:ascii="Arial" w:hAnsi="Arial" w:cs="Arial"/>
          <w:sz w:val="26"/>
          <w:szCs w:val="28"/>
        </w:rPr>
      </w:pPr>
    </w:p>
    <w:p w14:paraId="34CFAEB0" w14:textId="77777777" w:rsidR="00562EC1" w:rsidRPr="00DF4154" w:rsidRDefault="00562EC1" w:rsidP="00EF2838">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The importation of the Chapter 3 provisions of the Prescription Act into the Competition Act would not introduce a knowledge requirement into section 67(1), but would add a further constraint on the Commission by subjecting firms’ liability for prohibited practices to extinctive prescription.</w:t>
      </w:r>
    </w:p>
    <w:p w14:paraId="1E6D6956" w14:textId="77777777" w:rsidR="00562EC1" w:rsidRPr="00DF4154" w:rsidRDefault="00562EC1" w:rsidP="00562EC1">
      <w:pPr>
        <w:pStyle w:val="ListParagraph"/>
        <w:rPr>
          <w:rFonts w:ascii="Arial" w:hAnsi="Arial" w:cs="Arial"/>
          <w:sz w:val="26"/>
          <w:szCs w:val="28"/>
        </w:rPr>
      </w:pPr>
    </w:p>
    <w:p w14:paraId="2001A6AA" w14:textId="754530C7" w:rsidR="0045655A" w:rsidRPr="00DF4154" w:rsidRDefault="0045655A" w:rsidP="00F33F37">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lastRenderedPageBreak/>
        <w:t>We submit, with respect, that the Competition Appeal Court correctly upheld the Tribunal’s finding that no knowledge requirement can be imported into section 67(1) of the Competition Act.</w:t>
      </w:r>
    </w:p>
    <w:p w14:paraId="24AB868B" w14:textId="77777777" w:rsidR="00F33F37" w:rsidRPr="00DF4154" w:rsidRDefault="00F33F37" w:rsidP="00F33F37">
      <w:pPr>
        <w:pStyle w:val="ListParagraph"/>
        <w:rPr>
          <w:rFonts w:ascii="Arial" w:hAnsi="Arial" w:cs="Arial"/>
          <w:sz w:val="26"/>
          <w:szCs w:val="28"/>
        </w:rPr>
      </w:pPr>
    </w:p>
    <w:p w14:paraId="47F3ED1F" w14:textId="397231D8" w:rsidR="0045655A" w:rsidRPr="00DF4154" w:rsidRDefault="0045655A" w:rsidP="00F33F37">
      <w:pPr>
        <w:pStyle w:val="ListParagraph"/>
        <w:keepNext/>
        <w:spacing w:before="240" w:after="120" w:line="480" w:lineRule="auto"/>
        <w:ind w:hanging="720"/>
        <w:jc w:val="both"/>
        <w:rPr>
          <w:rFonts w:ascii="Arial" w:hAnsi="Arial" w:cs="Arial"/>
          <w:b/>
          <w:sz w:val="26"/>
          <w:szCs w:val="28"/>
        </w:rPr>
      </w:pPr>
      <w:r w:rsidRPr="00DF4154">
        <w:rPr>
          <w:rFonts w:ascii="Arial" w:hAnsi="Arial" w:cs="Arial"/>
          <w:b/>
          <w:sz w:val="26"/>
          <w:szCs w:val="28"/>
        </w:rPr>
        <w:t>THE CONDONATION ISSUE</w:t>
      </w:r>
    </w:p>
    <w:p w14:paraId="3E60A613" w14:textId="77777777" w:rsidR="00F33F37" w:rsidRPr="00DF4154" w:rsidRDefault="00F33F37" w:rsidP="00F33F37">
      <w:pPr>
        <w:pStyle w:val="ListParagraph"/>
        <w:keepNext/>
        <w:spacing w:before="240" w:after="120" w:line="276" w:lineRule="auto"/>
        <w:ind w:hanging="720"/>
        <w:jc w:val="both"/>
        <w:rPr>
          <w:rFonts w:ascii="Arial" w:hAnsi="Arial" w:cs="Arial"/>
          <w:b/>
          <w:sz w:val="26"/>
          <w:szCs w:val="28"/>
        </w:rPr>
      </w:pPr>
    </w:p>
    <w:p w14:paraId="5780ECC6" w14:textId="70957A68" w:rsidR="007569B2" w:rsidRPr="00DF4154" w:rsidRDefault="007569B2" w:rsidP="00F33F37">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w:t>
      </w:r>
      <w:r w:rsidR="0045655A" w:rsidRPr="00DF4154">
        <w:rPr>
          <w:rFonts w:ascii="Arial" w:hAnsi="Arial" w:cs="Arial"/>
          <w:sz w:val="26"/>
          <w:szCs w:val="28"/>
        </w:rPr>
        <w:t>he Commission</w:t>
      </w:r>
      <w:r w:rsidRPr="00DF4154">
        <w:rPr>
          <w:rFonts w:ascii="Arial" w:hAnsi="Arial" w:cs="Arial"/>
          <w:sz w:val="26"/>
          <w:szCs w:val="28"/>
        </w:rPr>
        <w:t xml:space="preserve"> contends, in the final instance, that the Tribunal has the power to condone the Commission’s “</w:t>
      </w:r>
      <w:r w:rsidRPr="00DF4154">
        <w:rPr>
          <w:rFonts w:ascii="Arial" w:hAnsi="Arial" w:cs="Arial"/>
          <w:i/>
          <w:iCs/>
          <w:sz w:val="26"/>
          <w:szCs w:val="28"/>
        </w:rPr>
        <w:t>non-compliance</w:t>
      </w:r>
      <w:r w:rsidRPr="00DF4154">
        <w:rPr>
          <w:rFonts w:ascii="Arial" w:hAnsi="Arial" w:cs="Arial"/>
          <w:sz w:val="26"/>
          <w:szCs w:val="28"/>
        </w:rPr>
        <w:t>” with section</w:t>
      </w:r>
      <w:r w:rsidR="00075AEF" w:rsidRPr="00DF4154">
        <w:rPr>
          <w:rFonts w:ascii="Arial" w:hAnsi="Arial" w:cs="Arial"/>
          <w:sz w:val="26"/>
          <w:szCs w:val="28"/>
        </w:rPr>
        <w:t> </w:t>
      </w:r>
      <w:r w:rsidRPr="00DF4154">
        <w:rPr>
          <w:rFonts w:ascii="Arial" w:hAnsi="Arial" w:cs="Arial"/>
          <w:sz w:val="26"/>
          <w:szCs w:val="28"/>
        </w:rPr>
        <w:t xml:space="preserve">67(1) </w:t>
      </w:r>
      <w:r w:rsidR="00D71F02" w:rsidRPr="00DF4154">
        <w:rPr>
          <w:rFonts w:ascii="Arial" w:hAnsi="Arial" w:cs="Arial"/>
          <w:sz w:val="26"/>
          <w:szCs w:val="28"/>
        </w:rPr>
        <w:t xml:space="preserve">of the Competition Act </w:t>
      </w:r>
      <w:r w:rsidRPr="00DF4154">
        <w:rPr>
          <w:rFonts w:ascii="Arial" w:hAnsi="Arial" w:cs="Arial"/>
          <w:sz w:val="26"/>
          <w:szCs w:val="28"/>
        </w:rPr>
        <w:t>on good cause shown, and to authorise the initiation of a complaint after the three-year period has lapsed.</w:t>
      </w:r>
    </w:p>
    <w:p w14:paraId="40E9A791" w14:textId="77777777" w:rsidR="007569B2" w:rsidRPr="00DF4154" w:rsidRDefault="007569B2" w:rsidP="00932CF5">
      <w:pPr>
        <w:pStyle w:val="ListParagraph"/>
        <w:spacing w:after="0" w:line="276" w:lineRule="auto"/>
        <w:jc w:val="both"/>
        <w:rPr>
          <w:rFonts w:ascii="Arial" w:hAnsi="Arial" w:cs="Arial"/>
          <w:sz w:val="26"/>
          <w:szCs w:val="28"/>
        </w:rPr>
      </w:pPr>
    </w:p>
    <w:p w14:paraId="09CA97E4" w14:textId="68C4DA64" w:rsidR="00CE7C3F" w:rsidRPr="00DF4154" w:rsidRDefault="00CE7C3F" w:rsidP="00932CF5">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We submit that this contention must fail, first, because the condonation issue is not ripe for adjudication, and second, because it lacks merit.</w:t>
      </w:r>
    </w:p>
    <w:p w14:paraId="26513AFD" w14:textId="4EC5C038" w:rsidR="00CE7C3F" w:rsidRPr="00DF4154" w:rsidRDefault="00CE7C3F" w:rsidP="00CE6B72">
      <w:pPr>
        <w:keepNext/>
        <w:spacing w:before="240" w:after="120" w:line="480" w:lineRule="auto"/>
        <w:jc w:val="both"/>
        <w:rPr>
          <w:rFonts w:ascii="Arial" w:hAnsi="Arial" w:cs="Arial"/>
          <w:b/>
          <w:bCs/>
          <w:sz w:val="26"/>
          <w:szCs w:val="28"/>
        </w:rPr>
      </w:pPr>
      <w:r w:rsidRPr="00DF4154">
        <w:rPr>
          <w:rFonts w:ascii="Arial" w:hAnsi="Arial" w:cs="Arial"/>
          <w:b/>
          <w:bCs/>
          <w:sz w:val="26"/>
          <w:szCs w:val="28"/>
        </w:rPr>
        <w:t>The condonation issue is not ripe for adjudication</w:t>
      </w:r>
    </w:p>
    <w:p w14:paraId="4F4D4E7D" w14:textId="3185E882" w:rsidR="004D6E8F" w:rsidRPr="00DF4154" w:rsidRDefault="0045655A" w:rsidP="00932CF5">
      <w:pPr>
        <w:pStyle w:val="ListParagraph"/>
        <w:numPr>
          <w:ilvl w:val="0"/>
          <w:numId w:val="1"/>
        </w:numPr>
        <w:spacing w:before="240" w:after="120" w:line="480" w:lineRule="auto"/>
        <w:ind w:hanging="720"/>
        <w:jc w:val="both"/>
        <w:rPr>
          <w:rFonts w:ascii="Arial" w:hAnsi="Arial" w:cs="Arial"/>
          <w:sz w:val="26"/>
          <w:szCs w:val="28"/>
        </w:rPr>
      </w:pPr>
      <w:bookmarkStart w:id="5" w:name="_Hlk29157033"/>
      <w:r w:rsidRPr="00DF4154">
        <w:rPr>
          <w:rFonts w:ascii="Arial" w:hAnsi="Arial" w:cs="Arial"/>
          <w:sz w:val="26"/>
          <w:szCs w:val="28"/>
        </w:rPr>
        <w:t xml:space="preserve">The condonation issue is abstract and academic </w:t>
      </w:r>
      <w:r w:rsidR="004D6E8F" w:rsidRPr="00DF4154">
        <w:rPr>
          <w:rFonts w:ascii="Arial" w:hAnsi="Arial" w:cs="Arial"/>
          <w:sz w:val="26"/>
          <w:szCs w:val="28"/>
        </w:rPr>
        <w:t>and does not properly arise on the facts of</w:t>
      </w:r>
      <w:r w:rsidRPr="00DF4154">
        <w:rPr>
          <w:rFonts w:ascii="Arial" w:hAnsi="Arial" w:cs="Arial"/>
          <w:sz w:val="26"/>
          <w:szCs w:val="28"/>
        </w:rPr>
        <w:t xml:space="preserve"> this case.</w:t>
      </w:r>
      <w:r w:rsidR="004D6E8F" w:rsidRPr="00DF4154">
        <w:rPr>
          <w:rStyle w:val="FootnoteReference"/>
          <w:rFonts w:ascii="Arial" w:hAnsi="Arial" w:cs="Arial"/>
          <w:sz w:val="26"/>
          <w:szCs w:val="28"/>
        </w:rPr>
        <w:footnoteReference w:id="88"/>
      </w:r>
    </w:p>
    <w:p w14:paraId="2D0A1287" w14:textId="77777777" w:rsidR="004D6E8F" w:rsidRPr="00DF4154" w:rsidRDefault="004D6E8F" w:rsidP="00932CF5">
      <w:pPr>
        <w:pStyle w:val="ListParagraph"/>
        <w:spacing w:after="0" w:line="276" w:lineRule="auto"/>
        <w:jc w:val="both"/>
        <w:rPr>
          <w:rFonts w:ascii="Arial" w:hAnsi="Arial" w:cs="Arial"/>
          <w:sz w:val="26"/>
          <w:szCs w:val="28"/>
        </w:rPr>
      </w:pPr>
    </w:p>
    <w:p w14:paraId="145DEE96" w14:textId="765E25BD" w:rsidR="0045655A" w:rsidRPr="00DF4154" w:rsidRDefault="0045655A" w:rsidP="0045655A">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This is because the Commission </w:t>
      </w:r>
      <w:r w:rsidR="00FE5973" w:rsidRPr="00DF4154">
        <w:rPr>
          <w:rFonts w:ascii="Arial" w:hAnsi="Arial" w:cs="Arial"/>
          <w:sz w:val="26"/>
          <w:szCs w:val="28"/>
        </w:rPr>
        <w:t>did not bring an</w:t>
      </w:r>
      <w:r w:rsidRPr="00DF4154">
        <w:rPr>
          <w:rFonts w:ascii="Arial" w:hAnsi="Arial" w:cs="Arial"/>
          <w:sz w:val="26"/>
          <w:szCs w:val="28"/>
        </w:rPr>
        <w:t xml:space="preserve"> application</w:t>
      </w:r>
      <w:r w:rsidR="00FE5973" w:rsidRPr="00DF4154">
        <w:rPr>
          <w:rFonts w:ascii="Arial" w:hAnsi="Arial" w:cs="Arial"/>
          <w:sz w:val="26"/>
          <w:szCs w:val="28"/>
        </w:rPr>
        <w:t xml:space="preserve"> for condonation</w:t>
      </w:r>
      <w:r w:rsidRPr="00DF4154">
        <w:rPr>
          <w:rFonts w:ascii="Arial" w:hAnsi="Arial" w:cs="Arial"/>
          <w:sz w:val="26"/>
          <w:szCs w:val="28"/>
        </w:rPr>
        <w:t xml:space="preserve"> before the Tribunal.  Nor did it </w:t>
      </w:r>
      <w:r w:rsidR="00FE5973" w:rsidRPr="00DF4154">
        <w:rPr>
          <w:rFonts w:ascii="Arial" w:hAnsi="Arial" w:cs="Arial"/>
          <w:sz w:val="26"/>
          <w:szCs w:val="28"/>
        </w:rPr>
        <w:t xml:space="preserve">seek, </w:t>
      </w:r>
      <w:r w:rsidRPr="00DF4154">
        <w:rPr>
          <w:rFonts w:ascii="Arial" w:hAnsi="Arial" w:cs="Arial"/>
          <w:sz w:val="26"/>
          <w:szCs w:val="28"/>
        </w:rPr>
        <w:t>belatedly</w:t>
      </w:r>
      <w:r w:rsidR="00FE5973" w:rsidRPr="00DF4154">
        <w:rPr>
          <w:rFonts w:ascii="Arial" w:hAnsi="Arial" w:cs="Arial"/>
          <w:sz w:val="26"/>
          <w:szCs w:val="28"/>
        </w:rPr>
        <w:t>,</w:t>
      </w:r>
      <w:r w:rsidRPr="00DF4154">
        <w:rPr>
          <w:rFonts w:ascii="Arial" w:hAnsi="Arial" w:cs="Arial"/>
          <w:sz w:val="26"/>
          <w:szCs w:val="28"/>
        </w:rPr>
        <w:t xml:space="preserve"> to make out a case for condonation before the Competition Appeal Court</w:t>
      </w:r>
      <w:r w:rsidR="00FE5973" w:rsidRPr="00DF4154">
        <w:rPr>
          <w:rFonts w:ascii="Arial" w:hAnsi="Arial" w:cs="Arial"/>
          <w:sz w:val="26"/>
          <w:szCs w:val="28"/>
        </w:rPr>
        <w:t>.</w:t>
      </w:r>
      <w:r w:rsidRPr="00DF4154">
        <w:rPr>
          <w:rFonts w:ascii="Arial" w:hAnsi="Arial" w:cs="Arial"/>
          <w:sz w:val="26"/>
          <w:szCs w:val="28"/>
        </w:rPr>
        <w:t xml:space="preserve"> </w:t>
      </w:r>
      <w:r w:rsidR="00FE5973" w:rsidRPr="00DF4154">
        <w:rPr>
          <w:rFonts w:ascii="Arial" w:hAnsi="Arial" w:cs="Arial"/>
          <w:sz w:val="26"/>
          <w:szCs w:val="28"/>
        </w:rPr>
        <w:t xml:space="preserve">The Commission has not </w:t>
      </w:r>
      <w:r w:rsidR="00FE5973" w:rsidRPr="00DF4154">
        <w:rPr>
          <w:rFonts w:ascii="Arial" w:hAnsi="Arial" w:cs="Arial"/>
          <w:sz w:val="26"/>
          <w:szCs w:val="28"/>
        </w:rPr>
        <w:lastRenderedPageBreak/>
        <w:t xml:space="preserve">at any stage </w:t>
      </w:r>
      <w:r w:rsidR="004D6E8F" w:rsidRPr="00DF4154">
        <w:rPr>
          <w:rFonts w:ascii="Arial" w:hAnsi="Arial" w:cs="Arial"/>
          <w:sz w:val="26"/>
          <w:szCs w:val="28"/>
        </w:rPr>
        <w:t xml:space="preserve">even </w:t>
      </w:r>
      <w:r w:rsidRPr="00DF4154">
        <w:rPr>
          <w:rFonts w:ascii="Arial" w:hAnsi="Arial" w:cs="Arial"/>
          <w:sz w:val="26"/>
          <w:szCs w:val="28"/>
        </w:rPr>
        <w:t>indicate</w:t>
      </w:r>
      <w:r w:rsidR="00FE5973" w:rsidRPr="00DF4154">
        <w:rPr>
          <w:rFonts w:ascii="Arial" w:hAnsi="Arial" w:cs="Arial"/>
          <w:sz w:val="26"/>
          <w:szCs w:val="28"/>
        </w:rPr>
        <w:t>d</w:t>
      </w:r>
      <w:r w:rsidRPr="00DF4154">
        <w:rPr>
          <w:rFonts w:ascii="Arial" w:hAnsi="Arial" w:cs="Arial"/>
          <w:sz w:val="26"/>
          <w:szCs w:val="28"/>
        </w:rPr>
        <w:t xml:space="preserve"> what “</w:t>
      </w:r>
      <w:r w:rsidRPr="00DF4154">
        <w:rPr>
          <w:rFonts w:ascii="Arial" w:hAnsi="Arial" w:cs="Arial"/>
          <w:i/>
          <w:iCs/>
          <w:sz w:val="26"/>
          <w:szCs w:val="28"/>
        </w:rPr>
        <w:t>good cause</w:t>
      </w:r>
      <w:r w:rsidRPr="00DF4154">
        <w:rPr>
          <w:rFonts w:ascii="Arial" w:hAnsi="Arial" w:cs="Arial"/>
          <w:sz w:val="26"/>
          <w:szCs w:val="28"/>
        </w:rPr>
        <w:t xml:space="preserve">” there might be for the grant of </w:t>
      </w:r>
      <w:r w:rsidR="00FE5973" w:rsidRPr="00DF4154">
        <w:rPr>
          <w:rFonts w:ascii="Arial" w:hAnsi="Arial" w:cs="Arial"/>
          <w:sz w:val="26"/>
          <w:szCs w:val="28"/>
        </w:rPr>
        <w:t>condonation</w:t>
      </w:r>
      <w:r w:rsidRPr="00DF4154">
        <w:rPr>
          <w:rFonts w:ascii="Arial" w:hAnsi="Arial" w:cs="Arial"/>
          <w:sz w:val="26"/>
          <w:szCs w:val="28"/>
        </w:rPr>
        <w:t>.</w:t>
      </w:r>
      <w:r w:rsidR="004D6E8F" w:rsidRPr="00DF4154">
        <w:rPr>
          <w:rStyle w:val="FootnoteReference"/>
          <w:rFonts w:ascii="Arial" w:hAnsi="Arial" w:cs="Arial"/>
          <w:sz w:val="26"/>
          <w:szCs w:val="28"/>
        </w:rPr>
        <w:footnoteReference w:id="89"/>
      </w:r>
    </w:p>
    <w:p w14:paraId="34D3E6BD" w14:textId="77777777" w:rsidR="00932CF5" w:rsidRPr="00DF4154" w:rsidRDefault="00932CF5" w:rsidP="00932CF5">
      <w:pPr>
        <w:pStyle w:val="ListParagraph"/>
        <w:rPr>
          <w:rFonts w:ascii="Arial" w:hAnsi="Arial" w:cs="Arial"/>
          <w:sz w:val="26"/>
          <w:szCs w:val="28"/>
        </w:rPr>
      </w:pPr>
    </w:p>
    <w:p w14:paraId="1C224478" w14:textId="0605C0A0" w:rsidR="0045655A" w:rsidRPr="00DF4154" w:rsidRDefault="004D6E8F" w:rsidP="00932CF5">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w:t>
      </w:r>
      <w:r w:rsidR="0045655A" w:rsidRPr="00DF4154">
        <w:rPr>
          <w:rFonts w:ascii="Arial" w:hAnsi="Arial" w:cs="Arial"/>
          <w:sz w:val="26"/>
          <w:szCs w:val="28"/>
        </w:rPr>
        <w:t xml:space="preserve">he </w:t>
      </w:r>
      <w:r w:rsidRPr="00DF4154">
        <w:rPr>
          <w:rFonts w:ascii="Arial" w:hAnsi="Arial" w:cs="Arial"/>
          <w:sz w:val="26"/>
          <w:szCs w:val="28"/>
        </w:rPr>
        <w:t>condonation issue</w:t>
      </w:r>
      <w:r w:rsidR="0045655A" w:rsidRPr="00DF4154">
        <w:rPr>
          <w:rFonts w:ascii="Arial" w:hAnsi="Arial" w:cs="Arial"/>
          <w:sz w:val="26"/>
          <w:szCs w:val="28"/>
        </w:rPr>
        <w:t xml:space="preserve"> is </w:t>
      </w:r>
      <w:r w:rsidRPr="00DF4154">
        <w:rPr>
          <w:rFonts w:ascii="Arial" w:hAnsi="Arial" w:cs="Arial"/>
          <w:sz w:val="26"/>
          <w:szCs w:val="28"/>
        </w:rPr>
        <w:t>thus</w:t>
      </w:r>
      <w:r w:rsidR="00D71F02" w:rsidRPr="00DF4154">
        <w:rPr>
          <w:rFonts w:ascii="Arial" w:hAnsi="Arial" w:cs="Arial"/>
          <w:sz w:val="26"/>
          <w:szCs w:val="28"/>
        </w:rPr>
        <w:t xml:space="preserve"> </w:t>
      </w:r>
      <w:r w:rsidR="0045655A" w:rsidRPr="00DF4154">
        <w:rPr>
          <w:rFonts w:ascii="Arial" w:hAnsi="Arial" w:cs="Arial"/>
          <w:sz w:val="26"/>
          <w:szCs w:val="28"/>
        </w:rPr>
        <w:t>academic, and not “</w:t>
      </w:r>
      <w:r w:rsidR="0045655A" w:rsidRPr="00DF4154">
        <w:rPr>
          <w:rFonts w:ascii="Arial" w:hAnsi="Arial" w:cs="Arial"/>
          <w:i/>
          <w:iCs/>
          <w:sz w:val="26"/>
          <w:szCs w:val="28"/>
        </w:rPr>
        <w:t>ripe</w:t>
      </w:r>
      <w:r w:rsidR="0045655A" w:rsidRPr="00DF4154">
        <w:rPr>
          <w:rFonts w:ascii="Arial" w:hAnsi="Arial" w:cs="Arial"/>
          <w:sz w:val="26"/>
          <w:szCs w:val="28"/>
        </w:rPr>
        <w:t xml:space="preserve">” for adjudication.  As this Court </w:t>
      </w:r>
      <w:r w:rsidRPr="00DF4154">
        <w:rPr>
          <w:rFonts w:ascii="Arial" w:hAnsi="Arial" w:cs="Arial"/>
          <w:sz w:val="26"/>
          <w:szCs w:val="28"/>
        </w:rPr>
        <w:t xml:space="preserve">has </w:t>
      </w:r>
      <w:r w:rsidR="0045655A" w:rsidRPr="00DF4154">
        <w:rPr>
          <w:rFonts w:ascii="Arial" w:hAnsi="Arial" w:cs="Arial"/>
          <w:sz w:val="26"/>
          <w:szCs w:val="28"/>
        </w:rPr>
        <w:t>explained</w:t>
      </w:r>
      <w:r w:rsidRPr="00DF4154">
        <w:rPr>
          <w:rFonts w:ascii="Arial" w:hAnsi="Arial" w:cs="Arial"/>
          <w:sz w:val="26"/>
          <w:szCs w:val="28"/>
        </w:rPr>
        <w:t>,</w:t>
      </w:r>
    </w:p>
    <w:p w14:paraId="69A97773" w14:textId="77777777" w:rsidR="0045655A" w:rsidRPr="00DF4154" w:rsidRDefault="0045655A" w:rsidP="0045655A">
      <w:pPr>
        <w:pStyle w:val="ListParagraph"/>
        <w:spacing w:after="0" w:line="240" w:lineRule="auto"/>
        <w:jc w:val="both"/>
        <w:rPr>
          <w:rFonts w:ascii="Arial" w:hAnsi="Arial" w:cs="Arial"/>
          <w:sz w:val="26"/>
          <w:szCs w:val="28"/>
        </w:rPr>
      </w:pPr>
    </w:p>
    <w:p w14:paraId="23907F09" w14:textId="33F80865" w:rsidR="002D495D" w:rsidRPr="00DF4154" w:rsidRDefault="0045655A" w:rsidP="00ED7CD0">
      <w:pPr>
        <w:pStyle w:val="ListParagraph"/>
        <w:spacing w:after="0" w:line="240" w:lineRule="auto"/>
        <w:jc w:val="both"/>
        <w:rPr>
          <w:rFonts w:ascii="Arial" w:hAnsi="Arial" w:cs="Arial"/>
          <w:sz w:val="26"/>
          <w:szCs w:val="28"/>
        </w:rPr>
      </w:pPr>
      <w:r w:rsidRPr="00DF4154">
        <w:rPr>
          <w:rFonts w:ascii="Arial" w:hAnsi="Arial" w:cs="Arial"/>
          <w:sz w:val="26"/>
          <w:szCs w:val="28"/>
        </w:rPr>
        <w:t>“</w:t>
      </w:r>
      <w:r w:rsidRPr="00DF4154">
        <w:rPr>
          <w:rFonts w:ascii="Arial" w:hAnsi="Arial" w:cs="Arial"/>
          <w:i/>
          <w:sz w:val="26"/>
          <w:szCs w:val="28"/>
        </w:rPr>
        <w:t>the doctrine of ripeness serves the useful purpose of highlighting that the business of a court is generally retrospective; it deals with situations or problems that have already ripened or crystallised, and not with prospective or hypothetical ones. Although…the criteria for hearing a constitutional case are more generous than for ordinary suits, even cases for relief on constitutional grounds are not decided in the air</w:t>
      </w:r>
      <w:r w:rsidRPr="00DF4154">
        <w:rPr>
          <w:rFonts w:ascii="Arial" w:hAnsi="Arial" w:cs="Arial"/>
          <w:sz w:val="26"/>
          <w:szCs w:val="28"/>
        </w:rPr>
        <w:t>.”</w:t>
      </w:r>
      <w:r w:rsidRPr="00DF4154">
        <w:rPr>
          <w:rStyle w:val="FootnoteReference"/>
          <w:rFonts w:ascii="Arial" w:hAnsi="Arial" w:cs="Arial"/>
          <w:sz w:val="26"/>
          <w:szCs w:val="28"/>
        </w:rPr>
        <w:footnoteReference w:id="90"/>
      </w:r>
    </w:p>
    <w:p w14:paraId="4D66C848" w14:textId="77777777" w:rsidR="00ED7CD0" w:rsidRPr="00DF4154" w:rsidRDefault="00ED7CD0" w:rsidP="00ED7CD0">
      <w:pPr>
        <w:pStyle w:val="ListParagraph"/>
        <w:spacing w:after="0" w:line="240" w:lineRule="auto"/>
        <w:jc w:val="both"/>
        <w:rPr>
          <w:rFonts w:ascii="Arial" w:hAnsi="Arial" w:cs="Arial"/>
          <w:sz w:val="26"/>
          <w:szCs w:val="28"/>
        </w:rPr>
      </w:pPr>
    </w:p>
    <w:p w14:paraId="68D0FB38" w14:textId="52D07E77" w:rsidR="0045655A" w:rsidRPr="00DF4154" w:rsidRDefault="0045655A" w:rsidP="00932CF5">
      <w:pPr>
        <w:keepNext/>
        <w:spacing w:before="240" w:after="120" w:line="480" w:lineRule="auto"/>
        <w:jc w:val="both"/>
        <w:rPr>
          <w:rFonts w:ascii="Arial" w:hAnsi="Arial" w:cs="Arial"/>
          <w:b/>
          <w:sz w:val="26"/>
          <w:szCs w:val="28"/>
        </w:rPr>
      </w:pPr>
      <w:r w:rsidRPr="00DF4154">
        <w:rPr>
          <w:rFonts w:ascii="Arial" w:hAnsi="Arial" w:cs="Arial"/>
          <w:b/>
          <w:sz w:val="26"/>
          <w:szCs w:val="28"/>
        </w:rPr>
        <w:t xml:space="preserve">The </w:t>
      </w:r>
      <w:r w:rsidR="004D6E8F" w:rsidRPr="00DF4154">
        <w:rPr>
          <w:rFonts w:ascii="Arial" w:hAnsi="Arial" w:cs="Arial"/>
          <w:b/>
          <w:sz w:val="26"/>
          <w:szCs w:val="28"/>
        </w:rPr>
        <w:t xml:space="preserve">Commission’s contentions on the </w:t>
      </w:r>
      <w:r w:rsidRPr="00DF4154">
        <w:rPr>
          <w:rFonts w:ascii="Arial" w:hAnsi="Arial" w:cs="Arial"/>
          <w:b/>
          <w:sz w:val="26"/>
          <w:szCs w:val="28"/>
        </w:rPr>
        <w:t xml:space="preserve">condonation </w:t>
      </w:r>
      <w:r w:rsidR="004D6E8F" w:rsidRPr="00DF4154">
        <w:rPr>
          <w:rFonts w:ascii="Arial" w:hAnsi="Arial" w:cs="Arial"/>
          <w:b/>
          <w:sz w:val="26"/>
          <w:szCs w:val="28"/>
        </w:rPr>
        <w:t>issue</w:t>
      </w:r>
      <w:r w:rsidRPr="00DF4154">
        <w:rPr>
          <w:rFonts w:ascii="Arial" w:hAnsi="Arial" w:cs="Arial"/>
          <w:b/>
          <w:sz w:val="26"/>
          <w:szCs w:val="28"/>
        </w:rPr>
        <w:t xml:space="preserve"> lack merit</w:t>
      </w:r>
    </w:p>
    <w:bookmarkEnd w:id="5"/>
    <w:p w14:paraId="61500173" w14:textId="77777777" w:rsidR="00D97722" w:rsidRPr="00DF4154" w:rsidRDefault="00AB5219" w:rsidP="00932CF5">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For the same reasons that we have highlighted in respect of the </w:t>
      </w:r>
      <w:r w:rsidR="00E06154" w:rsidRPr="00DF4154">
        <w:rPr>
          <w:rFonts w:ascii="Arial" w:hAnsi="Arial" w:cs="Arial"/>
          <w:sz w:val="26"/>
          <w:szCs w:val="28"/>
        </w:rPr>
        <w:t xml:space="preserve">commencement issue, there is no </w:t>
      </w:r>
      <w:r w:rsidR="0045655A" w:rsidRPr="00DF4154">
        <w:rPr>
          <w:rFonts w:ascii="Arial" w:hAnsi="Arial" w:cs="Arial"/>
          <w:sz w:val="26"/>
          <w:szCs w:val="28"/>
        </w:rPr>
        <w:t xml:space="preserve">basis upon which a condonation power may be read into section 67(1), in the absence of a challenge to the constitutional validity of section 67(1). </w:t>
      </w:r>
    </w:p>
    <w:p w14:paraId="28D12E9E" w14:textId="77777777" w:rsidR="00D97722" w:rsidRPr="00DF4154" w:rsidRDefault="00D97722" w:rsidP="00D97722">
      <w:pPr>
        <w:pStyle w:val="ListParagraph"/>
        <w:spacing w:before="240" w:after="120" w:line="480" w:lineRule="auto"/>
        <w:jc w:val="both"/>
        <w:rPr>
          <w:rFonts w:ascii="Arial" w:hAnsi="Arial" w:cs="Arial"/>
          <w:sz w:val="26"/>
          <w:szCs w:val="28"/>
        </w:rPr>
      </w:pPr>
    </w:p>
    <w:p w14:paraId="760F96F7" w14:textId="5554947C" w:rsidR="0045655A" w:rsidRPr="00DF4154" w:rsidRDefault="00AB5219" w:rsidP="00932CF5">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lastRenderedPageBreak/>
        <w:t xml:space="preserve">The language of </w:t>
      </w:r>
      <w:r w:rsidR="0045655A" w:rsidRPr="00DF4154">
        <w:rPr>
          <w:rFonts w:ascii="Arial" w:hAnsi="Arial" w:cs="Arial"/>
          <w:sz w:val="26"/>
          <w:szCs w:val="28"/>
        </w:rPr>
        <w:t>section 67(1)</w:t>
      </w:r>
      <w:r w:rsidRPr="00DF4154">
        <w:rPr>
          <w:rFonts w:ascii="Arial" w:hAnsi="Arial" w:cs="Arial"/>
          <w:sz w:val="26"/>
          <w:szCs w:val="28"/>
        </w:rPr>
        <w:t>, moreover,</w:t>
      </w:r>
      <w:r w:rsidR="0045655A" w:rsidRPr="00DF4154">
        <w:rPr>
          <w:rFonts w:ascii="Arial" w:hAnsi="Arial" w:cs="Arial"/>
          <w:sz w:val="26"/>
          <w:szCs w:val="28"/>
        </w:rPr>
        <w:t xml:space="preserve"> cannot reasonably accommodate</w:t>
      </w:r>
      <w:r w:rsidR="00E06154" w:rsidRPr="00DF4154">
        <w:rPr>
          <w:rFonts w:ascii="Arial" w:hAnsi="Arial" w:cs="Arial"/>
          <w:sz w:val="26"/>
          <w:szCs w:val="28"/>
        </w:rPr>
        <w:t xml:space="preserve"> an interpretation in terms of which</w:t>
      </w:r>
      <w:r w:rsidR="0045655A" w:rsidRPr="00DF4154">
        <w:rPr>
          <w:rFonts w:ascii="Arial" w:hAnsi="Arial" w:cs="Arial"/>
          <w:sz w:val="26"/>
          <w:szCs w:val="28"/>
        </w:rPr>
        <w:t xml:space="preserve"> </w:t>
      </w:r>
      <w:r w:rsidR="00E06154" w:rsidRPr="00DF4154">
        <w:rPr>
          <w:rFonts w:ascii="Arial" w:hAnsi="Arial" w:cs="Arial"/>
          <w:sz w:val="26"/>
          <w:szCs w:val="28"/>
        </w:rPr>
        <w:t xml:space="preserve">it contains a condonation provision, </w:t>
      </w:r>
      <w:r w:rsidR="0045655A" w:rsidRPr="00DF4154">
        <w:rPr>
          <w:rFonts w:ascii="Arial" w:hAnsi="Arial" w:cs="Arial"/>
          <w:sz w:val="26"/>
          <w:szCs w:val="28"/>
        </w:rPr>
        <w:t>even if such a</w:t>
      </w:r>
      <w:r w:rsidR="00E06154" w:rsidRPr="00DF4154">
        <w:rPr>
          <w:rFonts w:ascii="Arial" w:hAnsi="Arial" w:cs="Arial"/>
          <w:sz w:val="26"/>
          <w:szCs w:val="28"/>
        </w:rPr>
        <w:t xml:space="preserve">n interpretation </w:t>
      </w:r>
      <w:r w:rsidR="0045655A" w:rsidRPr="00DF4154">
        <w:rPr>
          <w:rFonts w:ascii="Arial" w:hAnsi="Arial" w:cs="Arial"/>
          <w:sz w:val="26"/>
          <w:szCs w:val="28"/>
        </w:rPr>
        <w:t>would accord with section 34 of the Constitution</w:t>
      </w:r>
      <w:r w:rsidR="00D97722" w:rsidRPr="00DF4154">
        <w:rPr>
          <w:rFonts w:ascii="Arial" w:hAnsi="Arial" w:cs="Arial"/>
          <w:sz w:val="26"/>
          <w:szCs w:val="28"/>
        </w:rPr>
        <w:t xml:space="preserve"> (which we do not concede)</w:t>
      </w:r>
      <w:r w:rsidR="0045655A" w:rsidRPr="00DF4154">
        <w:rPr>
          <w:rFonts w:ascii="Arial" w:hAnsi="Arial" w:cs="Arial"/>
          <w:sz w:val="26"/>
          <w:szCs w:val="28"/>
        </w:rPr>
        <w:t>.</w:t>
      </w:r>
    </w:p>
    <w:p w14:paraId="4F1F6BC1" w14:textId="77777777" w:rsidR="0045655A" w:rsidRPr="00DF4154" w:rsidRDefault="0045655A" w:rsidP="002C4A7F">
      <w:pPr>
        <w:pStyle w:val="ListParagraph"/>
        <w:spacing w:after="0" w:line="360" w:lineRule="auto"/>
        <w:jc w:val="both"/>
        <w:rPr>
          <w:rFonts w:ascii="Arial" w:hAnsi="Arial" w:cs="Arial"/>
          <w:sz w:val="26"/>
          <w:szCs w:val="28"/>
        </w:rPr>
      </w:pPr>
    </w:p>
    <w:p w14:paraId="5D2143C7" w14:textId="79359F76" w:rsidR="00E06154" w:rsidRPr="00DF4154" w:rsidRDefault="00E06154" w:rsidP="00E0615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 xml:space="preserve">The Commission </w:t>
      </w:r>
      <w:r w:rsidR="00A5317F" w:rsidRPr="00DF4154">
        <w:rPr>
          <w:rFonts w:ascii="Arial" w:hAnsi="Arial" w:cs="Arial"/>
          <w:sz w:val="26"/>
          <w:szCs w:val="28"/>
        </w:rPr>
        <w:t xml:space="preserve">is left with the contention </w:t>
      </w:r>
      <w:r w:rsidRPr="00DF4154">
        <w:rPr>
          <w:rFonts w:ascii="Arial" w:hAnsi="Arial" w:cs="Arial"/>
          <w:sz w:val="26"/>
          <w:szCs w:val="28"/>
        </w:rPr>
        <w:t>that section 67(1) is “</w:t>
      </w:r>
      <w:r w:rsidRPr="00DF4154">
        <w:rPr>
          <w:rFonts w:ascii="Arial" w:hAnsi="Arial" w:cs="Arial"/>
          <w:i/>
          <w:iCs/>
          <w:sz w:val="26"/>
          <w:szCs w:val="28"/>
        </w:rPr>
        <w:t>a procedural, rather than substantive, time bar</w:t>
      </w:r>
      <w:r w:rsidRPr="00DF4154">
        <w:rPr>
          <w:rFonts w:ascii="Arial" w:hAnsi="Arial" w:cs="Arial"/>
          <w:sz w:val="26"/>
          <w:szCs w:val="28"/>
        </w:rPr>
        <w:t>”</w:t>
      </w:r>
      <w:r w:rsidR="00A5317F" w:rsidRPr="00DF4154">
        <w:rPr>
          <w:rFonts w:ascii="Arial" w:hAnsi="Arial" w:cs="Arial"/>
          <w:sz w:val="26"/>
          <w:szCs w:val="28"/>
        </w:rPr>
        <w:t>,</w:t>
      </w:r>
      <w:r w:rsidR="00AB5219" w:rsidRPr="00DF4154">
        <w:rPr>
          <w:rStyle w:val="FootnoteReference"/>
          <w:rFonts w:ascii="Arial" w:hAnsi="Arial" w:cs="Arial"/>
          <w:sz w:val="26"/>
          <w:szCs w:val="28"/>
        </w:rPr>
        <w:footnoteReference w:id="91"/>
      </w:r>
      <w:r w:rsidRPr="00DF4154">
        <w:rPr>
          <w:rFonts w:ascii="Arial" w:hAnsi="Arial" w:cs="Arial"/>
          <w:sz w:val="26"/>
          <w:szCs w:val="28"/>
        </w:rPr>
        <w:t xml:space="preserve"> and </w:t>
      </w:r>
      <w:r w:rsidR="00D71F02" w:rsidRPr="00DF4154">
        <w:rPr>
          <w:rFonts w:ascii="Arial" w:hAnsi="Arial" w:cs="Arial"/>
          <w:sz w:val="26"/>
          <w:szCs w:val="28"/>
        </w:rPr>
        <w:t xml:space="preserve">that </w:t>
      </w:r>
      <w:r w:rsidRPr="00DF4154">
        <w:rPr>
          <w:rFonts w:ascii="Arial" w:hAnsi="Arial" w:cs="Arial"/>
          <w:sz w:val="26"/>
          <w:szCs w:val="28"/>
        </w:rPr>
        <w:t xml:space="preserve">the Commission’s </w:t>
      </w:r>
      <w:r w:rsidR="00AB5219" w:rsidRPr="00DF4154">
        <w:rPr>
          <w:rFonts w:ascii="Arial" w:hAnsi="Arial" w:cs="Arial"/>
          <w:sz w:val="26"/>
          <w:szCs w:val="28"/>
        </w:rPr>
        <w:t>“</w:t>
      </w:r>
      <w:r w:rsidRPr="00DF4154">
        <w:rPr>
          <w:rFonts w:ascii="Arial" w:hAnsi="Arial" w:cs="Arial"/>
          <w:i/>
          <w:iCs/>
          <w:sz w:val="26"/>
          <w:szCs w:val="28"/>
        </w:rPr>
        <w:t>non-compliance</w:t>
      </w:r>
      <w:r w:rsidR="00AB5219" w:rsidRPr="00DF4154">
        <w:rPr>
          <w:rFonts w:ascii="Arial" w:hAnsi="Arial" w:cs="Arial"/>
          <w:sz w:val="26"/>
          <w:szCs w:val="28"/>
        </w:rPr>
        <w:t xml:space="preserve">” with the time bar </w:t>
      </w:r>
      <w:r w:rsidR="00A5317F" w:rsidRPr="00DF4154">
        <w:rPr>
          <w:rFonts w:ascii="Arial" w:hAnsi="Arial" w:cs="Arial"/>
          <w:sz w:val="26"/>
          <w:szCs w:val="28"/>
        </w:rPr>
        <w:t xml:space="preserve">may be </w:t>
      </w:r>
      <w:r w:rsidR="00B35CD4" w:rsidRPr="00DF4154">
        <w:rPr>
          <w:rFonts w:ascii="Arial" w:hAnsi="Arial" w:cs="Arial"/>
          <w:sz w:val="26"/>
          <w:szCs w:val="28"/>
        </w:rPr>
        <w:t>“</w:t>
      </w:r>
      <w:r w:rsidR="00A5317F" w:rsidRPr="00DF4154">
        <w:rPr>
          <w:rFonts w:ascii="Arial" w:hAnsi="Arial" w:cs="Arial"/>
          <w:i/>
          <w:iCs/>
          <w:sz w:val="26"/>
          <w:szCs w:val="28"/>
        </w:rPr>
        <w:t>condoned</w:t>
      </w:r>
      <w:r w:rsidR="00B35CD4" w:rsidRPr="00DF4154">
        <w:rPr>
          <w:rFonts w:ascii="Arial" w:hAnsi="Arial" w:cs="Arial"/>
          <w:sz w:val="26"/>
          <w:szCs w:val="28"/>
        </w:rPr>
        <w:t>”</w:t>
      </w:r>
      <w:r w:rsidR="00A5317F" w:rsidRPr="00DF4154">
        <w:rPr>
          <w:rFonts w:ascii="Arial" w:hAnsi="Arial" w:cs="Arial"/>
          <w:sz w:val="26"/>
          <w:szCs w:val="28"/>
        </w:rPr>
        <w:t xml:space="preserve"> by the Tribunal in the exercise of its powers under </w:t>
      </w:r>
      <w:r w:rsidRPr="00DF4154">
        <w:rPr>
          <w:rFonts w:ascii="Arial" w:hAnsi="Arial" w:cs="Arial"/>
          <w:sz w:val="26"/>
          <w:szCs w:val="28"/>
        </w:rPr>
        <w:t xml:space="preserve">section 58(1)(c) of the </w:t>
      </w:r>
      <w:r w:rsidR="00D71F02" w:rsidRPr="00DF4154">
        <w:rPr>
          <w:rFonts w:ascii="Arial" w:hAnsi="Arial" w:cs="Arial"/>
          <w:sz w:val="26"/>
          <w:szCs w:val="28"/>
        </w:rPr>
        <w:t xml:space="preserve">Competition </w:t>
      </w:r>
      <w:r w:rsidRPr="00DF4154">
        <w:rPr>
          <w:rFonts w:ascii="Arial" w:hAnsi="Arial" w:cs="Arial"/>
          <w:sz w:val="26"/>
          <w:szCs w:val="28"/>
        </w:rPr>
        <w:t>Act. In terms of that provision the Tribunal may</w:t>
      </w:r>
      <w:r w:rsidR="00075AEF" w:rsidRPr="00DF4154">
        <w:rPr>
          <w:rFonts w:ascii="Arial" w:hAnsi="Arial" w:cs="Arial"/>
          <w:sz w:val="26"/>
          <w:szCs w:val="28"/>
        </w:rPr>
        <w:t xml:space="preserve"> – </w:t>
      </w:r>
    </w:p>
    <w:p w14:paraId="6031FF62" w14:textId="77777777" w:rsidR="00E06154" w:rsidRPr="00DF4154" w:rsidRDefault="00E06154" w:rsidP="00E06154">
      <w:pPr>
        <w:pStyle w:val="ListParagraph"/>
        <w:rPr>
          <w:rFonts w:ascii="Arial" w:hAnsi="Arial" w:cs="Arial"/>
          <w:sz w:val="26"/>
          <w:szCs w:val="28"/>
        </w:rPr>
      </w:pPr>
    </w:p>
    <w:p w14:paraId="791F477D" w14:textId="77777777" w:rsidR="00E06154" w:rsidRPr="00DF4154" w:rsidRDefault="00E06154" w:rsidP="00932CF5">
      <w:pPr>
        <w:pStyle w:val="ListParagraph"/>
        <w:spacing w:after="0" w:line="240" w:lineRule="auto"/>
        <w:jc w:val="both"/>
        <w:rPr>
          <w:rFonts w:ascii="Arial" w:hAnsi="Arial" w:cs="Arial"/>
          <w:i/>
          <w:iCs/>
          <w:sz w:val="26"/>
          <w:szCs w:val="28"/>
        </w:rPr>
      </w:pPr>
      <w:r w:rsidRPr="00DF4154">
        <w:rPr>
          <w:rFonts w:ascii="Arial" w:hAnsi="Arial" w:cs="Arial"/>
          <w:sz w:val="26"/>
          <w:szCs w:val="28"/>
        </w:rPr>
        <w:t>“</w:t>
      </w:r>
      <w:r w:rsidRPr="00DF4154">
        <w:rPr>
          <w:rFonts w:ascii="Arial" w:hAnsi="Arial" w:cs="Arial"/>
          <w:i/>
          <w:iCs/>
          <w:sz w:val="26"/>
          <w:szCs w:val="28"/>
        </w:rPr>
        <w:t>subject to sections 13(6) and 14(2), condone, on good cause shown, any non-compliance of –</w:t>
      </w:r>
    </w:p>
    <w:p w14:paraId="5D833F0F" w14:textId="77777777" w:rsidR="00932CF5" w:rsidRPr="00DF4154" w:rsidRDefault="00932CF5" w:rsidP="00932CF5">
      <w:pPr>
        <w:pStyle w:val="ListParagraph"/>
        <w:spacing w:after="0" w:line="240" w:lineRule="auto"/>
        <w:jc w:val="both"/>
        <w:rPr>
          <w:rFonts w:ascii="Arial" w:hAnsi="Arial" w:cs="Arial"/>
          <w:i/>
          <w:iCs/>
          <w:sz w:val="26"/>
          <w:szCs w:val="28"/>
        </w:rPr>
      </w:pPr>
    </w:p>
    <w:p w14:paraId="3811FC6C" w14:textId="1179757B" w:rsidR="00D71F02" w:rsidRPr="00DF4154" w:rsidRDefault="00E06154" w:rsidP="00932CF5">
      <w:pPr>
        <w:pStyle w:val="ListParagraph"/>
        <w:numPr>
          <w:ilvl w:val="0"/>
          <w:numId w:val="9"/>
        </w:numPr>
        <w:spacing w:after="0" w:line="240" w:lineRule="auto"/>
        <w:ind w:left="1701" w:hanging="981"/>
        <w:jc w:val="both"/>
        <w:rPr>
          <w:rFonts w:ascii="Arial" w:hAnsi="Arial" w:cs="Arial"/>
          <w:i/>
          <w:iCs/>
          <w:sz w:val="26"/>
          <w:szCs w:val="28"/>
        </w:rPr>
      </w:pPr>
      <w:r w:rsidRPr="00DF4154">
        <w:rPr>
          <w:rFonts w:ascii="Arial" w:hAnsi="Arial" w:cs="Arial"/>
          <w:i/>
          <w:iCs/>
          <w:sz w:val="26"/>
          <w:szCs w:val="28"/>
        </w:rPr>
        <w:t>the Competition Commission or Competition Tribunal’s rules;</w:t>
      </w:r>
      <w:r w:rsidR="00D71F02" w:rsidRPr="00DF4154">
        <w:rPr>
          <w:rFonts w:ascii="Arial" w:hAnsi="Arial" w:cs="Arial"/>
          <w:i/>
          <w:iCs/>
          <w:sz w:val="26"/>
          <w:szCs w:val="28"/>
        </w:rPr>
        <w:t xml:space="preserve"> or</w:t>
      </w:r>
    </w:p>
    <w:p w14:paraId="5039F35B" w14:textId="608060E4" w:rsidR="00AB5219" w:rsidRPr="00DF4154" w:rsidRDefault="00E06154" w:rsidP="00932CF5">
      <w:pPr>
        <w:pStyle w:val="ListParagraph"/>
        <w:numPr>
          <w:ilvl w:val="0"/>
          <w:numId w:val="9"/>
        </w:numPr>
        <w:spacing w:after="0" w:line="240" w:lineRule="auto"/>
        <w:ind w:left="1701" w:hanging="981"/>
        <w:jc w:val="both"/>
        <w:rPr>
          <w:rFonts w:ascii="Arial" w:hAnsi="Arial" w:cs="Arial"/>
          <w:i/>
          <w:iCs/>
          <w:sz w:val="26"/>
          <w:szCs w:val="28"/>
        </w:rPr>
      </w:pPr>
      <w:r w:rsidRPr="00DF4154">
        <w:rPr>
          <w:rFonts w:ascii="Arial" w:hAnsi="Arial" w:cs="Arial"/>
          <w:i/>
          <w:iCs/>
          <w:sz w:val="26"/>
          <w:szCs w:val="28"/>
        </w:rPr>
        <w:t>or</w:t>
      </w:r>
      <w:r w:rsidR="00932CF5" w:rsidRPr="00DF4154">
        <w:rPr>
          <w:rFonts w:ascii="Arial" w:hAnsi="Arial" w:cs="Arial"/>
          <w:i/>
          <w:iCs/>
          <w:sz w:val="26"/>
          <w:szCs w:val="28"/>
        </w:rPr>
        <w:t xml:space="preserve"> </w:t>
      </w:r>
      <w:r w:rsidRPr="00DF4154">
        <w:rPr>
          <w:rFonts w:ascii="Arial" w:hAnsi="Arial" w:cs="Arial"/>
          <w:i/>
          <w:iCs/>
          <w:sz w:val="26"/>
          <w:szCs w:val="28"/>
        </w:rPr>
        <w:t>a time limit set out in this Act</w:t>
      </w:r>
      <w:r w:rsidRPr="00DF4154">
        <w:rPr>
          <w:rFonts w:ascii="Arial" w:hAnsi="Arial" w:cs="Arial"/>
          <w:sz w:val="26"/>
          <w:szCs w:val="28"/>
        </w:rPr>
        <w:t>.”</w:t>
      </w:r>
    </w:p>
    <w:p w14:paraId="73D9BECF" w14:textId="77777777" w:rsidR="00AB5219" w:rsidRPr="00DF4154" w:rsidRDefault="00AB5219" w:rsidP="00AB5219">
      <w:pPr>
        <w:pStyle w:val="ListParagraph"/>
        <w:spacing w:after="0" w:line="480" w:lineRule="auto"/>
        <w:jc w:val="both"/>
        <w:rPr>
          <w:rFonts w:ascii="Arial" w:hAnsi="Arial" w:cs="Arial"/>
          <w:sz w:val="26"/>
          <w:szCs w:val="28"/>
        </w:rPr>
      </w:pPr>
    </w:p>
    <w:p w14:paraId="144A6918" w14:textId="193362B6" w:rsidR="00A5317F" w:rsidRPr="00DF4154" w:rsidRDefault="00A5317F" w:rsidP="00D97722">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contention is untenable</w:t>
      </w:r>
      <w:r w:rsidR="00B35CD4" w:rsidRPr="00DF4154">
        <w:rPr>
          <w:rFonts w:ascii="Arial" w:hAnsi="Arial" w:cs="Arial"/>
          <w:sz w:val="26"/>
          <w:szCs w:val="28"/>
        </w:rPr>
        <w:t>.</w:t>
      </w:r>
      <w:r w:rsidR="00D97722" w:rsidRPr="00DF4154">
        <w:rPr>
          <w:rFonts w:ascii="Arial" w:hAnsi="Arial" w:cs="Arial"/>
          <w:sz w:val="26"/>
          <w:szCs w:val="28"/>
        </w:rPr>
        <w:t xml:space="preserve"> I</w:t>
      </w:r>
      <w:r w:rsidRPr="00DF4154">
        <w:rPr>
          <w:rFonts w:ascii="Arial" w:hAnsi="Arial" w:cs="Arial"/>
          <w:sz w:val="26"/>
          <w:szCs w:val="28"/>
        </w:rPr>
        <w:t xml:space="preserve">t </w:t>
      </w:r>
      <w:r w:rsidR="00D71F02" w:rsidRPr="00DF4154">
        <w:rPr>
          <w:rFonts w:ascii="Arial" w:hAnsi="Arial" w:cs="Arial"/>
          <w:sz w:val="26"/>
          <w:szCs w:val="28"/>
        </w:rPr>
        <w:t>disregards</w:t>
      </w:r>
      <w:r w:rsidRPr="00DF4154">
        <w:rPr>
          <w:rFonts w:ascii="Arial" w:hAnsi="Arial" w:cs="Arial"/>
          <w:sz w:val="26"/>
          <w:szCs w:val="28"/>
        </w:rPr>
        <w:t xml:space="preserve"> the essential character of the prohibition in section 67(1)</w:t>
      </w:r>
      <w:r w:rsidR="00D97722" w:rsidRPr="00DF4154">
        <w:rPr>
          <w:rFonts w:ascii="Arial" w:hAnsi="Arial" w:cs="Arial"/>
          <w:sz w:val="26"/>
          <w:szCs w:val="28"/>
        </w:rPr>
        <w:t xml:space="preserve"> and misconstrues the scope of section</w:t>
      </w:r>
      <w:r w:rsidR="00075AEF" w:rsidRPr="00DF4154">
        <w:rPr>
          <w:rFonts w:ascii="Arial" w:hAnsi="Arial" w:cs="Arial"/>
          <w:sz w:val="26"/>
          <w:szCs w:val="28"/>
        </w:rPr>
        <w:t> </w:t>
      </w:r>
      <w:r w:rsidR="00D97722" w:rsidRPr="00DF4154">
        <w:rPr>
          <w:rFonts w:ascii="Arial" w:hAnsi="Arial" w:cs="Arial"/>
          <w:sz w:val="26"/>
          <w:szCs w:val="28"/>
        </w:rPr>
        <w:t>58(1)(c).</w:t>
      </w:r>
    </w:p>
    <w:p w14:paraId="114790AF" w14:textId="77777777" w:rsidR="00A5317F" w:rsidRPr="00DF4154" w:rsidRDefault="00A5317F" w:rsidP="00932CF5">
      <w:pPr>
        <w:pStyle w:val="ListParagraph"/>
        <w:spacing w:after="0" w:line="276" w:lineRule="auto"/>
        <w:jc w:val="both"/>
        <w:rPr>
          <w:rFonts w:ascii="Arial" w:hAnsi="Arial" w:cs="Arial"/>
          <w:sz w:val="26"/>
          <w:szCs w:val="28"/>
        </w:rPr>
      </w:pPr>
    </w:p>
    <w:p w14:paraId="10173723" w14:textId="0CB82BED" w:rsidR="00A5317F" w:rsidRPr="00DF4154" w:rsidRDefault="00A5317F" w:rsidP="00E06154">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Section 67(1) does not simply prescribe a time period within which the Commission must take a particular procedural step,</w:t>
      </w:r>
      <w:r w:rsidR="004F5DE2" w:rsidRPr="00DF4154">
        <w:rPr>
          <w:rFonts w:ascii="Arial" w:hAnsi="Arial" w:cs="Arial"/>
          <w:sz w:val="26"/>
          <w:szCs w:val="28"/>
        </w:rPr>
        <w:t xml:space="preserve"> </w:t>
      </w:r>
      <w:r w:rsidRPr="00DF4154">
        <w:rPr>
          <w:rFonts w:ascii="Arial" w:hAnsi="Arial" w:cs="Arial"/>
          <w:sz w:val="26"/>
          <w:szCs w:val="28"/>
        </w:rPr>
        <w:t>but extinguishes the Commission’s statutory power</w:t>
      </w:r>
      <w:r w:rsidR="000B43E2" w:rsidRPr="00DF4154">
        <w:rPr>
          <w:rFonts w:ascii="Arial" w:hAnsi="Arial" w:cs="Arial"/>
          <w:sz w:val="26"/>
          <w:szCs w:val="28"/>
        </w:rPr>
        <w:t xml:space="preserve"> </w:t>
      </w:r>
      <w:r w:rsidR="00521081" w:rsidRPr="00DF4154">
        <w:rPr>
          <w:rFonts w:ascii="Arial" w:hAnsi="Arial" w:cs="Arial"/>
          <w:sz w:val="26"/>
          <w:szCs w:val="28"/>
        </w:rPr>
        <w:t>(</w:t>
      </w:r>
      <w:r w:rsidR="000B43E2" w:rsidRPr="00DF4154">
        <w:rPr>
          <w:rFonts w:ascii="Arial" w:hAnsi="Arial" w:cs="Arial"/>
          <w:sz w:val="26"/>
          <w:szCs w:val="28"/>
        </w:rPr>
        <w:t>and</w:t>
      </w:r>
      <w:r w:rsidR="00D97722" w:rsidRPr="00DF4154">
        <w:rPr>
          <w:rFonts w:ascii="Arial" w:hAnsi="Arial" w:cs="Arial"/>
          <w:sz w:val="26"/>
          <w:szCs w:val="28"/>
        </w:rPr>
        <w:t xml:space="preserve"> its</w:t>
      </w:r>
      <w:r w:rsidR="000B43E2" w:rsidRPr="00DF4154">
        <w:rPr>
          <w:rFonts w:ascii="Arial" w:hAnsi="Arial" w:cs="Arial"/>
          <w:sz w:val="26"/>
          <w:szCs w:val="28"/>
        </w:rPr>
        <w:t xml:space="preserve"> jurisdiction</w:t>
      </w:r>
      <w:r w:rsidR="00521081" w:rsidRPr="00DF4154">
        <w:rPr>
          <w:rFonts w:ascii="Arial" w:hAnsi="Arial" w:cs="Arial"/>
          <w:sz w:val="26"/>
          <w:szCs w:val="28"/>
        </w:rPr>
        <w:t>)</w:t>
      </w:r>
      <w:r w:rsidR="00521081" w:rsidRPr="00DF4154">
        <w:rPr>
          <w:rStyle w:val="FootnoteReference"/>
          <w:rFonts w:ascii="Arial" w:hAnsi="Arial" w:cs="Arial"/>
          <w:sz w:val="26"/>
          <w:szCs w:val="28"/>
        </w:rPr>
        <w:footnoteReference w:id="92"/>
      </w:r>
      <w:r w:rsidRPr="00DF4154">
        <w:rPr>
          <w:rFonts w:ascii="Arial" w:hAnsi="Arial" w:cs="Arial"/>
          <w:sz w:val="26"/>
          <w:szCs w:val="28"/>
        </w:rPr>
        <w:t xml:space="preserve"> to initiate a complaint </w:t>
      </w:r>
      <w:r w:rsidRPr="00DF4154">
        <w:rPr>
          <w:rFonts w:ascii="Arial" w:hAnsi="Arial" w:cs="Arial"/>
          <w:sz w:val="26"/>
          <w:szCs w:val="28"/>
        </w:rPr>
        <w:lastRenderedPageBreak/>
        <w:t>in respect of a prohibited practice</w:t>
      </w:r>
      <w:r w:rsidR="004F5DE2" w:rsidRPr="00DF4154">
        <w:rPr>
          <w:rFonts w:ascii="Arial" w:hAnsi="Arial" w:cs="Arial"/>
          <w:sz w:val="26"/>
          <w:szCs w:val="28"/>
        </w:rPr>
        <w:t xml:space="preserve"> </w:t>
      </w:r>
      <w:r w:rsidRPr="00DF4154">
        <w:rPr>
          <w:rFonts w:ascii="Arial" w:hAnsi="Arial" w:cs="Arial"/>
          <w:sz w:val="26"/>
          <w:szCs w:val="28"/>
        </w:rPr>
        <w:t>once the three-year period has lapsed.</w:t>
      </w:r>
      <w:r w:rsidR="00FA2E67" w:rsidRPr="00DF4154">
        <w:rPr>
          <w:rStyle w:val="FootnoteReference"/>
          <w:rFonts w:ascii="Arial" w:hAnsi="Arial" w:cs="Arial"/>
          <w:sz w:val="26"/>
          <w:szCs w:val="28"/>
        </w:rPr>
        <w:footnoteReference w:id="93"/>
      </w:r>
      <w:r w:rsidR="00050E8F" w:rsidRPr="00DF4154">
        <w:rPr>
          <w:rFonts w:ascii="Arial" w:hAnsi="Arial" w:cs="Arial"/>
          <w:sz w:val="26"/>
          <w:szCs w:val="28"/>
        </w:rPr>
        <w:t xml:space="preserve"> As the CAC observed: “</w:t>
      </w:r>
      <w:r w:rsidR="00050E8F" w:rsidRPr="00DF4154">
        <w:rPr>
          <w:rFonts w:ascii="Arial" w:hAnsi="Arial" w:cs="Arial"/>
          <w:i/>
          <w:iCs/>
          <w:sz w:val="26"/>
          <w:szCs w:val="28"/>
        </w:rPr>
        <w:t>Once the period has expired, there is no statutory power to initiate a complaint and so engage the power of the State against the subject”.</w:t>
      </w:r>
      <w:r w:rsidR="00050E8F" w:rsidRPr="00DF4154">
        <w:rPr>
          <w:rStyle w:val="FootnoteReference"/>
          <w:rFonts w:ascii="Arial" w:hAnsi="Arial" w:cs="Arial"/>
          <w:sz w:val="26"/>
          <w:szCs w:val="28"/>
        </w:rPr>
        <w:footnoteReference w:id="94"/>
      </w:r>
    </w:p>
    <w:p w14:paraId="65AAFBE0" w14:textId="77777777" w:rsidR="00A5317F" w:rsidRPr="00DF4154" w:rsidRDefault="00A5317F" w:rsidP="00A5317F">
      <w:pPr>
        <w:pStyle w:val="ListParagraph"/>
        <w:rPr>
          <w:rFonts w:ascii="Arial" w:hAnsi="Arial" w:cs="Arial"/>
          <w:sz w:val="26"/>
          <w:szCs w:val="28"/>
        </w:rPr>
      </w:pPr>
    </w:p>
    <w:p w14:paraId="68194BEF" w14:textId="2644BE3F" w:rsidR="00B35CD4" w:rsidRPr="00DF4154" w:rsidRDefault="00166034" w:rsidP="00382A7A">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T</w:t>
      </w:r>
      <w:r w:rsidR="000B43E2" w:rsidRPr="00DF4154">
        <w:rPr>
          <w:rFonts w:ascii="Arial" w:hAnsi="Arial" w:cs="Arial"/>
          <w:sz w:val="26"/>
          <w:szCs w:val="28"/>
        </w:rPr>
        <w:t xml:space="preserve">he </w:t>
      </w:r>
      <w:r w:rsidR="00A5317F" w:rsidRPr="00DF4154">
        <w:rPr>
          <w:rFonts w:ascii="Arial" w:hAnsi="Arial" w:cs="Arial"/>
          <w:sz w:val="26"/>
          <w:szCs w:val="28"/>
        </w:rPr>
        <w:t>Tribunal’s power under section 58</w:t>
      </w:r>
      <w:r w:rsidR="00D71F02" w:rsidRPr="00DF4154">
        <w:rPr>
          <w:rFonts w:ascii="Arial" w:hAnsi="Arial" w:cs="Arial"/>
          <w:sz w:val="26"/>
          <w:szCs w:val="28"/>
        </w:rPr>
        <w:t>(1)</w:t>
      </w:r>
      <w:r w:rsidR="00A5317F" w:rsidRPr="00DF4154">
        <w:rPr>
          <w:rFonts w:ascii="Arial" w:hAnsi="Arial" w:cs="Arial"/>
          <w:sz w:val="26"/>
          <w:szCs w:val="28"/>
        </w:rPr>
        <w:t>(c)</w:t>
      </w:r>
      <w:r w:rsidRPr="00DF4154">
        <w:rPr>
          <w:rFonts w:ascii="Arial" w:hAnsi="Arial" w:cs="Arial"/>
          <w:sz w:val="26"/>
          <w:szCs w:val="28"/>
        </w:rPr>
        <w:t xml:space="preserve"> is a power to “</w:t>
      </w:r>
      <w:r w:rsidRPr="00DF4154">
        <w:rPr>
          <w:rFonts w:ascii="Arial" w:hAnsi="Arial" w:cs="Arial"/>
          <w:i/>
          <w:iCs/>
          <w:sz w:val="26"/>
          <w:szCs w:val="28"/>
        </w:rPr>
        <w:t>condone</w:t>
      </w:r>
      <w:r w:rsidRPr="00DF4154">
        <w:rPr>
          <w:rFonts w:ascii="Arial" w:hAnsi="Arial" w:cs="Arial"/>
          <w:sz w:val="26"/>
          <w:szCs w:val="28"/>
        </w:rPr>
        <w:t>” or “</w:t>
      </w:r>
      <w:r w:rsidRPr="00DF4154">
        <w:rPr>
          <w:rFonts w:ascii="Arial" w:hAnsi="Arial" w:cs="Arial"/>
          <w:i/>
          <w:iCs/>
          <w:sz w:val="26"/>
          <w:szCs w:val="28"/>
        </w:rPr>
        <w:t>excuse</w:t>
      </w:r>
      <w:r w:rsidRPr="00DF4154">
        <w:rPr>
          <w:rFonts w:ascii="Arial" w:hAnsi="Arial" w:cs="Arial"/>
          <w:sz w:val="26"/>
          <w:szCs w:val="28"/>
        </w:rPr>
        <w:t xml:space="preserve">” a delay in performing a procedural step, </w:t>
      </w:r>
      <w:r w:rsidR="000C0CDA" w:rsidRPr="00DF4154">
        <w:rPr>
          <w:rFonts w:ascii="Arial" w:hAnsi="Arial" w:cs="Arial"/>
          <w:sz w:val="26"/>
          <w:szCs w:val="28"/>
        </w:rPr>
        <w:t xml:space="preserve">not a power to authorise or sanction conduct by the Commission which is outside its statutory powers. </w:t>
      </w:r>
    </w:p>
    <w:p w14:paraId="2D8302C4" w14:textId="77777777" w:rsidR="00B35CD4" w:rsidRPr="00DF4154" w:rsidRDefault="00B35CD4" w:rsidP="00B35CD4">
      <w:pPr>
        <w:pStyle w:val="ListParagraph"/>
        <w:rPr>
          <w:rFonts w:ascii="Arial" w:hAnsi="Arial" w:cs="Arial"/>
          <w:sz w:val="26"/>
          <w:szCs w:val="28"/>
        </w:rPr>
      </w:pPr>
    </w:p>
    <w:p w14:paraId="25A896A8" w14:textId="4C41F82D" w:rsidR="00382A7A" w:rsidRPr="00DF4154" w:rsidRDefault="00D97722" w:rsidP="00382A7A">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 xml:space="preserve">An unlawful </w:t>
      </w:r>
      <w:r w:rsidRPr="00DF4154">
        <w:rPr>
          <w:rFonts w:ascii="Arial" w:hAnsi="Arial" w:cs="Arial"/>
          <w:i/>
          <w:iCs/>
          <w:sz w:val="26"/>
          <w:szCs w:val="28"/>
        </w:rPr>
        <w:t>ultra vires</w:t>
      </w:r>
      <w:r w:rsidRPr="00DF4154">
        <w:rPr>
          <w:rFonts w:ascii="Arial" w:hAnsi="Arial" w:cs="Arial"/>
          <w:sz w:val="26"/>
          <w:szCs w:val="28"/>
        </w:rPr>
        <w:t xml:space="preserve"> initiation of a complaint </w:t>
      </w:r>
      <w:r w:rsidR="00B35CD4" w:rsidRPr="00DF4154">
        <w:rPr>
          <w:rFonts w:ascii="Arial" w:hAnsi="Arial" w:cs="Arial"/>
          <w:sz w:val="26"/>
          <w:szCs w:val="28"/>
        </w:rPr>
        <w:t>by the Commission m</w:t>
      </w:r>
      <w:r w:rsidR="000C0CDA" w:rsidRPr="00DF4154">
        <w:rPr>
          <w:rFonts w:ascii="Arial" w:hAnsi="Arial" w:cs="Arial"/>
          <w:sz w:val="26"/>
          <w:szCs w:val="28"/>
        </w:rPr>
        <w:t>ight come before the Tribunal in the exercise of its function to hear reviews from any decision of the Commission under section 27(1)(c) of the Competition Act</w:t>
      </w:r>
      <w:r w:rsidR="00B35CD4" w:rsidRPr="00DF4154">
        <w:rPr>
          <w:rFonts w:ascii="Arial" w:hAnsi="Arial" w:cs="Arial"/>
          <w:sz w:val="26"/>
          <w:szCs w:val="28"/>
        </w:rPr>
        <w:t xml:space="preserve">. </w:t>
      </w:r>
      <w:r w:rsidRPr="00DF4154">
        <w:rPr>
          <w:rFonts w:ascii="Arial" w:hAnsi="Arial" w:cs="Arial"/>
          <w:sz w:val="26"/>
          <w:szCs w:val="28"/>
        </w:rPr>
        <w:t>T</w:t>
      </w:r>
      <w:r w:rsidR="000C0CDA" w:rsidRPr="00DF4154">
        <w:rPr>
          <w:rFonts w:ascii="Arial" w:hAnsi="Arial" w:cs="Arial"/>
          <w:sz w:val="26"/>
          <w:szCs w:val="28"/>
        </w:rPr>
        <w:t xml:space="preserve">he Tribunal </w:t>
      </w:r>
      <w:r w:rsidRPr="00DF4154">
        <w:rPr>
          <w:rFonts w:ascii="Arial" w:hAnsi="Arial" w:cs="Arial"/>
          <w:sz w:val="26"/>
          <w:szCs w:val="28"/>
        </w:rPr>
        <w:t xml:space="preserve">cannot have </w:t>
      </w:r>
      <w:r w:rsidR="000C0CDA" w:rsidRPr="00DF4154">
        <w:rPr>
          <w:rFonts w:ascii="Arial" w:hAnsi="Arial" w:cs="Arial"/>
          <w:sz w:val="26"/>
          <w:szCs w:val="28"/>
        </w:rPr>
        <w:t xml:space="preserve">simultaneously the power to review and </w:t>
      </w:r>
      <w:r w:rsidR="00B35CD4" w:rsidRPr="00DF4154">
        <w:rPr>
          <w:rFonts w:ascii="Arial" w:hAnsi="Arial" w:cs="Arial"/>
          <w:sz w:val="26"/>
          <w:szCs w:val="28"/>
        </w:rPr>
        <w:t xml:space="preserve">the power to </w:t>
      </w:r>
      <w:r w:rsidR="000C0CDA" w:rsidRPr="00DF4154">
        <w:rPr>
          <w:rFonts w:ascii="Arial" w:hAnsi="Arial" w:cs="Arial"/>
          <w:sz w:val="26"/>
          <w:szCs w:val="28"/>
        </w:rPr>
        <w:t>condone</w:t>
      </w:r>
      <w:r w:rsidR="00287F73" w:rsidRPr="00DF4154">
        <w:rPr>
          <w:rFonts w:ascii="Arial" w:hAnsi="Arial" w:cs="Arial"/>
          <w:sz w:val="26"/>
          <w:szCs w:val="28"/>
        </w:rPr>
        <w:t xml:space="preserve"> </w:t>
      </w:r>
      <w:r w:rsidR="000C0CDA" w:rsidRPr="00DF4154">
        <w:rPr>
          <w:rFonts w:ascii="Arial" w:hAnsi="Arial" w:cs="Arial"/>
          <w:sz w:val="26"/>
          <w:szCs w:val="28"/>
        </w:rPr>
        <w:t>unlawful</w:t>
      </w:r>
      <w:r w:rsidR="00287F73" w:rsidRPr="00DF4154">
        <w:rPr>
          <w:rFonts w:ascii="Arial" w:hAnsi="Arial" w:cs="Arial"/>
          <w:sz w:val="26"/>
          <w:szCs w:val="28"/>
        </w:rPr>
        <w:t xml:space="preserve"> </w:t>
      </w:r>
      <w:r w:rsidR="00287F73" w:rsidRPr="00001B64">
        <w:rPr>
          <w:rFonts w:ascii="Arial" w:hAnsi="Arial" w:cs="Arial"/>
          <w:i/>
          <w:iCs/>
          <w:sz w:val="26"/>
          <w:szCs w:val="28"/>
        </w:rPr>
        <w:t>ultra vires</w:t>
      </w:r>
      <w:r w:rsidR="000C0CDA" w:rsidRPr="00DF4154">
        <w:rPr>
          <w:rFonts w:ascii="Arial" w:hAnsi="Arial" w:cs="Arial"/>
          <w:sz w:val="26"/>
          <w:szCs w:val="28"/>
        </w:rPr>
        <w:t xml:space="preserve"> </w:t>
      </w:r>
      <w:r w:rsidR="00287F73" w:rsidRPr="00DF4154">
        <w:rPr>
          <w:rFonts w:ascii="Arial" w:hAnsi="Arial" w:cs="Arial"/>
          <w:sz w:val="26"/>
          <w:szCs w:val="28"/>
        </w:rPr>
        <w:t>conduct by the Commission.</w:t>
      </w:r>
      <w:r w:rsidR="000B43E2" w:rsidRPr="00DF4154">
        <w:rPr>
          <w:rFonts w:ascii="Arial" w:hAnsi="Arial" w:cs="Arial"/>
          <w:sz w:val="26"/>
          <w:szCs w:val="28"/>
        </w:rPr>
        <w:t xml:space="preserve"> </w:t>
      </w:r>
    </w:p>
    <w:p w14:paraId="74FEB978" w14:textId="77777777" w:rsidR="00521081" w:rsidRPr="00DF4154" w:rsidRDefault="00521081" w:rsidP="00521081">
      <w:pPr>
        <w:pStyle w:val="ListParagraph"/>
        <w:rPr>
          <w:rFonts w:ascii="Arial" w:hAnsi="Arial" w:cs="Arial"/>
          <w:sz w:val="26"/>
          <w:szCs w:val="28"/>
        </w:rPr>
      </w:pPr>
    </w:p>
    <w:p w14:paraId="60337CB1" w14:textId="4E8187EF" w:rsidR="00FD2873" w:rsidRPr="00DF4154" w:rsidRDefault="00FD2873" w:rsidP="00382A7A">
      <w:pPr>
        <w:pStyle w:val="ListParagraph"/>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As the Tribunal said of the Commission’s condonation</w:t>
      </w:r>
      <w:r w:rsidR="005860F0" w:rsidRPr="00DF4154">
        <w:rPr>
          <w:rFonts w:ascii="Arial" w:hAnsi="Arial" w:cs="Arial"/>
          <w:sz w:val="26"/>
          <w:szCs w:val="28"/>
        </w:rPr>
        <w:t xml:space="preserve"> argument</w:t>
      </w:r>
      <w:r w:rsidRPr="00DF4154">
        <w:rPr>
          <w:rFonts w:ascii="Arial" w:hAnsi="Arial" w:cs="Arial"/>
          <w:sz w:val="26"/>
          <w:szCs w:val="28"/>
        </w:rPr>
        <w:t>, “</w:t>
      </w:r>
      <w:r w:rsidRPr="00DF4154">
        <w:rPr>
          <w:rFonts w:ascii="Arial" w:hAnsi="Arial" w:cs="Arial"/>
          <w:i/>
          <w:iCs/>
          <w:sz w:val="26"/>
          <w:szCs w:val="28"/>
        </w:rPr>
        <w:t>the danger of this approach to the lawful exercise of public power is too obvious to need more elaboration”.</w:t>
      </w:r>
      <w:r w:rsidRPr="00DF4154">
        <w:rPr>
          <w:rStyle w:val="FootnoteReference"/>
          <w:rFonts w:ascii="Arial" w:hAnsi="Arial" w:cs="Arial"/>
          <w:sz w:val="26"/>
          <w:szCs w:val="28"/>
        </w:rPr>
        <w:footnoteReference w:id="95"/>
      </w:r>
    </w:p>
    <w:p w14:paraId="324379A1" w14:textId="77777777" w:rsidR="00FD2873" w:rsidRPr="00DF4154" w:rsidRDefault="00FD2873" w:rsidP="00FD2873">
      <w:pPr>
        <w:pStyle w:val="ListParagraph"/>
        <w:rPr>
          <w:rFonts w:ascii="Arial" w:hAnsi="Arial" w:cs="Arial"/>
          <w:sz w:val="26"/>
          <w:szCs w:val="28"/>
        </w:rPr>
      </w:pPr>
    </w:p>
    <w:p w14:paraId="2635961C" w14:textId="751E95B1" w:rsidR="00617FE0" w:rsidRPr="00DF4154" w:rsidRDefault="005860F0" w:rsidP="002D495D">
      <w:pPr>
        <w:pStyle w:val="ListParagraph"/>
        <w:numPr>
          <w:ilvl w:val="0"/>
          <w:numId w:val="1"/>
        </w:numPr>
        <w:spacing w:before="240" w:after="0" w:line="480" w:lineRule="auto"/>
        <w:ind w:hanging="720"/>
        <w:jc w:val="both"/>
        <w:rPr>
          <w:rFonts w:ascii="Arial" w:hAnsi="Arial" w:cs="Arial"/>
          <w:sz w:val="26"/>
          <w:szCs w:val="28"/>
        </w:rPr>
      </w:pPr>
      <w:r w:rsidRPr="00DF4154">
        <w:rPr>
          <w:rFonts w:ascii="Arial" w:hAnsi="Arial" w:cs="Arial"/>
          <w:sz w:val="26"/>
          <w:szCs w:val="28"/>
        </w:rPr>
        <w:t>In any event,</w:t>
      </w:r>
      <w:r w:rsidR="00521081" w:rsidRPr="00DF4154">
        <w:rPr>
          <w:rFonts w:ascii="Arial" w:hAnsi="Arial" w:cs="Arial"/>
          <w:sz w:val="26"/>
          <w:szCs w:val="28"/>
        </w:rPr>
        <w:t xml:space="preserve"> if the Legislature had intended to empower the Tribunal to “condone” </w:t>
      </w:r>
      <w:r w:rsidR="00B35CD4" w:rsidRPr="00DF4154">
        <w:rPr>
          <w:rFonts w:ascii="Arial" w:hAnsi="Arial" w:cs="Arial"/>
          <w:sz w:val="26"/>
          <w:szCs w:val="28"/>
        </w:rPr>
        <w:t xml:space="preserve">initiations of complaints outside the three-year period in section </w:t>
      </w:r>
      <w:r w:rsidR="00B35CD4" w:rsidRPr="00DF4154">
        <w:rPr>
          <w:rFonts w:ascii="Arial" w:hAnsi="Arial" w:cs="Arial"/>
          <w:sz w:val="26"/>
          <w:szCs w:val="28"/>
        </w:rPr>
        <w:lastRenderedPageBreak/>
        <w:t xml:space="preserve">67(1), </w:t>
      </w:r>
      <w:r w:rsidR="00521081" w:rsidRPr="00DF4154">
        <w:rPr>
          <w:rFonts w:ascii="Arial" w:hAnsi="Arial" w:cs="Arial"/>
          <w:sz w:val="26"/>
          <w:szCs w:val="28"/>
        </w:rPr>
        <w:t xml:space="preserve">it could be expected to have </w:t>
      </w:r>
      <w:r w:rsidR="00617FE0" w:rsidRPr="00DF4154">
        <w:rPr>
          <w:rFonts w:ascii="Arial" w:hAnsi="Arial" w:cs="Arial"/>
          <w:sz w:val="26"/>
          <w:szCs w:val="28"/>
        </w:rPr>
        <w:t xml:space="preserve">made express provision for </w:t>
      </w:r>
      <w:r w:rsidR="00521081" w:rsidRPr="00DF4154">
        <w:rPr>
          <w:rFonts w:ascii="Arial" w:hAnsi="Arial" w:cs="Arial"/>
          <w:sz w:val="26"/>
          <w:szCs w:val="28"/>
        </w:rPr>
        <w:t xml:space="preserve">such a power in </w:t>
      </w:r>
      <w:r w:rsidR="00617FE0" w:rsidRPr="00DF4154">
        <w:rPr>
          <w:rFonts w:ascii="Arial" w:hAnsi="Arial" w:cs="Arial"/>
          <w:sz w:val="26"/>
          <w:szCs w:val="28"/>
        </w:rPr>
        <w:t xml:space="preserve">respect of </w:t>
      </w:r>
      <w:r w:rsidR="00521081" w:rsidRPr="00DF4154">
        <w:rPr>
          <w:rFonts w:ascii="Arial" w:hAnsi="Arial" w:cs="Arial"/>
          <w:sz w:val="26"/>
          <w:szCs w:val="28"/>
        </w:rPr>
        <w:t>section 67</w:t>
      </w:r>
      <w:r w:rsidR="00617FE0" w:rsidRPr="00DF4154">
        <w:rPr>
          <w:rFonts w:ascii="Arial" w:hAnsi="Arial" w:cs="Arial"/>
          <w:sz w:val="26"/>
          <w:szCs w:val="28"/>
        </w:rPr>
        <w:t>(1).</w:t>
      </w:r>
      <w:r w:rsidR="00521081" w:rsidRPr="00DF4154">
        <w:rPr>
          <w:rStyle w:val="FootnoteReference"/>
          <w:rFonts w:ascii="Arial" w:hAnsi="Arial" w:cs="Arial"/>
          <w:sz w:val="26"/>
          <w:szCs w:val="28"/>
        </w:rPr>
        <w:footnoteReference w:id="96"/>
      </w:r>
      <w:r w:rsidR="002D495D" w:rsidRPr="00DF4154">
        <w:rPr>
          <w:rFonts w:ascii="Arial" w:hAnsi="Arial" w:cs="Arial"/>
          <w:sz w:val="26"/>
          <w:szCs w:val="28"/>
        </w:rPr>
        <w:t xml:space="preserve"> </w:t>
      </w:r>
    </w:p>
    <w:p w14:paraId="090D63F1" w14:textId="77777777" w:rsidR="00617FE0" w:rsidRPr="00DF4154" w:rsidRDefault="00617FE0" w:rsidP="00617FE0">
      <w:pPr>
        <w:pStyle w:val="ListParagraph"/>
        <w:rPr>
          <w:rFonts w:ascii="Arial" w:hAnsi="Arial" w:cs="Arial"/>
          <w:sz w:val="26"/>
          <w:szCs w:val="28"/>
        </w:rPr>
      </w:pPr>
    </w:p>
    <w:p w14:paraId="4118B50B" w14:textId="17CA20E4" w:rsidR="00617FE0" w:rsidRPr="00DF4154" w:rsidRDefault="002D495D" w:rsidP="0045655A">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I</w:t>
      </w:r>
      <w:r w:rsidR="0045655A" w:rsidRPr="00DF4154">
        <w:rPr>
          <w:rFonts w:ascii="Arial" w:hAnsi="Arial" w:cs="Arial"/>
          <w:sz w:val="26"/>
          <w:szCs w:val="28"/>
        </w:rPr>
        <w:t>t is well-established that the power of an organ of State to condone non-compliance with a peremptory statutory time period must be conferred specifically.</w:t>
      </w:r>
      <w:r w:rsidR="0045655A" w:rsidRPr="00DF4154">
        <w:rPr>
          <w:rStyle w:val="FootnoteReference"/>
          <w:rFonts w:ascii="Arial" w:hAnsi="Arial" w:cs="Arial"/>
          <w:sz w:val="26"/>
          <w:szCs w:val="28"/>
        </w:rPr>
        <w:footnoteReference w:id="97"/>
      </w:r>
      <w:r w:rsidR="0045655A" w:rsidRPr="00DF4154">
        <w:rPr>
          <w:rFonts w:ascii="Arial" w:hAnsi="Arial" w:cs="Arial"/>
          <w:sz w:val="26"/>
          <w:szCs w:val="28"/>
        </w:rPr>
        <w:t xml:space="preserve"> </w:t>
      </w:r>
      <w:r w:rsidR="00617FE0" w:rsidRPr="00DF4154">
        <w:rPr>
          <w:rFonts w:ascii="Arial" w:hAnsi="Arial" w:cs="Arial"/>
          <w:sz w:val="26"/>
          <w:szCs w:val="28"/>
        </w:rPr>
        <w:t>In circumstances in which section 67(1) contains an express prohibition on the initiation of a complaint outside the three-year period, a general condonation power applicable to a range of time provisions in the same legislation cannot provide the condonation power for which the Commission contends.</w:t>
      </w:r>
    </w:p>
    <w:p w14:paraId="3A37C78C" w14:textId="77777777" w:rsidR="002731B1" w:rsidRPr="00DF4154" w:rsidRDefault="002731B1" w:rsidP="002731B1">
      <w:pPr>
        <w:pStyle w:val="ListParagraph"/>
        <w:rPr>
          <w:rFonts w:ascii="Arial" w:hAnsi="Arial" w:cs="Arial"/>
          <w:sz w:val="26"/>
          <w:szCs w:val="28"/>
        </w:rPr>
      </w:pPr>
    </w:p>
    <w:p w14:paraId="405C911C" w14:textId="0ABD39C4" w:rsidR="002731B1" w:rsidRPr="00DF4154" w:rsidRDefault="002731B1" w:rsidP="00BB6964">
      <w:pPr>
        <w:keepNext/>
        <w:spacing w:after="0" w:line="480" w:lineRule="auto"/>
        <w:jc w:val="both"/>
        <w:rPr>
          <w:rFonts w:ascii="Arial" w:hAnsi="Arial" w:cs="Arial"/>
          <w:b/>
          <w:bCs/>
          <w:sz w:val="26"/>
          <w:szCs w:val="28"/>
        </w:rPr>
      </w:pPr>
      <w:r w:rsidRPr="00DF4154">
        <w:rPr>
          <w:rFonts w:ascii="Arial" w:hAnsi="Arial" w:cs="Arial"/>
          <w:b/>
          <w:bCs/>
          <w:sz w:val="26"/>
          <w:szCs w:val="28"/>
        </w:rPr>
        <w:t>Conclusion on the condonation issue</w:t>
      </w:r>
    </w:p>
    <w:p w14:paraId="5F10B3E9" w14:textId="77777777" w:rsidR="002731B1" w:rsidRPr="00DF4154" w:rsidRDefault="002731B1" w:rsidP="00BB6964">
      <w:pPr>
        <w:pStyle w:val="ListParagraph"/>
        <w:keepNext/>
        <w:rPr>
          <w:rFonts w:ascii="Arial" w:hAnsi="Arial" w:cs="Arial"/>
          <w:sz w:val="26"/>
          <w:szCs w:val="28"/>
        </w:rPr>
      </w:pPr>
    </w:p>
    <w:p w14:paraId="422546D2" w14:textId="46106810" w:rsidR="000F1E08" w:rsidRPr="00DF4154" w:rsidRDefault="000F1E08" w:rsidP="00BB6964">
      <w:pPr>
        <w:pStyle w:val="ListParagraph"/>
        <w:keepNext/>
        <w:numPr>
          <w:ilvl w:val="0"/>
          <w:numId w:val="1"/>
        </w:numPr>
        <w:spacing w:before="240" w:after="120" w:line="480" w:lineRule="auto"/>
        <w:ind w:hanging="720"/>
        <w:jc w:val="both"/>
        <w:rPr>
          <w:rFonts w:ascii="Arial" w:hAnsi="Arial" w:cs="Arial"/>
          <w:sz w:val="26"/>
          <w:szCs w:val="28"/>
        </w:rPr>
      </w:pPr>
      <w:r w:rsidRPr="00DF4154">
        <w:rPr>
          <w:rFonts w:ascii="Arial" w:hAnsi="Arial" w:cs="Arial"/>
          <w:sz w:val="26"/>
          <w:szCs w:val="28"/>
        </w:rPr>
        <w:t>We submit, with respect, that the Competition Appeal Court correctly upheld the Tribunal’s finding that the Tribunal has no power to “condone” the initiation of a complaint by the Commission outside the three-year time period in section 67(1) of the Competition Act.</w:t>
      </w:r>
    </w:p>
    <w:p w14:paraId="59BBEE91" w14:textId="77777777" w:rsidR="00001B64" w:rsidRDefault="00001B64" w:rsidP="00001B64">
      <w:pPr>
        <w:spacing w:after="0" w:line="360" w:lineRule="auto"/>
        <w:jc w:val="both"/>
        <w:rPr>
          <w:rFonts w:ascii="Arial" w:hAnsi="Arial" w:cs="Arial"/>
          <w:b/>
          <w:bCs/>
          <w:sz w:val="26"/>
          <w:szCs w:val="28"/>
        </w:rPr>
      </w:pPr>
    </w:p>
    <w:p w14:paraId="428D9F2F" w14:textId="02DC552A" w:rsidR="00E25DC3" w:rsidRPr="00DF4154" w:rsidRDefault="00E25DC3" w:rsidP="00E25DC3">
      <w:pPr>
        <w:spacing w:after="0" w:line="480" w:lineRule="auto"/>
        <w:jc w:val="both"/>
        <w:rPr>
          <w:rFonts w:ascii="Arial" w:hAnsi="Arial" w:cs="Arial"/>
          <w:b/>
          <w:bCs/>
          <w:sz w:val="26"/>
          <w:szCs w:val="28"/>
        </w:rPr>
      </w:pPr>
      <w:r w:rsidRPr="00DF4154">
        <w:rPr>
          <w:rFonts w:ascii="Arial" w:hAnsi="Arial" w:cs="Arial"/>
          <w:b/>
          <w:bCs/>
          <w:sz w:val="26"/>
          <w:szCs w:val="28"/>
        </w:rPr>
        <w:lastRenderedPageBreak/>
        <w:t>CONCLUSION</w:t>
      </w:r>
    </w:p>
    <w:p w14:paraId="23EC24E3" w14:textId="77777777" w:rsidR="00382A7A" w:rsidRPr="00DF4154" w:rsidRDefault="00382A7A" w:rsidP="00382A7A">
      <w:pPr>
        <w:pStyle w:val="ListParagraph"/>
        <w:rPr>
          <w:rFonts w:ascii="Arial" w:hAnsi="Arial" w:cs="Arial"/>
          <w:sz w:val="26"/>
          <w:szCs w:val="28"/>
        </w:rPr>
      </w:pPr>
    </w:p>
    <w:p w14:paraId="2B1F2710" w14:textId="46987866" w:rsidR="000F1E08" w:rsidRPr="00DF4154" w:rsidRDefault="000F1E08" w:rsidP="000F1E08">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The Commission has advanced no grounds upon which the CAC decision ought to be disturbed.</w:t>
      </w:r>
      <w:r w:rsidR="00893F0A" w:rsidRPr="00DF4154">
        <w:rPr>
          <w:rFonts w:ascii="Arial" w:hAnsi="Arial" w:cs="Arial"/>
          <w:sz w:val="26"/>
          <w:szCs w:val="28"/>
        </w:rPr>
        <w:t xml:space="preserve"> Its application for leave to appeal accordingly has no prospects of success, nor does it raise an arguable point of law which ought to be considered by this Court.</w:t>
      </w:r>
    </w:p>
    <w:p w14:paraId="7B90BEAF" w14:textId="77777777" w:rsidR="00552B99" w:rsidRPr="00DF4154" w:rsidRDefault="00552B99" w:rsidP="00BB6964">
      <w:pPr>
        <w:pStyle w:val="ListParagraph"/>
        <w:spacing w:after="0" w:line="360" w:lineRule="auto"/>
        <w:jc w:val="both"/>
        <w:rPr>
          <w:rFonts w:ascii="Arial" w:hAnsi="Arial" w:cs="Arial"/>
          <w:sz w:val="26"/>
          <w:szCs w:val="28"/>
        </w:rPr>
      </w:pPr>
    </w:p>
    <w:p w14:paraId="5062AFB7" w14:textId="48B1486E" w:rsidR="00552B99" w:rsidRPr="00DF4154" w:rsidRDefault="00552B99" w:rsidP="000F1E08">
      <w:pPr>
        <w:pStyle w:val="ListParagraph"/>
        <w:numPr>
          <w:ilvl w:val="0"/>
          <w:numId w:val="1"/>
        </w:numPr>
        <w:spacing w:after="0" w:line="480" w:lineRule="auto"/>
        <w:ind w:hanging="720"/>
        <w:jc w:val="both"/>
        <w:rPr>
          <w:rFonts w:ascii="Arial" w:hAnsi="Arial" w:cs="Arial"/>
          <w:sz w:val="26"/>
          <w:szCs w:val="28"/>
        </w:rPr>
      </w:pPr>
      <w:r w:rsidRPr="00DF4154">
        <w:rPr>
          <w:rFonts w:ascii="Arial" w:hAnsi="Arial" w:cs="Arial"/>
          <w:sz w:val="26"/>
          <w:szCs w:val="28"/>
        </w:rPr>
        <w:t>We submit that the Commi</w:t>
      </w:r>
      <w:r w:rsidR="00893F0A" w:rsidRPr="00DF4154">
        <w:rPr>
          <w:rFonts w:ascii="Arial" w:hAnsi="Arial" w:cs="Arial"/>
          <w:sz w:val="26"/>
          <w:szCs w:val="28"/>
        </w:rPr>
        <w:t xml:space="preserve">ssion’s application for leave to appeal ought to be dismissed or, if leave is granted, that its appeal </w:t>
      </w:r>
      <w:r w:rsidR="0051311E" w:rsidRPr="00DF4154">
        <w:rPr>
          <w:rFonts w:ascii="Arial" w:hAnsi="Arial" w:cs="Arial"/>
          <w:sz w:val="26"/>
          <w:szCs w:val="28"/>
        </w:rPr>
        <w:t xml:space="preserve">ought to be dismissed, and that it be ordered to pay </w:t>
      </w:r>
      <w:r w:rsidR="007C17F8" w:rsidRPr="00DF4154">
        <w:rPr>
          <w:rFonts w:ascii="Arial" w:hAnsi="Arial" w:cs="Arial"/>
          <w:sz w:val="26"/>
          <w:szCs w:val="28"/>
        </w:rPr>
        <w:t>the respondent’s</w:t>
      </w:r>
      <w:r w:rsidR="0051311E" w:rsidRPr="00DF4154">
        <w:rPr>
          <w:rFonts w:ascii="Arial" w:hAnsi="Arial" w:cs="Arial"/>
          <w:sz w:val="26"/>
          <w:szCs w:val="28"/>
        </w:rPr>
        <w:t xml:space="preserve"> costs including the costs of three counsel.</w:t>
      </w:r>
    </w:p>
    <w:bookmarkEnd w:id="0"/>
    <w:p w14:paraId="67ECB8E2" w14:textId="77777777" w:rsidR="00C07AFD" w:rsidRPr="00DF4154" w:rsidRDefault="00C07AFD" w:rsidP="002D6379">
      <w:pPr>
        <w:pStyle w:val="ListParagraph"/>
        <w:spacing w:after="0" w:line="360" w:lineRule="auto"/>
        <w:jc w:val="both"/>
        <w:rPr>
          <w:rFonts w:ascii="Arial" w:hAnsi="Arial" w:cs="Arial"/>
          <w:sz w:val="26"/>
          <w:szCs w:val="28"/>
        </w:rPr>
      </w:pPr>
    </w:p>
    <w:bookmarkEnd w:id="3"/>
    <w:p w14:paraId="7F7DA405" w14:textId="77777777" w:rsidR="00C07AFD" w:rsidRPr="00DF4154" w:rsidRDefault="00C07AFD" w:rsidP="0051311E">
      <w:pPr>
        <w:keepNext/>
        <w:spacing w:after="0" w:line="480" w:lineRule="auto"/>
        <w:ind w:left="5040" w:firstLine="720"/>
        <w:rPr>
          <w:rFonts w:ascii="Arial" w:hAnsi="Arial" w:cs="Arial"/>
          <w:b/>
          <w:bCs/>
          <w:sz w:val="26"/>
          <w:szCs w:val="28"/>
        </w:rPr>
      </w:pPr>
      <w:r w:rsidRPr="00DF4154">
        <w:rPr>
          <w:rFonts w:ascii="Arial" w:hAnsi="Arial" w:cs="Arial"/>
          <w:b/>
          <w:sz w:val="26"/>
          <w:szCs w:val="28"/>
        </w:rPr>
        <w:t>Michelle Norton SC</w:t>
      </w:r>
    </w:p>
    <w:p w14:paraId="120A3F91" w14:textId="77777777" w:rsidR="00C07AFD" w:rsidRPr="00DF4154" w:rsidRDefault="00C07AFD" w:rsidP="0051311E">
      <w:pPr>
        <w:keepNext/>
        <w:spacing w:after="0" w:line="480" w:lineRule="auto"/>
        <w:ind w:left="5040" w:firstLine="720"/>
        <w:rPr>
          <w:rFonts w:ascii="Arial" w:hAnsi="Arial" w:cs="Arial"/>
          <w:b/>
          <w:bCs/>
          <w:sz w:val="26"/>
          <w:szCs w:val="28"/>
        </w:rPr>
      </w:pPr>
      <w:r w:rsidRPr="00DF4154">
        <w:rPr>
          <w:rFonts w:ascii="Arial" w:hAnsi="Arial" w:cs="Arial"/>
          <w:b/>
          <w:bCs/>
          <w:sz w:val="26"/>
          <w:szCs w:val="28"/>
        </w:rPr>
        <w:t>Frank Pelser</w:t>
      </w:r>
    </w:p>
    <w:p w14:paraId="2E3558F2" w14:textId="77777777" w:rsidR="00C07AFD" w:rsidRPr="00DF4154" w:rsidRDefault="00C07AFD" w:rsidP="0051311E">
      <w:pPr>
        <w:keepNext/>
        <w:spacing w:line="480" w:lineRule="auto"/>
        <w:ind w:left="5760"/>
        <w:rPr>
          <w:rFonts w:ascii="Arial" w:hAnsi="Arial" w:cs="Arial"/>
          <w:b/>
          <w:bCs/>
          <w:sz w:val="26"/>
          <w:szCs w:val="28"/>
        </w:rPr>
      </w:pPr>
      <w:proofErr w:type="spellStart"/>
      <w:r w:rsidRPr="00DF4154">
        <w:rPr>
          <w:rFonts w:ascii="Arial" w:hAnsi="Arial" w:cs="Arial"/>
          <w:b/>
          <w:bCs/>
          <w:sz w:val="26"/>
          <w:szCs w:val="28"/>
          <w:lang w:val="en-US" w:eastAsia="en-ZA"/>
        </w:rPr>
        <w:t>Ntwanano</w:t>
      </w:r>
      <w:proofErr w:type="spellEnd"/>
      <w:r w:rsidRPr="00DF4154">
        <w:rPr>
          <w:rFonts w:ascii="Arial" w:hAnsi="Arial" w:cs="Arial"/>
          <w:b/>
          <w:bCs/>
          <w:sz w:val="26"/>
          <w:szCs w:val="28"/>
          <w:lang w:val="en-US" w:eastAsia="en-ZA"/>
        </w:rPr>
        <w:t xml:space="preserve"> </w:t>
      </w:r>
      <w:proofErr w:type="spellStart"/>
      <w:r w:rsidRPr="00DF4154">
        <w:rPr>
          <w:rFonts w:ascii="Arial" w:hAnsi="Arial" w:cs="Arial"/>
          <w:b/>
          <w:bCs/>
          <w:sz w:val="26"/>
          <w:szCs w:val="28"/>
          <w:lang w:val="en-US" w:eastAsia="en-ZA"/>
        </w:rPr>
        <w:t>Mashava</w:t>
      </w:r>
      <w:proofErr w:type="spellEnd"/>
    </w:p>
    <w:p w14:paraId="4FA20964" w14:textId="2296795B" w:rsidR="00C07AFD" w:rsidRPr="00DF4154" w:rsidRDefault="00C07AFD" w:rsidP="005324AC">
      <w:pPr>
        <w:keepNext/>
        <w:spacing w:after="0" w:line="240" w:lineRule="auto"/>
        <w:ind w:left="5760"/>
        <w:rPr>
          <w:rFonts w:ascii="Arial" w:hAnsi="Arial" w:cs="Arial"/>
          <w:sz w:val="26"/>
          <w:szCs w:val="28"/>
        </w:rPr>
      </w:pPr>
      <w:r w:rsidRPr="00DF4154">
        <w:rPr>
          <w:rFonts w:ascii="Arial" w:hAnsi="Arial" w:cs="Arial"/>
          <w:b/>
          <w:bCs/>
          <w:sz w:val="26"/>
          <w:szCs w:val="28"/>
        </w:rPr>
        <w:t>Counsel for the resp</w:t>
      </w:r>
      <w:r w:rsidR="0051311E" w:rsidRPr="00DF4154">
        <w:rPr>
          <w:rFonts w:ascii="Arial" w:hAnsi="Arial" w:cs="Arial"/>
          <w:b/>
          <w:bCs/>
          <w:sz w:val="26"/>
          <w:szCs w:val="28"/>
        </w:rPr>
        <w:t>ondent</w:t>
      </w:r>
    </w:p>
    <w:p w14:paraId="164F1420" w14:textId="77777777" w:rsidR="00C07AFD" w:rsidRPr="00DF4154" w:rsidRDefault="00C07AFD" w:rsidP="005324AC">
      <w:pPr>
        <w:pStyle w:val="ListParagraph"/>
        <w:keepNext/>
        <w:spacing w:after="0" w:line="276" w:lineRule="auto"/>
        <w:rPr>
          <w:rFonts w:ascii="Arial" w:hAnsi="Arial" w:cs="Arial"/>
          <w:sz w:val="26"/>
          <w:szCs w:val="28"/>
        </w:rPr>
      </w:pPr>
    </w:p>
    <w:p w14:paraId="72C3DE72" w14:textId="77777777" w:rsidR="00C07AFD" w:rsidRPr="00DF4154" w:rsidRDefault="00C07AFD" w:rsidP="005324AC">
      <w:pPr>
        <w:pStyle w:val="ListParagraph"/>
        <w:keepNext/>
        <w:spacing w:after="0" w:line="360" w:lineRule="auto"/>
        <w:rPr>
          <w:rFonts w:ascii="Arial" w:hAnsi="Arial" w:cs="Arial"/>
          <w:sz w:val="26"/>
          <w:szCs w:val="28"/>
        </w:rPr>
      </w:pP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t>Chambers</w:t>
      </w:r>
    </w:p>
    <w:p w14:paraId="5F39BEE9" w14:textId="77777777" w:rsidR="00C07AFD" w:rsidRPr="00DF4154" w:rsidRDefault="00C07AFD" w:rsidP="005324AC">
      <w:pPr>
        <w:pStyle w:val="ListParagraph"/>
        <w:keepNext/>
        <w:spacing w:after="0" w:line="360" w:lineRule="auto"/>
        <w:rPr>
          <w:rFonts w:ascii="Arial" w:hAnsi="Arial" w:cs="Arial"/>
          <w:sz w:val="26"/>
          <w:szCs w:val="28"/>
        </w:rPr>
      </w:pP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t>Cape Town</w:t>
      </w:r>
    </w:p>
    <w:p w14:paraId="5DAA38E0" w14:textId="44CFEE18" w:rsidR="00544B67" w:rsidRPr="00001B64" w:rsidRDefault="00C07AFD" w:rsidP="00001B64">
      <w:pPr>
        <w:pStyle w:val="ListParagraph"/>
        <w:keepNext/>
        <w:spacing w:after="0" w:line="360" w:lineRule="auto"/>
        <w:rPr>
          <w:rFonts w:ascii="Arial" w:hAnsi="Arial" w:cs="Arial"/>
          <w:sz w:val="26"/>
          <w:szCs w:val="28"/>
        </w:rPr>
      </w:pP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Pr="00DF4154">
        <w:rPr>
          <w:rFonts w:ascii="Arial" w:hAnsi="Arial" w:cs="Arial"/>
          <w:sz w:val="26"/>
          <w:szCs w:val="28"/>
        </w:rPr>
        <w:tab/>
      </w:r>
      <w:r w:rsidR="00903F5C" w:rsidRPr="00DF4154">
        <w:rPr>
          <w:rFonts w:ascii="Arial" w:hAnsi="Arial" w:cs="Arial"/>
          <w:sz w:val="26"/>
          <w:szCs w:val="28"/>
        </w:rPr>
        <w:t>20</w:t>
      </w:r>
      <w:r w:rsidRPr="00DF4154">
        <w:rPr>
          <w:rFonts w:ascii="Arial" w:hAnsi="Arial" w:cs="Arial"/>
          <w:sz w:val="26"/>
          <w:szCs w:val="28"/>
        </w:rPr>
        <w:t xml:space="preserve"> </w:t>
      </w:r>
      <w:r w:rsidR="00903F5C" w:rsidRPr="00DF4154">
        <w:rPr>
          <w:rFonts w:ascii="Arial" w:hAnsi="Arial" w:cs="Arial"/>
          <w:sz w:val="26"/>
          <w:szCs w:val="28"/>
        </w:rPr>
        <w:t xml:space="preserve">January </w:t>
      </w:r>
      <w:r w:rsidRPr="00DF4154">
        <w:rPr>
          <w:rFonts w:ascii="Arial" w:hAnsi="Arial" w:cs="Arial"/>
          <w:sz w:val="26"/>
          <w:szCs w:val="28"/>
        </w:rPr>
        <w:t>20</w:t>
      </w:r>
      <w:bookmarkEnd w:id="1"/>
      <w:r w:rsidR="00903F5C" w:rsidRPr="00DF4154">
        <w:rPr>
          <w:rFonts w:ascii="Arial" w:hAnsi="Arial" w:cs="Arial"/>
          <w:sz w:val="26"/>
          <w:szCs w:val="28"/>
        </w:rPr>
        <w:t>20</w:t>
      </w:r>
    </w:p>
    <w:sectPr w:rsidR="00544B67" w:rsidRPr="00001B64" w:rsidSect="00E3335F">
      <w:headerReference w:type="default" r:id="rId8"/>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16CA02" w14:textId="77777777" w:rsidR="00DC7BD8" w:rsidRDefault="00DC7BD8" w:rsidP="00C07AFD">
      <w:pPr>
        <w:spacing w:after="0" w:line="240" w:lineRule="auto"/>
      </w:pPr>
      <w:r>
        <w:separator/>
      </w:r>
    </w:p>
  </w:endnote>
  <w:endnote w:type="continuationSeparator" w:id="0">
    <w:p w14:paraId="1DBCE094" w14:textId="77777777" w:rsidR="00DC7BD8" w:rsidRDefault="00DC7BD8" w:rsidP="00C07A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vantGarde Md BT">
    <w:altName w:val="Century Gothic"/>
    <w:charset w:val="00"/>
    <w:family w:val="swiss"/>
    <w:pitch w:val="variable"/>
    <w:sig w:usb0="00000001" w:usb1="00000000" w:usb2="00000000" w:usb3="00000000" w:csb0="0000001B"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5B14B9" w14:textId="77777777" w:rsidR="00DC7BD8" w:rsidRDefault="00DC7BD8" w:rsidP="00C07AFD">
      <w:pPr>
        <w:spacing w:after="0" w:line="240" w:lineRule="auto"/>
      </w:pPr>
      <w:r>
        <w:separator/>
      </w:r>
    </w:p>
  </w:footnote>
  <w:footnote w:type="continuationSeparator" w:id="0">
    <w:p w14:paraId="4065E7B4" w14:textId="77777777" w:rsidR="00DC7BD8" w:rsidRDefault="00DC7BD8" w:rsidP="00C07AFD">
      <w:pPr>
        <w:spacing w:after="0" w:line="240" w:lineRule="auto"/>
      </w:pPr>
      <w:r>
        <w:continuationSeparator/>
      </w:r>
    </w:p>
  </w:footnote>
  <w:footnote w:id="1">
    <w:p w14:paraId="0324A34D" w14:textId="65B91F1B"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The Competition Act was amended by the Competition Amendment Act 18 of 2018, some of the provisions of which have been put into operation. Section 67(1) now reads as follows: “</w:t>
      </w:r>
      <w:r w:rsidRPr="00027CFF">
        <w:rPr>
          <w:rFonts w:ascii="Arial" w:hAnsi="Arial" w:cs="Arial"/>
          <w:i/>
          <w:iCs/>
          <w:sz w:val="22"/>
          <w:szCs w:val="22"/>
          <w:lang w:val="en-US"/>
        </w:rPr>
        <w:t xml:space="preserve">A complaint in respect of a prohibited practice that ceased more than three years before the complaint was initiated may not be referred to the Competition Tribunal”.  </w:t>
      </w:r>
    </w:p>
  </w:footnote>
  <w:footnote w:id="2">
    <w:p w14:paraId="62B6678D" w14:textId="519620FB" w:rsidR="004E3C0D" w:rsidRPr="00027CFF" w:rsidRDefault="004E3C0D" w:rsidP="00D65F35">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A “</w:t>
      </w:r>
      <w:r w:rsidRPr="00027CFF">
        <w:rPr>
          <w:rFonts w:ascii="Arial" w:hAnsi="Arial" w:cs="Arial"/>
          <w:i/>
          <w:sz w:val="22"/>
          <w:szCs w:val="22"/>
          <w:lang w:val="en-US"/>
        </w:rPr>
        <w:t>prohibited practice</w:t>
      </w:r>
      <w:r w:rsidR="006426EA" w:rsidRPr="00027CFF">
        <w:rPr>
          <w:rFonts w:ascii="Arial" w:hAnsi="Arial" w:cs="Arial"/>
          <w:sz w:val="22"/>
          <w:szCs w:val="22"/>
          <w:lang w:val="en-US"/>
        </w:rPr>
        <w:t>”</w:t>
      </w:r>
      <w:r w:rsidRPr="00027CFF">
        <w:rPr>
          <w:rFonts w:ascii="Arial" w:hAnsi="Arial" w:cs="Arial"/>
          <w:sz w:val="22"/>
          <w:szCs w:val="22"/>
          <w:lang w:val="en-US"/>
        </w:rPr>
        <w:t xml:space="preserve"> is defined in section 1 of the Act as meaning a practice prohibited in terms of Chapter 2 of the Competition Act. </w:t>
      </w:r>
    </w:p>
  </w:footnote>
  <w:footnote w:id="3">
    <w:p w14:paraId="5B58402B" w14:textId="077C2D5B" w:rsidR="004E3C0D" w:rsidRPr="00027CFF" w:rsidRDefault="004E3C0D" w:rsidP="00BB6964">
      <w:pPr>
        <w:pStyle w:val="Default"/>
        <w:jc w:val="both"/>
        <w:rPr>
          <w:rFonts w:ascii="Arial" w:hAnsi="Arial" w:cs="Arial"/>
          <w:color w:val="auto"/>
          <w:sz w:val="22"/>
          <w:szCs w:val="22"/>
        </w:rPr>
      </w:pPr>
      <w:r w:rsidRPr="00027CFF">
        <w:rPr>
          <w:rStyle w:val="FootnoteReference"/>
          <w:rFonts w:ascii="Arial" w:hAnsi="Arial" w:cs="Arial"/>
          <w:color w:val="auto"/>
          <w:sz w:val="22"/>
          <w:szCs w:val="22"/>
        </w:rPr>
        <w:footnoteRef/>
      </w:r>
      <w:r w:rsidRPr="00027CFF">
        <w:rPr>
          <w:rFonts w:ascii="Arial" w:hAnsi="Arial" w:cs="Arial"/>
          <w:color w:val="auto"/>
          <w:sz w:val="22"/>
          <w:szCs w:val="22"/>
        </w:rPr>
        <w:t xml:space="preserve"> In </w:t>
      </w:r>
      <w:proofErr w:type="spellStart"/>
      <w:r w:rsidRPr="00027CFF">
        <w:rPr>
          <w:rFonts w:ascii="Arial" w:hAnsi="Arial" w:cs="Arial"/>
          <w:i/>
          <w:iCs/>
          <w:color w:val="auto"/>
          <w:sz w:val="22"/>
          <w:szCs w:val="22"/>
        </w:rPr>
        <w:t>Mohlomi</w:t>
      </w:r>
      <w:proofErr w:type="spellEnd"/>
      <w:r w:rsidRPr="00027CFF">
        <w:rPr>
          <w:rFonts w:ascii="Arial" w:hAnsi="Arial" w:cs="Arial"/>
          <w:i/>
          <w:iCs/>
          <w:color w:val="auto"/>
          <w:sz w:val="22"/>
          <w:szCs w:val="22"/>
        </w:rPr>
        <w:t xml:space="preserve"> v Minister of </w:t>
      </w:r>
      <w:proofErr w:type="spellStart"/>
      <w:r w:rsidRPr="00027CFF">
        <w:rPr>
          <w:rFonts w:ascii="Arial" w:hAnsi="Arial" w:cs="Arial"/>
          <w:i/>
          <w:iCs/>
          <w:color w:val="auto"/>
          <w:sz w:val="22"/>
          <w:szCs w:val="22"/>
        </w:rPr>
        <w:t>Defence</w:t>
      </w:r>
      <w:proofErr w:type="spellEnd"/>
      <w:r w:rsidRPr="00027CFF">
        <w:rPr>
          <w:rFonts w:ascii="Arial" w:hAnsi="Arial" w:cs="Arial"/>
          <w:color w:val="auto"/>
          <w:sz w:val="22"/>
          <w:szCs w:val="22"/>
        </w:rPr>
        <w:t xml:space="preserve"> 1997 (1) SA 124 (CC) para 11 (</w:t>
      </w:r>
      <w:proofErr w:type="spellStart"/>
      <w:r w:rsidRPr="00027CFF">
        <w:rPr>
          <w:rFonts w:ascii="Arial" w:hAnsi="Arial" w:cs="Arial"/>
          <w:i/>
          <w:iCs/>
          <w:color w:val="auto"/>
          <w:sz w:val="22"/>
          <w:szCs w:val="22"/>
        </w:rPr>
        <w:t>Mohlomi</w:t>
      </w:r>
      <w:proofErr w:type="spellEnd"/>
      <w:r w:rsidRPr="00027CFF">
        <w:rPr>
          <w:rFonts w:ascii="Arial" w:hAnsi="Arial" w:cs="Arial"/>
          <w:color w:val="auto"/>
          <w:sz w:val="22"/>
          <w:szCs w:val="22"/>
        </w:rPr>
        <w:t xml:space="preserve">) and </w:t>
      </w:r>
      <w:r w:rsidRPr="00027CFF">
        <w:rPr>
          <w:rFonts w:ascii="Arial" w:hAnsi="Arial" w:cs="Arial"/>
          <w:i/>
          <w:iCs/>
          <w:color w:val="auto"/>
          <w:sz w:val="22"/>
          <w:szCs w:val="22"/>
        </w:rPr>
        <w:t>Road Accident Fund v Mdeyide</w:t>
      </w:r>
      <w:r w:rsidRPr="00027CFF">
        <w:rPr>
          <w:rFonts w:ascii="Arial" w:hAnsi="Arial" w:cs="Arial"/>
          <w:color w:val="auto"/>
          <w:sz w:val="22"/>
          <w:szCs w:val="22"/>
        </w:rPr>
        <w:t xml:space="preserve"> 2011 (2) SA 26 (CC) para 8 (</w:t>
      </w:r>
      <w:r w:rsidRPr="00027CFF">
        <w:rPr>
          <w:rFonts w:ascii="Arial" w:hAnsi="Arial" w:cs="Arial"/>
          <w:i/>
          <w:iCs/>
          <w:color w:val="auto"/>
          <w:sz w:val="22"/>
          <w:szCs w:val="22"/>
        </w:rPr>
        <w:t>Mdeyide</w:t>
      </w:r>
      <w:r w:rsidRPr="00027CFF">
        <w:rPr>
          <w:rFonts w:ascii="Arial" w:hAnsi="Arial" w:cs="Arial"/>
          <w:color w:val="auto"/>
          <w:sz w:val="22"/>
          <w:szCs w:val="22"/>
        </w:rPr>
        <w:t xml:space="preserve">) this Court highlighted the role played by time limits for the bringing of litigation in promoting certainty and enhancing the quality of litigation. Similar policy objectives are served by section 67(1) in respect of the Commission’s investigation of alleged prohibited practices. </w:t>
      </w:r>
    </w:p>
  </w:footnote>
  <w:footnote w:id="4">
    <w:p w14:paraId="1D66085F" w14:textId="795F5F39"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See </w:t>
      </w:r>
      <w:r w:rsidRPr="00027CFF">
        <w:rPr>
          <w:rFonts w:ascii="Arial" w:hAnsi="Arial" w:cs="Arial"/>
          <w:i/>
          <w:iCs/>
          <w:sz w:val="22"/>
          <w:szCs w:val="22"/>
        </w:rPr>
        <w:t>Marc J Gabelli and Bruce Alpert v Securities and Exchange Commission</w:t>
      </w:r>
      <w:r w:rsidRPr="00027CFF">
        <w:rPr>
          <w:rFonts w:ascii="Arial" w:hAnsi="Arial" w:cs="Arial"/>
          <w:sz w:val="22"/>
          <w:szCs w:val="22"/>
        </w:rPr>
        <w:t xml:space="preserve"> 568 U.S. 1046 (2013), where the United States Supreme Court articulated the distinct policy considerations which apply when the plaintiff is “</w:t>
      </w:r>
      <w:r w:rsidRPr="00027CFF">
        <w:rPr>
          <w:rFonts w:ascii="Arial" w:hAnsi="Arial" w:cs="Arial"/>
          <w:i/>
          <w:iCs/>
          <w:sz w:val="22"/>
          <w:szCs w:val="22"/>
        </w:rPr>
        <w:t>the Government bringing an enforcement action for civil penalties”</w:t>
      </w:r>
      <w:r w:rsidRPr="00027CFF">
        <w:rPr>
          <w:rFonts w:ascii="Arial" w:hAnsi="Arial" w:cs="Arial"/>
          <w:sz w:val="22"/>
          <w:szCs w:val="22"/>
        </w:rPr>
        <w:t xml:space="preserve"> (p.6). The Court noted that the Government wields extensive investigative tools, can incentivise whistle-blowers and enter into witness cooperation agreements (p.8).</w:t>
      </w:r>
    </w:p>
  </w:footnote>
  <w:footnote w:id="5">
    <w:p w14:paraId="47AF8E76" w14:textId="6483B50B"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 xml:space="preserve">The Commission did not challenge (a) the Tribunal’s finding, following the CAC in </w:t>
      </w:r>
      <w:r w:rsidRPr="00027CFF">
        <w:rPr>
          <w:rFonts w:ascii="Arial" w:hAnsi="Arial" w:cs="Arial"/>
          <w:i/>
          <w:iCs/>
          <w:sz w:val="22"/>
          <w:szCs w:val="22"/>
          <w:lang w:val="en-US"/>
        </w:rPr>
        <w:t xml:space="preserve">Power Construction (West Cape) (Pty) Ltd and Another v Competition Commission of South Africa </w:t>
      </w:r>
      <w:r w:rsidRPr="00027CFF">
        <w:rPr>
          <w:rFonts w:ascii="Arial" w:hAnsi="Arial" w:cs="Arial"/>
          <w:sz w:val="22"/>
          <w:szCs w:val="22"/>
          <w:lang w:val="en-US"/>
        </w:rPr>
        <w:t>[2017] 2 CPLR 589 (CAC) (</w:t>
      </w:r>
      <w:r w:rsidRPr="00027CFF">
        <w:rPr>
          <w:rFonts w:ascii="Arial" w:hAnsi="Arial" w:cs="Arial"/>
          <w:i/>
          <w:iCs/>
          <w:sz w:val="22"/>
          <w:szCs w:val="22"/>
          <w:lang w:val="en-US"/>
        </w:rPr>
        <w:t>Power Construction)</w:t>
      </w:r>
      <w:r w:rsidRPr="00027CFF">
        <w:rPr>
          <w:rFonts w:ascii="Arial" w:hAnsi="Arial" w:cs="Arial"/>
          <w:sz w:val="22"/>
          <w:szCs w:val="22"/>
          <w:lang w:val="en-US"/>
        </w:rPr>
        <w:t>, that the cessation date in respect of collusive tendering is the date on which the last payment was made to the party that won the rigged bid (Tribunal decision, Record, 186 to 187 paras 58 and 59); (b) the Tribunal’s finding that in this matter, accordingly, the discrete conspiracies alleged by the Commission “</w:t>
      </w:r>
      <w:r w:rsidRPr="00027CFF">
        <w:rPr>
          <w:rFonts w:ascii="Arial" w:hAnsi="Arial" w:cs="Arial"/>
          <w:i/>
          <w:sz w:val="22"/>
          <w:szCs w:val="22"/>
          <w:lang w:val="en-US"/>
        </w:rPr>
        <w:t>ended, at best for the Commission, when the last payment was made by the affected customer in respect of each count</w:t>
      </w:r>
      <w:r w:rsidRPr="00027CFF">
        <w:rPr>
          <w:rFonts w:ascii="Arial" w:hAnsi="Arial" w:cs="Arial"/>
          <w:sz w:val="22"/>
          <w:szCs w:val="22"/>
          <w:lang w:val="en-US"/>
        </w:rPr>
        <w:t>” (Tribunal decision, Record 190 para 78); or (c) the Tribunal’s directions aimed at establishing the relevant cessation dates in respect of each of the impugned referrals (Tribunal decision, Order, Record, p197, paras 1 to 3). Those findings and directions accordingly stand.</w:t>
      </w:r>
    </w:p>
  </w:footnote>
  <w:footnote w:id="6">
    <w:p w14:paraId="4DAC2C2D" w14:textId="217154AB"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See footnote 1 above.</w:t>
      </w:r>
    </w:p>
  </w:footnote>
  <w:footnote w:id="7">
    <w:p w14:paraId="13A43C39" w14:textId="4C68BFFA"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Section 19(1)(c) of the Competition Act. See also: </w:t>
      </w:r>
      <w:r w:rsidRPr="00027CFF">
        <w:rPr>
          <w:rFonts w:ascii="Arial" w:hAnsi="Arial" w:cs="Arial"/>
          <w:i/>
          <w:sz w:val="22"/>
          <w:szCs w:val="22"/>
        </w:rPr>
        <w:t>Competition Commission of South Africa v Pioneer Hi-Bred International Inc</w:t>
      </w:r>
      <w:r w:rsidRPr="00027CFF">
        <w:rPr>
          <w:rFonts w:ascii="Arial" w:hAnsi="Arial" w:cs="Arial"/>
          <w:sz w:val="22"/>
          <w:szCs w:val="22"/>
        </w:rPr>
        <w:t> 2014 (2) SA 480 (CC) para 38.</w:t>
      </w:r>
    </w:p>
  </w:footnote>
  <w:footnote w:id="8">
    <w:p w14:paraId="4F922F02" w14:textId="54A45B17"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Section 21(1)(c) of the Competition Act.</w:t>
      </w:r>
    </w:p>
  </w:footnote>
  <w:footnote w:id="9">
    <w:p w14:paraId="42707C13" w14:textId="404762C3"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Section 21(1)(g) of the Competition Act.</w:t>
      </w:r>
    </w:p>
  </w:footnote>
  <w:footnote w:id="10">
    <w:p w14:paraId="199A9156" w14:textId="6AE654F7" w:rsidR="004E3C0D" w:rsidRPr="00027CFF" w:rsidRDefault="004E3C0D" w:rsidP="00D65F35">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 xml:space="preserve">The Commissioner is responsible for the general administration of the Commission and for carrying out any functions assigned to it in terms of the Competition Act (section 22(3) of the Competition Act). </w:t>
      </w:r>
    </w:p>
  </w:footnote>
  <w:footnote w:id="11">
    <w:p w14:paraId="59C64BCF" w14:textId="4BBE8756" w:rsidR="004E3C0D" w:rsidRPr="00027CFF" w:rsidRDefault="004E3C0D" w:rsidP="003A218D">
      <w:pPr>
        <w:pStyle w:val="FootnoteText"/>
        <w:jc w:val="both"/>
        <w:rPr>
          <w:rFonts w:ascii="Arial" w:hAnsi="Arial" w:cs="Arial"/>
          <w:i/>
          <w:iCs/>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A “</w:t>
      </w:r>
      <w:r w:rsidRPr="00027CFF">
        <w:rPr>
          <w:rFonts w:ascii="Arial" w:hAnsi="Arial" w:cs="Arial"/>
          <w:i/>
          <w:iCs/>
          <w:sz w:val="22"/>
          <w:szCs w:val="22"/>
          <w:lang w:val="en-US"/>
        </w:rPr>
        <w:t>prohibited practice</w:t>
      </w:r>
      <w:r w:rsidRPr="00027CFF">
        <w:rPr>
          <w:rFonts w:ascii="Arial" w:hAnsi="Arial" w:cs="Arial"/>
          <w:sz w:val="22"/>
          <w:szCs w:val="22"/>
          <w:lang w:val="en-US"/>
        </w:rPr>
        <w:t>’ is defined in section 1(1) of the Competition Act as meaning ‘</w:t>
      </w:r>
      <w:r w:rsidRPr="00027CFF">
        <w:rPr>
          <w:rFonts w:ascii="Arial" w:hAnsi="Arial" w:cs="Arial"/>
          <w:i/>
          <w:iCs/>
          <w:sz w:val="22"/>
          <w:szCs w:val="22"/>
          <w:lang w:val="en-US"/>
        </w:rPr>
        <w:t>a practice prohibited in terms of Chapter 2</w:t>
      </w:r>
      <w:r w:rsidRPr="00027CFF">
        <w:rPr>
          <w:rFonts w:ascii="Arial" w:hAnsi="Arial" w:cs="Arial"/>
          <w:sz w:val="22"/>
          <w:szCs w:val="22"/>
          <w:lang w:val="en-US"/>
        </w:rPr>
        <w:t>”.</w:t>
      </w:r>
    </w:p>
  </w:footnote>
  <w:footnote w:id="12">
    <w:p w14:paraId="27572D8D" w14:textId="0F64B0AE" w:rsidR="004E3C0D" w:rsidRPr="00027CFF" w:rsidRDefault="004E3C0D" w:rsidP="007A4983">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Upon initiating a complaint the Commissioner must direct an inspector to investigate the complaint (section</w:t>
      </w:r>
      <w:r w:rsidRPr="00027CFF">
        <w:rPr>
          <w:rFonts w:ascii="Arial" w:hAnsi="Arial" w:cs="Arial"/>
          <w:sz w:val="22"/>
          <w:szCs w:val="22"/>
          <w:lang w:val="en-US"/>
        </w:rPr>
        <w:t xml:space="preserve"> 49</w:t>
      </w:r>
      <w:proofErr w:type="gramStart"/>
      <w:r w:rsidRPr="00027CFF">
        <w:rPr>
          <w:rFonts w:ascii="Arial" w:hAnsi="Arial" w:cs="Arial"/>
          <w:sz w:val="22"/>
          <w:szCs w:val="22"/>
          <w:lang w:val="en-US"/>
        </w:rPr>
        <w:t>B(</w:t>
      </w:r>
      <w:proofErr w:type="gramEnd"/>
      <w:r w:rsidRPr="00027CFF">
        <w:rPr>
          <w:rFonts w:ascii="Arial" w:hAnsi="Arial" w:cs="Arial"/>
          <w:sz w:val="22"/>
          <w:szCs w:val="22"/>
          <w:lang w:val="en-US"/>
        </w:rPr>
        <w:t>3) of the Competition Act).</w:t>
      </w:r>
    </w:p>
  </w:footnote>
  <w:footnote w:id="13">
    <w:p w14:paraId="4EABBB48" w14:textId="097BEEB2"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Sections 46 and 47 of the Competition Act.</w:t>
      </w:r>
    </w:p>
  </w:footnote>
  <w:footnote w:id="14">
    <w:p w14:paraId="3976720A" w14:textId="7280DF34"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Section 49A of the Competition Act.</w:t>
      </w:r>
    </w:p>
  </w:footnote>
  <w:footnote w:id="15">
    <w:p w14:paraId="6A42912A" w14:textId="54FFC51A"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See sections 58, 59, 60 and 73A of the Competition Act.</w:t>
      </w:r>
    </w:p>
  </w:footnote>
  <w:footnote w:id="16">
    <w:p w14:paraId="22182E82" w14:textId="237DBF7D"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Woodlands Dairy (Pty)Ltd and Another v The Competition Commission </w:t>
      </w:r>
      <w:r w:rsidRPr="00027CFF">
        <w:rPr>
          <w:rFonts w:ascii="Arial" w:hAnsi="Arial" w:cs="Arial"/>
          <w:sz w:val="22"/>
          <w:szCs w:val="22"/>
          <w:lang w:val="en-US"/>
        </w:rPr>
        <w:t>2010 (6) SA 108 (SCA)</w:t>
      </w:r>
      <w:r w:rsidRPr="00027CFF">
        <w:rPr>
          <w:rFonts w:ascii="Arial" w:hAnsi="Arial" w:cs="Arial"/>
          <w:i/>
          <w:iCs/>
          <w:sz w:val="22"/>
          <w:szCs w:val="22"/>
          <w:lang w:val="en-US"/>
        </w:rPr>
        <w:t xml:space="preserve"> </w:t>
      </w:r>
      <w:r w:rsidRPr="00027CFF">
        <w:rPr>
          <w:rFonts w:ascii="Arial" w:hAnsi="Arial" w:cs="Arial"/>
          <w:sz w:val="22"/>
          <w:szCs w:val="22"/>
          <w:lang w:val="en-US"/>
        </w:rPr>
        <w:t>(</w:t>
      </w:r>
      <w:r w:rsidRPr="00027CFF">
        <w:rPr>
          <w:rFonts w:ascii="Arial" w:hAnsi="Arial" w:cs="Arial"/>
          <w:i/>
          <w:iCs/>
          <w:sz w:val="22"/>
          <w:szCs w:val="22"/>
          <w:lang w:val="en-US"/>
        </w:rPr>
        <w:t xml:space="preserve">Woodlands Dairy) </w:t>
      </w:r>
      <w:r w:rsidRPr="00027CFF">
        <w:rPr>
          <w:rFonts w:ascii="Arial" w:hAnsi="Arial" w:cs="Arial"/>
          <w:sz w:val="22"/>
          <w:szCs w:val="22"/>
          <w:lang w:val="en-US"/>
        </w:rPr>
        <w:t>para 10.</w:t>
      </w:r>
    </w:p>
  </w:footnote>
  <w:footnote w:id="17">
    <w:p w14:paraId="567B3C88" w14:textId="78BE52B5" w:rsidR="004E3C0D" w:rsidRPr="00027CFF" w:rsidRDefault="004E3C0D" w:rsidP="00D65F35">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Section 50(1) of the Competition Act.</w:t>
      </w:r>
    </w:p>
  </w:footnote>
  <w:footnote w:id="18">
    <w:p w14:paraId="50CE2418" w14:textId="0BFA4DE7" w:rsidR="004E3C0D" w:rsidRPr="00027CFF" w:rsidRDefault="004E3C0D" w:rsidP="003A218D">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Competition Commission of South Africa v </w:t>
      </w:r>
      <w:proofErr w:type="spellStart"/>
      <w:r w:rsidRPr="00027CFF">
        <w:rPr>
          <w:rFonts w:ascii="Arial" w:hAnsi="Arial" w:cs="Arial"/>
          <w:i/>
          <w:iCs/>
          <w:sz w:val="22"/>
          <w:szCs w:val="22"/>
          <w:lang w:val="en-US"/>
        </w:rPr>
        <w:t>Senwes</w:t>
      </w:r>
      <w:proofErr w:type="spellEnd"/>
      <w:r w:rsidRPr="00027CFF">
        <w:rPr>
          <w:rFonts w:ascii="Arial" w:hAnsi="Arial" w:cs="Arial"/>
          <w:i/>
          <w:iCs/>
          <w:sz w:val="22"/>
          <w:szCs w:val="22"/>
          <w:lang w:val="en-US"/>
        </w:rPr>
        <w:t xml:space="preserve"> Limited </w:t>
      </w:r>
      <w:r w:rsidRPr="00027CFF">
        <w:rPr>
          <w:rFonts w:ascii="Arial" w:hAnsi="Arial" w:cs="Arial"/>
          <w:sz w:val="22"/>
          <w:szCs w:val="22"/>
          <w:shd w:val="clear" w:color="auto" w:fill="FFFFFF"/>
        </w:rPr>
        <w:t xml:space="preserve">2012 (7) BCLR 667 (CC) </w:t>
      </w:r>
      <w:r w:rsidRPr="00027CFF">
        <w:rPr>
          <w:rFonts w:ascii="Arial" w:hAnsi="Arial" w:cs="Arial"/>
          <w:sz w:val="22"/>
          <w:szCs w:val="22"/>
          <w:lang w:val="en-US"/>
        </w:rPr>
        <w:t>para 23.</w:t>
      </w:r>
    </w:p>
  </w:footnote>
  <w:footnote w:id="19">
    <w:p w14:paraId="0F4B7BC5" w14:textId="2478AFF9" w:rsidR="004E3C0D" w:rsidRPr="00027CFF" w:rsidRDefault="004E3C0D" w:rsidP="007A4983">
      <w:pPr>
        <w:pStyle w:val="FootnoteText"/>
        <w:jc w:val="both"/>
        <w:rPr>
          <w:rFonts w:ascii="Arial" w:hAnsi="Arial" w:cs="Arial"/>
          <w:i/>
          <w:iCs/>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rPr>
        <w:t xml:space="preserve">Competition Commission </w:t>
      </w:r>
      <w:r w:rsidRPr="00027CFF">
        <w:rPr>
          <w:rFonts w:ascii="Arial" w:hAnsi="Arial" w:cs="Arial"/>
          <w:i/>
          <w:iCs/>
          <w:sz w:val="22"/>
          <w:szCs w:val="22"/>
          <w:lang w:val="en-US"/>
        </w:rPr>
        <w:t xml:space="preserve">Yara (South Africa) (Pty) (Ltd) and Others </w:t>
      </w:r>
      <w:r w:rsidRPr="00027CFF">
        <w:rPr>
          <w:rFonts w:ascii="Arial" w:hAnsi="Arial" w:cs="Arial"/>
          <w:sz w:val="22"/>
          <w:szCs w:val="22"/>
          <w:shd w:val="clear" w:color="auto" w:fill="FFFFFF"/>
        </w:rPr>
        <w:t>2013 (6) SA 404 (SCA)</w:t>
      </w:r>
      <w:r w:rsidRPr="00027CFF">
        <w:rPr>
          <w:rFonts w:ascii="Arial" w:hAnsi="Arial" w:cs="Arial"/>
          <w:i/>
          <w:iCs/>
          <w:sz w:val="22"/>
          <w:szCs w:val="22"/>
          <w:lang w:val="en-US"/>
        </w:rPr>
        <w:t xml:space="preserve"> </w:t>
      </w:r>
      <w:r w:rsidRPr="00027CFF">
        <w:rPr>
          <w:rFonts w:ascii="Arial" w:hAnsi="Arial" w:cs="Arial"/>
          <w:sz w:val="22"/>
          <w:szCs w:val="22"/>
          <w:lang w:val="en-US"/>
        </w:rPr>
        <w:t>(</w:t>
      </w:r>
      <w:r w:rsidRPr="00027CFF">
        <w:rPr>
          <w:rFonts w:ascii="Arial" w:hAnsi="Arial" w:cs="Arial"/>
          <w:i/>
          <w:iCs/>
          <w:sz w:val="22"/>
          <w:szCs w:val="22"/>
          <w:lang w:val="en-US"/>
        </w:rPr>
        <w:t>Yara</w:t>
      </w:r>
      <w:r w:rsidRPr="00027CFF">
        <w:rPr>
          <w:rFonts w:ascii="Arial" w:hAnsi="Arial" w:cs="Arial"/>
          <w:sz w:val="22"/>
          <w:szCs w:val="22"/>
          <w:lang w:val="en-US"/>
        </w:rPr>
        <w:t>) para 33. The SCA noted that “</w:t>
      </w:r>
      <w:r w:rsidRPr="00027CFF">
        <w:rPr>
          <w:rFonts w:ascii="Arial" w:hAnsi="Arial" w:cs="Arial"/>
          <w:i/>
          <w:iCs/>
          <w:sz w:val="22"/>
          <w:szCs w:val="22"/>
          <w:lang w:val="en-US"/>
        </w:rPr>
        <w:t>the Act insists on an initiation of a complaint by the Commission as a juristic act – by way of a decision to set the process in motion – before there can be a formal investigation into that complaint</w:t>
      </w:r>
      <w:r w:rsidRPr="00027CFF">
        <w:rPr>
          <w:rFonts w:ascii="Arial" w:hAnsi="Arial" w:cs="Arial"/>
          <w:sz w:val="22"/>
          <w:szCs w:val="22"/>
          <w:lang w:val="en-US"/>
        </w:rPr>
        <w:t>”.</w:t>
      </w:r>
    </w:p>
  </w:footnote>
  <w:footnote w:id="20">
    <w:p w14:paraId="5DD8003E" w14:textId="0C3D98F6"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lang w:val="en-US"/>
        </w:rPr>
        <w:t xml:space="preserve">Glaxo </w:t>
      </w:r>
      <w:proofErr w:type="spellStart"/>
      <w:r w:rsidRPr="00027CFF">
        <w:rPr>
          <w:rFonts w:ascii="Arial" w:hAnsi="Arial" w:cs="Arial"/>
          <w:i/>
          <w:sz w:val="22"/>
          <w:szCs w:val="22"/>
          <w:lang w:val="en-US"/>
        </w:rPr>
        <w:t>Wellcome</w:t>
      </w:r>
      <w:proofErr w:type="spellEnd"/>
      <w:r w:rsidRPr="00027CFF">
        <w:rPr>
          <w:rFonts w:ascii="Arial" w:hAnsi="Arial" w:cs="Arial"/>
          <w:i/>
          <w:sz w:val="22"/>
          <w:szCs w:val="22"/>
          <w:lang w:val="en-US"/>
        </w:rPr>
        <w:t xml:space="preserve"> (Pty) Ltd and Others v National Association of Pharmaceutical Wholesalers and Others</w:t>
      </w:r>
      <w:r w:rsidRPr="00027CFF">
        <w:rPr>
          <w:rFonts w:ascii="Arial" w:hAnsi="Arial" w:cs="Arial"/>
          <w:sz w:val="22"/>
          <w:szCs w:val="22"/>
          <w:lang w:val="en-US"/>
        </w:rPr>
        <w:t xml:space="preserve"> (15/CAC/Feb02) para 30. See also: </w:t>
      </w:r>
      <w:r w:rsidRPr="00027CFF">
        <w:rPr>
          <w:rFonts w:ascii="Arial" w:hAnsi="Arial" w:cs="Arial"/>
          <w:i/>
          <w:sz w:val="22"/>
          <w:szCs w:val="22"/>
          <w:lang w:val="en-US"/>
        </w:rPr>
        <w:t xml:space="preserve">SA </w:t>
      </w:r>
      <w:proofErr w:type="spellStart"/>
      <w:r w:rsidRPr="00027CFF">
        <w:rPr>
          <w:rFonts w:ascii="Arial" w:hAnsi="Arial" w:cs="Arial"/>
          <w:i/>
          <w:sz w:val="22"/>
          <w:szCs w:val="22"/>
          <w:lang w:val="en-US"/>
        </w:rPr>
        <w:t>Defence</w:t>
      </w:r>
      <w:proofErr w:type="spellEnd"/>
      <w:r w:rsidRPr="00027CFF">
        <w:rPr>
          <w:rFonts w:ascii="Arial" w:hAnsi="Arial" w:cs="Arial"/>
          <w:i/>
          <w:sz w:val="22"/>
          <w:szCs w:val="22"/>
          <w:lang w:val="en-US"/>
        </w:rPr>
        <w:t xml:space="preserve"> and Aid Fund and Another v Minister of Justice</w:t>
      </w:r>
      <w:r w:rsidRPr="00027CFF">
        <w:rPr>
          <w:rFonts w:ascii="Arial" w:hAnsi="Arial" w:cs="Arial"/>
          <w:sz w:val="22"/>
          <w:szCs w:val="22"/>
          <w:lang w:val="en-US"/>
        </w:rPr>
        <w:t xml:space="preserve"> 1967(1) SA 31 (C) at 34-35. </w:t>
      </w:r>
    </w:p>
  </w:footnote>
  <w:footnote w:id="21">
    <w:p w14:paraId="428E35E5" w14:textId="4B434529"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Form CCI, Annexure 1 to the Rules for the conduct of proceedings in the Competition Commission, published under GN1 in GG 22012 of 1 February 2001 (the Competition Commission Rules), was prescribed by the Minister of Trade of Industry in terms of section 21(4) of the Competition Act.</w:t>
      </w:r>
    </w:p>
  </w:footnote>
  <w:footnote w:id="22">
    <w:p w14:paraId="47078D4F" w14:textId="68045407"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Woodlands Dairy, </w:t>
      </w:r>
      <w:r w:rsidRPr="00027CFF">
        <w:rPr>
          <w:rFonts w:ascii="Arial" w:hAnsi="Arial" w:cs="Arial"/>
          <w:sz w:val="22"/>
          <w:szCs w:val="22"/>
          <w:lang w:val="en-US"/>
        </w:rPr>
        <w:t>para 35.</w:t>
      </w:r>
    </w:p>
  </w:footnote>
  <w:footnote w:id="23">
    <w:p w14:paraId="55177266" w14:textId="09188F7A"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Woodlands Dairy</w:t>
      </w:r>
      <w:r w:rsidRPr="00027CFF">
        <w:rPr>
          <w:rFonts w:ascii="Arial" w:hAnsi="Arial" w:cs="Arial"/>
          <w:sz w:val="22"/>
          <w:szCs w:val="22"/>
          <w:lang w:val="en-US"/>
        </w:rPr>
        <w:t>, para 35.</w:t>
      </w:r>
    </w:p>
  </w:footnote>
  <w:footnote w:id="24">
    <w:p w14:paraId="07C4E8DE" w14:textId="77777777"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Woodlands Dairy, </w:t>
      </w:r>
      <w:r w:rsidRPr="00027CFF">
        <w:rPr>
          <w:rFonts w:ascii="Arial" w:hAnsi="Arial" w:cs="Arial"/>
          <w:sz w:val="22"/>
          <w:szCs w:val="22"/>
          <w:lang w:val="en-US"/>
        </w:rPr>
        <w:t>para 36.</w:t>
      </w:r>
    </w:p>
  </w:footnote>
  <w:footnote w:id="25">
    <w:p w14:paraId="48F7A8C2" w14:textId="2D02E1D6"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See section 49</w:t>
      </w:r>
      <w:proofErr w:type="gramStart"/>
      <w:r w:rsidRPr="00027CFF">
        <w:rPr>
          <w:rFonts w:ascii="Arial" w:hAnsi="Arial" w:cs="Arial"/>
          <w:sz w:val="22"/>
          <w:szCs w:val="22"/>
          <w:lang w:val="en-US"/>
        </w:rPr>
        <w:t>D(</w:t>
      </w:r>
      <w:proofErr w:type="gramEnd"/>
      <w:r w:rsidRPr="00027CFF">
        <w:rPr>
          <w:rFonts w:ascii="Arial" w:hAnsi="Arial" w:cs="Arial"/>
          <w:sz w:val="22"/>
          <w:szCs w:val="22"/>
          <w:lang w:val="en-US"/>
        </w:rPr>
        <w:t>1) of the Act.</w:t>
      </w:r>
    </w:p>
  </w:footnote>
  <w:footnote w:id="26">
    <w:p w14:paraId="31631B2D" w14:textId="641F21F1"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Emphasis added.</w:t>
      </w:r>
    </w:p>
  </w:footnote>
  <w:footnote w:id="27">
    <w:p w14:paraId="282645F8" w14:textId="26144533" w:rsidR="004E3C0D" w:rsidRPr="00027CFF" w:rsidRDefault="004E3C0D" w:rsidP="00D65F35">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Woodlands Dairy, </w:t>
      </w:r>
      <w:r w:rsidRPr="00027CFF">
        <w:rPr>
          <w:rFonts w:ascii="Arial" w:hAnsi="Arial" w:cs="Arial"/>
          <w:sz w:val="22"/>
          <w:szCs w:val="22"/>
          <w:lang w:val="en-US"/>
        </w:rPr>
        <w:t xml:space="preserve">para 36. In </w:t>
      </w:r>
      <w:r w:rsidRPr="00027CFF">
        <w:rPr>
          <w:rFonts w:ascii="Arial" w:hAnsi="Arial" w:cs="Arial"/>
          <w:i/>
          <w:iCs/>
          <w:sz w:val="22"/>
          <w:szCs w:val="22"/>
          <w:lang w:val="en-US"/>
        </w:rPr>
        <w:t xml:space="preserve">Yara </w:t>
      </w:r>
      <w:r w:rsidRPr="00027CFF">
        <w:rPr>
          <w:rFonts w:ascii="Arial" w:hAnsi="Arial" w:cs="Arial"/>
          <w:sz w:val="22"/>
          <w:szCs w:val="22"/>
          <w:lang w:val="en-US"/>
        </w:rPr>
        <w:t>the SCA held that where the Commission wishes to refer a complaint not covered in a previous initiation, it may “</w:t>
      </w:r>
      <w:r w:rsidRPr="00027CFF">
        <w:rPr>
          <w:rFonts w:ascii="Arial" w:hAnsi="Arial" w:cs="Arial"/>
          <w:i/>
          <w:iCs/>
          <w:sz w:val="22"/>
          <w:szCs w:val="22"/>
          <w:lang w:val="en-US"/>
        </w:rPr>
        <w:t>decide to initiate a new complaint, to investigate that complaint and, if appropriate, refer that complaint to the Tribunal</w:t>
      </w:r>
      <w:r w:rsidRPr="00027CFF">
        <w:rPr>
          <w:rFonts w:ascii="Arial" w:hAnsi="Arial" w:cs="Arial"/>
          <w:sz w:val="22"/>
          <w:szCs w:val="22"/>
          <w:lang w:val="en-US"/>
        </w:rPr>
        <w:t xml:space="preserve">” (para 28). </w:t>
      </w:r>
    </w:p>
  </w:footnote>
  <w:footnote w:id="28">
    <w:p w14:paraId="5F571335" w14:textId="400E41D7" w:rsidR="004E3C0D" w:rsidRPr="00027CFF" w:rsidRDefault="004E3C0D" w:rsidP="003A218D">
      <w:pPr>
        <w:pStyle w:val="FootnoteText"/>
        <w:jc w:val="both"/>
        <w:rPr>
          <w:rFonts w:ascii="Arial" w:hAnsi="Arial" w:cs="Arial"/>
          <w:b/>
          <w:bCs/>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See footnote 5 above.</w:t>
      </w:r>
    </w:p>
  </w:footnote>
  <w:footnote w:id="29">
    <w:p w14:paraId="2A88C979" w14:textId="26A8DB1C" w:rsidR="004E3C0D" w:rsidRPr="00027CFF" w:rsidRDefault="004E3C0D" w:rsidP="007A4983">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The CAC held that the further firms had been added to the initial complaint as a result of their response to an invitation by the Commission to settle (para 38).</w:t>
      </w:r>
    </w:p>
  </w:footnote>
  <w:footnote w:id="30">
    <w:p w14:paraId="5CA5EC0A" w14:textId="17EE41E1"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rPr>
        <w:t xml:space="preserve">Power Construction, </w:t>
      </w:r>
      <w:r w:rsidRPr="00027CFF">
        <w:rPr>
          <w:rFonts w:ascii="Arial" w:hAnsi="Arial" w:cs="Arial"/>
          <w:sz w:val="22"/>
          <w:szCs w:val="22"/>
        </w:rPr>
        <w:t>p</w:t>
      </w:r>
      <w:proofErr w:type="spellStart"/>
      <w:r w:rsidRPr="00027CFF">
        <w:rPr>
          <w:rFonts w:ascii="Arial" w:hAnsi="Arial" w:cs="Arial"/>
          <w:sz w:val="22"/>
          <w:szCs w:val="22"/>
          <w:lang w:val="en-US"/>
        </w:rPr>
        <w:t>aras</w:t>
      </w:r>
      <w:proofErr w:type="spellEnd"/>
      <w:r w:rsidRPr="00027CFF">
        <w:rPr>
          <w:rFonts w:ascii="Arial" w:hAnsi="Arial" w:cs="Arial"/>
          <w:sz w:val="22"/>
          <w:szCs w:val="22"/>
          <w:lang w:val="en-US"/>
        </w:rPr>
        <w:t xml:space="preserve"> 38 and 40. That date was one of two dates: either the date in April 2011, when the further firms had provided details with respect to their involvement in the conduct which was the subject of the complaint, or 23 November 2011, when the Commission invited the further firms to settle.</w:t>
      </w:r>
    </w:p>
  </w:footnote>
  <w:footnote w:id="31">
    <w:p w14:paraId="645D279A" w14:textId="7E00AA72"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Founding affidavit, Record, 13, para 18. Emphasis added.</w:t>
      </w:r>
    </w:p>
  </w:footnote>
  <w:footnote w:id="32">
    <w:p w14:paraId="20EA6C07" w14:textId="4B804108"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Record, 143 para 8 (explaining that four instances are conceded, but that the rest are contested); Record, 285 para 38; Record, 300 para 84; Record, 301 para 87; Record, 306 para</w:t>
      </w:r>
      <w:r w:rsidR="00027CFF">
        <w:rPr>
          <w:rFonts w:ascii="Arial" w:hAnsi="Arial" w:cs="Arial"/>
          <w:sz w:val="22"/>
          <w:szCs w:val="22"/>
        </w:rPr>
        <w:t> </w:t>
      </w:r>
      <w:r w:rsidRPr="00027CFF">
        <w:rPr>
          <w:rFonts w:ascii="Arial" w:hAnsi="Arial" w:cs="Arial"/>
          <w:sz w:val="22"/>
          <w:szCs w:val="22"/>
        </w:rPr>
        <w:t>103; Record, 307 para 107.</w:t>
      </w:r>
    </w:p>
  </w:footnote>
  <w:footnote w:id="33">
    <w:p w14:paraId="64C53555" w14:textId="1B63B9C8" w:rsidR="004E3C0D" w:rsidRPr="00027CFF" w:rsidRDefault="004E3C0D" w:rsidP="00D65F35">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Founding affidavit, Record, 13 to 27, paras 19 to 57 read with Further Particulars, Record 112 to 126, paras 7 to 42.</w:t>
      </w:r>
    </w:p>
  </w:footnote>
  <w:footnote w:id="34">
    <w:p w14:paraId="7C9BD76A" w14:textId="5BDAFEF4" w:rsidR="004E3C0D" w:rsidRPr="00027CFF" w:rsidRDefault="004E3C0D" w:rsidP="003A218D">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Further Particulars, Record, 112, para 6.</w:t>
      </w:r>
    </w:p>
  </w:footnote>
  <w:footnote w:id="35">
    <w:p w14:paraId="01A40009" w14:textId="7B73B38C"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See, for example, the Commission’s averments in respect of “</w:t>
      </w:r>
      <w:r w:rsidRPr="00027CFF">
        <w:rPr>
          <w:rFonts w:ascii="Arial" w:hAnsi="Arial" w:cs="Arial"/>
          <w:i/>
          <w:iCs/>
          <w:sz w:val="22"/>
          <w:szCs w:val="22"/>
        </w:rPr>
        <w:t>the Bower cover quote</w:t>
      </w:r>
      <w:r w:rsidRPr="00027CFF">
        <w:rPr>
          <w:rFonts w:ascii="Arial" w:hAnsi="Arial" w:cs="Arial"/>
          <w:sz w:val="22"/>
          <w:szCs w:val="22"/>
        </w:rPr>
        <w:t>”, which read as follows: “</w:t>
      </w:r>
      <w:r w:rsidRPr="00027CFF">
        <w:rPr>
          <w:rFonts w:ascii="Arial" w:hAnsi="Arial" w:cs="Arial"/>
          <w:i/>
          <w:iCs/>
          <w:sz w:val="22"/>
          <w:szCs w:val="22"/>
        </w:rPr>
        <w:t xml:space="preserve">In and around July 2008 Pickfords sought to win a contract for the transportation of the goods of Mr V Bower, from Port Elizabeth to Cape Town. Sue </w:t>
      </w:r>
      <w:proofErr w:type="spellStart"/>
      <w:r w:rsidRPr="00027CFF">
        <w:rPr>
          <w:rFonts w:ascii="Arial" w:hAnsi="Arial" w:cs="Arial"/>
          <w:i/>
          <w:iCs/>
          <w:sz w:val="22"/>
          <w:szCs w:val="22"/>
        </w:rPr>
        <w:t>Swansen</w:t>
      </w:r>
      <w:proofErr w:type="spellEnd"/>
      <w:r w:rsidRPr="00027CFF">
        <w:rPr>
          <w:rFonts w:ascii="Arial" w:hAnsi="Arial" w:cs="Arial"/>
          <w:i/>
          <w:iCs/>
          <w:sz w:val="22"/>
          <w:szCs w:val="22"/>
        </w:rPr>
        <w:t xml:space="preserve">, an employee of Pickfords duly acting on its behalf, asked </w:t>
      </w:r>
      <w:proofErr w:type="spellStart"/>
      <w:r w:rsidRPr="00027CFF">
        <w:rPr>
          <w:rFonts w:ascii="Arial" w:hAnsi="Arial" w:cs="Arial"/>
          <w:i/>
          <w:iCs/>
          <w:sz w:val="22"/>
          <w:szCs w:val="22"/>
        </w:rPr>
        <w:t>Ansie</w:t>
      </w:r>
      <w:proofErr w:type="spellEnd"/>
      <w:r w:rsidRPr="00027CFF">
        <w:rPr>
          <w:rFonts w:ascii="Arial" w:hAnsi="Arial" w:cs="Arial"/>
          <w:i/>
          <w:iCs/>
          <w:sz w:val="22"/>
          <w:szCs w:val="22"/>
        </w:rPr>
        <w:t xml:space="preserve"> Joubert an employee of JH Retief duly acting on its behalf, to provide a cover quote for the contract. JH Retief’s employee undertook to do so. JH Retief provided a cover quote for the contract. JH Retief thereupon provided a cover quote for the contract at a price of R40 070” </w:t>
      </w:r>
      <w:r w:rsidRPr="00027CFF">
        <w:rPr>
          <w:rFonts w:ascii="Arial" w:hAnsi="Arial" w:cs="Arial"/>
          <w:sz w:val="22"/>
          <w:szCs w:val="22"/>
        </w:rPr>
        <w:t>(</w:t>
      </w:r>
      <w:r w:rsidRPr="00027CFF">
        <w:rPr>
          <w:rFonts w:ascii="Arial" w:hAnsi="Arial" w:cs="Arial"/>
          <w:sz w:val="22"/>
          <w:szCs w:val="22"/>
          <w:lang w:val="en-US"/>
        </w:rPr>
        <w:t>Further Particulars, Record, 113, para 7).</w:t>
      </w:r>
    </w:p>
  </w:footnote>
  <w:footnote w:id="36">
    <w:p w14:paraId="653CB120" w14:textId="6900E20A" w:rsidR="004E3C0D" w:rsidRPr="00027CFF" w:rsidRDefault="004E3C0D" w:rsidP="00D65F35">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 xml:space="preserve">Founding affidavit, Record, 28 to 48, Part 1 to Part 37. </w:t>
      </w:r>
    </w:p>
  </w:footnote>
  <w:footnote w:id="37">
    <w:p w14:paraId="543DC5B0" w14:textId="4507A13C" w:rsidR="004E3C0D" w:rsidRPr="00027CFF" w:rsidRDefault="004E3C0D" w:rsidP="003A218D">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See, for an analysis of different approaches to the formulation of collusive tendering contraventions, </w:t>
      </w:r>
      <w:r w:rsidRPr="00027CFF">
        <w:rPr>
          <w:rFonts w:ascii="Arial" w:hAnsi="Arial" w:cs="Arial"/>
          <w:i/>
          <w:iCs/>
          <w:sz w:val="22"/>
          <w:szCs w:val="22"/>
        </w:rPr>
        <w:t xml:space="preserve">Competition Commission of South Africa v RSC </w:t>
      </w:r>
      <w:proofErr w:type="spellStart"/>
      <w:r w:rsidRPr="00027CFF">
        <w:rPr>
          <w:rFonts w:ascii="Arial" w:hAnsi="Arial" w:cs="Arial"/>
          <w:i/>
          <w:iCs/>
          <w:sz w:val="22"/>
          <w:szCs w:val="22"/>
        </w:rPr>
        <w:t>Ekusasa</w:t>
      </w:r>
      <w:proofErr w:type="spellEnd"/>
      <w:r w:rsidRPr="00027CFF">
        <w:rPr>
          <w:rFonts w:ascii="Arial" w:hAnsi="Arial" w:cs="Arial"/>
          <w:i/>
          <w:iCs/>
          <w:sz w:val="22"/>
          <w:szCs w:val="22"/>
        </w:rPr>
        <w:t xml:space="preserve"> Mining (Pty) Ltd and Others</w:t>
      </w:r>
      <w:r w:rsidRPr="00027CFF">
        <w:rPr>
          <w:rFonts w:ascii="Arial" w:hAnsi="Arial" w:cs="Arial"/>
          <w:sz w:val="22"/>
          <w:szCs w:val="22"/>
        </w:rPr>
        <w:t xml:space="preserve"> 2012</w:t>
      </w:r>
      <w:r w:rsidR="009B7F8F">
        <w:rPr>
          <w:rFonts w:ascii="Arial" w:hAnsi="Arial" w:cs="Arial"/>
          <w:sz w:val="22"/>
          <w:szCs w:val="22"/>
        </w:rPr>
        <w:t xml:space="preserve"> (2)</w:t>
      </w:r>
      <w:r w:rsidRPr="00027CFF">
        <w:rPr>
          <w:rFonts w:ascii="Arial" w:hAnsi="Arial" w:cs="Arial"/>
          <w:sz w:val="22"/>
          <w:szCs w:val="22"/>
        </w:rPr>
        <w:t xml:space="preserve"> </w:t>
      </w:r>
      <w:r w:rsidR="009B7F8F">
        <w:rPr>
          <w:rFonts w:ascii="Arial" w:hAnsi="Arial" w:cs="Arial"/>
          <w:sz w:val="22"/>
          <w:szCs w:val="22"/>
        </w:rPr>
        <w:t>CPLR</w:t>
      </w:r>
      <w:r w:rsidRPr="00027CFF">
        <w:rPr>
          <w:rFonts w:ascii="Arial" w:hAnsi="Arial" w:cs="Arial"/>
          <w:sz w:val="22"/>
          <w:szCs w:val="22"/>
        </w:rPr>
        <w:t xml:space="preserve"> </w:t>
      </w:r>
      <w:r w:rsidR="009B7F8F">
        <w:rPr>
          <w:rFonts w:ascii="Arial" w:hAnsi="Arial" w:cs="Arial"/>
          <w:sz w:val="22"/>
          <w:szCs w:val="22"/>
        </w:rPr>
        <w:t>296</w:t>
      </w:r>
      <w:r w:rsidRPr="00027CFF">
        <w:rPr>
          <w:rFonts w:ascii="Arial" w:hAnsi="Arial" w:cs="Arial"/>
          <w:sz w:val="22"/>
          <w:szCs w:val="22"/>
        </w:rPr>
        <w:t>, paras 27 to 29.</w:t>
      </w:r>
    </w:p>
  </w:footnote>
  <w:footnote w:id="38">
    <w:p w14:paraId="60D5E380" w14:textId="61EC7E2F"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Tribunal decision, Record, 185, para 47.</w:t>
      </w:r>
    </w:p>
  </w:footnote>
  <w:footnote w:id="39">
    <w:p w14:paraId="08859B4A" w14:textId="76F95354"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CAC decision, Record, 224, para 43. Emphasis added.</w:t>
      </w:r>
    </w:p>
  </w:footnote>
  <w:footnote w:id="40">
    <w:p w14:paraId="08A32E0B" w14:textId="656DC86B"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Section 59(1)(a) read with section 59(2) of the Act.</w:t>
      </w:r>
    </w:p>
  </w:footnote>
  <w:footnote w:id="41">
    <w:p w14:paraId="1CF17218" w14:textId="071CC99E"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The Commission is bound by its election. As this Court held in </w:t>
      </w:r>
      <w:r w:rsidRPr="00027CFF">
        <w:rPr>
          <w:rFonts w:ascii="Arial" w:hAnsi="Arial" w:cs="Arial"/>
          <w:i/>
          <w:iCs/>
          <w:sz w:val="22"/>
          <w:szCs w:val="22"/>
        </w:rPr>
        <w:t>Equity Aviation Services (Pty) Ltd v Commission for Conciliation, Mediation and Arbitration</w:t>
      </w:r>
      <w:r w:rsidRPr="00027CFF">
        <w:rPr>
          <w:rFonts w:ascii="Arial" w:hAnsi="Arial" w:cs="Arial"/>
          <w:sz w:val="22"/>
          <w:szCs w:val="22"/>
        </w:rPr>
        <w:t xml:space="preserve"> 2009 (1) SA 390 (CC) para 54, “</w:t>
      </w:r>
      <w:r w:rsidRPr="00027CFF">
        <w:rPr>
          <w:rFonts w:ascii="Arial" w:hAnsi="Arial" w:cs="Arial"/>
          <w:i/>
          <w:iCs/>
          <w:sz w:val="22"/>
          <w:szCs w:val="22"/>
        </w:rPr>
        <w:t>[t]he principle of the right of election is a fundamental one in our law.…When exercising an election, the law does not allow a party to blow hot and cold. A right of election, once exercised, is irrevocable particularly when the volte-face is prejudicial or is unfair to another.</w:t>
      </w:r>
      <w:r w:rsidRPr="00027CFF">
        <w:rPr>
          <w:rFonts w:ascii="Arial" w:hAnsi="Arial" w:cs="Arial"/>
          <w:sz w:val="22"/>
          <w:szCs w:val="22"/>
        </w:rPr>
        <w:t>”</w:t>
      </w:r>
    </w:p>
  </w:footnote>
  <w:footnote w:id="42">
    <w:p w14:paraId="443E93D7" w14:textId="61E65B01" w:rsidR="00844C0F" w:rsidRPr="00027CFF" w:rsidRDefault="00844C0F">
      <w:pPr>
        <w:pStyle w:val="FootnoteText"/>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009B7F8F" w:rsidRPr="00027CFF">
        <w:rPr>
          <w:rFonts w:ascii="Arial" w:hAnsi="Arial" w:cs="Arial"/>
          <w:sz w:val="22"/>
          <w:szCs w:val="22"/>
          <w:lang w:val="en-US"/>
        </w:rPr>
        <w:t>CAC decision,</w:t>
      </w:r>
      <w:r w:rsidR="009B7F8F">
        <w:rPr>
          <w:rFonts w:ascii="Arial" w:hAnsi="Arial" w:cs="Arial"/>
          <w:sz w:val="22"/>
          <w:szCs w:val="22"/>
          <w:lang w:val="en-US"/>
        </w:rPr>
        <w:t xml:space="preserve"> Record, 225, para 45.</w:t>
      </w:r>
    </w:p>
  </w:footnote>
  <w:footnote w:id="43">
    <w:p w14:paraId="772A0C66" w14:textId="48B1C823" w:rsidR="004E3C0D" w:rsidRPr="00027CFF" w:rsidRDefault="004E3C0D" w:rsidP="00D65F35">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Record, 129 to 130.</w:t>
      </w:r>
    </w:p>
  </w:footnote>
  <w:footnote w:id="44">
    <w:p w14:paraId="232A8BEF" w14:textId="6757B23E" w:rsidR="004E3C0D" w:rsidRPr="00027CFF" w:rsidRDefault="004E3C0D" w:rsidP="003A218D">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Initiation Statement, Record, 130.</w:t>
      </w:r>
    </w:p>
  </w:footnote>
  <w:footnote w:id="45">
    <w:p w14:paraId="32471270" w14:textId="6C4C913F" w:rsidR="004E3C0D" w:rsidRPr="00027CFF" w:rsidRDefault="004E3C0D" w:rsidP="007A4983">
      <w:pPr>
        <w:pStyle w:val="FootnoteText"/>
        <w:jc w:val="both"/>
        <w:rPr>
          <w:rFonts w:ascii="Arial" w:hAnsi="Arial" w:cs="Arial"/>
          <w:i/>
          <w:iCs/>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proofErr w:type="spellStart"/>
      <w:r w:rsidRPr="00027CFF">
        <w:rPr>
          <w:rFonts w:ascii="Arial" w:hAnsi="Arial" w:cs="Arial"/>
          <w:sz w:val="22"/>
          <w:szCs w:val="22"/>
          <w:lang w:val="en-US"/>
        </w:rPr>
        <w:t>Compaint</w:t>
      </w:r>
      <w:proofErr w:type="spellEnd"/>
      <w:r w:rsidRPr="00027CFF">
        <w:rPr>
          <w:rFonts w:ascii="Arial" w:hAnsi="Arial" w:cs="Arial"/>
          <w:sz w:val="22"/>
          <w:szCs w:val="22"/>
          <w:lang w:val="en-US"/>
        </w:rPr>
        <w:t>, Record, 129. In the Initiation Statement (Record, p 130), these companies were described as “</w:t>
      </w:r>
      <w:r w:rsidRPr="00027CFF">
        <w:rPr>
          <w:rFonts w:ascii="Arial" w:hAnsi="Arial" w:cs="Arial"/>
          <w:i/>
          <w:iCs/>
          <w:sz w:val="22"/>
          <w:szCs w:val="22"/>
          <w:lang w:val="en-US"/>
        </w:rPr>
        <w:t>[t]he main companies implicated in the alleged conduct”.</w:t>
      </w:r>
    </w:p>
  </w:footnote>
  <w:footnote w:id="46">
    <w:p w14:paraId="6B9B1885" w14:textId="506D17A5"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Record, 130. Emphasis added.</w:t>
      </w:r>
    </w:p>
  </w:footnote>
  <w:footnote w:id="47">
    <w:p w14:paraId="712DF9C6" w14:textId="52200729"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The listed firms were referred to as “the above respondents” (Record, 131).</w:t>
      </w:r>
    </w:p>
  </w:footnote>
  <w:footnote w:id="48">
    <w:p w14:paraId="38088B3F" w14:textId="0430F53A"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Record, 131 to 134.</w:t>
      </w:r>
    </w:p>
  </w:footnote>
  <w:footnote w:id="49">
    <w:p w14:paraId="33D19D0E" w14:textId="653C7534"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Record, 132.</w:t>
      </w:r>
    </w:p>
  </w:footnote>
  <w:footnote w:id="50">
    <w:p w14:paraId="3AD2BD23" w14:textId="5B694280"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Record, 133, lines 23-25. Emphasis added.</w:t>
      </w:r>
    </w:p>
  </w:footnote>
  <w:footnote w:id="51">
    <w:p w14:paraId="41AECBF8" w14:textId="702916F1"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Record, 135 to 137.</w:t>
      </w:r>
    </w:p>
  </w:footnote>
  <w:footnote w:id="52">
    <w:p w14:paraId="463160D9" w14:textId="736211B6"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Record, 137 para 3.2.</w:t>
      </w:r>
    </w:p>
  </w:footnote>
  <w:footnote w:id="53">
    <w:p w14:paraId="69D3C447" w14:textId="50B58B21"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Commission’s founding affidavit, Record, 11, para 13.</w:t>
      </w:r>
    </w:p>
  </w:footnote>
  <w:footnote w:id="54">
    <w:p w14:paraId="046B5A0A" w14:textId="144E5E31"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Record, 126, para 44. Emphasis added.</w:t>
      </w:r>
    </w:p>
  </w:footnote>
  <w:footnote w:id="55">
    <w:p w14:paraId="71F565FD" w14:textId="1D804702"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Record, 127, para 46.1. Emphasis added.</w:t>
      </w:r>
    </w:p>
  </w:footnote>
  <w:footnote w:id="56">
    <w:p w14:paraId="74D5D462" w14:textId="5D30DCF5"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Tribunal decision, Record, 186, para 52.</w:t>
      </w:r>
    </w:p>
  </w:footnote>
  <w:footnote w:id="57">
    <w:p w14:paraId="4A419FA6" w14:textId="36999CEA"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Tribunal decision, Record, 185, para 48.</w:t>
      </w:r>
    </w:p>
  </w:footnote>
  <w:footnote w:id="58">
    <w:p w14:paraId="52967A72" w14:textId="3E2584CA"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Tribunal decision, Record, 185, para 49.</w:t>
      </w:r>
    </w:p>
  </w:footnote>
  <w:footnote w:id="59">
    <w:p w14:paraId="71E44AC4" w14:textId="406413AC"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Tribunal decision, Record, 186, para 50.</w:t>
      </w:r>
    </w:p>
  </w:footnote>
  <w:footnote w:id="60">
    <w:p w14:paraId="5E153BDC" w14:textId="5A53829A"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CAC decision, Record 221, para 32.</w:t>
      </w:r>
    </w:p>
  </w:footnote>
  <w:footnote w:id="61">
    <w:p w14:paraId="6FA64E18" w14:textId="7C33BD40"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CAC decision, Record 221, para 33. Emphasis added.</w:t>
      </w:r>
    </w:p>
  </w:footnote>
  <w:footnote w:id="62">
    <w:p w14:paraId="78C443DD" w14:textId="097642AB" w:rsidR="004E3C0D" w:rsidRPr="00027CFF" w:rsidRDefault="004E3C0D" w:rsidP="003A218D">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Woodlands Dairy, </w:t>
      </w:r>
      <w:r w:rsidRPr="00027CFF">
        <w:rPr>
          <w:rFonts w:ascii="Arial" w:hAnsi="Arial" w:cs="Arial"/>
          <w:sz w:val="22"/>
          <w:szCs w:val="22"/>
          <w:lang w:val="en-US"/>
        </w:rPr>
        <w:t xml:space="preserve">para 36. In </w:t>
      </w:r>
      <w:r w:rsidRPr="00027CFF">
        <w:rPr>
          <w:rFonts w:ascii="Arial" w:hAnsi="Arial" w:cs="Arial"/>
          <w:i/>
          <w:iCs/>
          <w:sz w:val="22"/>
          <w:szCs w:val="22"/>
          <w:lang w:val="en-US"/>
        </w:rPr>
        <w:t xml:space="preserve">Yara </w:t>
      </w:r>
      <w:r w:rsidRPr="00027CFF">
        <w:rPr>
          <w:rFonts w:ascii="Arial" w:hAnsi="Arial" w:cs="Arial"/>
          <w:sz w:val="22"/>
          <w:szCs w:val="22"/>
          <w:lang w:val="en-US"/>
        </w:rPr>
        <w:t>the SCA held that where the Commission wishes to refer a complaint not covered in a previous initiation, it may ‘</w:t>
      </w:r>
      <w:r w:rsidRPr="00027CFF">
        <w:rPr>
          <w:rFonts w:ascii="Arial" w:hAnsi="Arial" w:cs="Arial"/>
          <w:i/>
          <w:iCs/>
          <w:sz w:val="22"/>
          <w:szCs w:val="22"/>
          <w:lang w:val="en-US"/>
        </w:rPr>
        <w:t>decide to initiate a new complaint, to investigate that complaint and, if appropriate, refer that complaint to the Tribunal</w:t>
      </w:r>
      <w:r w:rsidRPr="00027CFF">
        <w:rPr>
          <w:rFonts w:ascii="Arial" w:hAnsi="Arial" w:cs="Arial"/>
          <w:sz w:val="22"/>
          <w:szCs w:val="22"/>
          <w:lang w:val="en-US"/>
        </w:rPr>
        <w:t xml:space="preserve">’ (para 28). </w:t>
      </w:r>
    </w:p>
  </w:footnote>
  <w:footnote w:id="63">
    <w:p w14:paraId="3D0AC005" w14:textId="3C062317"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See e.g. </w:t>
      </w:r>
      <w:proofErr w:type="spellStart"/>
      <w:r w:rsidRPr="00027CFF">
        <w:rPr>
          <w:rFonts w:ascii="Arial" w:hAnsi="Arial" w:cs="Arial"/>
          <w:i/>
          <w:iCs/>
          <w:sz w:val="22"/>
          <w:szCs w:val="22"/>
        </w:rPr>
        <w:t>Veldman</w:t>
      </w:r>
      <w:proofErr w:type="spellEnd"/>
      <w:r w:rsidRPr="00027CFF">
        <w:rPr>
          <w:rFonts w:ascii="Arial" w:hAnsi="Arial" w:cs="Arial"/>
          <w:i/>
          <w:iCs/>
          <w:sz w:val="22"/>
          <w:szCs w:val="22"/>
        </w:rPr>
        <w:t xml:space="preserve"> v Director of Public Prosecutions, Witwatersrand Local Division</w:t>
      </w:r>
      <w:r w:rsidRPr="00027CFF">
        <w:rPr>
          <w:rFonts w:ascii="Arial" w:hAnsi="Arial" w:cs="Arial"/>
          <w:sz w:val="22"/>
          <w:szCs w:val="22"/>
        </w:rPr>
        <w:t xml:space="preserve"> 2007 (3) SA 210 (CC) para 26, in which </w:t>
      </w:r>
      <w:proofErr w:type="spellStart"/>
      <w:r w:rsidRPr="00027CFF">
        <w:rPr>
          <w:rFonts w:ascii="Arial" w:hAnsi="Arial" w:cs="Arial"/>
          <w:sz w:val="22"/>
          <w:szCs w:val="22"/>
        </w:rPr>
        <w:t>Mokgoro</w:t>
      </w:r>
      <w:proofErr w:type="spellEnd"/>
      <w:r w:rsidRPr="00027CFF">
        <w:rPr>
          <w:rFonts w:ascii="Arial" w:hAnsi="Arial" w:cs="Arial"/>
          <w:sz w:val="22"/>
          <w:szCs w:val="22"/>
        </w:rPr>
        <w:t xml:space="preserve"> J explained (in the context of legislation) that an interpretation against retrospectivity is generally preferred, because this “</w:t>
      </w:r>
      <w:r w:rsidRPr="00027CFF">
        <w:rPr>
          <w:rFonts w:ascii="Arial" w:hAnsi="Arial" w:cs="Arial"/>
          <w:i/>
          <w:iCs/>
          <w:sz w:val="22"/>
          <w:szCs w:val="22"/>
        </w:rPr>
        <w:t>is basic to notions of fairness and justice which are integral to the rule of law, a foundational principle of our Constitution. Also central to the rule of law is the principle of legality which requires that law must be certain, clear and stable.</w:t>
      </w:r>
      <w:r w:rsidRPr="00027CFF">
        <w:rPr>
          <w:rFonts w:ascii="Arial" w:hAnsi="Arial" w:cs="Arial"/>
          <w:sz w:val="22"/>
          <w:szCs w:val="22"/>
        </w:rPr>
        <w:t>”</w:t>
      </w:r>
    </w:p>
  </w:footnote>
  <w:footnote w:id="64">
    <w:p w14:paraId="21415244" w14:textId="61733F9B"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Commission’s written submissions, paras 85 to 88.</w:t>
      </w:r>
    </w:p>
  </w:footnote>
  <w:footnote w:id="65">
    <w:p w14:paraId="7792103C" w14:textId="3F857157" w:rsidR="004E3C0D" w:rsidRPr="00027CFF" w:rsidRDefault="004E3C0D" w:rsidP="00BB6964">
      <w:pPr>
        <w:spacing w:after="0" w:line="257" w:lineRule="auto"/>
        <w:jc w:val="both"/>
      </w:pPr>
      <w:r w:rsidRPr="00027CFF">
        <w:rPr>
          <w:rStyle w:val="FootnoteReference"/>
          <w:rFonts w:ascii="Arial" w:hAnsi="Arial" w:cs="Arial"/>
        </w:rPr>
        <w:footnoteRef/>
      </w:r>
      <w:r w:rsidRPr="00027CFF">
        <w:rPr>
          <w:rFonts w:ascii="Arial" w:hAnsi="Arial" w:cs="Arial"/>
        </w:rPr>
        <w:t xml:space="preserve"> </w:t>
      </w:r>
      <w:proofErr w:type="spellStart"/>
      <w:r w:rsidRPr="00027CFF">
        <w:rPr>
          <w:rFonts w:ascii="Arial" w:hAnsi="Arial" w:cs="Arial"/>
          <w:i/>
          <w:iCs/>
        </w:rPr>
        <w:t>Loungefoam</w:t>
      </w:r>
      <w:proofErr w:type="spellEnd"/>
      <w:r w:rsidRPr="00027CFF">
        <w:rPr>
          <w:rFonts w:ascii="Arial" w:hAnsi="Arial" w:cs="Arial"/>
          <w:i/>
          <w:iCs/>
        </w:rPr>
        <w:t xml:space="preserve"> (Pty) Ltd v Competition Commission and Others</w:t>
      </w:r>
      <w:r w:rsidRPr="00027CFF">
        <w:rPr>
          <w:rFonts w:ascii="Arial" w:hAnsi="Arial" w:cs="Arial"/>
        </w:rPr>
        <w:t xml:space="preserve"> [2011] 1 CPLR 19 (CAC)</w:t>
      </w:r>
      <w:r w:rsidRPr="00027CFF">
        <w:rPr>
          <w:rFonts w:ascii="Arial" w:hAnsi="Arial" w:cs="Arial"/>
          <w:i/>
          <w:iCs/>
          <w:lang w:val="en-US"/>
        </w:rPr>
        <w:t xml:space="preserve">, </w:t>
      </w:r>
      <w:r w:rsidRPr="00027CFF">
        <w:rPr>
          <w:rFonts w:ascii="Arial" w:hAnsi="Arial" w:cs="Arial"/>
          <w:lang w:val="en-US"/>
        </w:rPr>
        <w:t>para</w:t>
      </w:r>
      <w:r w:rsidR="009B7F8F">
        <w:rPr>
          <w:rFonts w:ascii="Arial" w:hAnsi="Arial" w:cs="Arial"/>
          <w:lang w:val="en-US"/>
        </w:rPr>
        <w:t> </w:t>
      </w:r>
      <w:r w:rsidRPr="00027CFF">
        <w:rPr>
          <w:rFonts w:ascii="Arial" w:hAnsi="Arial" w:cs="Arial"/>
          <w:lang w:val="en-US"/>
        </w:rPr>
        <w:t>41.</w:t>
      </w:r>
    </w:p>
  </w:footnote>
  <w:footnote w:id="66">
    <w:p w14:paraId="249572A7" w14:textId="77777777"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 xml:space="preserve">Woodlands Dairy, </w:t>
      </w:r>
      <w:r w:rsidRPr="00027CFF">
        <w:rPr>
          <w:rFonts w:ascii="Arial" w:hAnsi="Arial" w:cs="Arial"/>
          <w:sz w:val="22"/>
          <w:szCs w:val="22"/>
          <w:lang w:val="en-US"/>
        </w:rPr>
        <w:t>para 36.</w:t>
      </w:r>
    </w:p>
  </w:footnote>
  <w:footnote w:id="67">
    <w:p w14:paraId="1255B8DD" w14:textId="0716519E" w:rsidR="004E3C0D" w:rsidRPr="00027CFF" w:rsidRDefault="004E3C0D" w:rsidP="00BB6964">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Emphasis added.</w:t>
      </w:r>
    </w:p>
  </w:footnote>
  <w:footnote w:id="68">
    <w:p w14:paraId="127C3121" w14:textId="3F31CE85"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As early as the stage at which an investigation is underway, the Commission may agree a consent order with “</w:t>
      </w:r>
      <w:r w:rsidRPr="00027CFF">
        <w:rPr>
          <w:rFonts w:ascii="Arial" w:hAnsi="Arial" w:cs="Arial"/>
          <w:i/>
          <w:iCs/>
          <w:sz w:val="22"/>
          <w:szCs w:val="22"/>
          <w:lang w:val="en-US"/>
        </w:rPr>
        <w:t>the respondent</w:t>
      </w:r>
      <w:r w:rsidRPr="00027CFF">
        <w:rPr>
          <w:rFonts w:ascii="Arial" w:hAnsi="Arial" w:cs="Arial"/>
          <w:sz w:val="22"/>
          <w:szCs w:val="22"/>
          <w:lang w:val="en-US"/>
        </w:rPr>
        <w:t>” (section 49</w:t>
      </w:r>
      <w:proofErr w:type="gramStart"/>
      <w:r w:rsidRPr="00027CFF">
        <w:rPr>
          <w:rFonts w:ascii="Arial" w:hAnsi="Arial" w:cs="Arial"/>
          <w:sz w:val="22"/>
          <w:szCs w:val="22"/>
          <w:lang w:val="en-US"/>
        </w:rPr>
        <w:t>D(</w:t>
      </w:r>
      <w:proofErr w:type="gramEnd"/>
      <w:r w:rsidRPr="00027CFF">
        <w:rPr>
          <w:rFonts w:ascii="Arial" w:hAnsi="Arial" w:cs="Arial"/>
          <w:sz w:val="22"/>
          <w:szCs w:val="22"/>
          <w:lang w:val="en-US"/>
        </w:rPr>
        <w:t>1) of the Competition Act).</w:t>
      </w:r>
    </w:p>
  </w:footnote>
  <w:footnote w:id="69">
    <w:p w14:paraId="33629914" w14:textId="294FB276" w:rsidR="004E3C0D" w:rsidRPr="00027CFF" w:rsidRDefault="004E3C0D" w:rsidP="006C09D6">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w:t>
      </w:r>
      <w:proofErr w:type="spellStart"/>
      <w:r w:rsidRPr="00027CFF">
        <w:rPr>
          <w:rFonts w:ascii="Arial" w:hAnsi="Arial" w:cs="Arial"/>
          <w:i/>
          <w:iCs/>
          <w:sz w:val="22"/>
          <w:szCs w:val="22"/>
        </w:rPr>
        <w:t>Mankayi</w:t>
      </w:r>
      <w:proofErr w:type="spellEnd"/>
      <w:r w:rsidRPr="00027CFF">
        <w:rPr>
          <w:rFonts w:ascii="Arial" w:hAnsi="Arial" w:cs="Arial"/>
          <w:i/>
          <w:iCs/>
          <w:sz w:val="22"/>
          <w:szCs w:val="22"/>
        </w:rPr>
        <w:t xml:space="preserve"> v AngloGold Ashanti Ltd</w:t>
      </w:r>
      <w:r w:rsidRPr="00027CFF">
        <w:rPr>
          <w:rFonts w:ascii="Arial" w:hAnsi="Arial" w:cs="Arial"/>
          <w:sz w:val="22"/>
          <w:szCs w:val="22"/>
        </w:rPr>
        <w:t> 2011 (3) SA 237 (CC) para 70. The Commission</w:t>
      </w:r>
      <w:r w:rsidR="00287F73" w:rsidRPr="00027CFF">
        <w:rPr>
          <w:rFonts w:ascii="Arial" w:hAnsi="Arial" w:cs="Arial"/>
          <w:sz w:val="22"/>
          <w:szCs w:val="22"/>
        </w:rPr>
        <w:t>’s contentions disregard this principle.</w:t>
      </w:r>
    </w:p>
  </w:footnote>
  <w:footnote w:id="70">
    <w:p w14:paraId="3168955E" w14:textId="4CDF5798" w:rsidR="004E3C0D" w:rsidRPr="00027CFF" w:rsidRDefault="004E3C0D" w:rsidP="006C09D6">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 xml:space="preserve">Section 39(2) of the Constitution, which provides that </w:t>
      </w:r>
      <w:r w:rsidRPr="00027CFF">
        <w:rPr>
          <w:rFonts w:ascii="Arial" w:hAnsi="Arial" w:cs="Arial"/>
          <w:i/>
          <w:sz w:val="22"/>
          <w:szCs w:val="22"/>
          <w:lang w:val="en-US"/>
        </w:rPr>
        <w:t>“[w]hen interpreting any legislation…every court, tribunal or forum must promote the spirit, purport and objects of the Bill of Rights</w:t>
      </w:r>
      <w:r w:rsidRPr="00027CFF">
        <w:rPr>
          <w:rFonts w:ascii="Arial" w:hAnsi="Arial" w:cs="Arial"/>
          <w:sz w:val="22"/>
          <w:szCs w:val="22"/>
          <w:lang w:val="en-US"/>
        </w:rPr>
        <w:t>”.</w:t>
      </w:r>
    </w:p>
  </w:footnote>
  <w:footnote w:id="71">
    <w:p w14:paraId="61FE793A" w14:textId="7E45D417" w:rsidR="004E3C0D" w:rsidRPr="00027CFF" w:rsidRDefault="004E3C0D" w:rsidP="006C09D6">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proofErr w:type="spellStart"/>
      <w:r w:rsidRPr="00027CFF">
        <w:rPr>
          <w:rFonts w:ascii="Arial" w:hAnsi="Arial" w:cs="Arial"/>
          <w:i/>
          <w:sz w:val="22"/>
          <w:szCs w:val="22"/>
        </w:rPr>
        <w:t>Makate</w:t>
      </w:r>
      <w:proofErr w:type="spellEnd"/>
      <w:r w:rsidRPr="00027CFF">
        <w:rPr>
          <w:rFonts w:ascii="Arial" w:hAnsi="Arial" w:cs="Arial"/>
          <w:i/>
          <w:sz w:val="22"/>
          <w:szCs w:val="22"/>
        </w:rPr>
        <w:t xml:space="preserve"> v Vodacom (Pty) Ltd </w:t>
      </w:r>
      <w:r w:rsidRPr="00027CFF">
        <w:rPr>
          <w:rFonts w:ascii="Arial" w:hAnsi="Arial" w:cs="Arial"/>
          <w:sz w:val="22"/>
          <w:szCs w:val="22"/>
        </w:rPr>
        <w:t>2016 (4) SA 121 (CC) (</w:t>
      </w:r>
      <w:proofErr w:type="spellStart"/>
      <w:r w:rsidRPr="00027CFF">
        <w:rPr>
          <w:rFonts w:ascii="Arial" w:hAnsi="Arial" w:cs="Arial"/>
          <w:i/>
          <w:iCs/>
          <w:sz w:val="22"/>
          <w:szCs w:val="22"/>
        </w:rPr>
        <w:t>Makate</w:t>
      </w:r>
      <w:proofErr w:type="spellEnd"/>
      <w:r w:rsidRPr="00027CFF">
        <w:rPr>
          <w:rFonts w:ascii="Arial" w:hAnsi="Arial" w:cs="Arial"/>
          <w:i/>
          <w:iCs/>
          <w:sz w:val="22"/>
          <w:szCs w:val="22"/>
        </w:rPr>
        <w:t xml:space="preserve">) </w:t>
      </w:r>
      <w:r w:rsidRPr="00027CFF">
        <w:rPr>
          <w:rFonts w:ascii="Arial" w:hAnsi="Arial" w:cs="Arial"/>
          <w:sz w:val="22"/>
          <w:szCs w:val="22"/>
        </w:rPr>
        <w:t>paras 87 and 88.</w:t>
      </w:r>
    </w:p>
  </w:footnote>
  <w:footnote w:id="72">
    <w:p w14:paraId="42664AAB" w14:textId="57E67150" w:rsidR="004E3C0D" w:rsidRPr="00027CFF" w:rsidRDefault="004E3C0D" w:rsidP="007A4983">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proofErr w:type="spellStart"/>
      <w:r w:rsidRPr="00027CFF">
        <w:rPr>
          <w:rFonts w:ascii="Arial" w:hAnsi="Arial" w:cs="Arial"/>
          <w:i/>
          <w:sz w:val="22"/>
          <w:szCs w:val="22"/>
        </w:rPr>
        <w:t>Makate</w:t>
      </w:r>
      <w:proofErr w:type="spellEnd"/>
      <w:r w:rsidRPr="00027CFF">
        <w:rPr>
          <w:rFonts w:ascii="Arial" w:hAnsi="Arial" w:cs="Arial"/>
          <w:i/>
          <w:sz w:val="22"/>
          <w:szCs w:val="22"/>
        </w:rPr>
        <w:t xml:space="preserve">, </w:t>
      </w:r>
      <w:r w:rsidRPr="00027CFF">
        <w:rPr>
          <w:rFonts w:ascii="Arial" w:hAnsi="Arial" w:cs="Arial"/>
          <w:sz w:val="22"/>
          <w:szCs w:val="22"/>
        </w:rPr>
        <w:t>para 89.</w:t>
      </w:r>
    </w:p>
  </w:footnote>
  <w:footnote w:id="73">
    <w:p w14:paraId="06B78261" w14:textId="3E95E6C0"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proofErr w:type="spellStart"/>
      <w:r w:rsidRPr="00027CFF">
        <w:rPr>
          <w:rFonts w:ascii="Arial" w:hAnsi="Arial" w:cs="Arial"/>
          <w:i/>
          <w:sz w:val="22"/>
          <w:szCs w:val="22"/>
        </w:rPr>
        <w:t>Makate</w:t>
      </w:r>
      <w:proofErr w:type="spellEnd"/>
      <w:r w:rsidRPr="00027CFF">
        <w:rPr>
          <w:rFonts w:ascii="Arial" w:hAnsi="Arial" w:cs="Arial"/>
          <w:i/>
          <w:sz w:val="22"/>
          <w:szCs w:val="22"/>
        </w:rPr>
        <w:t xml:space="preserve">, </w:t>
      </w:r>
      <w:r w:rsidRPr="00027CFF">
        <w:rPr>
          <w:rFonts w:ascii="Arial" w:hAnsi="Arial" w:cs="Arial"/>
          <w:sz w:val="22"/>
          <w:szCs w:val="22"/>
        </w:rPr>
        <w:t>para 91.</w:t>
      </w:r>
    </w:p>
  </w:footnote>
  <w:footnote w:id="74">
    <w:p w14:paraId="79762EFA" w14:textId="34432E37"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rPr>
        <w:t xml:space="preserve">South African Transport and Allied Workers Union (SATAWU) and Others v </w:t>
      </w:r>
      <w:proofErr w:type="spellStart"/>
      <w:r w:rsidRPr="00027CFF">
        <w:rPr>
          <w:rFonts w:ascii="Arial" w:hAnsi="Arial" w:cs="Arial"/>
          <w:i/>
          <w:sz w:val="22"/>
          <w:szCs w:val="22"/>
        </w:rPr>
        <w:t>Moloto</w:t>
      </w:r>
      <w:proofErr w:type="spellEnd"/>
      <w:r w:rsidRPr="00027CFF">
        <w:rPr>
          <w:rFonts w:ascii="Arial" w:hAnsi="Arial" w:cs="Arial"/>
          <w:i/>
          <w:sz w:val="22"/>
          <w:szCs w:val="22"/>
        </w:rPr>
        <w:t xml:space="preserve"> NO and Another </w:t>
      </w:r>
      <w:r w:rsidRPr="00027CFF">
        <w:rPr>
          <w:rFonts w:ascii="Arial" w:hAnsi="Arial" w:cs="Arial"/>
          <w:sz w:val="22"/>
          <w:szCs w:val="22"/>
        </w:rPr>
        <w:t>2012 (6) SA 249 (CC)</w:t>
      </w:r>
      <w:r w:rsidRPr="00027CFF">
        <w:rPr>
          <w:rFonts w:ascii="Arial" w:hAnsi="Arial" w:cs="Arial"/>
          <w:i/>
          <w:sz w:val="22"/>
          <w:szCs w:val="22"/>
        </w:rPr>
        <w:t xml:space="preserve"> </w:t>
      </w:r>
      <w:r w:rsidRPr="00027CFF">
        <w:rPr>
          <w:rFonts w:ascii="Arial" w:hAnsi="Arial" w:cs="Arial"/>
          <w:sz w:val="22"/>
          <w:szCs w:val="22"/>
        </w:rPr>
        <w:t>para 44. Emphasis added. Currie and De Waal suggest that the “</w:t>
      </w:r>
      <w:r w:rsidRPr="00027CFF">
        <w:rPr>
          <w:rFonts w:ascii="Arial" w:hAnsi="Arial" w:cs="Arial"/>
          <w:i/>
          <w:iCs/>
          <w:sz w:val="22"/>
          <w:szCs w:val="22"/>
        </w:rPr>
        <w:t>the result of the interpretative process must be a reading of the legislation that is defensible using the repertoire of justificatory arguments supplied by the law of interpretation of statutes</w:t>
      </w:r>
      <w:r w:rsidRPr="00027CFF">
        <w:rPr>
          <w:rFonts w:ascii="Arial" w:hAnsi="Arial" w:cs="Arial"/>
          <w:sz w:val="22"/>
          <w:szCs w:val="22"/>
        </w:rPr>
        <w:t xml:space="preserve">” (Iain Currie &amp; Johan de Waal, </w:t>
      </w:r>
      <w:r w:rsidRPr="00027CFF">
        <w:rPr>
          <w:rFonts w:ascii="Arial" w:hAnsi="Arial" w:cs="Arial"/>
          <w:i/>
          <w:sz w:val="22"/>
          <w:szCs w:val="22"/>
        </w:rPr>
        <w:t>The Bill of Rights Handbook,</w:t>
      </w:r>
      <w:r w:rsidRPr="00027CFF">
        <w:rPr>
          <w:rFonts w:ascii="Arial" w:hAnsi="Arial" w:cs="Arial"/>
          <w:sz w:val="22"/>
          <w:szCs w:val="22"/>
        </w:rPr>
        <w:t xml:space="preserve"> Fifth Edition, 68).</w:t>
      </w:r>
    </w:p>
  </w:footnote>
  <w:footnote w:id="75">
    <w:p w14:paraId="4F7ABA14" w14:textId="087CF90D" w:rsidR="004E3C0D" w:rsidRPr="00027CFF" w:rsidRDefault="004E3C0D" w:rsidP="003643CC">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 xml:space="preserve">See e.g. </w:t>
      </w:r>
      <w:r w:rsidRPr="00027CFF">
        <w:rPr>
          <w:rFonts w:ascii="Arial" w:hAnsi="Arial" w:cs="Arial"/>
          <w:i/>
          <w:iCs/>
          <w:sz w:val="22"/>
          <w:szCs w:val="22"/>
          <w:lang w:val="en-US"/>
        </w:rPr>
        <w:t>Du Plessis and Others v De Klerk and Another</w:t>
      </w:r>
      <w:r w:rsidRPr="00027CFF">
        <w:rPr>
          <w:rFonts w:ascii="Arial" w:hAnsi="Arial" w:cs="Arial"/>
          <w:sz w:val="22"/>
          <w:szCs w:val="22"/>
          <w:lang w:val="en-US"/>
        </w:rPr>
        <w:t> 1996 (3) SA 850 (CC) paras 142 and</w:t>
      </w:r>
      <w:r w:rsidR="002C4A7F">
        <w:rPr>
          <w:rFonts w:ascii="Arial" w:hAnsi="Arial" w:cs="Arial"/>
          <w:sz w:val="22"/>
          <w:szCs w:val="22"/>
          <w:lang w:val="en-US"/>
        </w:rPr>
        <w:t> </w:t>
      </w:r>
      <w:r w:rsidRPr="00027CFF">
        <w:rPr>
          <w:rFonts w:ascii="Arial" w:hAnsi="Arial" w:cs="Arial"/>
          <w:sz w:val="22"/>
          <w:szCs w:val="22"/>
          <w:lang w:val="en-US"/>
        </w:rPr>
        <w:t>143 on the limitations of resorting to the indirect application of the Constitution under section</w:t>
      </w:r>
      <w:r w:rsidR="002C4A7F">
        <w:rPr>
          <w:rFonts w:ascii="Arial" w:hAnsi="Arial" w:cs="Arial"/>
          <w:sz w:val="22"/>
          <w:szCs w:val="22"/>
          <w:lang w:val="en-US"/>
        </w:rPr>
        <w:t> </w:t>
      </w:r>
      <w:r w:rsidRPr="00027CFF">
        <w:rPr>
          <w:rFonts w:ascii="Arial" w:hAnsi="Arial" w:cs="Arial"/>
          <w:sz w:val="22"/>
          <w:szCs w:val="22"/>
          <w:lang w:val="en-US"/>
        </w:rPr>
        <w:t>35(3) of the interim Constitution (which is the equivalent of section 39(2) of the final Constitution).</w:t>
      </w:r>
    </w:p>
  </w:footnote>
  <w:footnote w:id="76">
    <w:p w14:paraId="7624BFA3" w14:textId="16FE2E49" w:rsidR="004E3C0D" w:rsidRPr="00027CFF" w:rsidRDefault="004E3C0D" w:rsidP="00F45E02">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See </w:t>
      </w:r>
      <w:r w:rsidRPr="00027CFF">
        <w:rPr>
          <w:rFonts w:ascii="Arial" w:hAnsi="Arial" w:cs="Arial"/>
          <w:i/>
          <w:sz w:val="22"/>
          <w:szCs w:val="22"/>
        </w:rPr>
        <w:t>Investigating Directorate: Serious Economic Offences and Others v Hyundai Motor Distributors (Pty) Ltd and Others: In re Hyundai Motor Distributors (Pty) Ltd and Others v Smit NO and Others</w:t>
      </w:r>
      <w:r w:rsidRPr="00027CFF">
        <w:rPr>
          <w:rFonts w:ascii="Arial" w:hAnsi="Arial" w:cs="Arial"/>
          <w:sz w:val="22"/>
          <w:szCs w:val="22"/>
        </w:rPr>
        <w:t> 2001 (1) SA 545 (CC) para 17 (</w:t>
      </w:r>
      <w:r w:rsidRPr="00027CFF">
        <w:rPr>
          <w:rFonts w:ascii="Arial" w:hAnsi="Arial" w:cs="Arial"/>
          <w:i/>
          <w:sz w:val="22"/>
          <w:szCs w:val="22"/>
        </w:rPr>
        <w:t>Hyundai</w:t>
      </w:r>
      <w:r w:rsidRPr="00027CFF">
        <w:rPr>
          <w:rFonts w:ascii="Arial" w:hAnsi="Arial" w:cs="Arial"/>
          <w:sz w:val="22"/>
          <w:szCs w:val="22"/>
        </w:rPr>
        <w:t>) where this Court held that reading-in is only permissible as a constitutional remedy after a successful constitutional attack on the statutory provision in question.</w:t>
      </w:r>
      <w:r w:rsidR="00F45E02" w:rsidRPr="00027CFF">
        <w:rPr>
          <w:rFonts w:ascii="Arial" w:hAnsi="Arial" w:cs="Arial"/>
          <w:sz w:val="22"/>
          <w:szCs w:val="22"/>
        </w:rPr>
        <w:t xml:space="preserve"> The only exception is reading-in under the common law as an interpretational tool, but then two strict requirements must be met.</w:t>
      </w:r>
      <w:r w:rsidR="00F45E02" w:rsidRPr="00027CFF">
        <w:rPr>
          <w:rFonts w:ascii="Arial" w:hAnsi="Arial" w:cs="Arial"/>
        </w:rPr>
        <w:t xml:space="preserve"> </w:t>
      </w:r>
      <w:r w:rsidR="00F45E02" w:rsidRPr="00027CFF">
        <w:rPr>
          <w:rFonts w:ascii="Arial" w:hAnsi="Arial" w:cs="Arial"/>
          <w:sz w:val="22"/>
          <w:szCs w:val="22"/>
        </w:rPr>
        <w:t xml:space="preserve">The </w:t>
      </w:r>
      <w:r w:rsidR="00F45E02" w:rsidRPr="00027CFF">
        <w:rPr>
          <w:rFonts w:ascii="Arial" w:hAnsi="Arial" w:cs="Arial"/>
          <w:i/>
          <w:sz w:val="22"/>
          <w:szCs w:val="22"/>
        </w:rPr>
        <w:t xml:space="preserve">locus </w:t>
      </w:r>
      <w:proofErr w:type="spellStart"/>
      <w:r w:rsidR="00F45E02" w:rsidRPr="00027CFF">
        <w:rPr>
          <w:rFonts w:ascii="Arial" w:hAnsi="Arial" w:cs="Arial"/>
          <w:i/>
          <w:sz w:val="22"/>
          <w:szCs w:val="22"/>
        </w:rPr>
        <w:t>classicus</w:t>
      </w:r>
      <w:proofErr w:type="spellEnd"/>
      <w:r w:rsidR="00F45E02" w:rsidRPr="00027CFF">
        <w:rPr>
          <w:rFonts w:ascii="Arial" w:hAnsi="Arial" w:cs="Arial"/>
        </w:rPr>
        <w:t xml:space="preserve"> </w:t>
      </w:r>
      <w:r w:rsidR="00F45E02" w:rsidRPr="00027CFF">
        <w:rPr>
          <w:rFonts w:ascii="Arial" w:hAnsi="Arial" w:cs="Arial"/>
          <w:sz w:val="22"/>
          <w:szCs w:val="22"/>
        </w:rPr>
        <w:t xml:space="preserve">governing common-law reading-in is </w:t>
      </w:r>
      <w:r w:rsidR="00F45E02" w:rsidRPr="00027CFF">
        <w:rPr>
          <w:rFonts w:ascii="Arial" w:hAnsi="Arial" w:cs="Arial"/>
          <w:i/>
          <w:iCs/>
          <w:sz w:val="22"/>
          <w:szCs w:val="22"/>
        </w:rPr>
        <w:t xml:space="preserve">Rennie NO v Gordon NNO </w:t>
      </w:r>
      <w:r w:rsidR="00F45E02" w:rsidRPr="00027CFF">
        <w:rPr>
          <w:rFonts w:ascii="Arial" w:hAnsi="Arial" w:cs="Arial"/>
          <w:sz w:val="22"/>
          <w:szCs w:val="22"/>
        </w:rPr>
        <w:t xml:space="preserve">1988 (1) SA 1 (A) at 22E-H.  It confirms that the test for reading-in as interpretative tool requires </w:t>
      </w:r>
      <w:r w:rsidR="00F45E02" w:rsidRPr="00027CFF">
        <w:rPr>
          <w:rFonts w:ascii="Arial" w:hAnsi="Arial" w:cs="Arial"/>
          <w:i/>
          <w:iCs/>
          <w:sz w:val="22"/>
          <w:szCs w:val="22"/>
        </w:rPr>
        <w:t xml:space="preserve">inter alia </w:t>
      </w:r>
      <w:r w:rsidR="00F45E02" w:rsidRPr="00027CFF">
        <w:rPr>
          <w:rFonts w:ascii="Arial" w:hAnsi="Arial" w:cs="Arial"/>
          <w:sz w:val="22"/>
          <w:szCs w:val="22"/>
        </w:rPr>
        <w:t xml:space="preserve">that the text to be read in must be “precise and obvious”, and that reading in such text is “necessary” to render the provision operative. Both instances of reading-in require judicial reserve, as </w:t>
      </w:r>
      <w:proofErr w:type="spellStart"/>
      <w:r w:rsidR="00F45E02" w:rsidRPr="00027CFF">
        <w:rPr>
          <w:rFonts w:ascii="Arial" w:hAnsi="Arial" w:cs="Arial"/>
          <w:sz w:val="22"/>
          <w:szCs w:val="22"/>
        </w:rPr>
        <w:t>O’Regan</w:t>
      </w:r>
      <w:proofErr w:type="spellEnd"/>
      <w:r w:rsidR="00F45E02" w:rsidRPr="00027CFF">
        <w:rPr>
          <w:rFonts w:ascii="Arial" w:hAnsi="Arial" w:cs="Arial"/>
          <w:sz w:val="22"/>
          <w:szCs w:val="22"/>
        </w:rPr>
        <w:t xml:space="preserve"> AJA explained in </w:t>
      </w:r>
      <w:r w:rsidR="00F45E02" w:rsidRPr="00027CFF">
        <w:rPr>
          <w:rFonts w:ascii="Arial" w:hAnsi="Arial" w:cs="Arial"/>
          <w:i/>
          <w:iCs/>
          <w:sz w:val="22"/>
          <w:szCs w:val="22"/>
        </w:rPr>
        <w:t xml:space="preserve">Chairperson, Council of the Municipality of Windhoek, and Others v Roland and Others </w:t>
      </w:r>
      <w:r w:rsidR="00F45E02" w:rsidRPr="00027CFF">
        <w:rPr>
          <w:rFonts w:ascii="Arial" w:hAnsi="Arial" w:cs="Arial"/>
          <w:sz w:val="22"/>
          <w:szCs w:val="22"/>
        </w:rPr>
        <w:t>2014 (1) NR 247 (SC) para 57: “</w:t>
      </w:r>
      <w:r w:rsidR="00F45E02" w:rsidRPr="00027CFF">
        <w:rPr>
          <w:rFonts w:ascii="Arial" w:hAnsi="Arial" w:cs="Arial"/>
          <w:i/>
          <w:iCs/>
          <w:sz w:val="22"/>
          <w:szCs w:val="22"/>
        </w:rPr>
        <w:t>[w]</w:t>
      </w:r>
      <w:proofErr w:type="spellStart"/>
      <w:r w:rsidR="00F45E02" w:rsidRPr="00027CFF">
        <w:rPr>
          <w:rFonts w:ascii="Arial" w:hAnsi="Arial" w:cs="Arial"/>
          <w:i/>
          <w:iCs/>
          <w:sz w:val="22"/>
          <w:szCs w:val="22"/>
        </w:rPr>
        <w:t>hether</w:t>
      </w:r>
      <w:proofErr w:type="spellEnd"/>
      <w:r w:rsidR="00F45E02" w:rsidRPr="00027CFF">
        <w:rPr>
          <w:rFonts w:ascii="Arial" w:hAnsi="Arial" w:cs="Arial"/>
          <w:i/>
          <w:iCs/>
          <w:sz w:val="22"/>
          <w:szCs w:val="22"/>
        </w:rPr>
        <w:t xml:space="preserve"> ‘reading in’ is used as a tool of interpretation or as a constitutional remedy, a court should take care to avoid usurping the legitimate role of the legislature</w:t>
      </w:r>
      <w:r w:rsidR="00F45E02" w:rsidRPr="00027CFF">
        <w:rPr>
          <w:rFonts w:ascii="Arial" w:hAnsi="Arial" w:cs="Arial"/>
          <w:sz w:val="22"/>
          <w:szCs w:val="22"/>
        </w:rPr>
        <w:t>.”</w:t>
      </w:r>
    </w:p>
  </w:footnote>
  <w:footnote w:id="77">
    <w:p w14:paraId="0609E36D" w14:textId="17C221AE"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rPr>
        <w:t>Hyundai</w:t>
      </w:r>
      <w:r w:rsidRPr="00027CFF">
        <w:rPr>
          <w:rFonts w:ascii="Arial" w:hAnsi="Arial" w:cs="Arial"/>
          <w:sz w:val="22"/>
          <w:szCs w:val="22"/>
        </w:rPr>
        <w:t>, para 24.</w:t>
      </w:r>
    </w:p>
  </w:footnote>
  <w:footnote w:id="78">
    <w:p w14:paraId="030A55C0" w14:textId="0D92C018"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rPr>
        <w:t>Hyundai</w:t>
      </w:r>
      <w:r w:rsidRPr="00027CFF">
        <w:rPr>
          <w:rFonts w:ascii="Arial" w:hAnsi="Arial" w:cs="Arial"/>
          <w:sz w:val="22"/>
          <w:szCs w:val="22"/>
        </w:rPr>
        <w:t>, para 24.</w:t>
      </w:r>
    </w:p>
  </w:footnote>
  <w:footnote w:id="79">
    <w:p w14:paraId="025E51D4" w14:textId="51E00ED1"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rPr>
        <w:t>Hyundai</w:t>
      </w:r>
      <w:r w:rsidRPr="00027CFF">
        <w:rPr>
          <w:rFonts w:ascii="Arial" w:hAnsi="Arial" w:cs="Arial"/>
          <w:sz w:val="22"/>
          <w:szCs w:val="22"/>
        </w:rPr>
        <w:t>, para 24.</w:t>
      </w:r>
    </w:p>
  </w:footnote>
  <w:footnote w:id="80">
    <w:p w14:paraId="574A2844" w14:textId="0A14DE54" w:rsidR="004E3C0D" w:rsidRPr="00027CFF" w:rsidRDefault="004E3C0D" w:rsidP="003A218D">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rPr>
        <w:t>Hyundai</w:t>
      </w:r>
      <w:r w:rsidRPr="00027CFF">
        <w:rPr>
          <w:rFonts w:ascii="Arial" w:hAnsi="Arial" w:cs="Arial"/>
          <w:iCs/>
          <w:sz w:val="22"/>
          <w:szCs w:val="22"/>
        </w:rPr>
        <w:t>,</w:t>
      </w:r>
      <w:r w:rsidRPr="00027CFF">
        <w:rPr>
          <w:rFonts w:ascii="Arial" w:hAnsi="Arial" w:cs="Arial"/>
          <w:i/>
          <w:sz w:val="22"/>
          <w:szCs w:val="22"/>
        </w:rPr>
        <w:t xml:space="preserve"> </w:t>
      </w:r>
      <w:r w:rsidRPr="00027CFF">
        <w:rPr>
          <w:rFonts w:ascii="Arial" w:hAnsi="Arial" w:cs="Arial"/>
          <w:sz w:val="22"/>
          <w:szCs w:val="22"/>
        </w:rPr>
        <w:t>para 17.</w:t>
      </w:r>
    </w:p>
  </w:footnote>
  <w:footnote w:id="81">
    <w:p w14:paraId="09113771" w14:textId="2741A34D"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We note that s</w:t>
      </w:r>
      <w:proofErr w:type="spellStart"/>
      <w:r w:rsidRPr="00027CFF">
        <w:rPr>
          <w:rFonts w:ascii="Arial" w:hAnsi="Arial" w:cs="Arial"/>
          <w:sz w:val="22"/>
          <w:szCs w:val="22"/>
          <w:lang w:val="en-US"/>
        </w:rPr>
        <w:t>ection</w:t>
      </w:r>
      <w:proofErr w:type="spellEnd"/>
      <w:r w:rsidRPr="00027CFF">
        <w:rPr>
          <w:rFonts w:ascii="Arial" w:hAnsi="Arial" w:cs="Arial"/>
          <w:sz w:val="22"/>
          <w:szCs w:val="22"/>
          <w:lang w:val="en-US"/>
        </w:rPr>
        <w:t xml:space="preserve"> 34 of the Constitution protects not only the rights of the Commission to refer a complaint to the Tribunal, but also the right of respondent firms to a fair hearing (see </w:t>
      </w:r>
      <w:r w:rsidRPr="00027CFF">
        <w:rPr>
          <w:rFonts w:ascii="Arial" w:hAnsi="Arial" w:cs="Arial"/>
          <w:i/>
          <w:iCs/>
          <w:sz w:val="22"/>
          <w:szCs w:val="22"/>
          <w:lang w:val="en-US"/>
        </w:rPr>
        <w:t xml:space="preserve">De Beer NO v North-Central Local Council and South-Central Local Council </w:t>
      </w:r>
      <w:r w:rsidRPr="00027CFF">
        <w:rPr>
          <w:rFonts w:ascii="Arial" w:hAnsi="Arial" w:cs="Arial"/>
          <w:sz w:val="22"/>
          <w:szCs w:val="22"/>
          <w:lang w:val="en-US"/>
        </w:rPr>
        <w:t xml:space="preserve">2002 (1) SA 429 (CC) para 11). Respondents will not have a fair hearing if it is based on the investigation of conduct which occurred so far in the past that they are unable to access the evidence which they need to respond to a complaint. In </w:t>
      </w:r>
      <w:r w:rsidRPr="00027CFF">
        <w:rPr>
          <w:rFonts w:ascii="Arial" w:hAnsi="Arial" w:cs="Arial"/>
          <w:i/>
          <w:iCs/>
          <w:sz w:val="22"/>
          <w:szCs w:val="22"/>
          <w:lang w:val="en-US"/>
        </w:rPr>
        <w:t xml:space="preserve">Food and Allied Workers Union obo </w:t>
      </w:r>
      <w:proofErr w:type="spellStart"/>
      <w:r w:rsidRPr="00027CFF">
        <w:rPr>
          <w:rFonts w:ascii="Arial" w:hAnsi="Arial" w:cs="Arial"/>
          <w:i/>
          <w:iCs/>
          <w:sz w:val="22"/>
          <w:szCs w:val="22"/>
          <w:lang w:val="en-US"/>
        </w:rPr>
        <w:t>Gaoshubelwe</w:t>
      </w:r>
      <w:proofErr w:type="spellEnd"/>
      <w:r w:rsidRPr="00027CFF">
        <w:rPr>
          <w:rFonts w:ascii="Arial" w:hAnsi="Arial" w:cs="Arial"/>
          <w:i/>
          <w:iCs/>
          <w:sz w:val="22"/>
          <w:szCs w:val="22"/>
          <w:lang w:val="en-US"/>
        </w:rPr>
        <w:t xml:space="preserve"> v </w:t>
      </w:r>
      <w:proofErr w:type="spellStart"/>
      <w:r w:rsidRPr="00027CFF">
        <w:rPr>
          <w:rFonts w:ascii="Arial" w:hAnsi="Arial" w:cs="Arial"/>
          <w:i/>
          <w:iCs/>
          <w:sz w:val="22"/>
          <w:szCs w:val="22"/>
          <w:lang w:val="en-US"/>
        </w:rPr>
        <w:t>Pieman’s</w:t>
      </w:r>
      <w:proofErr w:type="spellEnd"/>
      <w:r w:rsidRPr="00027CFF">
        <w:rPr>
          <w:rFonts w:ascii="Arial" w:hAnsi="Arial" w:cs="Arial"/>
          <w:i/>
          <w:iCs/>
          <w:sz w:val="22"/>
          <w:szCs w:val="22"/>
          <w:lang w:val="en-US"/>
        </w:rPr>
        <w:t xml:space="preserve"> Pantry (Pty) Limited </w:t>
      </w:r>
      <w:r w:rsidRPr="00027CFF">
        <w:rPr>
          <w:rFonts w:ascii="Arial" w:hAnsi="Arial" w:cs="Arial"/>
          <w:sz w:val="22"/>
          <w:szCs w:val="22"/>
          <w:lang w:val="en-US"/>
        </w:rPr>
        <w:t>2018 (5) BCLR 527 (CC) (</w:t>
      </w:r>
      <w:r w:rsidRPr="00027CFF">
        <w:rPr>
          <w:rFonts w:ascii="Arial" w:hAnsi="Arial" w:cs="Arial"/>
          <w:i/>
          <w:iCs/>
          <w:sz w:val="22"/>
          <w:szCs w:val="22"/>
          <w:lang w:val="en-US"/>
        </w:rPr>
        <w:t>FAWU</w:t>
      </w:r>
      <w:r w:rsidRPr="00027CFF">
        <w:rPr>
          <w:rFonts w:ascii="Arial" w:hAnsi="Arial" w:cs="Arial"/>
          <w:sz w:val="22"/>
          <w:szCs w:val="22"/>
          <w:lang w:val="en-US"/>
        </w:rPr>
        <w:t>) para 149, a majority of this Court accepted that “</w:t>
      </w:r>
      <w:r w:rsidRPr="00027CFF">
        <w:rPr>
          <w:rFonts w:ascii="Arial" w:hAnsi="Arial" w:cs="Arial"/>
          <w:i/>
          <w:iCs/>
          <w:sz w:val="22"/>
          <w:szCs w:val="22"/>
          <w:lang w:val="en-US"/>
        </w:rPr>
        <w:t>time periods are equally consistent with the imperatives of the Constitution and in particular section 34</w:t>
      </w:r>
      <w:r w:rsidRPr="00027CFF">
        <w:rPr>
          <w:rFonts w:ascii="Arial" w:hAnsi="Arial" w:cs="Arial"/>
          <w:sz w:val="22"/>
          <w:szCs w:val="22"/>
          <w:lang w:val="en-US"/>
        </w:rPr>
        <w:t xml:space="preserve">”. </w:t>
      </w:r>
    </w:p>
  </w:footnote>
  <w:footnote w:id="82">
    <w:p w14:paraId="0DE916E1" w14:textId="03ACC6B8"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The application of section </w:t>
      </w:r>
      <w:r w:rsidRPr="00027CFF">
        <w:rPr>
          <w:rFonts w:ascii="Arial" w:hAnsi="Arial" w:cs="Arial"/>
          <w:sz w:val="22"/>
          <w:szCs w:val="22"/>
          <w:lang w:val="en-US"/>
        </w:rPr>
        <w:t xml:space="preserve">16(1) of the Prescription Act was the pertinent issue in </w:t>
      </w:r>
      <w:r w:rsidRPr="00027CFF">
        <w:rPr>
          <w:rFonts w:ascii="Arial" w:hAnsi="Arial" w:cs="Arial"/>
          <w:i/>
          <w:iCs/>
          <w:sz w:val="22"/>
          <w:szCs w:val="22"/>
          <w:lang w:val="en-US"/>
        </w:rPr>
        <w:t>Mdeyide</w:t>
      </w:r>
      <w:r w:rsidRPr="00027CFF">
        <w:rPr>
          <w:rFonts w:ascii="Arial" w:hAnsi="Arial" w:cs="Arial"/>
          <w:sz w:val="22"/>
          <w:szCs w:val="22"/>
          <w:lang w:val="en-US"/>
        </w:rPr>
        <w:t xml:space="preserve"> and </w:t>
      </w:r>
      <w:r w:rsidRPr="00027CFF">
        <w:rPr>
          <w:rFonts w:ascii="Arial" w:hAnsi="Arial" w:cs="Arial"/>
          <w:i/>
          <w:iCs/>
          <w:sz w:val="22"/>
          <w:szCs w:val="22"/>
          <w:lang w:val="en-US"/>
        </w:rPr>
        <w:t>FAWU.</w:t>
      </w:r>
    </w:p>
  </w:footnote>
  <w:footnote w:id="83">
    <w:p w14:paraId="557C3C21" w14:textId="77777777"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Emphasis added.</w:t>
      </w:r>
    </w:p>
  </w:footnote>
  <w:footnote w:id="84">
    <w:p w14:paraId="0DDECA29" w14:textId="14B31D06"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rPr>
        <w:t>FAWU</w:t>
      </w:r>
      <w:r w:rsidRPr="00027CFF">
        <w:rPr>
          <w:rFonts w:ascii="Arial" w:hAnsi="Arial" w:cs="Arial"/>
          <w:sz w:val="22"/>
          <w:szCs w:val="22"/>
        </w:rPr>
        <w:t xml:space="preserve">, para 71 with reference to </w:t>
      </w:r>
      <w:r w:rsidRPr="00027CFF">
        <w:rPr>
          <w:rFonts w:ascii="Arial" w:hAnsi="Arial" w:cs="Arial"/>
          <w:i/>
          <w:iCs/>
          <w:sz w:val="22"/>
          <w:szCs w:val="22"/>
        </w:rPr>
        <w:t xml:space="preserve">Truter v </w:t>
      </w:r>
      <w:proofErr w:type="spellStart"/>
      <w:r w:rsidRPr="00027CFF">
        <w:rPr>
          <w:rFonts w:ascii="Arial" w:hAnsi="Arial" w:cs="Arial"/>
          <w:i/>
          <w:iCs/>
          <w:sz w:val="22"/>
          <w:szCs w:val="22"/>
        </w:rPr>
        <w:t>Deysel</w:t>
      </w:r>
      <w:proofErr w:type="spellEnd"/>
      <w:r w:rsidRPr="00027CFF">
        <w:rPr>
          <w:rFonts w:ascii="Arial" w:hAnsi="Arial" w:cs="Arial"/>
          <w:sz w:val="22"/>
          <w:szCs w:val="22"/>
        </w:rPr>
        <w:t xml:space="preserve"> 2006 (4) SA 168 (SCA) para 16.</w:t>
      </w:r>
    </w:p>
  </w:footnote>
  <w:footnote w:id="85">
    <w:p w14:paraId="0A52FC0C" w14:textId="05A1C0DE"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iCs/>
          <w:sz w:val="22"/>
          <w:szCs w:val="22"/>
          <w:lang w:val="en-US"/>
        </w:rPr>
        <w:t>FAWU</w:t>
      </w:r>
      <w:r w:rsidRPr="00027CFF">
        <w:rPr>
          <w:rFonts w:ascii="Arial" w:hAnsi="Arial" w:cs="Arial"/>
          <w:sz w:val="22"/>
          <w:szCs w:val="22"/>
          <w:lang w:val="en-US"/>
        </w:rPr>
        <w:t>, para 71</w:t>
      </w:r>
      <w:r w:rsidR="007D7744" w:rsidRPr="00027CFF">
        <w:rPr>
          <w:rFonts w:ascii="Arial" w:hAnsi="Arial" w:cs="Arial"/>
          <w:sz w:val="22"/>
          <w:szCs w:val="22"/>
          <w:lang w:val="en-US"/>
        </w:rPr>
        <w:t>.</w:t>
      </w:r>
    </w:p>
  </w:footnote>
  <w:footnote w:id="86">
    <w:p w14:paraId="24B4CE88" w14:textId="193C99D4" w:rsidR="007D7744" w:rsidRPr="002C4A7F" w:rsidRDefault="007D7744" w:rsidP="002C4A7F">
      <w:pPr>
        <w:spacing w:line="240" w:lineRule="auto"/>
        <w:jc w:val="both"/>
        <w:rPr>
          <w:rFonts w:ascii="Arial" w:hAnsi="Arial" w:cs="Arial"/>
        </w:rPr>
      </w:pPr>
      <w:r w:rsidRPr="00027CFF">
        <w:rPr>
          <w:rStyle w:val="FootnoteReference"/>
          <w:rFonts w:ascii="Arial" w:hAnsi="Arial" w:cs="Arial"/>
        </w:rPr>
        <w:footnoteRef/>
      </w:r>
      <w:r w:rsidRPr="00027CFF">
        <w:rPr>
          <w:rFonts w:ascii="Arial" w:hAnsi="Arial" w:cs="Arial"/>
        </w:rPr>
        <w:t xml:space="preserve"> </w:t>
      </w:r>
      <w:r w:rsidRPr="00027CFF">
        <w:rPr>
          <w:rFonts w:ascii="Arial" w:hAnsi="Arial" w:cs="Arial"/>
          <w:lang w:val="en-US"/>
        </w:rPr>
        <w:t xml:space="preserve">In </w:t>
      </w:r>
      <w:proofErr w:type="spellStart"/>
      <w:r w:rsidRPr="00027CFF">
        <w:rPr>
          <w:rFonts w:ascii="Arial" w:hAnsi="Arial" w:cs="Arial"/>
          <w:i/>
          <w:lang w:val="en-US"/>
        </w:rPr>
        <w:t>Makate</w:t>
      </w:r>
      <w:proofErr w:type="spellEnd"/>
      <w:r w:rsidRPr="00027CFF">
        <w:rPr>
          <w:rFonts w:ascii="Arial" w:hAnsi="Arial" w:cs="Arial"/>
          <w:lang w:val="en-US"/>
        </w:rPr>
        <w:t xml:space="preserve"> this Court noted that</w:t>
      </w:r>
      <w:r w:rsidR="00F65A59" w:rsidRPr="00027CFF">
        <w:rPr>
          <w:rFonts w:ascii="Arial" w:hAnsi="Arial" w:cs="Arial"/>
          <w:lang w:val="en-US"/>
        </w:rPr>
        <w:t xml:space="preserve"> </w:t>
      </w:r>
      <w:r w:rsidR="00F65A59" w:rsidRPr="00027CFF">
        <w:rPr>
          <w:rFonts w:ascii="Arial" w:hAnsi="Arial" w:cs="Arial"/>
          <w:shd w:val="clear" w:color="auto" w:fill="FFFFFF"/>
        </w:rPr>
        <w:t xml:space="preserve">the meaning to be ascribed to the word “debt” in the Prescription Act has implications for the right of access to courts, as a wide meaning would result in greater inroads into the right of access to courts as it would broaden the base of the application of the extinctive provisions of the Prescription </w:t>
      </w:r>
      <w:proofErr w:type="spellStart"/>
      <w:r w:rsidR="00F65A59" w:rsidRPr="00027CFF">
        <w:rPr>
          <w:rFonts w:ascii="Arial" w:hAnsi="Arial" w:cs="Arial"/>
          <w:shd w:val="clear" w:color="auto" w:fill="FFFFFF"/>
        </w:rPr>
        <w:t>Act.The</w:t>
      </w:r>
      <w:proofErr w:type="spellEnd"/>
      <w:r w:rsidR="00F65A59" w:rsidRPr="00027CFF">
        <w:rPr>
          <w:rFonts w:ascii="Arial" w:hAnsi="Arial" w:cs="Arial"/>
          <w:shd w:val="clear" w:color="auto" w:fill="FFFFFF"/>
        </w:rPr>
        <w:t xml:space="preserve"> Court concluded that a narrower meaning would be more in accord with the dictates of the Constitution in creating the necessary space for the assertion of rights and would also be consistent with the provisions of section 39(2) of the Bill of Rights </w:t>
      </w:r>
      <w:r w:rsidRPr="00027CFF">
        <w:rPr>
          <w:rFonts w:ascii="Arial" w:hAnsi="Arial" w:cs="Arial"/>
          <w:lang w:val="en-US"/>
        </w:rPr>
        <w:t xml:space="preserve">and held that the word </w:t>
      </w:r>
      <w:r w:rsidR="00F65A59" w:rsidRPr="00027CFF">
        <w:rPr>
          <w:rFonts w:ascii="Arial" w:hAnsi="Arial" w:cs="Arial"/>
          <w:lang w:val="en-US"/>
        </w:rPr>
        <w:t>should be given the following meaning</w:t>
      </w:r>
      <w:r w:rsidRPr="00027CFF">
        <w:rPr>
          <w:rFonts w:ascii="Arial" w:hAnsi="Arial" w:cs="Arial"/>
          <w:lang w:val="en-US"/>
        </w:rPr>
        <w:t xml:space="preserve">: </w:t>
      </w:r>
      <w:r w:rsidRPr="00027CFF">
        <w:rPr>
          <w:rFonts w:ascii="Arial" w:hAnsi="Arial" w:cs="Arial"/>
        </w:rPr>
        <w:t>“1.Something owed or due: something (as money, goods or service) which one person is under an obligation to pay or render to another.</w:t>
      </w:r>
      <w:r w:rsidR="00F65A59" w:rsidRPr="00027CFF">
        <w:rPr>
          <w:rFonts w:ascii="Arial" w:hAnsi="Arial" w:cs="Arial"/>
        </w:rPr>
        <w:t xml:space="preserve"> </w:t>
      </w:r>
      <w:r w:rsidRPr="00027CFF">
        <w:rPr>
          <w:rFonts w:ascii="Arial" w:hAnsi="Arial" w:cs="Arial"/>
        </w:rPr>
        <w:t>2</w:t>
      </w:r>
      <w:r w:rsidR="00F65A59" w:rsidRPr="00027CFF">
        <w:rPr>
          <w:rFonts w:ascii="Arial" w:hAnsi="Arial" w:cs="Arial"/>
        </w:rPr>
        <w:t>.</w:t>
      </w:r>
      <w:r w:rsidRPr="00027CFF">
        <w:rPr>
          <w:rFonts w:ascii="Arial" w:hAnsi="Arial" w:cs="Arial"/>
        </w:rPr>
        <w:t>A liability or obligation to pay or render something; the condition of being so obligated”</w:t>
      </w:r>
      <w:r w:rsidR="00F65A59" w:rsidRPr="00027CFF">
        <w:rPr>
          <w:rFonts w:ascii="Arial" w:hAnsi="Arial" w:cs="Arial"/>
        </w:rPr>
        <w:t xml:space="preserve"> (</w:t>
      </w:r>
      <w:proofErr w:type="spellStart"/>
      <w:r w:rsidR="00F65A59" w:rsidRPr="00027CFF">
        <w:rPr>
          <w:rFonts w:ascii="Arial" w:hAnsi="Arial" w:cs="Arial"/>
          <w:i/>
        </w:rPr>
        <w:t>Makate</w:t>
      </w:r>
      <w:proofErr w:type="spellEnd"/>
      <w:r w:rsidR="00F65A59" w:rsidRPr="00027CFF">
        <w:rPr>
          <w:rFonts w:ascii="Arial" w:hAnsi="Arial" w:cs="Arial"/>
          <w:i/>
        </w:rPr>
        <w:t xml:space="preserve">, </w:t>
      </w:r>
      <w:r w:rsidR="00F65A59" w:rsidRPr="00027CFF">
        <w:rPr>
          <w:rFonts w:ascii="Arial" w:hAnsi="Arial" w:cs="Arial"/>
        </w:rPr>
        <w:t>paras 84</w:t>
      </w:r>
      <w:r w:rsidR="002C4A7F">
        <w:rPr>
          <w:rFonts w:ascii="Arial" w:hAnsi="Arial" w:cs="Arial"/>
        </w:rPr>
        <w:t>,</w:t>
      </w:r>
      <w:r w:rsidR="00F65A59" w:rsidRPr="00027CFF">
        <w:rPr>
          <w:rFonts w:ascii="Arial" w:hAnsi="Arial" w:cs="Arial"/>
        </w:rPr>
        <w:t xml:space="preserve"> 87</w:t>
      </w:r>
      <w:r w:rsidR="002C4A7F">
        <w:rPr>
          <w:rFonts w:ascii="Arial" w:hAnsi="Arial" w:cs="Arial"/>
        </w:rPr>
        <w:t xml:space="preserve"> to </w:t>
      </w:r>
      <w:r w:rsidR="00F65A59" w:rsidRPr="00027CFF">
        <w:rPr>
          <w:rFonts w:ascii="Arial" w:hAnsi="Arial" w:cs="Arial"/>
        </w:rPr>
        <w:t>93).</w:t>
      </w:r>
    </w:p>
  </w:footnote>
  <w:footnote w:id="87">
    <w:p w14:paraId="56FC4A5C" w14:textId="35BC2FEA" w:rsidR="004E3C0D" w:rsidRPr="00027CFF" w:rsidRDefault="004E3C0D" w:rsidP="003A218D">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By way of example, in the case of an overarching agreement to collude on tender prices, followed by individual instances of collusion, the material facts for the prosecution of a complaint in respect of the prohibited practice in section 4(2)(b)(iii) would be in place on the date on which the overarching agreement is reached, and the “</w:t>
      </w:r>
      <w:r w:rsidRPr="00027CFF">
        <w:rPr>
          <w:rFonts w:ascii="Arial" w:hAnsi="Arial" w:cs="Arial"/>
          <w:i/>
          <w:iCs/>
          <w:sz w:val="22"/>
          <w:szCs w:val="22"/>
        </w:rPr>
        <w:t>debt</w:t>
      </w:r>
      <w:r w:rsidRPr="00027CFF">
        <w:rPr>
          <w:rFonts w:ascii="Arial" w:hAnsi="Arial" w:cs="Arial"/>
          <w:sz w:val="22"/>
          <w:szCs w:val="22"/>
        </w:rPr>
        <w:t>” would be due on that date. Prescription under the Prescription Act would begin to run on that date (subject to the Commission’s knowledge) and would be completed three years later. The prohibited practice would only “</w:t>
      </w:r>
      <w:r w:rsidRPr="00027CFF">
        <w:rPr>
          <w:rFonts w:ascii="Arial" w:hAnsi="Arial" w:cs="Arial"/>
          <w:i/>
          <w:iCs/>
          <w:sz w:val="22"/>
          <w:szCs w:val="22"/>
        </w:rPr>
        <w:t>cease</w:t>
      </w:r>
      <w:r w:rsidRPr="00027CFF">
        <w:rPr>
          <w:rFonts w:ascii="Arial" w:hAnsi="Arial" w:cs="Arial"/>
          <w:sz w:val="22"/>
          <w:szCs w:val="22"/>
        </w:rPr>
        <w:t>” (as contemplated in section 67(1)) when the last payment was made by a customer in terms of a collusion under the overarching agreement, which might be a later date than the date on which the debt became due.</w:t>
      </w:r>
    </w:p>
  </w:footnote>
  <w:footnote w:id="88">
    <w:p w14:paraId="487C615D" w14:textId="5BA26D26" w:rsidR="004E3C0D" w:rsidRPr="00027CFF" w:rsidRDefault="004E3C0D" w:rsidP="003A218D">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See </w:t>
      </w:r>
      <w:r w:rsidRPr="00027CFF">
        <w:rPr>
          <w:rFonts w:ascii="Arial" w:hAnsi="Arial" w:cs="Arial"/>
          <w:i/>
          <w:sz w:val="22"/>
          <w:szCs w:val="22"/>
        </w:rPr>
        <w:t xml:space="preserve">S v A </w:t>
      </w:r>
      <w:r w:rsidRPr="00027CFF">
        <w:rPr>
          <w:rFonts w:ascii="Arial" w:hAnsi="Arial" w:cs="Arial"/>
          <w:sz w:val="22"/>
          <w:szCs w:val="22"/>
        </w:rPr>
        <w:t>1995 (2) BCLR 153 (C).</w:t>
      </w:r>
    </w:p>
  </w:footnote>
  <w:footnote w:id="89">
    <w:p w14:paraId="4885C3E6" w14:textId="2ADC579A" w:rsidR="004E3C0D" w:rsidRPr="00027CFF" w:rsidRDefault="004E3C0D" w:rsidP="007A4983">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The requirements for condonation are well-established, as is the requirement that a compelling case be made out. See, for example, </w:t>
      </w:r>
      <w:r w:rsidRPr="00027CFF">
        <w:rPr>
          <w:rFonts w:ascii="Arial" w:hAnsi="Arial" w:cs="Arial"/>
          <w:i/>
          <w:sz w:val="22"/>
          <w:szCs w:val="22"/>
        </w:rPr>
        <w:t xml:space="preserve">Buffalo City Metropolitan Municipality v </w:t>
      </w:r>
      <w:proofErr w:type="spellStart"/>
      <w:r w:rsidRPr="00027CFF">
        <w:rPr>
          <w:rFonts w:ascii="Arial" w:hAnsi="Arial" w:cs="Arial"/>
          <w:i/>
          <w:sz w:val="22"/>
          <w:szCs w:val="22"/>
        </w:rPr>
        <w:t>Asla</w:t>
      </w:r>
      <w:proofErr w:type="spellEnd"/>
      <w:r w:rsidRPr="00027CFF">
        <w:rPr>
          <w:rFonts w:ascii="Arial" w:hAnsi="Arial" w:cs="Arial"/>
          <w:i/>
          <w:sz w:val="22"/>
          <w:szCs w:val="22"/>
        </w:rPr>
        <w:t xml:space="preserve"> Construction </w:t>
      </w:r>
      <w:r w:rsidRPr="00027CFF">
        <w:rPr>
          <w:rFonts w:ascii="Arial" w:hAnsi="Arial" w:cs="Arial"/>
          <w:iCs/>
          <w:sz w:val="22"/>
          <w:szCs w:val="22"/>
        </w:rPr>
        <w:t>2019 (4) SA 331 (CC), in which this Court most recently confirmed that</w:t>
      </w:r>
      <w:r w:rsidRPr="00027CFF">
        <w:rPr>
          <w:rFonts w:ascii="Arial" w:hAnsi="Arial" w:cs="Arial"/>
          <w:i/>
          <w:sz w:val="22"/>
          <w:szCs w:val="22"/>
        </w:rPr>
        <w:t xml:space="preserve"> </w:t>
      </w:r>
      <w:r w:rsidRPr="00027CFF">
        <w:rPr>
          <w:rFonts w:ascii="Arial" w:hAnsi="Arial" w:cs="Arial"/>
          <w:iCs/>
          <w:sz w:val="22"/>
          <w:szCs w:val="22"/>
        </w:rPr>
        <w:t xml:space="preserve">a litigant seeking </w:t>
      </w:r>
      <w:r w:rsidRPr="00027CFF">
        <w:rPr>
          <w:rFonts w:ascii="Arial" w:hAnsi="Arial" w:cs="Arial"/>
          <w:sz w:val="22"/>
          <w:szCs w:val="22"/>
        </w:rPr>
        <w:t>condonation is required to provide a full explanation covering the entire period of the delay (para 52); must also acquit itself of the onus to establish that the delay was not undue, and “</w:t>
      </w:r>
      <w:r w:rsidRPr="00027CFF">
        <w:rPr>
          <w:rFonts w:ascii="Arial" w:hAnsi="Arial" w:cs="Arial"/>
          <w:i/>
          <w:iCs/>
          <w:sz w:val="22"/>
          <w:szCs w:val="22"/>
        </w:rPr>
        <w:t>put forward all facts at its disposal</w:t>
      </w:r>
      <w:r w:rsidRPr="00027CFF">
        <w:rPr>
          <w:rFonts w:ascii="Arial" w:hAnsi="Arial" w:cs="Arial"/>
          <w:sz w:val="22"/>
          <w:szCs w:val="22"/>
        </w:rPr>
        <w:t>” (para 79); and must further, if it is an organ of State “be held to a rigorous standard”, “</w:t>
      </w:r>
      <w:r w:rsidRPr="00027CFF">
        <w:rPr>
          <w:rFonts w:ascii="Arial" w:hAnsi="Arial" w:cs="Arial"/>
          <w:i/>
          <w:iCs/>
          <w:sz w:val="22"/>
          <w:szCs w:val="22"/>
        </w:rPr>
        <w:t>take the Court into its confidence</w:t>
      </w:r>
      <w:r w:rsidRPr="00027CFF">
        <w:rPr>
          <w:rFonts w:ascii="Arial" w:hAnsi="Arial" w:cs="Arial"/>
          <w:sz w:val="22"/>
          <w:szCs w:val="22"/>
        </w:rPr>
        <w:t>”, and is “</w:t>
      </w:r>
      <w:r w:rsidRPr="00027CFF">
        <w:rPr>
          <w:rFonts w:ascii="Arial" w:hAnsi="Arial" w:cs="Arial"/>
          <w:i/>
          <w:iCs/>
          <w:sz w:val="22"/>
          <w:szCs w:val="22"/>
        </w:rPr>
        <w:t>subject to a higher duty to respect the law</w:t>
      </w:r>
      <w:r w:rsidRPr="00027CFF">
        <w:rPr>
          <w:rFonts w:ascii="Arial" w:hAnsi="Arial" w:cs="Arial"/>
          <w:sz w:val="22"/>
          <w:szCs w:val="22"/>
        </w:rPr>
        <w:t>” (para 79).</w:t>
      </w:r>
    </w:p>
  </w:footnote>
  <w:footnote w:id="90">
    <w:p w14:paraId="7A736C7D" w14:textId="281B0D1C" w:rsidR="004E3C0D" w:rsidRPr="00027CFF" w:rsidRDefault="004E3C0D" w:rsidP="003643CC">
      <w:pPr>
        <w:pStyle w:val="FootnoteText"/>
        <w:jc w:val="both"/>
        <w:rPr>
          <w:rFonts w:ascii="Arial" w:hAnsi="Arial" w:cs="Arial"/>
          <w:sz w:val="22"/>
          <w:szCs w:val="22"/>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i/>
          <w:sz w:val="22"/>
          <w:szCs w:val="22"/>
        </w:rPr>
        <w:t xml:space="preserve">Ferreira v Levin NO; </w:t>
      </w:r>
      <w:proofErr w:type="spellStart"/>
      <w:r w:rsidRPr="00027CFF">
        <w:rPr>
          <w:rFonts w:ascii="Arial" w:hAnsi="Arial" w:cs="Arial"/>
          <w:i/>
          <w:sz w:val="22"/>
          <w:szCs w:val="22"/>
        </w:rPr>
        <w:t>Vryenhoek</w:t>
      </w:r>
      <w:proofErr w:type="spellEnd"/>
      <w:r w:rsidRPr="00027CFF">
        <w:rPr>
          <w:rFonts w:ascii="Arial" w:hAnsi="Arial" w:cs="Arial"/>
          <w:i/>
          <w:sz w:val="22"/>
          <w:szCs w:val="22"/>
        </w:rPr>
        <w:t xml:space="preserve"> v Powell NO </w:t>
      </w:r>
      <w:r w:rsidRPr="00027CFF">
        <w:rPr>
          <w:rFonts w:ascii="Arial" w:hAnsi="Arial" w:cs="Arial"/>
          <w:sz w:val="22"/>
          <w:szCs w:val="22"/>
        </w:rPr>
        <w:t xml:space="preserve">1996 (1) SA 984 (CC) para 199. See also </w:t>
      </w:r>
      <w:r w:rsidRPr="00027CFF">
        <w:rPr>
          <w:rFonts w:ascii="Arial" w:hAnsi="Arial" w:cs="Arial"/>
          <w:i/>
          <w:sz w:val="22"/>
          <w:szCs w:val="22"/>
        </w:rPr>
        <w:t>Clear Enterprises (Pty) Ltd v Commission for the South African Revenue Services and Others</w:t>
      </w:r>
      <w:r w:rsidRPr="00027CFF">
        <w:rPr>
          <w:rFonts w:ascii="Arial" w:hAnsi="Arial" w:cs="Arial"/>
          <w:sz w:val="22"/>
          <w:szCs w:val="22"/>
        </w:rPr>
        <w:t xml:space="preserve"> [2011] ZASCA 164 paras 12 to 19.</w:t>
      </w:r>
    </w:p>
  </w:footnote>
  <w:footnote w:id="91">
    <w:p w14:paraId="4EDA2156" w14:textId="13393FD2"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Commission’s Heads of Argument, para 31.</w:t>
      </w:r>
    </w:p>
  </w:footnote>
  <w:footnote w:id="92">
    <w:p w14:paraId="648303B1" w14:textId="1872A27E"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 xml:space="preserve">See </w:t>
      </w:r>
      <w:proofErr w:type="spellStart"/>
      <w:r w:rsidRPr="00027CFF">
        <w:rPr>
          <w:rFonts w:ascii="Arial" w:hAnsi="Arial" w:cs="Arial"/>
          <w:i/>
          <w:iCs/>
          <w:sz w:val="22"/>
          <w:szCs w:val="22"/>
          <w:lang w:val="en-US"/>
        </w:rPr>
        <w:t>Loungefoam</w:t>
      </w:r>
      <w:proofErr w:type="spellEnd"/>
      <w:r w:rsidRPr="00027CFF">
        <w:rPr>
          <w:rFonts w:ascii="Arial" w:hAnsi="Arial" w:cs="Arial"/>
          <w:sz w:val="22"/>
          <w:szCs w:val="22"/>
          <w:lang w:val="en-US"/>
        </w:rPr>
        <w:t>, para 50 for the characterization of section 67(1) as a jurisdictional provision.</w:t>
      </w:r>
    </w:p>
  </w:footnote>
  <w:footnote w:id="93">
    <w:p w14:paraId="75463C2C" w14:textId="16520ACC"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As the Tribunal characterised it, section 67(1) is “</w:t>
      </w:r>
      <w:r w:rsidRPr="00027CFF">
        <w:rPr>
          <w:rFonts w:ascii="Arial" w:hAnsi="Arial" w:cs="Arial"/>
          <w:i/>
          <w:iCs/>
          <w:sz w:val="22"/>
          <w:szCs w:val="22"/>
        </w:rPr>
        <w:t>a limitation on the period for exercising a public power by a public functionary</w:t>
      </w:r>
      <w:r w:rsidRPr="00027CFF">
        <w:rPr>
          <w:rFonts w:ascii="Arial" w:hAnsi="Arial" w:cs="Arial"/>
          <w:sz w:val="22"/>
          <w:szCs w:val="22"/>
        </w:rPr>
        <w:t xml:space="preserve">”. </w:t>
      </w:r>
      <w:r w:rsidRPr="00027CFF">
        <w:rPr>
          <w:rFonts w:ascii="Arial" w:hAnsi="Arial" w:cs="Arial"/>
          <w:sz w:val="22"/>
          <w:szCs w:val="22"/>
          <w:lang w:val="en-US"/>
        </w:rPr>
        <w:t>Tribunal decision, Record, 195, para 104.</w:t>
      </w:r>
    </w:p>
  </w:footnote>
  <w:footnote w:id="94">
    <w:p w14:paraId="3CD70E9A" w14:textId="30D2A88A"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CAC decision, 225, para 48.</w:t>
      </w:r>
    </w:p>
  </w:footnote>
  <w:footnote w:id="95">
    <w:p w14:paraId="0EE65073" w14:textId="1C9886E8"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w:t>
      </w:r>
      <w:r w:rsidRPr="00027CFF">
        <w:rPr>
          <w:rFonts w:ascii="Arial" w:hAnsi="Arial" w:cs="Arial"/>
          <w:sz w:val="22"/>
          <w:szCs w:val="22"/>
          <w:lang w:val="en-US"/>
        </w:rPr>
        <w:t>Tribunal decision, 195, para 108.</w:t>
      </w:r>
    </w:p>
  </w:footnote>
  <w:footnote w:id="96">
    <w:p w14:paraId="74895F84" w14:textId="2CBB3220" w:rsidR="004E3C0D" w:rsidRPr="00027CFF" w:rsidRDefault="004E3C0D" w:rsidP="00BB6964">
      <w:pPr>
        <w:pStyle w:val="FootnoteText"/>
        <w:jc w:val="both"/>
        <w:rPr>
          <w:rFonts w:ascii="Arial" w:hAnsi="Arial" w:cs="Arial"/>
          <w:sz w:val="22"/>
          <w:szCs w:val="22"/>
          <w:lang w:val="en-US"/>
        </w:rPr>
      </w:pPr>
      <w:r w:rsidRPr="00027CFF">
        <w:rPr>
          <w:rStyle w:val="FootnoteReference"/>
          <w:rFonts w:ascii="Arial" w:hAnsi="Arial" w:cs="Arial"/>
          <w:sz w:val="22"/>
          <w:szCs w:val="22"/>
        </w:rPr>
        <w:footnoteRef/>
      </w:r>
      <w:r w:rsidRPr="00027CFF">
        <w:rPr>
          <w:rFonts w:ascii="Arial" w:hAnsi="Arial" w:cs="Arial"/>
          <w:sz w:val="22"/>
          <w:szCs w:val="22"/>
        </w:rPr>
        <w:t xml:space="preserve"> The Legislature made such express provision for condonation in respect of the time period provisions in section 14A and 43F of the Competition Act. In the Labour Relations Act, 89 of 1998, non-compliance with the time periods in section 191(1) which concerned this Court in </w:t>
      </w:r>
      <w:r w:rsidRPr="00027CFF">
        <w:rPr>
          <w:rFonts w:ascii="Arial" w:hAnsi="Arial" w:cs="Arial"/>
          <w:i/>
          <w:iCs/>
          <w:sz w:val="22"/>
          <w:szCs w:val="22"/>
        </w:rPr>
        <w:t>FAWU</w:t>
      </w:r>
      <w:r w:rsidRPr="00027CFF">
        <w:rPr>
          <w:rFonts w:ascii="Arial" w:hAnsi="Arial" w:cs="Arial"/>
          <w:sz w:val="22"/>
          <w:szCs w:val="22"/>
        </w:rPr>
        <w:t xml:space="preserve"> are subject to a specific condonation power conferred on the CCMA in section 191(2).</w:t>
      </w:r>
    </w:p>
  </w:footnote>
  <w:footnote w:id="97">
    <w:p w14:paraId="19A3E0FA" w14:textId="227C44C8" w:rsidR="004E3C0D" w:rsidRPr="00027CFF" w:rsidRDefault="004E3C0D" w:rsidP="003A218D">
      <w:pPr>
        <w:pStyle w:val="Heading2"/>
        <w:shd w:val="clear" w:color="auto" w:fill="FFFFFF"/>
        <w:spacing w:before="0" w:beforeAutospacing="0" w:after="0" w:afterAutospacing="0"/>
        <w:jc w:val="both"/>
        <w:rPr>
          <w:rFonts w:ascii="Arial" w:hAnsi="Arial" w:cs="Arial"/>
          <w:b w:val="0"/>
          <w:bCs w:val="0"/>
          <w:sz w:val="22"/>
          <w:szCs w:val="22"/>
        </w:rPr>
      </w:pPr>
      <w:r w:rsidRPr="00027CFF">
        <w:rPr>
          <w:rStyle w:val="FootnoteReference"/>
          <w:rFonts w:ascii="Arial" w:hAnsi="Arial" w:cs="Arial"/>
          <w:b w:val="0"/>
          <w:sz w:val="22"/>
          <w:szCs w:val="22"/>
        </w:rPr>
        <w:footnoteRef/>
      </w:r>
      <w:r w:rsidRPr="00027CFF">
        <w:rPr>
          <w:rFonts w:ascii="Arial" w:hAnsi="Arial" w:cs="Arial"/>
          <w:b w:val="0"/>
          <w:sz w:val="22"/>
          <w:szCs w:val="22"/>
        </w:rPr>
        <w:t xml:space="preserve"> See </w:t>
      </w:r>
      <w:r w:rsidRPr="00027CFF">
        <w:rPr>
          <w:rFonts w:ascii="Arial" w:hAnsi="Arial" w:cs="Arial"/>
          <w:b w:val="0"/>
          <w:i/>
          <w:sz w:val="22"/>
          <w:szCs w:val="22"/>
        </w:rPr>
        <w:t>Amandla GCF Construction CC v Municipal Manager of Saldanha Bay Municipality</w:t>
      </w:r>
      <w:r w:rsidRPr="00027CFF">
        <w:rPr>
          <w:rFonts w:ascii="Arial" w:hAnsi="Arial" w:cs="Arial"/>
          <w:b w:val="0"/>
          <w:bCs w:val="0"/>
          <w:sz w:val="22"/>
          <w:szCs w:val="22"/>
        </w:rPr>
        <w:t xml:space="preserve"> 2018 (6) SA 63 (WCC), where </w:t>
      </w:r>
      <w:proofErr w:type="spellStart"/>
      <w:r w:rsidRPr="00027CFF">
        <w:rPr>
          <w:rFonts w:ascii="Arial" w:hAnsi="Arial" w:cs="Arial"/>
          <w:b w:val="0"/>
          <w:bCs w:val="0"/>
          <w:sz w:val="22"/>
          <w:szCs w:val="22"/>
        </w:rPr>
        <w:t>Boqwana</w:t>
      </w:r>
      <w:proofErr w:type="spellEnd"/>
      <w:r w:rsidRPr="00027CFF">
        <w:rPr>
          <w:rFonts w:ascii="Arial" w:hAnsi="Arial" w:cs="Arial"/>
          <w:b w:val="0"/>
          <w:bCs w:val="0"/>
          <w:sz w:val="22"/>
          <w:szCs w:val="22"/>
        </w:rPr>
        <w:t xml:space="preserve"> J</w:t>
      </w:r>
      <w:r w:rsidRPr="00027CFF">
        <w:rPr>
          <w:rFonts w:ascii="Arial" w:hAnsi="Arial" w:cs="Arial"/>
          <w:b w:val="0"/>
          <w:sz w:val="22"/>
          <w:szCs w:val="22"/>
        </w:rPr>
        <w:t xml:space="preserve"> confirmed (with reference to section 62 of the Local Government: Municipal Systems Act) that “</w:t>
      </w:r>
      <w:r w:rsidRPr="00027CFF">
        <w:rPr>
          <w:rFonts w:ascii="Arial" w:hAnsi="Arial" w:cs="Arial"/>
          <w:b w:val="0"/>
          <w:i/>
          <w:sz w:val="22"/>
          <w:szCs w:val="22"/>
        </w:rPr>
        <w:t>there is no general power afforded to [an organ of State] … to extend a statutory time period, except if that power is conferred on it, as allowed in that particular section of the statute</w:t>
      </w:r>
      <w:r w:rsidRPr="00027CFF">
        <w:rPr>
          <w:rFonts w:ascii="Arial" w:hAnsi="Arial" w:cs="Arial"/>
          <w:b w:val="0"/>
          <w:sz w:val="22"/>
          <w:szCs w:val="22"/>
        </w:rPr>
        <w:t xml:space="preserve">” (para 32). See also </w:t>
      </w:r>
      <w:r w:rsidRPr="00027CFF">
        <w:rPr>
          <w:rFonts w:ascii="Arial" w:hAnsi="Arial" w:cs="Arial"/>
          <w:b w:val="0"/>
          <w:i/>
          <w:sz w:val="22"/>
          <w:szCs w:val="22"/>
        </w:rPr>
        <w:t>Minister of Environmental Affairs and Tourism v Pepper Bay Fishing (Pty) Ltd</w:t>
      </w:r>
      <w:r w:rsidRPr="00027CFF">
        <w:rPr>
          <w:rFonts w:ascii="Arial" w:hAnsi="Arial" w:cs="Arial"/>
          <w:b w:val="0"/>
          <w:sz w:val="22"/>
          <w:szCs w:val="22"/>
        </w:rPr>
        <w:t xml:space="preserve"> 2004 (1) SA 308 (SCA) para 31.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9801133"/>
      <w:docPartObj>
        <w:docPartGallery w:val="Page Numbers (Top of Page)"/>
        <w:docPartUnique/>
      </w:docPartObj>
    </w:sdtPr>
    <w:sdtEndPr>
      <w:rPr>
        <w:rFonts w:ascii="Arial" w:hAnsi="Arial" w:cs="Arial"/>
        <w:noProof/>
        <w:sz w:val="24"/>
        <w:szCs w:val="24"/>
      </w:rPr>
    </w:sdtEndPr>
    <w:sdtContent>
      <w:p w14:paraId="475F381E" w14:textId="204B03B9" w:rsidR="004E3C0D" w:rsidRPr="00E3335F" w:rsidRDefault="004E3C0D">
        <w:pPr>
          <w:pStyle w:val="Header"/>
          <w:jc w:val="right"/>
          <w:rPr>
            <w:rFonts w:ascii="Arial" w:hAnsi="Arial" w:cs="Arial"/>
            <w:sz w:val="24"/>
            <w:szCs w:val="24"/>
          </w:rPr>
        </w:pPr>
        <w:r w:rsidRPr="00E3335F">
          <w:rPr>
            <w:rFonts w:ascii="Arial" w:hAnsi="Arial" w:cs="Arial"/>
            <w:sz w:val="24"/>
            <w:szCs w:val="24"/>
          </w:rPr>
          <w:fldChar w:fldCharType="begin"/>
        </w:r>
        <w:r w:rsidRPr="00E3335F">
          <w:rPr>
            <w:rFonts w:ascii="Arial" w:hAnsi="Arial" w:cs="Arial"/>
            <w:sz w:val="24"/>
            <w:szCs w:val="24"/>
          </w:rPr>
          <w:instrText xml:space="preserve"> PAGE   \* MERGEFORMAT </w:instrText>
        </w:r>
        <w:r w:rsidRPr="00E3335F">
          <w:rPr>
            <w:rFonts w:ascii="Arial" w:hAnsi="Arial" w:cs="Arial"/>
            <w:sz w:val="24"/>
            <w:szCs w:val="24"/>
          </w:rPr>
          <w:fldChar w:fldCharType="separate"/>
        </w:r>
        <w:r w:rsidR="00F45E02">
          <w:rPr>
            <w:rFonts w:ascii="Arial" w:hAnsi="Arial" w:cs="Arial"/>
            <w:noProof/>
            <w:sz w:val="24"/>
            <w:szCs w:val="24"/>
          </w:rPr>
          <w:t>27</w:t>
        </w:r>
        <w:r w:rsidRPr="00E3335F">
          <w:rPr>
            <w:rFonts w:ascii="Arial" w:hAnsi="Arial" w:cs="Arial"/>
            <w:noProof/>
            <w:sz w:val="24"/>
            <w:szCs w:val="24"/>
          </w:rPr>
          <w:fldChar w:fldCharType="end"/>
        </w:r>
      </w:p>
    </w:sdtContent>
  </w:sdt>
  <w:p w14:paraId="054ED75E" w14:textId="77777777" w:rsidR="004E3C0D" w:rsidRDefault="004E3C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D67C7"/>
    <w:multiLevelType w:val="hybridMultilevel"/>
    <w:tmpl w:val="EEF6DD06"/>
    <w:lvl w:ilvl="0" w:tplc="99B65414">
      <w:start w:val="2"/>
      <w:numFmt w:val="bullet"/>
      <w:lvlText w:val=""/>
      <w:lvlJc w:val="left"/>
      <w:pPr>
        <w:ind w:left="1140" w:hanging="360"/>
      </w:pPr>
      <w:rPr>
        <w:rFonts w:ascii="Symbol" w:eastAsiaTheme="minorHAnsi" w:hAnsi="Symbol" w:cs="Arial" w:hint="default"/>
        <w:i w:val="0"/>
      </w:rPr>
    </w:lvl>
    <w:lvl w:ilvl="1" w:tplc="1C090003" w:tentative="1">
      <w:start w:val="1"/>
      <w:numFmt w:val="bullet"/>
      <w:lvlText w:val="o"/>
      <w:lvlJc w:val="left"/>
      <w:pPr>
        <w:ind w:left="1860" w:hanging="360"/>
      </w:pPr>
      <w:rPr>
        <w:rFonts w:ascii="Courier New" w:hAnsi="Courier New" w:cs="Courier New" w:hint="default"/>
      </w:rPr>
    </w:lvl>
    <w:lvl w:ilvl="2" w:tplc="1C090005" w:tentative="1">
      <w:start w:val="1"/>
      <w:numFmt w:val="bullet"/>
      <w:lvlText w:val=""/>
      <w:lvlJc w:val="left"/>
      <w:pPr>
        <w:ind w:left="2580" w:hanging="360"/>
      </w:pPr>
      <w:rPr>
        <w:rFonts w:ascii="Wingdings" w:hAnsi="Wingdings" w:hint="default"/>
      </w:rPr>
    </w:lvl>
    <w:lvl w:ilvl="3" w:tplc="1C090001" w:tentative="1">
      <w:start w:val="1"/>
      <w:numFmt w:val="bullet"/>
      <w:lvlText w:val=""/>
      <w:lvlJc w:val="left"/>
      <w:pPr>
        <w:ind w:left="3300" w:hanging="360"/>
      </w:pPr>
      <w:rPr>
        <w:rFonts w:ascii="Symbol" w:hAnsi="Symbol" w:hint="default"/>
      </w:rPr>
    </w:lvl>
    <w:lvl w:ilvl="4" w:tplc="1C090003" w:tentative="1">
      <w:start w:val="1"/>
      <w:numFmt w:val="bullet"/>
      <w:lvlText w:val="o"/>
      <w:lvlJc w:val="left"/>
      <w:pPr>
        <w:ind w:left="4020" w:hanging="360"/>
      </w:pPr>
      <w:rPr>
        <w:rFonts w:ascii="Courier New" w:hAnsi="Courier New" w:cs="Courier New" w:hint="default"/>
      </w:rPr>
    </w:lvl>
    <w:lvl w:ilvl="5" w:tplc="1C090005" w:tentative="1">
      <w:start w:val="1"/>
      <w:numFmt w:val="bullet"/>
      <w:lvlText w:val=""/>
      <w:lvlJc w:val="left"/>
      <w:pPr>
        <w:ind w:left="4740" w:hanging="360"/>
      </w:pPr>
      <w:rPr>
        <w:rFonts w:ascii="Wingdings" w:hAnsi="Wingdings" w:hint="default"/>
      </w:rPr>
    </w:lvl>
    <w:lvl w:ilvl="6" w:tplc="1C090001" w:tentative="1">
      <w:start w:val="1"/>
      <w:numFmt w:val="bullet"/>
      <w:lvlText w:val=""/>
      <w:lvlJc w:val="left"/>
      <w:pPr>
        <w:ind w:left="5460" w:hanging="360"/>
      </w:pPr>
      <w:rPr>
        <w:rFonts w:ascii="Symbol" w:hAnsi="Symbol" w:hint="default"/>
      </w:rPr>
    </w:lvl>
    <w:lvl w:ilvl="7" w:tplc="1C090003" w:tentative="1">
      <w:start w:val="1"/>
      <w:numFmt w:val="bullet"/>
      <w:lvlText w:val="o"/>
      <w:lvlJc w:val="left"/>
      <w:pPr>
        <w:ind w:left="6180" w:hanging="360"/>
      </w:pPr>
      <w:rPr>
        <w:rFonts w:ascii="Courier New" w:hAnsi="Courier New" w:cs="Courier New" w:hint="default"/>
      </w:rPr>
    </w:lvl>
    <w:lvl w:ilvl="8" w:tplc="1C090005" w:tentative="1">
      <w:start w:val="1"/>
      <w:numFmt w:val="bullet"/>
      <w:lvlText w:val=""/>
      <w:lvlJc w:val="left"/>
      <w:pPr>
        <w:ind w:left="6900" w:hanging="360"/>
      </w:pPr>
      <w:rPr>
        <w:rFonts w:ascii="Wingdings" w:hAnsi="Wingdings" w:hint="default"/>
      </w:rPr>
    </w:lvl>
  </w:abstractNum>
  <w:abstractNum w:abstractNumId="1" w15:restartNumberingAfterBreak="0">
    <w:nsid w:val="33B73009"/>
    <w:multiLevelType w:val="multilevel"/>
    <w:tmpl w:val="16FE77CC"/>
    <w:lvl w:ilvl="0">
      <w:start w:val="1"/>
      <w:numFmt w:val="decimal"/>
      <w:lvlText w:val="%1."/>
      <w:lvlJc w:val="left"/>
      <w:pPr>
        <w:ind w:left="720"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2" w15:restartNumberingAfterBreak="0">
    <w:nsid w:val="381E0E89"/>
    <w:multiLevelType w:val="hybridMultilevel"/>
    <w:tmpl w:val="0E4CE29A"/>
    <w:lvl w:ilvl="0" w:tplc="AAD88C98">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3A853AAC"/>
    <w:multiLevelType w:val="hybridMultilevel"/>
    <w:tmpl w:val="4A865EB8"/>
    <w:lvl w:ilvl="0" w:tplc="3F5C2EB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441358C8"/>
    <w:multiLevelType w:val="hybridMultilevel"/>
    <w:tmpl w:val="D4A8AB6C"/>
    <w:lvl w:ilvl="0" w:tplc="FA0E8FD2">
      <w:start w:val="1"/>
      <w:numFmt w:val="decimal"/>
      <w:lvlText w:val="(%1)"/>
      <w:lvlJc w:val="left"/>
      <w:pPr>
        <w:ind w:left="1811" w:hanging="360"/>
      </w:pPr>
      <w:rPr>
        <w:rFonts w:hint="default"/>
      </w:rPr>
    </w:lvl>
    <w:lvl w:ilvl="1" w:tplc="1C090019" w:tentative="1">
      <w:start w:val="1"/>
      <w:numFmt w:val="lowerLetter"/>
      <w:lvlText w:val="%2."/>
      <w:lvlJc w:val="left"/>
      <w:pPr>
        <w:ind w:left="2531" w:hanging="360"/>
      </w:pPr>
    </w:lvl>
    <w:lvl w:ilvl="2" w:tplc="1C09001B" w:tentative="1">
      <w:start w:val="1"/>
      <w:numFmt w:val="lowerRoman"/>
      <w:lvlText w:val="%3."/>
      <w:lvlJc w:val="right"/>
      <w:pPr>
        <w:ind w:left="3251" w:hanging="180"/>
      </w:pPr>
    </w:lvl>
    <w:lvl w:ilvl="3" w:tplc="1C09000F" w:tentative="1">
      <w:start w:val="1"/>
      <w:numFmt w:val="decimal"/>
      <w:lvlText w:val="%4."/>
      <w:lvlJc w:val="left"/>
      <w:pPr>
        <w:ind w:left="3971" w:hanging="360"/>
      </w:pPr>
    </w:lvl>
    <w:lvl w:ilvl="4" w:tplc="1C090019" w:tentative="1">
      <w:start w:val="1"/>
      <w:numFmt w:val="lowerLetter"/>
      <w:lvlText w:val="%5."/>
      <w:lvlJc w:val="left"/>
      <w:pPr>
        <w:ind w:left="4691" w:hanging="360"/>
      </w:pPr>
    </w:lvl>
    <w:lvl w:ilvl="5" w:tplc="1C09001B" w:tentative="1">
      <w:start w:val="1"/>
      <w:numFmt w:val="lowerRoman"/>
      <w:lvlText w:val="%6."/>
      <w:lvlJc w:val="right"/>
      <w:pPr>
        <w:ind w:left="5411" w:hanging="180"/>
      </w:pPr>
    </w:lvl>
    <w:lvl w:ilvl="6" w:tplc="1C09000F" w:tentative="1">
      <w:start w:val="1"/>
      <w:numFmt w:val="decimal"/>
      <w:lvlText w:val="%7."/>
      <w:lvlJc w:val="left"/>
      <w:pPr>
        <w:ind w:left="6131" w:hanging="360"/>
      </w:pPr>
    </w:lvl>
    <w:lvl w:ilvl="7" w:tplc="1C090019" w:tentative="1">
      <w:start w:val="1"/>
      <w:numFmt w:val="lowerLetter"/>
      <w:lvlText w:val="%8."/>
      <w:lvlJc w:val="left"/>
      <w:pPr>
        <w:ind w:left="6851" w:hanging="360"/>
      </w:pPr>
    </w:lvl>
    <w:lvl w:ilvl="8" w:tplc="1C09001B" w:tentative="1">
      <w:start w:val="1"/>
      <w:numFmt w:val="lowerRoman"/>
      <w:lvlText w:val="%9."/>
      <w:lvlJc w:val="right"/>
      <w:pPr>
        <w:ind w:left="7571" w:hanging="180"/>
      </w:pPr>
    </w:lvl>
  </w:abstractNum>
  <w:abstractNum w:abstractNumId="5" w15:restartNumberingAfterBreak="0">
    <w:nsid w:val="4CF04C14"/>
    <w:multiLevelType w:val="hybridMultilevel"/>
    <w:tmpl w:val="7410028C"/>
    <w:lvl w:ilvl="0" w:tplc="E604DF12">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53801FE5"/>
    <w:multiLevelType w:val="multilevel"/>
    <w:tmpl w:val="77BAA2D6"/>
    <w:lvl w:ilvl="0">
      <w:start w:val="1"/>
      <w:numFmt w:val="decimal"/>
      <w:lvlText w:val="%1."/>
      <w:lvlJc w:val="left"/>
      <w:pPr>
        <w:ind w:left="720" w:hanging="360"/>
      </w:pPr>
      <w:rPr>
        <w:i w:val="0"/>
      </w:rPr>
    </w:lvl>
    <w:lvl w:ilvl="1">
      <w:start w:val="1"/>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7" w15:restartNumberingAfterBreak="0">
    <w:nsid w:val="59AE2282"/>
    <w:multiLevelType w:val="hybridMultilevel"/>
    <w:tmpl w:val="0292D460"/>
    <w:lvl w:ilvl="0" w:tplc="C2FCE086">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8" w15:restartNumberingAfterBreak="0">
    <w:nsid w:val="635E5E35"/>
    <w:multiLevelType w:val="hybridMultilevel"/>
    <w:tmpl w:val="0422F0C4"/>
    <w:lvl w:ilvl="0" w:tplc="313AC62E">
      <w:start w:val="1"/>
      <w:numFmt w:val="decimal"/>
      <w:lvlText w:val="%1."/>
      <w:lvlJc w:val="left"/>
      <w:pPr>
        <w:ind w:left="720" w:hanging="360"/>
      </w:pPr>
      <w:rPr>
        <w:i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E6B561B"/>
    <w:multiLevelType w:val="hybridMultilevel"/>
    <w:tmpl w:val="3B881B1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71546F23"/>
    <w:multiLevelType w:val="multilevel"/>
    <w:tmpl w:val="77BAA2D6"/>
    <w:lvl w:ilvl="0">
      <w:start w:val="1"/>
      <w:numFmt w:val="decimal"/>
      <w:lvlText w:val="%1."/>
      <w:lvlJc w:val="left"/>
      <w:pPr>
        <w:ind w:left="720" w:hanging="360"/>
      </w:pPr>
      <w:rPr>
        <w:i w:val="0"/>
      </w:rPr>
    </w:lvl>
    <w:lvl w:ilvl="1">
      <w:start w:val="1"/>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5"/>
  </w:num>
  <w:num w:numId="4">
    <w:abstractNumId w:val="1"/>
  </w:num>
  <w:num w:numId="5">
    <w:abstractNumId w:val="10"/>
  </w:num>
  <w:num w:numId="6">
    <w:abstractNumId w:val="0"/>
  </w:num>
  <w:num w:numId="7">
    <w:abstractNumId w:val="3"/>
  </w:num>
  <w:num w:numId="8">
    <w:abstractNumId w:val="4"/>
  </w:num>
  <w:num w:numId="9">
    <w:abstractNumId w:val="2"/>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AFD"/>
    <w:rsid w:val="00001B64"/>
    <w:rsid w:val="00006460"/>
    <w:rsid w:val="00023277"/>
    <w:rsid w:val="00027CFF"/>
    <w:rsid w:val="000361A9"/>
    <w:rsid w:val="00050E8F"/>
    <w:rsid w:val="00051F47"/>
    <w:rsid w:val="00064046"/>
    <w:rsid w:val="00067D82"/>
    <w:rsid w:val="00072AB8"/>
    <w:rsid w:val="00075AEF"/>
    <w:rsid w:val="000B43E2"/>
    <w:rsid w:val="000B6595"/>
    <w:rsid w:val="000B71CE"/>
    <w:rsid w:val="000C03D7"/>
    <w:rsid w:val="000C0CDA"/>
    <w:rsid w:val="000C59D1"/>
    <w:rsid w:val="000D104D"/>
    <w:rsid w:val="000D51B2"/>
    <w:rsid w:val="000E44F3"/>
    <w:rsid w:val="000E71C0"/>
    <w:rsid w:val="000F1E08"/>
    <w:rsid w:val="000F6817"/>
    <w:rsid w:val="000F7979"/>
    <w:rsid w:val="001000A0"/>
    <w:rsid w:val="001068EC"/>
    <w:rsid w:val="00115F73"/>
    <w:rsid w:val="00120B64"/>
    <w:rsid w:val="00121F26"/>
    <w:rsid w:val="00124923"/>
    <w:rsid w:val="00125A8B"/>
    <w:rsid w:val="00130A1C"/>
    <w:rsid w:val="001368AC"/>
    <w:rsid w:val="001463DB"/>
    <w:rsid w:val="00150108"/>
    <w:rsid w:val="00161093"/>
    <w:rsid w:val="00162FC9"/>
    <w:rsid w:val="00164379"/>
    <w:rsid w:val="001653CC"/>
    <w:rsid w:val="00166034"/>
    <w:rsid w:val="001822A4"/>
    <w:rsid w:val="00184522"/>
    <w:rsid w:val="0018492A"/>
    <w:rsid w:val="00184A76"/>
    <w:rsid w:val="00185528"/>
    <w:rsid w:val="001A6C2A"/>
    <w:rsid w:val="001C6178"/>
    <w:rsid w:val="001E54F3"/>
    <w:rsid w:val="00207CC9"/>
    <w:rsid w:val="002204BD"/>
    <w:rsid w:val="00233005"/>
    <w:rsid w:val="00255932"/>
    <w:rsid w:val="00261319"/>
    <w:rsid w:val="00267DB3"/>
    <w:rsid w:val="002731B1"/>
    <w:rsid w:val="00285495"/>
    <w:rsid w:val="00287F73"/>
    <w:rsid w:val="00290135"/>
    <w:rsid w:val="00293B9A"/>
    <w:rsid w:val="00295DC0"/>
    <w:rsid w:val="002A06A3"/>
    <w:rsid w:val="002B1C7A"/>
    <w:rsid w:val="002B2A11"/>
    <w:rsid w:val="002B58D8"/>
    <w:rsid w:val="002C4A7F"/>
    <w:rsid w:val="002D495D"/>
    <w:rsid w:val="002D6379"/>
    <w:rsid w:val="002E0983"/>
    <w:rsid w:val="002F0862"/>
    <w:rsid w:val="0030639E"/>
    <w:rsid w:val="003105CB"/>
    <w:rsid w:val="00326392"/>
    <w:rsid w:val="003324DC"/>
    <w:rsid w:val="00341273"/>
    <w:rsid w:val="0034182D"/>
    <w:rsid w:val="00347BF1"/>
    <w:rsid w:val="00355545"/>
    <w:rsid w:val="003643CC"/>
    <w:rsid w:val="003668E5"/>
    <w:rsid w:val="003728F3"/>
    <w:rsid w:val="00372934"/>
    <w:rsid w:val="00380F6E"/>
    <w:rsid w:val="00382A7A"/>
    <w:rsid w:val="003959EA"/>
    <w:rsid w:val="003A218D"/>
    <w:rsid w:val="003A5B0C"/>
    <w:rsid w:val="003A6C8F"/>
    <w:rsid w:val="003B0D59"/>
    <w:rsid w:val="003B2001"/>
    <w:rsid w:val="003B2BCC"/>
    <w:rsid w:val="003B62F0"/>
    <w:rsid w:val="003B65B6"/>
    <w:rsid w:val="003C2728"/>
    <w:rsid w:val="003C2D39"/>
    <w:rsid w:val="003D1E2B"/>
    <w:rsid w:val="003D3684"/>
    <w:rsid w:val="003D5F15"/>
    <w:rsid w:val="003D6544"/>
    <w:rsid w:val="003E43BC"/>
    <w:rsid w:val="003E5D03"/>
    <w:rsid w:val="003F5462"/>
    <w:rsid w:val="00403751"/>
    <w:rsid w:val="004325A7"/>
    <w:rsid w:val="0043529B"/>
    <w:rsid w:val="00445E49"/>
    <w:rsid w:val="0045655A"/>
    <w:rsid w:val="004623EF"/>
    <w:rsid w:val="00464D41"/>
    <w:rsid w:val="004716B1"/>
    <w:rsid w:val="00474F12"/>
    <w:rsid w:val="00476534"/>
    <w:rsid w:val="0048211F"/>
    <w:rsid w:val="00493FDE"/>
    <w:rsid w:val="004C0562"/>
    <w:rsid w:val="004C0C40"/>
    <w:rsid w:val="004D301E"/>
    <w:rsid w:val="004D6E8F"/>
    <w:rsid w:val="004E3C0D"/>
    <w:rsid w:val="004E74E4"/>
    <w:rsid w:val="004F373D"/>
    <w:rsid w:val="004F3EF0"/>
    <w:rsid w:val="004F5DE2"/>
    <w:rsid w:val="00506D57"/>
    <w:rsid w:val="005124E9"/>
    <w:rsid w:val="0051311E"/>
    <w:rsid w:val="00521081"/>
    <w:rsid w:val="0052640F"/>
    <w:rsid w:val="00526F20"/>
    <w:rsid w:val="00530815"/>
    <w:rsid w:val="00530DE6"/>
    <w:rsid w:val="005313B2"/>
    <w:rsid w:val="005324AC"/>
    <w:rsid w:val="00544B67"/>
    <w:rsid w:val="00552205"/>
    <w:rsid w:val="00552B99"/>
    <w:rsid w:val="00557D87"/>
    <w:rsid w:val="00562EC1"/>
    <w:rsid w:val="0057581F"/>
    <w:rsid w:val="00581E2C"/>
    <w:rsid w:val="00583F4A"/>
    <w:rsid w:val="00585DE7"/>
    <w:rsid w:val="005860F0"/>
    <w:rsid w:val="005B7BDA"/>
    <w:rsid w:val="005C0D00"/>
    <w:rsid w:val="005C33A0"/>
    <w:rsid w:val="005D28CC"/>
    <w:rsid w:val="005E4775"/>
    <w:rsid w:val="005F60E1"/>
    <w:rsid w:val="006065F2"/>
    <w:rsid w:val="00611D4D"/>
    <w:rsid w:val="00617FE0"/>
    <w:rsid w:val="00626DDC"/>
    <w:rsid w:val="006321A4"/>
    <w:rsid w:val="00635DC7"/>
    <w:rsid w:val="00641AF9"/>
    <w:rsid w:val="006426EA"/>
    <w:rsid w:val="00672AEA"/>
    <w:rsid w:val="00692A8A"/>
    <w:rsid w:val="006A2132"/>
    <w:rsid w:val="006B2811"/>
    <w:rsid w:val="006B289A"/>
    <w:rsid w:val="006B7B54"/>
    <w:rsid w:val="006C09D6"/>
    <w:rsid w:val="006C0A85"/>
    <w:rsid w:val="006C387A"/>
    <w:rsid w:val="006D1149"/>
    <w:rsid w:val="006E21C5"/>
    <w:rsid w:val="006E4B66"/>
    <w:rsid w:val="006F77CD"/>
    <w:rsid w:val="00712D96"/>
    <w:rsid w:val="00725247"/>
    <w:rsid w:val="00727565"/>
    <w:rsid w:val="0073575D"/>
    <w:rsid w:val="007435F9"/>
    <w:rsid w:val="00744229"/>
    <w:rsid w:val="0074513A"/>
    <w:rsid w:val="00753115"/>
    <w:rsid w:val="007569B2"/>
    <w:rsid w:val="00762E12"/>
    <w:rsid w:val="007640CD"/>
    <w:rsid w:val="00777BFA"/>
    <w:rsid w:val="007940D1"/>
    <w:rsid w:val="00794B75"/>
    <w:rsid w:val="007A05DA"/>
    <w:rsid w:val="007A3F87"/>
    <w:rsid w:val="007A46AD"/>
    <w:rsid w:val="007A476F"/>
    <w:rsid w:val="007A4983"/>
    <w:rsid w:val="007B19BD"/>
    <w:rsid w:val="007B6925"/>
    <w:rsid w:val="007B7110"/>
    <w:rsid w:val="007B7D63"/>
    <w:rsid w:val="007C17F8"/>
    <w:rsid w:val="007C4F3B"/>
    <w:rsid w:val="007D0960"/>
    <w:rsid w:val="007D44F0"/>
    <w:rsid w:val="007D7744"/>
    <w:rsid w:val="007F33CC"/>
    <w:rsid w:val="0080315D"/>
    <w:rsid w:val="00807440"/>
    <w:rsid w:val="00810B82"/>
    <w:rsid w:val="00844C0F"/>
    <w:rsid w:val="008469D1"/>
    <w:rsid w:val="008626A3"/>
    <w:rsid w:val="00864017"/>
    <w:rsid w:val="008847AF"/>
    <w:rsid w:val="00893F0A"/>
    <w:rsid w:val="008A198E"/>
    <w:rsid w:val="008A290A"/>
    <w:rsid w:val="008B2262"/>
    <w:rsid w:val="008C45ED"/>
    <w:rsid w:val="00903F5C"/>
    <w:rsid w:val="0091113E"/>
    <w:rsid w:val="00914578"/>
    <w:rsid w:val="00925E95"/>
    <w:rsid w:val="0092676F"/>
    <w:rsid w:val="00932CF5"/>
    <w:rsid w:val="0094449B"/>
    <w:rsid w:val="009668DD"/>
    <w:rsid w:val="009674DC"/>
    <w:rsid w:val="00990563"/>
    <w:rsid w:val="009A2B20"/>
    <w:rsid w:val="009B7DC6"/>
    <w:rsid w:val="009B7F8F"/>
    <w:rsid w:val="009D2473"/>
    <w:rsid w:val="009D708A"/>
    <w:rsid w:val="009E1EF2"/>
    <w:rsid w:val="009E299C"/>
    <w:rsid w:val="009F3216"/>
    <w:rsid w:val="00A14DF6"/>
    <w:rsid w:val="00A206EE"/>
    <w:rsid w:val="00A23477"/>
    <w:rsid w:val="00A34B44"/>
    <w:rsid w:val="00A43CBB"/>
    <w:rsid w:val="00A5154A"/>
    <w:rsid w:val="00A5317F"/>
    <w:rsid w:val="00A62806"/>
    <w:rsid w:val="00A636E8"/>
    <w:rsid w:val="00A6617A"/>
    <w:rsid w:val="00A662E1"/>
    <w:rsid w:val="00A71483"/>
    <w:rsid w:val="00A9398C"/>
    <w:rsid w:val="00AA1904"/>
    <w:rsid w:val="00AB1E88"/>
    <w:rsid w:val="00AB4FF9"/>
    <w:rsid w:val="00AB5219"/>
    <w:rsid w:val="00AC1085"/>
    <w:rsid w:val="00AC2AE6"/>
    <w:rsid w:val="00AC7A63"/>
    <w:rsid w:val="00AD193B"/>
    <w:rsid w:val="00AE39F9"/>
    <w:rsid w:val="00AE4B4A"/>
    <w:rsid w:val="00AF1FBF"/>
    <w:rsid w:val="00AF31EF"/>
    <w:rsid w:val="00AF4E32"/>
    <w:rsid w:val="00B03DC5"/>
    <w:rsid w:val="00B10BC7"/>
    <w:rsid w:val="00B14CF6"/>
    <w:rsid w:val="00B222EE"/>
    <w:rsid w:val="00B346FE"/>
    <w:rsid w:val="00B35CD4"/>
    <w:rsid w:val="00B50C27"/>
    <w:rsid w:val="00B54C71"/>
    <w:rsid w:val="00B57FEC"/>
    <w:rsid w:val="00B65373"/>
    <w:rsid w:val="00B65B4A"/>
    <w:rsid w:val="00B66528"/>
    <w:rsid w:val="00B74D29"/>
    <w:rsid w:val="00B8374F"/>
    <w:rsid w:val="00B904AB"/>
    <w:rsid w:val="00B9531B"/>
    <w:rsid w:val="00BB5294"/>
    <w:rsid w:val="00BB5FFA"/>
    <w:rsid w:val="00BB6964"/>
    <w:rsid w:val="00BB708D"/>
    <w:rsid w:val="00BD07E5"/>
    <w:rsid w:val="00BD4459"/>
    <w:rsid w:val="00BD7095"/>
    <w:rsid w:val="00BE2F38"/>
    <w:rsid w:val="00BE357C"/>
    <w:rsid w:val="00BF310C"/>
    <w:rsid w:val="00BF7846"/>
    <w:rsid w:val="00C03820"/>
    <w:rsid w:val="00C07AFD"/>
    <w:rsid w:val="00C13C6E"/>
    <w:rsid w:val="00C14031"/>
    <w:rsid w:val="00C2176E"/>
    <w:rsid w:val="00C25C78"/>
    <w:rsid w:val="00C34BDB"/>
    <w:rsid w:val="00C40226"/>
    <w:rsid w:val="00C54022"/>
    <w:rsid w:val="00C60F1F"/>
    <w:rsid w:val="00C72141"/>
    <w:rsid w:val="00C7645B"/>
    <w:rsid w:val="00C842F1"/>
    <w:rsid w:val="00C848E2"/>
    <w:rsid w:val="00CA1DB1"/>
    <w:rsid w:val="00CA43DA"/>
    <w:rsid w:val="00CA4DBA"/>
    <w:rsid w:val="00CC1412"/>
    <w:rsid w:val="00CC14F6"/>
    <w:rsid w:val="00CC336C"/>
    <w:rsid w:val="00CC50D2"/>
    <w:rsid w:val="00CC68D8"/>
    <w:rsid w:val="00CD1E17"/>
    <w:rsid w:val="00CD7116"/>
    <w:rsid w:val="00CE3884"/>
    <w:rsid w:val="00CE6B72"/>
    <w:rsid w:val="00CE7C3F"/>
    <w:rsid w:val="00D13C24"/>
    <w:rsid w:val="00D23EB7"/>
    <w:rsid w:val="00D35F87"/>
    <w:rsid w:val="00D372FD"/>
    <w:rsid w:val="00D456A5"/>
    <w:rsid w:val="00D5181D"/>
    <w:rsid w:val="00D533D6"/>
    <w:rsid w:val="00D5707D"/>
    <w:rsid w:val="00D57D57"/>
    <w:rsid w:val="00D65F35"/>
    <w:rsid w:val="00D70AF9"/>
    <w:rsid w:val="00D71F02"/>
    <w:rsid w:val="00D727E0"/>
    <w:rsid w:val="00D73CF8"/>
    <w:rsid w:val="00D7685F"/>
    <w:rsid w:val="00D86B0F"/>
    <w:rsid w:val="00D90DD3"/>
    <w:rsid w:val="00D972EF"/>
    <w:rsid w:val="00D97722"/>
    <w:rsid w:val="00DB7262"/>
    <w:rsid w:val="00DC185E"/>
    <w:rsid w:val="00DC7BD8"/>
    <w:rsid w:val="00DE0937"/>
    <w:rsid w:val="00DE09FD"/>
    <w:rsid w:val="00DE2BBD"/>
    <w:rsid w:val="00DE56A6"/>
    <w:rsid w:val="00DF14CE"/>
    <w:rsid w:val="00DF3EEB"/>
    <w:rsid w:val="00DF4154"/>
    <w:rsid w:val="00DF7561"/>
    <w:rsid w:val="00E0456A"/>
    <w:rsid w:val="00E06154"/>
    <w:rsid w:val="00E20102"/>
    <w:rsid w:val="00E25DC3"/>
    <w:rsid w:val="00E3335F"/>
    <w:rsid w:val="00E34886"/>
    <w:rsid w:val="00E375BA"/>
    <w:rsid w:val="00E405A0"/>
    <w:rsid w:val="00E40998"/>
    <w:rsid w:val="00E40C27"/>
    <w:rsid w:val="00E6475D"/>
    <w:rsid w:val="00E67362"/>
    <w:rsid w:val="00E76104"/>
    <w:rsid w:val="00E821DB"/>
    <w:rsid w:val="00E9611B"/>
    <w:rsid w:val="00EB3F0F"/>
    <w:rsid w:val="00EB5127"/>
    <w:rsid w:val="00ED0270"/>
    <w:rsid w:val="00ED14A2"/>
    <w:rsid w:val="00ED20BF"/>
    <w:rsid w:val="00ED7CD0"/>
    <w:rsid w:val="00EE755A"/>
    <w:rsid w:val="00EF0928"/>
    <w:rsid w:val="00EF2838"/>
    <w:rsid w:val="00F04CDB"/>
    <w:rsid w:val="00F05F33"/>
    <w:rsid w:val="00F14424"/>
    <w:rsid w:val="00F1734B"/>
    <w:rsid w:val="00F273AC"/>
    <w:rsid w:val="00F30532"/>
    <w:rsid w:val="00F31176"/>
    <w:rsid w:val="00F33F37"/>
    <w:rsid w:val="00F40FE1"/>
    <w:rsid w:val="00F45E02"/>
    <w:rsid w:val="00F47D14"/>
    <w:rsid w:val="00F54ACC"/>
    <w:rsid w:val="00F55642"/>
    <w:rsid w:val="00F5602A"/>
    <w:rsid w:val="00F6095A"/>
    <w:rsid w:val="00F65A59"/>
    <w:rsid w:val="00F71DC6"/>
    <w:rsid w:val="00F774E0"/>
    <w:rsid w:val="00F8308F"/>
    <w:rsid w:val="00F84595"/>
    <w:rsid w:val="00F87174"/>
    <w:rsid w:val="00F91853"/>
    <w:rsid w:val="00FA2E67"/>
    <w:rsid w:val="00FC24F4"/>
    <w:rsid w:val="00FC773F"/>
    <w:rsid w:val="00FD1CF2"/>
    <w:rsid w:val="00FD2873"/>
    <w:rsid w:val="00FD6F48"/>
    <w:rsid w:val="00FD75AB"/>
    <w:rsid w:val="00FE5973"/>
    <w:rsid w:val="00FF0612"/>
    <w:rsid w:val="00FF726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F065E"/>
  <w15:docId w15:val="{4EFD2918-D29C-4758-B868-2EE832421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7AFD"/>
    <w:pPr>
      <w:spacing w:line="256" w:lineRule="auto"/>
    </w:pPr>
  </w:style>
  <w:style w:type="paragraph" w:styleId="Heading2">
    <w:name w:val="heading 2"/>
    <w:basedOn w:val="Normal"/>
    <w:link w:val="Heading2Char"/>
    <w:uiPriority w:val="9"/>
    <w:qFormat/>
    <w:rsid w:val="00C07AFD"/>
    <w:pPr>
      <w:spacing w:before="100" w:beforeAutospacing="1" w:after="100" w:afterAutospacing="1" w:line="240" w:lineRule="auto"/>
      <w:outlineLvl w:val="1"/>
    </w:pPr>
    <w:rPr>
      <w:rFonts w:ascii="Times New Roman" w:eastAsia="Times New Roman" w:hAnsi="Times New Roman" w:cs="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07AFD"/>
    <w:rPr>
      <w:rFonts w:ascii="Times New Roman" w:eastAsia="Times New Roman" w:hAnsi="Times New Roman" w:cs="Times New Roman"/>
      <w:b/>
      <w:bCs/>
      <w:sz w:val="36"/>
      <w:szCs w:val="36"/>
      <w:lang w:eastAsia="en-ZA"/>
    </w:rPr>
  </w:style>
  <w:style w:type="paragraph" w:styleId="FootnoteText">
    <w:name w:val="footnote text"/>
    <w:aliases w:val=" Char, Char Char Char"/>
    <w:basedOn w:val="Normal"/>
    <w:link w:val="FootnoteTextChar"/>
    <w:uiPriority w:val="99"/>
    <w:unhideWhenUsed/>
    <w:rsid w:val="00C07AFD"/>
    <w:pPr>
      <w:spacing w:after="0" w:line="240" w:lineRule="auto"/>
    </w:pPr>
    <w:rPr>
      <w:sz w:val="20"/>
      <w:szCs w:val="20"/>
    </w:rPr>
  </w:style>
  <w:style w:type="character" w:customStyle="1" w:styleId="FootnoteTextChar">
    <w:name w:val="Footnote Text Char"/>
    <w:aliases w:val=" Char Char, Char Char Char Char"/>
    <w:basedOn w:val="DefaultParagraphFont"/>
    <w:link w:val="FootnoteText"/>
    <w:uiPriority w:val="99"/>
    <w:rsid w:val="00C07AFD"/>
    <w:rPr>
      <w:sz w:val="20"/>
      <w:szCs w:val="20"/>
    </w:rPr>
  </w:style>
  <w:style w:type="paragraph" w:styleId="ListParagraph">
    <w:name w:val="List Paragraph"/>
    <w:basedOn w:val="Normal"/>
    <w:uiPriority w:val="34"/>
    <w:qFormat/>
    <w:rsid w:val="00C07AFD"/>
    <w:pPr>
      <w:ind w:left="720"/>
      <w:contextualSpacing/>
    </w:pPr>
  </w:style>
  <w:style w:type="character" w:styleId="FootnoteReference">
    <w:name w:val="footnote reference"/>
    <w:basedOn w:val="DefaultParagraphFont"/>
    <w:uiPriority w:val="99"/>
    <w:unhideWhenUsed/>
    <w:rsid w:val="00C07AFD"/>
    <w:rPr>
      <w:vertAlign w:val="superscript"/>
    </w:rPr>
  </w:style>
  <w:style w:type="character" w:customStyle="1" w:styleId="Bold">
    <w:name w:val="Bold"/>
    <w:rsid w:val="00C07AFD"/>
    <w:rPr>
      <w:rFonts w:ascii="AvantGarde Md BT" w:hAnsi="AvantGarde Md BT" w:hint="default"/>
      <w:b/>
      <w:bCs w:val="0"/>
      <w:noProof w:val="0"/>
      <w:spacing w:val="24"/>
      <w:w w:val="100"/>
      <w:position w:val="0"/>
      <w:sz w:val="18"/>
      <w:lang w:val="en-GB"/>
    </w:rPr>
  </w:style>
  <w:style w:type="paragraph" w:styleId="Header">
    <w:name w:val="header"/>
    <w:basedOn w:val="Normal"/>
    <w:link w:val="HeaderChar"/>
    <w:uiPriority w:val="99"/>
    <w:unhideWhenUsed/>
    <w:rsid w:val="00C07A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7AFD"/>
  </w:style>
  <w:style w:type="paragraph" w:customStyle="1" w:styleId="Default">
    <w:name w:val="Default"/>
    <w:rsid w:val="00C07AFD"/>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Footer">
    <w:name w:val="footer"/>
    <w:basedOn w:val="Normal"/>
    <w:link w:val="FooterChar"/>
    <w:uiPriority w:val="99"/>
    <w:unhideWhenUsed/>
    <w:rsid w:val="00347B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7BF1"/>
  </w:style>
  <w:style w:type="paragraph" w:styleId="BalloonText">
    <w:name w:val="Balloon Text"/>
    <w:basedOn w:val="Normal"/>
    <w:link w:val="BalloonTextChar"/>
    <w:uiPriority w:val="99"/>
    <w:semiHidden/>
    <w:unhideWhenUsed/>
    <w:rsid w:val="003A5B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5B0C"/>
    <w:rPr>
      <w:rFonts w:ascii="Segoe UI" w:hAnsi="Segoe UI" w:cs="Segoe UI"/>
      <w:sz w:val="18"/>
      <w:szCs w:val="18"/>
    </w:rPr>
  </w:style>
  <w:style w:type="paragraph" w:customStyle="1" w:styleId="NoSpaceNormal">
    <w:name w:val="NoSpaceNormal"/>
    <w:basedOn w:val="Normal"/>
    <w:qFormat/>
    <w:rsid w:val="006C387A"/>
    <w:pPr>
      <w:spacing w:after="0" w:line="360" w:lineRule="atLeast"/>
      <w:jc w:val="both"/>
    </w:pPr>
    <w:rPr>
      <w:rFonts w:ascii="Arial" w:eastAsia="Times New Roman" w:hAnsi="Arial" w:cs="Times New Roman"/>
      <w:sz w:val="20"/>
      <w:lang w:val="en-US"/>
    </w:rPr>
  </w:style>
  <w:style w:type="character" w:styleId="CommentReference">
    <w:name w:val="annotation reference"/>
    <w:basedOn w:val="DefaultParagraphFont"/>
    <w:uiPriority w:val="99"/>
    <w:semiHidden/>
    <w:unhideWhenUsed/>
    <w:rsid w:val="00075AEF"/>
    <w:rPr>
      <w:sz w:val="16"/>
      <w:szCs w:val="16"/>
    </w:rPr>
  </w:style>
  <w:style w:type="paragraph" w:styleId="CommentText">
    <w:name w:val="annotation text"/>
    <w:basedOn w:val="Normal"/>
    <w:link w:val="CommentTextChar"/>
    <w:uiPriority w:val="99"/>
    <w:unhideWhenUsed/>
    <w:rsid w:val="00075AEF"/>
    <w:pPr>
      <w:spacing w:line="240" w:lineRule="auto"/>
    </w:pPr>
    <w:rPr>
      <w:sz w:val="20"/>
      <w:szCs w:val="20"/>
    </w:rPr>
  </w:style>
  <w:style w:type="character" w:customStyle="1" w:styleId="CommentTextChar">
    <w:name w:val="Comment Text Char"/>
    <w:basedOn w:val="DefaultParagraphFont"/>
    <w:link w:val="CommentText"/>
    <w:uiPriority w:val="99"/>
    <w:rsid w:val="00075AEF"/>
    <w:rPr>
      <w:sz w:val="20"/>
      <w:szCs w:val="20"/>
    </w:rPr>
  </w:style>
  <w:style w:type="paragraph" w:styleId="CommentSubject">
    <w:name w:val="annotation subject"/>
    <w:basedOn w:val="CommentText"/>
    <w:next w:val="CommentText"/>
    <w:link w:val="CommentSubjectChar"/>
    <w:uiPriority w:val="99"/>
    <w:semiHidden/>
    <w:unhideWhenUsed/>
    <w:rsid w:val="00075AEF"/>
    <w:rPr>
      <w:b/>
      <w:bCs/>
    </w:rPr>
  </w:style>
  <w:style w:type="character" w:customStyle="1" w:styleId="CommentSubjectChar">
    <w:name w:val="Comment Subject Char"/>
    <w:basedOn w:val="CommentTextChar"/>
    <w:link w:val="CommentSubject"/>
    <w:uiPriority w:val="99"/>
    <w:semiHidden/>
    <w:rsid w:val="00075AEF"/>
    <w:rPr>
      <w:b/>
      <w:bCs/>
      <w:sz w:val="20"/>
      <w:szCs w:val="20"/>
    </w:rPr>
  </w:style>
  <w:style w:type="character" w:styleId="Hyperlink">
    <w:name w:val="Hyperlink"/>
    <w:basedOn w:val="DefaultParagraphFont"/>
    <w:uiPriority w:val="99"/>
    <w:semiHidden/>
    <w:unhideWhenUsed/>
    <w:rsid w:val="00762E12"/>
    <w:rPr>
      <w:color w:val="0000FF"/>
      <w:u w:val="single"/>
    </w:rPr>
  </w:style>
  <w:style w:type="paragraph" w:styleId="NormalWeb">
    <w:name w:val="Normal (Web)"/>
    <w:basedOn w:val="Normal"/>
    <w:uiPriority w:val="99"/>
    <w:semiHidden/>
    <w:unhideWhenUsed/>
    <w:rsid w:val="007D7744"/>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65A5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3707746">
      <w:bodyDiv w:val="1"/>
      <w:marLeft w:val="0"/>
      <w:marRight w:val="0"/>
      <w:marTop w:val="0"/>
      <w:marBottom w:val="0"/>
      <w:divBdr>
        <w:top w:val="none" w:sz="0" w:space="0" w:color="auto"/>
        <w:left w:val="none" w:sz="0" w:space="0" w:color="auto"/>
        <w:bottom w:val="none" w:sz="0" w:space="0" w:color="auto"/>
        <w:right w:val="none" w:sz="0" w:space="0" w:color="auto"/>
      </w:divBdr>
    </w:div>
    <w:div w:id="409547119">
      <w:bodyDiv w:val="1"/>
      <w:marLeft w:val="0"/>
      <w:marRight w:val="0"/>
      <w:marTop w:val="0"/>
      <w:marBottom w:val="0"/>
      <w:divBdr>
        <w:top w:val="none" w:sz="0" w:space="0" w:color="auto"/>
        <w:left w:val="none" w:sz="0" w:space="0" w:color="auto"/>
        <w:bottom w:val="none" w:sz="0" w:space="0" w:color="auto"/>
        <w:right w:val="none" w:sz="0" w:space="0" w:color="auto"/>
      </w:divBdr>
    </w:div>
    <w:div w:id="1244415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A8460-1124-4760-83A0-F45D6E5F5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40</Pages>
  <Words>5984</Words>
  <Characters>34115</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Microsoft</cp:lastModifiedBy>
  <cp:revision>3</cp:revision>
  <cp:lastPrinted>2020-01-14T11:42:00Z</cp:lastPrinted>
  <dcterms:created xsi:type="dcterms:W3CDTF">2020-01-18T03:09:00Z</dcterms:created>
  <dcterms:modified xsi:type="dcterms:W3CDTF">2020-01-18T03:11:00Z</dcterms:modified>
</cp:coreProperties>
</file>