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283F" w:rsidRDefault="00CA458C" w:rsidP="00720ACA">
      <w:pPr>
        <w:jc w:val="center"/>
      </w:pPr>
      <w:r w:rsidRPr="00CA458C">
        <w:rPr>
          <w:noProof/>
          <w:lang w:eastAsia="en-ZA"/>
        </w:rPr>
        <w:drawing>
          <wp:inline distT="0" distB="0" distL="0" distR="0">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8" r:link="rId9"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F5283F" w:rsidRDefault="00F5283F" w:rsidP="00720ACA">
      <w:pPr>
        <w:jc w:val="center"/>
      </w:pPr>
    </w:p>
    <w:p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rsidR="001E5F5A" w:rsidRPr="00100894" w:rsidRDefault="001E5F5A" w:rsidP="00AE4640"/>
    <w:p w:rsidR="006966FC" w:rsidRPr="003E3480" w:rsidRDefault="008376A5" w:rsidP="00587A53">
      <w:pPr>
        <w:jc w:val="center"/>
      </w:pPr>
      <w:proofErr w:type="spellStart"/>
      <w:r w:rsidRPr="003E3480">
        <w:rPr>
          <w:b/>
          <w:bCs/>
        </w:rPr>
        <w:t>Bhekindlela</w:t>
      </w:r>
      <w:proofErr w:type="spellEnd"/>
      <w:r w:rsidRPr="003E3480">
        <w:rPr>
          <w:b/>
          <w:bCs/>
        </w:rPr>
        <w:t xml:space="preserve"> </w:t>
      </w:r>
      <w:proofErr w:type="spellStart"/>
      <w:r w:rsidRPr="003E3480">
        <w:rPr>
          <w:b/>
          <w:bCs/>
        </w:rPr>
        <w:t>Mwelase</w:t>
      </w:r>
      <w:proofErr w:type="spellEnd"/>
      <w:r w:rsidRPr="003E3480">
        <w:rPr>
          <w:b/>
          <w:bCs/>
        </w:rPr>
        <w:t xml:space="preserve"> </w:t>
      </w:r>
      <w:r w:rsidR="005F2B5C" w:rsidRPr="003E3480">
        <w:rPr>
          <w:b/>
          <w:bCs/>
        </w:rPr>
        <w:t xml:space="preserve">and Others </w:t>
      </w:r>
      <w:r w:rsidRPr="003E3480">
        <w:rPr>
          <w:b/>
          <w:bCs/>
        </w:rPr>
        <w:t xml:space="preserve">v </w:t>
      </w:r>
      <w:r w:rsidR="00EE753A">
        <w:rPr>
          <w:b/>
          <w:bCs/>
        </w:rPr>
        <w:t>T</w:t>
      </w:r>
      <w:bookmarkStart w:id="0" w:name="_GoBack"/>
      <w:bookmarkEnd w:id="0"/>
      <w:r w:rsidR="00EE753A">
        <w:rPr>
          <w:b/>
          <w:bCs/>
        </w:rPr>
        <w:t xml:space="preserve">he </w:t>
      </w:r>
      <w:r w:rsidRPr="003E3480">
        <w:rPr>
          <w:b/>
          <w:bCs/>
        </w:rPr>
        <w:t xml:space="preserve">Director-General </w:t>
      </w:r>
      <w:r w:rsidR="005F2B5C" w:rsidRPr="003E3480">
        <w:rPr>
          <w:b/>
          <w:bCs/>
        </w:rPr>
        <w:t xml:space="preserve">for the Department </w:t>
      </w:r>
      <w:r w:rsidR="00A746A7">
        <w:rPr>
          <w:b/>
          <w:bCs/>
        </w:rPr>
        <w:t xml:space="preserve">of </w:t>
      </w:r>
      <w:r w:rsidRPr="003E3480">
        <w:rPr>
          <w:b/>
          <w:bCs/>
        </w:rPr>
        <w:t xml:space="preserve">Rural Development and Land Reform </w:t>
      </w:r>
      <w:r w:rsidR="005F2B5C" w:rsidRPr="003E3480">
        <w:rPr>
          <w:b/>
          <w:bCs/>
        </w:rPr>
        <w:t>and Another</w:t>
      </w:r>
    </w:p>
    <w:p w:rsidR="006966FC" w:rsidRDefault="006966FC" w:rsidP="006966FC">
      <w:pPr>
        <w:tabs>
          <w:tab w:val="right" w:pos="9360"/>
        </w:tabs>
        <w:ind w:right="284"/>
        <w:rPr>
          <w:bCs/>
          <w:sz w:val="26"/>
          <w:szCs w:val="26"/>
          <w:lang w:val="en-GB"/>
        </w:rPr>
      </w:pPr>
    </w:p>
    <w:p w:rsidR="00E07942" w:rsidRPr="008376A5" w:rsidRDefault="00D40819" w:rsidP="00720ACA">
      <w:pPr>
        <w:jc w:val="right"/>
        <w:rPr>
          <w:b/>
        </w:rPr>
      </w:pPr>
      <w:r w:rsidRPr="008376A5">
        <w:rPr>
          <w:b/>
        </w:rPr>
        <w:t>CCT</w:t>
      </w:r>
      <w:r w:rsidR="00720ACA" w:rsidRPr="008376A5">
        <w:rPr>
          <w:b/>
        </w:rPr>
        <w:t xml:space="preserve"> </w:t>
      </w:r>
      <w:r w:rsidR="008376A5" w:rsidRPr="008376A5">
        <w:rPr>
          <w:b/>
        </w:rPr>
        <w:t>232/18</w:t>
      </w:r>
    </w:p>
    <w:p w:rsidR="00D40819" w:rsidRPr="008376A5" w:rsidRDefault="00D40819" w:rsidP="00720ACA">
      <w:pPr>
        <w:jc w:val="right"/>
        <w:rPr>
          <w:b/>
        </w:rPr>
      </w:pPr>
    </w:p>
    <w:p w:rsidR="00E07942" w:rsidRPr="00100894" w:rsidRDefault="00346513" w:rsidP="00720ACA">
      <w:pPr>
        <w:jc w:val="right"/>
        <w:rPr>
          <w:b/>
        </w:rPr>
      </w:pPr>
      <w:r>
        <w:rPr>
          <w:b/>
        </w:rPr>
        <w:t>Date of Judgment</w:t>
      </w:r>
      <w:r w:rsidR="00E07942" w:rsidRPr="008376A5">
        <w:rPr>
          <w:b/>
        </w:rPr>
        <w:t xml:space="preserve">: </w:t>
      </w:r>
      <w:r>
        <w:rPr>
          <w:b/>
        </w:rPr>
        <w:t>20 August</w:t>
      </w:r>
      <w:r w:rsidR="008376A5" w:rsidRPr="008376A5">
        <w:rPr>
          <w:b/>
        </w:rPr>
        <w:t xml:space="preserve"> 2019</w:t>
      </w:r>
    </w:p>
    <w:p w:rsidR="00823B02" w:rsidRPr="00100894" w:rsidRDefault="00823B02" w:rsidP="00AE4640"/>
    <w:p w:rsidR="001E5F5A" w:rsidRPr="00100894" w:rsidRDefault="00526226" w:rsidP="00AE4640">
      <w:r w:rsidRPr="00100894">
        <w:t>________________________________________________________________________</w:t>
      </w:r>
    </w:p>
    <w:p w:rsidR="00526226" w:rsidRPr="00100894" w:rsidRDefault="00526226" w:rsidP="00526226">
      <w:pPr>
        <w:jc w:val="center"/>
        <w:rPr>
          <w:b/>
        </w:rPr>
      </w:pPr>
    </w:p>
    <w:p w:rsidR="00526226" w:rsidRPr="00100894" w:rsidRDefault="001E5F5A" w:rsidP="00526226">
      <w:pPr>
        <w:jc w:val="center"/>
        <w:rPr>
          <w:b/>
        </w:rPr>
      </w:pPr>
      <w:r w:rsidRPr="00100894">
        <w:rPr>
          <w:b/>
        </w:rPr>
        <w:t>MEDIA SUMMARY</w:t>
      </w:r>
    </w:p>
    <w:p w:rsidR="00526226" w:rsidRPr="00100894" w:rsidRDefault="00526226" w:rsidP="00526226">
      <w:pPr>
        <w:jc w:val="center"/>
      </w:pPr>
      <w:r w:rsidRPr="00100894">
        <w:t>________________________________________________________________________</w:t>
      </w:r>
    </w:p>
    <w:p w:rsidR="001E5F5A" w:rsidRPr="00100894" w:rsidRDefault="001E5F5A" w:rsidP="008B532D">
      <w:pPr>
        <w:spacing w:line="360" w:lineRule="auto"/>
        <w:jc w:val="left"/>
      </w:pPr>
    </w:p>
    <w:p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rsidR="001E5F5A" w:rsidRPr="00100894" w:rsidRDefault="001E5F5A" w:rsidP="006474CE">
      <w:pPr>
        <w:rPr>
          <w:sz w:val="28"/>
          <w:szCs w:val="28"/>
        </w:rPr>
      </w:pPr>
    </w:p>
    <w:p w:rsidR="000B0B1E" w:rsidRDefault="006474CE" w:rsidP="00DE5133">
      <w:r>
        <w:t xml:space="preserve">On </w:t>
      </w:r>
      <w:r w:rsidR="00346513">
        <w:t>20 August</w:t>
      </w:r>
      <w:r w:rsidR="008376A5">
        <w:t xml:space="preserve"> 2019 </w:t>
      </w:r>
      <w:r w:rsidR="00AC799A">
        <w:t xml:space="preserve">at </w:t>
      </w:r>
      <w:r w:rsidR="0007028D" w:rsidRPr="008D66B8">
        <w:t>10</w:t>
      </w:r>
      <w:r w:rsidR="00AC799A" w:rsidRPr="008D66B8">
        <w:t>h00</w:t>
      </w:r>
      <w:r w:rsidR="00AC799A">
        <w:t xml:space="preserve"> </w:t>
      </w:r>
      <w:r w:rsidR="000D35AE" w:rsidRPr="00100894">
        <w:t xml:space="preserve">the </w:t>
      </w:r>
      <w:r w:rsidR="008C3682" w:rsidRPr="00100894">
        <w:t xml:space="preserve">Constitutional Court </w:t>
      </w:r>
      <w:r w:rsidR="00346513">
        <w:t xml:space="preserve">handed down judgment in </w:t>
      </w:r>
      <w:r w:rsidR="008376A5">
        <w:t xml:space="preserve">an </w:t>
      </w:r>
      <w:r w:rsidR="008376A5" w:rsidRPr="008376A5">
        <w:t>application for leave to appeal against the judgment and order of the Supreme Court of Appeal</w:t>
      </w:r>
      <w:r w:rsidR="00C774E6">
        <w:t xml:space="preserve"> (SCA)</w:t>
      </w:r>
      <w:r w:rsidR="008376A5">
        <w:t xml:space="preserve">. </w:t>
      </w:r>
      <w:r w:rsidR="009D59D3">
        <w:t xml:space="preserve"> </w:t>
      </w:r>
      <w:r w:rsidR="00346513">
        <w:t>This case concerned</w:t>
      </w:r>
      <w:r w:rsidR="008376A5" w:rsidRPr="008376A5">
        <w:t xml:space="preserve"> </w:t>
      </w:r>
      <w:r w:rsidR="005F2B5C">
        <w:t xml:space="preserve">the </w:t>
      </w:r>
      <w:r w:rsidR="008376A5" w:rsidRPr="008376A5">
        <w:t>failure by the Department of Rural Development and Land Reform (Department) to process land tenant applications submitted in terms of the Land Reform (La</w:t>
      </w:r>
      <w:r w:rsidR="00EB65A0">
        <w:t>bour</w:t>
      </w:r>
      <w:r w:rsidR="008376A5">
        <w:t xml:space="preserve"> Tenants) Act 3 of 1996 (LTA)</w:t>
      </w:r>
      <w:r w:rsidR="000B0B1E">
        <w:t>.  Because of that failure</w:t>
      </w:r>
      <w:r w:rsidR="00CE4122">
        <w:t>,</w:t>
      </w:r>
      <w:r w:rsidR="008376A5">
        <w:t xml:space="preserve"> the Land Claims Court </w:t>
      </w:r>
      <w:r w:rsidR="000B0B1E">
        <w:t xml:space="preserve">(LCC) ordered the </w:t>
      </w:r>
      <w:r w:rsidR="008376A5">
        <w:t>appoint</w:t>
      </w:r>
      <w:r w:rsidR="000B0B1E">
        <w:t>ment of</w:t>
      </w:r>
      <w:r w:rsidR="008376A5">
        <w:t xml:space="preserve"> a Special Master </w:t>
      </w:r>
      <w:r w:rsidR="0070106B">
        <w:t>for labour t</w:t>
      </w:r>
      <w:r w:rsidR="008376A5" w:rsidRPr="008376A5">
        <w:t xml:space="preserve">enants to assist </w:t>
      </w:r>
      <w:r w:rsidR="000B0B1E">
        <w:t xml:space="preserve">the Department </w:t>
      </w:r>
      <w:r w:rsidR="008376A5" w:rsidRPr="008376A5">
        <w:t xml:space="preserve">in </w:t>
      </w:r>
      <w:r w:rsidR="000B0B1E">
        <w:t xml:space="preserve">its </w:t>
      </w:r>
      <w:r w:rsidR="008376A5" w:rsidRPr="008376A5">
        <w:t>implementation of the LTA</w:t>
      </w:r>
      <w:r w:rsidR="008376A5">
        <w:t xml:space="preserve">. </w:t>
      </w:r>
      <w:r w:rsidR="009D59D3">
        <w:t xml:space="preserve"> </w:t>
      </w:r>
      <w:r w:rsidR="000B0B1E">
        <w:t xml:space="preserve">The majority of the </w:t>
      </w:r>
      <w:r w:rsidR="00C774E6">
        <w:t>SCA</w:t>
      </w:r>
      <w:r w:rsidR="000B0B1E">
        <w:t>, while affirming much of the order of the LCC, upheld the Department’s appeal against the Special Master’s appointment.</w:t>
      </w:r>
    </w:p>
    <w:p w:rsidR="000B0B1E" w:rsidRDefault="000B0B1E" w:rsidP="00DE5133"/>
    <w:p w:rsidR="008376A5" w:rsidRDefault="008376A5" w:rsidP="00DE5133">
      <w:r>
        <w:t xml:space="preserve">A secondary issue </w:t>
      </w:r>
      <w:r w:rsidR="00346513">
        <w:t xml:space="preserve">was </w:t>
      </w:r>
      <w:r>
        <w:t>a contempt application the applicants</w:t>
      </w:r>
      <w:r w:rsidR="005F2B5C">
        <w:t xml:space="preserve"> </w:t>
      </w:r>
      <w:r w:rsidR="000B0B1E">
        <w:t xml:space="preserve">brought </w:t>
      </w:r>
      <w:r w:rsidR="005F2B5C">
        <w:t>against the Minister of Rural Development and Land Reform (Minister)</w:t>
      </w:r>
      <w:r>
        <w:t>.</w:t>
      </w:r>
      <w:r w:rsidR="00D52A9A">
        <w:t xml:space="preserve">  </w:t>
      </w:r>
      <w:r w:rsidR="000B0B1E">
        <w:t xml:space="preserve">The LCC found that the applicants had not established that the Minister was in contempt of its order.  </w:t>
      </w:r>
      <w:r w:rsidR="00D52A9A">
        <w:t xml:space="preserve">The </w:t>
      </w:r>
      <w:r w:rsidR="005A4B3C">
        <w:t>S</w:t>
      </w:r>
      <w:r w:rsidR="00FA0546">
        <w:t>CA</w:t>
      </w:r>
      <w:r w:rsidR="00D52A9A">
        <w:t xml:space="preserve"> </w:t>
      </w:r>
      <w:r w:rsidR="00243F11">
        <w:t xml:space="preserve">unanimously </w:t>
      </w:r>
      <w:r w:rsidR="00D52A9A">
        <w:t xml:space="preserve">dismissed the </w:t>
      </w:r>
      <w:r w:rsidR="00F603F8">
        <w:t>applicants</w:t>
      </w:r>
      <w:r w:rsidR="008009E7">
        <w:t xml:space="preserve">’ appeal against </w:t>
      </w:r>
      <w:r w:rsidR="000B0B1E">
        <w:t>the LCC’s exoneration of the Minister.</w:t>
      </w:r>
    </w:p>
    <w:p w:rsidR="008376A5" w:rsidRDefault="008376A5" w:rsidP="00DE5133"/>
    <w:p w:rsidR="0073755D" w:rsidRDefault="008376A5" w:rsidP="008376A5">
      <w:r w:rsidRPr="008376A5">
        <w:t>Thousands of labour tenants, including the applicants</w:t>
      </w:r>
      <w:r w:rsidR="00D52A9A">
        <w:t>,</w:t>
      </w:r>
      <w:r w:rsidRPr="008376A5">
        <w:t xml:space="preserve"> lodged applications under the LTA with the Department before the cut-off date of 31 March 2001.  However, the Department failed to process these</w:t>
      </w:r>
      <w:r w:rsidR="005A4B3C">
        <w:t xml:space="preserve"> applications</w:t>
      </w:r>
      <w:r w:rsidRPr="008376A5">
        <w:t xml:space="preserve">.  Both the </w:t>
      </w:r>
      <w:r w:rsidR="00C774E6">
        <w:t>LCC</w:t>
      </w:r>
      <w:r w:rsidRPr="008376A5">
        <w:t xml:space="preserve"> and the </w:t>
      </w:r>
      <w:r w:rsidR="00C774E6">
        <w:t>SCA</w:t>
      </w:r>
      <w:r w:rsidR="008D66B8">
        <w:t xml:space="preserve"> </w:t>
      </w:r>
      <w:r w:rsidRPr="008376A5">
        <w:t>found that this failure breached sections 10, 25(6), 33, 195 and 237 of the Constitution.</w:t>
      </w:r>
    </w:p>
    <w:p w:rsidR="0073755D" w:rsidRDefault="0073755D" w:rsidP="008376A5"/>
    <w:p w:rsidR="008376A5" w:rsidRPr="008376A5" w:rsidRDefault="00E608AB" w:rsidP="008376A5">
      <w:r>
        <w:t>The main question for decision wa</w:t>
      </w:r>
      <w:r w:rsidR="00F54C95">
        <w:t xml:space="preserve">s whether </w:t>
      </w:r>
      <w:r w:rsidR="00F9521D">
        <w:t>the</w:t>
      </w:r>
      <w:r w:rsidR="00F54C95">
        <w:t xml:space="preserve"> order the </w:t>
      </w:r>
      <w:r w:rsidR="00C774E6">
        <w:t>LCC</w:t>
      </w:r>
      <w:r w:rsidR="00F54C95">
        <w:t xml:space="preserve"> granted constitutes judicial overreach</w:t>
      </w:r>
      <w:r w:rsidR="003672B5">
        <w:t xml:space="preserve">, particularly </w:t>
      </w:r>
      <w:r w:rsidR="008009E7">
        <w:t xml:space="preserve">the extent of the </w:t>
      </w:r>
      <w:r w:rsidR="00C774E6">
        <w:t>LCC</w:t>
      </w:r>
      <w:r w:rsidR="00B84761">
        <w:t xml:space="preserve">’s power to </w:t>
      </w:r>
      <w:r w:rsidR="00F74173">
        <w:t>fashion and implement remedies</w:t>
      </w:r>
      <w:r w:rsidR="00822D27">
        <w:t>.</w:t>
      </w:r>
    </w:p>
    <w:p w:rsidR="00F77A10" w:rsidRDefault="00F77A10" w:rsidP="00DE5133"/>
    <w:p w:rsidR="004E5D84" w:rsidRDefault="00D52A9A" w:rsidP="004E5D84">
      <w:r>
        <w:t>The applicant</w:t>
      </w:r>
      <w:r w:rsidR="005A4B3C">
        <w:t xml:space="preserve">s </w:t>
      </w:r>
      <w:r w:rsidR="004E5D84">
        <w:t>are, or represent, labour tenants.  They or those they represent all occupy land on the Hilton College Estate in KwaZulu-Natal.  Their claims are representative of many thousands more.</w:t>
      </w:r>
      <w:r w:rsidR="003672B5">
        <w:t xml:space="preserve">  </w:t>
      </w:r>
      <w:r w:rsidR="001F7322">
        <w:t>The Association for Rural Advancement</w:t>
      </w:r>
      <w:r w:rsidR="003672B5">
        <w:t xml:space="preserve"> (</w:t>
      </w:r>
      <w:r w:rsidR="004E5D84">
        <w:t>AFRA</w:t>
      </w:r>
      <w:r w:rsidR="003672B5">
        <w:t>)</w:t>
      </w:r>
      <w:r w:rsidR="001F7322">
        <w:t xml:space="preserve"> is </w:t>
      </w:r>
      <w:r w:rsidR="004E5D84">
        <w:t>the fifth applicant</w:t>
      </w:r>
      <w:r w:rsidR="001F7322">
        <w:t>.  It</w:t>
      </w:r>
      <w:r w:rsidR="004E5D84">
        <w:t xml:space="preserve"> is a non-governmental organisation </w:t>
      </w:r>
      <w:r w:rsidR="003672B5">
        <w:t xml:space="preserve">which </w:t>
      </w:r>
      <w:r w:rsidR="004E5D84">
        <w:t>promot</w:t>
      </w:r>
      <w:r w:rsidR="003672B5">
        <w:t>es</w:t>
      </w:r>
      <w:r w:rsidR="004E5D84">
        <w:t xml:space="preserve"> land rights and agrarian reform with the object of redressing past injustices and improving </w:t>
      </w:r>
      <w:r w:rsidR="00452FDA">
        <w:t xml:space="preserve">the </w:t>
      </w:r>
      <w:r w:rsidR="004E5D84">
        <w:t xml:space="preserve">quality of life and livelihoods of rural </w:t>
      </w:r>
      <w:r w:rsidR="00EE25DC">
        <w:t>people</w:t>
      </w:r>
      <w:r w:rsidR="004E5D84">
        <w:t>.</w:t>
      </w:r>
    </w:p>
    <w:p w:rsidR="004E5D84" w:rsidRDefault="004E5D84" w:rsidP="004A5089"/>
    <w:p w:rsidR="004A5089" w:rsidRPr="004A5089" w:rsidRDefault="004E5D84" w:rsidP="004A5089">
      <w:r>
        <w:t>The</w:t>
      </w:r>
      <w:r w:rsidR="00A53199">
        <w:t xml:space="preserve"> applicants all</w:t>
      </w:r>
      <w:r>
        <w:t xml:space="preserve"> </w:t>
      </w:r>
      <w:r w:rsidR="00341D06">
        <w:t>approached</w:t>
      </w:r>
      <w:r w:rsidR="008009E7">
        <w:t xml:space="preserve"> the </w:t>
      </w:r>
      <w:r w:rsidR="00C774E6">
        <w:t>LCC</w:t>
      </w:r>
      <w:r w:rsidR="004A5089" w:rsidRPr="004A5089">
        <w:t xml:space="preserve"> in July 2013 challenging the Department’s failur</w:t>
      </w:r>
      <w:r w:rsidR="008D66B8">
        <w:t xml:space="preserve">e to process </w:t>
      </w:r>
      <w:r w:rsidR="00935525">
        <w:t xml:space="preserve">labour tenant </w:t>
      </w:r>
      <w:r w:rsidR="008D66B8">
        <w:t xml:space="preserve">applications. </w:t>
      </w:r>
      <w:r w:rsidR="009D59D3">
        <w:t xml:space="preserve"> </w:t>
      </w:r>
      <w:r w:rsidR="003672B5">
        <w:t xml:space="preserve"> In 2016 </w:t>
      </w:r>
      <w:r w:rsidR="007733B4">
        <w:t xml:space="preserve">the </w:t>
      </w:r>
      <w:r w:rsidR="003672B5">
        <w:t xml:space="preserve">LCC </w:t>
      </w:r>
      <w:r w:rsidR="00D52A9A">
        <w:t xml:space="preserve">ordered the </w:t>
      </w:r>
      <w:r w:rsidR="004A5089" w:rsidRPr="004A5089">
        <w:t>appoint</w:t>
      </w:r>
      <w:r w:rsidR="00D52A9A">
        <w:t>ment of</w:t>
      </w:r>
      <w:r w:rsidR="004A5089" w:rsidRPr="004A5089">
        <w:t xml:space="preserve"> a “Special Master of La</w:t>
      </w:r>
      <w:r w:rsidR="00EB65A0">
        <w:t>bour</w:t>
      </w:r>
      <w:r w:rsidR="004A5089" w:rsidRPr="004A5089">
        <w:t xml:space="preserve"> Tenants” to assist </w:t>
      </w:r>
      <w:r w:rsidR="00CD3783">
        <w:t xml:space="preserve">the LCC </w:t>
      </w:r>
      <w:r w:rsidR="004A5089" w:rsidRPr="004A5089">
        <w:t>in monitoring the Director-General</w:t>
      </w:r>
      <w:r w:rsidR="008D66B8">
        <w:t xml:space="preserve"> (DG)</w:t>
      </w:r>
      <w:r w:rsidR="004A5089" w:rsidRPr="004A5089">
        <w:t xml:space="preserve"> and the Department’s </w:t>
      </w:r>
      <w:r w:rsidR="00973951">
        <w:t>implementation of the LTA.</w:t>
      </w:r>
    </w:p>
    <w:p w:rsidR="004A5089" w:rsidRPr="004A5089" w:rsidRDefault="004A5089" w:rsidP="004A5089"/>
    <w:p w:rsidR="00385062" w:rsidRDefault="004A5089" w:rsidP="008D66B8">
      <w:r w:rsidRPr="004A5089">
        <w:t xml:space="preserve">In the </w:t>
      </w:r>
      <w:r w:rsidR="00C774E6">
        <w:t>SCA</w:t>
      </w:r>
      <w:r w:rsidRPr="004A5089">
        <w:t xml:space="preserve">, the </w:t>
      </w:r>
      <w:r w:rsidR="008D66B8">
        <w:t>DG</w:t>
      </w:r>
      <w:r w:rsidRPr="004A5089">
        <w:t xml:space="preserve"> and the Minister appealed against the appointment of</w:t>
      </w:r>
      <w:r w:rsidR="008D66B8">
        <w:t xml:space="preserve"> a Special</w:t>
      </w:r>
      <w:r w:rsidR="003672B5">
        <w:t> </w:t>
      </w:r>
      <w:r w:rsidR="008D66B8">
        <w:t>M</w:t>
      </w:r>
      <w:r w:rsidRPr="004A5089">
        <w:t>aster.  The majority judgment</w:t>
      </w:r>
      <w:r w:rsidR="00CD3783">
        <w:t xml:space="preserve"> affirmed much of the LCC’s approach and order – but it </w:t>
      </w:r>
      <w:r w:rsidR="0056149C" w:rsidRPr="0056149C">
        <w:t xml:space="preserve">excised the heart of the </w:t>
      </w:r>
      <w:r w:rsidR="00CD3783">
        <w:t xml:space="preserve">relief the </w:t>
      </w:r>
      <w:r w:rsidR="0056149C" w:rsidRPr="0056149C">
        <w:t>L</w:t>
      </w:r>
      <w:r w:rsidR="00CD3783">
        <w:t>CC had granted</w:t>
      </w:r>
      <w:r w:rsidR="0056149C" w:rsidRPr="0056149C">
        <w:t>.  This wa</w:t>
      </w:r>
      <w:r w:rsidR="0056149C">
        <w:t xml:space="preserve">s the </w:t>
      </w:r>
      <w:r w:rsidR="00F9521D">
        <w:t xml:space="preserve">appointment of </w:t>
      </w:r>
      <w:r w:rsidR="00EF10BB">
        <w:t xml:space="preserve">a </w:t>
      </w:r>
      <w:r w:rsidR="0056149C">
        <w:t>Special Master.  The SCA</w:t>
      </w:r>
      <w:r w:rsidR="0056149C" w:rsidRPr="0056149C">
        <w:t xml:space="preserve"> considered the concept </w:t>
      </w:r>
      <w:r w:rsidR="007733B4">
        <w:t xml:space="preserve">of “Special Master” </w:t>
      </w:r>
      <w:r w:rsidR="0056149C" w:rsidRPr="0056149C">
        <w:t xml:space="preserve">an inapposite and untimely foreign import.  </w:t>
      </w:r>
      <w:r w:rsidR="003672B5">
        <w:t xml:space="preserve">Further, the </w:t>
      </w:r>
      <w:r w:rsidR="00CD3783">
        <w:t xml:space="preserve">SCA </w:t>
      </w:r>
      <w:r w:rsidR="00973951">
        <w:t>found</w:t>
      </w:r>
      <w:r w:rsidR="00243F11">
        <w:t xml:space="preserve"> </w:t>
      </w:r>
      <w:r w:rsidR="008009E7">
        <w:t xml:space="preserve">that the </w:t>
      </w:r>
      <w:r w:rsidR="00C774E6">
        <w:t>LCC</w:t>
      </w:r>
      <w:r w:rsidR="00B84761">
        <w:t xml:space="preserve"> had overreached its judicial role</w:t>
      </w:r>
      <w:r w:rsidR="003672B5">
        <w:t>.</w:t>
      </w:r>
      <w:r w:rsidR="00452FDA">
        <w:t xml:space="preserve">  </w:t>
      </w:r>
      <w:r w:rsidR="00CD3783">
        <w:t xml:space="preserve">A </w:t>
      </w:r>
      <w:r w:rsidR="00243F11">
        <w:t>dissent</w:t>
      </w:r>
      <w:r w:rsidR="005F2B5C">
        <w:t>ing judgment</w:t>
      </w:r>
      <w:r w:rsidR="00243F11">
        <w:t xml:space="preserve"> held</w:t>
      </w:r>
      <w:r w:rsidRPr="004A5089">
        <w:t xml:space="preserve"> that the resort to a </w:t>
      </w:r>
      <w:r w:rsidR="005A4B3C">
        <w:t>S</w:t>
      </w:r>
      <w:r w:rsidRPr="004A5089">
        <w:t xml:space="preserve">pecial </w:t>
      </w:r>
      <w:r w:rsidR="005A4B3C">
        <w:t>M</w:t>
      </w:r>
      <w:r w:rsidRPr="004A5089">
        <w:t xml:space="preserve">aster fell within the </w:t>
      </w:r>
      <w:r w:rsidR="00C774E6">
        <w:t>LCC</w:t>
      </w:r>
      <w:r w:rsidR="00243F11">
        <w:t xml:space="preserve">’s </w:t>
      </w:r>
      <w:r w:rsidRPr="004A5089">
        <w:t>remedial</w:t>
      </w:r>
      <w:r w:rsidR="00243F11">
        <w:t xml:space="preserve"> powers</w:t>
      </w:r>
      <w:r w:rsidR="002617B3">
        <w:t>.</w:t>
      </w:r>
    </w:p>
    <w:p w:rsidR="005C743F" w:rsidRDefault="005C743F" w:rsidP="008D66B8"/>
    <w:p w:rsidR="008D66B8" w:rsidRDefault="004A5089" w:rsidP="008D66B8">
      <w:r w:rsidRPr="004A5089">
        <w:t xml:space="preserve">The applicants </w:t>
      </w:r>
      <w:r w:rsidR="00341D06">
        <w:t>approached</w:t>
      </w:r>
      <w:r w:rsidR="009613F3">
        <w:t xml:space="preserve"> the Constitutional</w:t>
      </w:r>
      <w:r w:rsidRPr="004A5089">
        <w:t xml:space="preserve"> Court for leave to appeal </w:t>
      </w:r>
      <w:r w:rsidR="00385062">
        <w:t xml:space="preserve">against </w:t>
      </w:r>
      <w:r w:rsidRPr="004A5089">
        <w:t xml:space="preserve">both the </w:t>
      </w:r>
      <w:r w:rsidR="00EE753A">
        <w:t>S</w:t>
      </w:r>
      <w:r w:rsidRPr="004A5089">
        <w:t xml:space="preserve">pecial </w:t>
      </w:r>
      <w:r w:rsidR="00EE753A">
        <w:t>M</w:t>
      </w:r>
      <w:r w:rsidR="008D66B8">
        <w:t>aster and the contempt</w:t>
      </w:r>
      <w:r w:rsidR="00385062">
        <w:t xml:space="preserve"> findings</w:t>
      </w:r>
      <w:r w:rsidR="00013101">
        <w:t xml:space="preserve"> of the SCA</w:t>
      </w:r>
      <w:r w:rsidR="008D66B8">
        <w:t>.</w:t>
      </w:r>
      <w:r w:rsidR="00243F11">
        <w:t xml:space="preserve">  </w:t>
      </w:r>
      <w:r w:rsidR="006874E4">
        <w:t>In particular, the</w:t>
      </w:r>
      <w:r w:rsidR="00D33D3A">
        <w:t>y</w:t>
      </w:r>
      <w:r w:rsidR="006874E4">
        <w:t xml:space="preserve"> sought to restore</w:t>
      </w:r>
      <w:r w:rsidR="008009E7">
        <w:t xml:space="preserve"> the </w:t>
      </w:r>
      <w:r w:rsidR="00C774E6">
        <w:t>LCC</w:t>
      </w:r>
      <w:r w:rsidR="008009E7">
        <w:t xml:space="preserve"> order</w:t>
      </w:r>
      <w:r w:rsidR="00013101">
        <w:t xml:space="preserve"> appointing a Special Master</w:t>
      </w:r>
      <w:r w:rsidR="008009E7">
        <w:t xml:space="preserve">. </w:t>
      </w:r>
    </w:p>
    <w:p w:rsidR="008009E7" w:rsidRDefault="008009E7" w:rsidP="008D66B8"/>
    <w:p w:rsidR="007D51D1" w:rsidRPr="007D51D1" w:rsidRDefault="008009E7" w:rsidP="007D51D1">
      <w:r>
        <w:t>The</w:t>
      </w:r>
      <w:r w:rsidR="008D66B8">
        <w:t xml:space="preserve"> </w:t>
      </w:r>
      <w:r w:rsidR="00341D06">
        <w:t>majority judgment penned by Cameron J</w:t>
      </w:r>
      <w:r w:rsidR="009613F3">
        <w:t xml:space="preserve"> (</w:t>
      </w:r>
      <w:proofErr w:type="spellStart"/>
      <w:r w:rsidR="009613F3">
        <w:t>Froneman</w:t>
      </w:r>
      <w:proofErr w:type="spellEnd"/>
      <w:r w:rsidR="009613F3">
        <w:t xml:space="preserve"> J, </w:t>
      </w:r>
      <w:proofErr w:type="spellStart"/>
      <w:r w:rsidR="009613F3">
        <w:t>Khampepe</w:t>
      </w:r>
      <w:proofErr w:type="spellEnd"/>
      <w:r w:rsidR="009613F3">
        <w:t xml:space="preserve"> J, </w:t>
      </w:r>
      <w:proofErr w:type="spellStart"/>
      <w:r w:rsidR="009613F3">
        <w:t>Madlanga</w:t>
      </w:r>
      <w:proofErr w:type="spellEnd"/>
      <w:r w:rsidR="009613F3">
        <w:t xml:space="preserve"> J, </w:t>
      </w:r>
      <w:proofErr w:type="spellStart"/>
      <w:r w:rsidR="009613F3">
        <w:t>Mhlantla</w:t>
      </w:r>
      <w:proofErr w:type="spellEnd"/>
      <w:r w:rsidR="009613F3">
        <w:t xml:space="preserve"> </w:t>
      </w:r>
      <w:r w:rsidR="00925A0F">
        <w:t>J, Nicholls AJ and Theron J concurring)</w:t>
      </w:r>
      <w:r w:rsidR="00812162">
        <w:t xml:space="preserve"> </w:t>
      </w:r>
      <w:r w:rsidR="00794A7A">
        <w:t>held that f</w:t>
      </w:r>
      <w:r w:rsidR="00BD1693">
        <w:t xml:space="preserve">or </w:t>
      </w:r>
      <w:r w:rsidR="007D51D1" w:rsidRPr="007D51D1">
        <w:t xml:space="preserve">over two decades, the Department has manifested </w:t>
      </w:r>
      <w:r w:rsidR="00794A7A">
        <w:t xml:space="preserve">what </w:t>
      </w:r>
      <w:r w:rsidR="00D33D3A">
        <w:t xml:space="preserve">has </w:t>
      </w:r>
      <w:r w:rsidR="00794A7A">
        <w:t>seemed</w:t>
      </w:r>
      <w:r w:rsidR="007D51D1" w:rsidRPr="007D51D1">
        <w:t xml:space="preserve"> to be obstinate misapprehension of its statutory duties</w:t>
      </w:r>
      <w:r w:rsidR="00794A7A">
        <w:t>.  It had further</w:t>
      </w:r>
      <w:r w:rsidR="007D51D1" w:rsidRPr="007D51D1">
        <w:t xml:space="preserve"> shown unresponsiveness plus a refusal to account to those dependent on its cooperation for the realisation of their land claims.  </w:t>
      </w:r>
      <w:r w:rsidR="00794A7A">
        <w:t>The Court found that w</w:t>
      </w:r>
      <w:r>
        <w:t>hile</w:t>
      </w:r>
      <w:r w:rsidR="007D51D1" w:rsidRPr="007D51D1">
        <w:t xml:space="preserve"> </w:t>
      </w:r>
      <w:r>
        <w:t xml:space="preserve">the </w:t>
      </w:r>
      <w:r w:rsidR="007D51D1" w:rsidRPr="007D51D1">
        <w:t xml:space="preserve">good faith and good intentions of </w:t>
      </w:r>
      <w:r w:rsidR="00C33BDF">
        <w:t xml:space="preserve">the Department’s </w:t>
      </w:r>
      <w:r w:rsidR="007D51D1" w:rsidRPr="007D51D1">
        <w:t>promises and undertakings may be accepted, they have repeatedly not been translated into effective, rights-affirming practical action.</w:t>
      </w:r>
    </w:p>
    <w:p w:rsidR="007D51D1" w:rsidRPr="007D51D1" w:rsidRDefault="007D51D1" w:rsidP="007D51D1"/>
    <w:p w:rsidR="00E8120E" w:rsidRDefault="00794A7A" w:rsidP="00E8120E">
      <w:r>
        <w:t>The Court found that the doctrine</w:t>
      </w:r>
      <w:r w:rsidR="007D51D1" w:rsidRPr="007D51D1">
        <w:t xml:space="preserve"> </w:t>
      </w:r>
      <w:r w:rsidR="00C33BDF">
        <w:t xml:space="preserve">of </w:t>
      </w:r>
      <w:r w:rsidR="007D51D1" w:rsidRPr="007D51D1">
        <w:t xml:space="preserve">separation of powers </w:t>
      </w:r>
      <w:r>
        <w:t xml:space="preserve">does not </w:t>
      </w:r>
      <w:r w:rsidR="007D51D1" w:rsidRPr="007D51D1">
        <w:t xml:space="preserve">imply a rigid or static conception of strictly demarcated functional roles.  The </w:t>
      </w:r>
      <w:r w:rsidR="003F7932">
        <w:t xml:space="preserve">three </w:t>
      </w:r>
      <w:r w:rsidR="007D51D1" w:rsidRPr="007D51D1">
        <w:t xml:space="preserve">branches share a commitment to the Constitution’s vision of justice, dignity and equality.  </w:t>
      </w:r>
      <w:r w:rsidR="003F7932">
        <w:t xml:space="preserve">They </w:t>
      </w:r>
      <w:r w:rsidR="00F32F0E" w:rsidRPr="00F32F0E">
        <w:t xml:space="preserve">are not at odds about fulfilling the aspirations of the Constitution.  </w:t>
      </w:r>
      <w:r w:rsidR="00F43C38">
        <w:t xml:space="preserve">Rather, </w:t>
      </w:r>
      <w:r w:rsidR="00584400">
        <w:t xml:space="preserve">all three branches </w:t>
      </w:r>
      <w:r w:rsidR="007D51D1" w:rsidRPr="007D51D1">
        <w:t xml:space="preserve">are engaged in a shared enterprise of fulfilling practical constitutional promises to the </w:t>
      </w:r>
      <w:proofErr w:type="gramStart"/>
      <w:r w:rsidR="007D51D1" w:rsidRPr="007D51D1">
        <w:t>country’s</w:t>
      </w:r>
      <w:proofErr w:type="gramEnd"/>
      <w:r w:rsidR="007D51D1" w:rsidRPr="007D51D1">
        <w:t xml:space="preserve"> most vulnerable.</w:t>
      </w:r>
      <w:r w:rsidR="005C743F">
        <w:t xml:space="preserve">  </w:t>
      </w:r>
      <w:r w:rsidR="00F32F0E">
        <w:t xml:space="preserve">The Court held </w:t>
      </w:r>
      <w:r w:rsidR="00E8120E">
        <w:t xml:space="preserve">it is </w:t>
      </w:r>
      <w:r w:rsidR="00795CE5">
        <w:t>a crisi</w:t>
      </w:r>
      <w:r w:rsidR="00E8120E">
        <w:t>s in governmental delivery, and not any judicial wish to explore the limits of separatio</w:t>
      </w:r>
      <w:r w:rsidR="00795CE5">
        <w:t>n of powers</w:t>
      </w:r>
      <w:r w:rsidR="00D91E51">
        <w:t>, that demands effective judicial remedies</w:t>
      </w:r>
      <w:r w:rsidR="00F32F0E">
        <w:t xml:space="preserve">.  </w:t>
      </w:r>
      <w:r w:rsidR="00D91E51">
        <w:t>W</w:t>
      </w:r>
      <w:r w:rsidR="00F32F0E">
        <w:t>hen</w:t>
      </w:r>
      <w:r w:rsidR="00D91E51">
        <w:t xml:space="preserve"> </w:t>
      </w:r>
      <w:r w:rsidR="00E8120E">
        <w:t xml:space="preserve">egregious infringements have occurred, the courts have had little choice in their duty to provide effective relief.  </w:t>
      </w:r>
      <w:r w:rsidR="00FD137A">
        <w:t>T</w:t>
      </w:r>
      <w:r w:rsidR="00F32F0E">
        <w:t>hese</w:t>
      </w:r>
      <w:r w:rsidR="00FD137A">
        <w:t xml:space="preserve"> </w:t>
      </w:r>
      <w:r w:rsidR="00216163">
        <w:t>cases</w:t>
      </w:r>
      <w:r w:rsidR="00E8120E">
        <w:t xml:space="preserve"> </w:t>
      </w:r>
      <w:r w:rsidR="00F32F0E">
        <w:t xml:space="preserve">demonstrated the need for judicial intervention where </w:t>
      </w:r>
      <w:r w:rsidR="00E6240F">
        <w:t>the most vulnerable and</w:t>
      </w:r>
      <w:r w:rsidR="00E8120E">
        <w:t xml:space="preserve"> marginalised have suffered from the insufficiency of governmental delivery.</w:t>
      </w:r>
      <w:r w:rsidR="00B11126">
        <w:t xml:space="preserve">  This is especially so in land restitution and land reform.</w:t>
      </w:r>
    </w:p>
    <w:p w:rsidR="00E8120E" w:rsidRDefault="00E8120E" w:rsidP="00E8120E"/>
    <w:p w:rsidR="00DB006B" w:rsidRDefault="00E8120E" w:rsidP="00E8120E">
      <w:r>
        <w:t xml:space="preserve">The </w:t>
      </w:r>
      <w:r w:rsidR="00327EA1">
        <w:t xml:space="preserve">Court found that the </w:t>
      </w:r>
      <w:r w:rsidR="00C774E6">
        <w:t>SCA</w:t>
      </w:r>
      <w:r w:rsidR="00327EA1">
        <w:t xml:space="preserve"> erred in finding</w:t>
      </w:r>
      <w:r w:rsidR="00956BF9">
        <w:t xml:space="preserve"> that the Special Master might</w:t>
      </w:r>
      <w:r>
        <w:t xml:space="preserve"> “effectively usurp the functions of the DG and officials of the Department</w:t>
      </w:r>
      <w:r w:rsidR="00956BF9">
        <w:t xml:space="preserve">”. </w:t>
      </w:r>
      <w:r w:rsidR="008009E7">
        <w:t xml:space="preserve"> The </w:t>
      </w:r>
      <w:r w:rsidR="00C774E6">
        <w:t>LCC</w:t>
      </w:r>
      <w:r>
        <w:t xml:space="preserve"> set the scope of the </w:t>
      </w:r>
      <w:r w:rsidR="008E5AD9">
        <w:t xml:space="preserve">Special Master’s mandate itself.  It </w:t>
      </w:r>
      <w:r>
        <w:t xml:space="preserve">retained control.  </w:t>
      </w:r>
      <w:r w:rsidR="00327EA1">
        <w:t xml:space="preserve">The Special Master at all times </w:t>
      </w:r>
      <w:r w:rsidR="00CC2497">
        <w:t xml:space="preserve">remained </w:t>
      </w:r>
      <w:r w:rsidR="00F9521D">
        <w:t>an agent of the C</w:t>
      </w:r>
      <w:r w:rsidR="00327EA1">
        <w:t xml:space="preserve">ourt and acted as an extension of the </w:t>
      </w:r>
      <w:r w:rsidR="00CC2497">
        <w:t>c</w:t>
      </w:r>
      <w:r w:rsidR="00327EA1">
        <w:t>ourt’s supervisory jurisdiction.</w:t>
      </w:r>
      <w:r w:rsidR="00053C95">
        <w:t xml:space="preserve"> </w:t>
      </w:r>
      <w:r w:rsidR="003672B5">
        <w:t xml:space="preserve"> </w:t>
      </w:r>
      <w:r w:rsidR="00266610">
        <w:t xml:space="preserve">Hence </w:t>
      </w:r>
      <w:r w:rsidR="00053C95">
        <w:t>the Special Master’s independence is a product of the independence of the Court</w:t>
      </w:r>
      <w:r w:rsidR="00266610">
        <w:t xml:space="preserve"> itself</w:t>
      </w:r>
      <w:r w:rsidR="00053C95">
        <w:t>.</w:t>
      </w:r>
    </w:p>
    <w:p w:rsidR="00DB006B" w:rsidRDefault="00DB006B" w:rsidP="00E8120E"/>
    <w:p w:rsidR="00E8120E" w:rsidRPr="00E8120E" w:rsidRDefault="003672B5" w:rsidP="00E8120E">
      <w:r>
        <w:t xml:space="preserve">The Court held that </w:t>
      </w:r>
      <w:r w:rsidR="008009E7">
        <w:t xml:space="preserve">the </w:t>
      </w:r>
      <w:r w:rsidR="00C774E6">
        <w:t>LCC</w:t>
      </w:r>
      <w:r w:rsidR="00DB006B">
        <w:t xml:space="preserve"> </w:t>
      </w:r>
      <w:r>
        <w:t xml:space="preserve">does </w:t>
      </w:r>
      <w:r w:rsidR="00DB006B">
        <w:t xml:space="preserve">have </w:t>
      </w:r>
      <w:r w:rsidR="00216163">
        <w:t xml:space="preserve">the </w:t>
      </w:r>
      <w:r w:rsidR="00E8120E">
        <w:t>statutory power to order th</w:t>
      </w:r>
      <w:r w:rsidR="00216163">
        <w:t>e Special Master’s appointment</w:t>
      </w:r>
      <w:r>
        <w:t xml:space="preserve"> s</w:t>
      </w:r>
      <w:r w:rsidR="00660CD3">
        <w:t xml:space="preserve">ince </w:t>
      </w:r>
      <w:r w:rsidR="008009E7">
        <w:t xml:space="preserve">the </w:t>
      </w:r>
      <w:r w:rsidR="00C774E6">
        <w:t>LCC</w:t>
      </w:r>
      <w:r w:rsidR="00327EA1">
        <w:t xml:space="preserve"> </w:t>
      </w:r>
      <w:r w:rsidR="00DB006B">
        <w:t>a</w:t>
      </w:r>
      <w:r w:rsidR="00ED7F73">
        <w:t>s a court of law</w:t>
      </w:r>
      <w:r w:rsidR="00DB006B">
        <w:t xml:space="preserve"> has</w:t>
      </w:r>
      <w:r w:rsidR="00E8120E" w:rsidRPr="00E8120E">
        <w:t xml:space="preserve"> all</w:t>
      </w:r>
      <w:r w:rsidR="00216163">
        <w:t xml:space="preserve"> the powers </w:t>
      </w:r>
      <w:r w:rsidR="00327EA1">
        <w:t xml:space="preserve">of </w:t>
      </w:r>
      <w:r w:rsidR="00216163">
        <w:t xml:space="preserve">the High Court </w:t>
      </w:r>
      <w:r w:rsidR="00E8120E" w:rsidRPr="00E8120E">
        <w:t xml:space="preserve">in relation to matters </w:t>
      </w:r>
      <w:r w:rsidR="006874E4">
        <w:t>falling within its jurisdiction</w:t>
      </w:r>
      <w:r w:rsidR="00660CD3">
        <w:t xml:space="preserve">, </w:t>
      </w:r>
      <w:r w:rsidR="008009E7">
        <w:t xml:space="preserve">the Constitution </w:t>
      </w:r>
      <w:r w:rsidR="00DB006B">
        <w:t xml:space="preserve">gives </w:t>
      </w:r>
      <w:r w:rsidR="00660CD3">
        <w:t xml:space="preserve">it </w:t>
      </w:r>
      <w:r w:rsidR="00E8120E" w:rsidRPr="00E8120E">
        <w:t>power, when deciding a constitutional matter within its power, to make any order that is just and equitable.</w:t>
      </w:r>
      <w:r w:rsidR="005C743F">
        <w:t xml:space="preserve">  </w:t>
      </w:r>
      <w:r w:rsidR="00660CD3">
        <w:t xml:space="preserve">In addition, </w:t>
      </w:r>
      <w:r w:rsidR="008009E7">
        <w:t xml:space="preserve">the </w:t>
      </w:r>
      <w:r w:rsidR="00C774E6">
        <w:t>LCC</w:t>
      </w:r>
      <w:r w:rsidR="00E8120E" w:rsidRPr="00E8120E">
        <w:t xml:space="preserve"> was exercising </w:t>
      </w:r>
      <w:r w:rsidR="006874E4">
        <w:t xml:space="preserve">a true discretion as a specialist </w:t>
      </w:r>
      <w:r w:rsidR="00EF10BB">
        <w:t>C</w:t>
      </w:r>
      <w:r w:rsidR="006874E4">
        <w:t xml:space="preserve">ourt </w:t>
      </w:r>
      <w:r w:rsidR="00E8120E" w:rsidRPr="00E8120E">
        <w:t>in assess</w:t>
      </w:r>
      <w:r w:rsidR="00DB006B">
        <w:t>ing</w:t>
      </w:r>
      <w:r w:rsidR="00E8120E" w:rsidRPr="00E8120E">
        <w:t xml:space="preserve"> its own capacity and expertise to ensure an effective remedy within a field the statute specially entrusts to it.</w:t>
      </w:r>
      <w:r w:rsidR="006874E4">
        <w:t xml:space="preserve">  </w:t>
      </w:r>
      <w:r w:rsidR="00ED7F73">
        <w:t>T</w:t>
      </w:r>
      <w:r w:rsidR="00E8120E" w:rsidRPr="00E8120E">
        <w:t xml:space="preserve">he </w:t>
      </w:r>
      <w:r w:rsidR="00C774E6">
        <w:t>LCC</w:t>
      </w:r>
      <w:r w:rsidR="00E8120E" w:rsidRPr="00E8120E">
        <w:t xml:space="preserve"> directed itself properly and scrupulously to the facts before it.  </w:t>
      </w:r>
      <w:r w:rsidR="006874E4">
        <w:t xml:space="preserve">Therefore, </w:t>
      </w:r>
      <w:r w:rsidR="009B5AD6">
        <w:t xml:space="preserve">the </w:t>
      </w:r>
      <w:r w:rsidR="00C774E6">
        <w:t>LCC</w:t>
      </w:r>
      <w:r w:rsidR="009B5AD6">
        <w:t>’s</w:t>
      </w:r>
      <w:r w:rsidR="00E8120E" w:rsidRPr="00E8120E">
        <w:t xml:space="preserve"> </w:t>
      </w:r>
      <w:r w:rsidR="006874E4">
        <w:t xml:space="preserve">order had to </w:t>
      </w:r>
      <w:r w:rsidR="00E8120E" w:rsidRPr="00E8120E">
        <w:t>be restored.</w:t>
      </w:r>
    </w:p>
    <w:p w:rsidR="00ED7F73" w:rsidRDefault="00ED7F73" w:rsidP="00E8120E"/>
    <w:p w:rsidR="00E8120E" w:rsidRDefault="006874E4" w:rsidP="00E8120E">
      <w:r>
        <w:t>On the question of the Minister’s c</w:t>
      </w:r>
      <w:r w:rsidR="008009E7">
        <w:t>on</w:t>
      </w:r>
      <w:r>
        <w:t xml:space="preserve">tempt, the Court </w:t>
      </w:r>
      <w:r w:rsidR="00DB006B">
        <w:t xml:space="preserve">came to the same conclusion as the LCC and SCA.  It </w:t>
      </w:r>
      <w:r>
        <w:t>found that it</w:t>
      </w:r>
      <w:r w:rsidR="00ED7F73">
        <w:t xml:space="preserve"> wa</w:t>
      </w:r>
      <w:r w:rsidR="00E8120E">
        <w:t xml:space="preserve">s not possible on the affidavits </w:t>
      </w:r>
      <w:r>
        <w:t xml:space="preserve">before it </w:t>
      </w:r>
      <w:r w:rsidR="00E8120E">
        <w:t>to inf</w:t>
      </w:r>
      <w:r>
        <w:t>er that the Minister</w:t>
      </w:r>
      <w:r w:rsidR="00ED7F73">
        <w:t xml:space="preserve"> acted in bad faith.</w:t>
      </w:r>
    </w:p>
    <w:p w:rsidR="004578F6" w:rsidRDefault="004578F6" w:rsidP="00E8120E"/>
    <w:p w:rsidR="004578F6" w:rsidRDefault="004578F6" w:rsidP="004578F6">
      <w:r>
        <w:t xml:space="preserve">A second judgment penned by </w:t>
      </w:r>
      <w:proofErr w:type="spellStart"/>
      <w:r>
        <w:t>Jafta</w:t>
      </w:r>
      <w:proofErr w:type="spellEnd"/>
      <w:r>
        <w:t xml:space="preserve"> J (with </w:t>
      </w:r>
      <w:proofErr w:type="spellStart"/>
      <w:r>
        <w:t>Ledwaba</w:t>
      </w:r>
      <w:proofErr w:type="spellEnd"/>
      <w:r>
        <w:t xml:space="preserve"> AJ concurring), concurred with the first judgment regarding the LCC’s power to appoint the Special Master.  It however disagreed with the first judgment with regard to the source of that power.   The first judgment found that when appointing the Special Master, the LCC was exercising its inherent power to regulate its own process and to develop the common law in terms of section 173 of the Constitution.  The second judgment found that the LCC was exercising the remedial powers conferred to it by section 172 of the Constitution, which obliges a court to make a declaratory order pertaining to law or conduct inconsistent with the Constitution.  The second judgment found that the power to make a declaratory order includes the power to issue a supervisory order.</w:t>
      </w:r>
    </w:p>
    <w:p w:rsidR="004578F6" w:rsidRDefault="004578F6" w:rsidP="004578F6"/>
    <w:p w:rsidR="004578F6" w:rsidRDefault="004578F6" w:rsidP="004578F6">
      <w:r>
        <w:t>With regard to the order, the second judgment found that the LCC expressly directed the Special Master to prepare and deliver a plan for the performance of the DG’s duties under specified sections of the LTA which included the determination of the budget necessary for the implementation of the plan.  The second judgment further found that the question that arose for consideration in this regard was whether the supervisory jurisdiction which forms part of the power to grant mandatory relief extended to cover the performance of departmental functions, including the preparation of budgets.  The second judgement found that interference by the judiciary on matters that have budgetary implication</w:t>
      </w:r>
      <w:r w:rsidR="009B5AD6">
        <w:t>s</w:t>
      </w:r>
      <w:r>
        <w:t xml:space="preserve"> has always been limited to deciding whether the plan adopted by the executive itself constituted reasonable measures as envisaged in the Constitution.  Therefore, to the extent that the LCC’s order authorised its agent</w:t>
      </w:r>
      <w:r w:rsidR="009613F3">
        <w:t>,</w:t>
      </w:r>
      <w:r>
        <w:t xml:space="preserve"> the Special Master</w:t>
      </w:r>
      <w:r w:rsidR="009613F3">
        <w:t>,</w:t>
      </w:r>
      <w:r>
        <w:t xml:space="preserve"> to draw up the implementation plan that incorporates a determination of the budget</w:t>
      </w:r>
      <w:r w:rsidR="009613F3">
        <w:t>, it</w:t>
      </w:r>
      <w:r>
        <w:t xml:space="preserve"> went beyond the usual bounds for judicial intervention.  The second judgment would have amended the </w:t>
      </w:r>
      <w:r>
        <w:lastRenderedPageBreak/>
        <w:t>order of the LCC in a manner that returns the exercise of powers to determine the budget to the DG and his staff.</w:t>
      </w:r>
    </w:p>
    <w:sectPr w:rsidR="004578F6" w:rsidSect="00883D6C">
      <w:headerReference w:type="even" r:id="rId10"/>
      <w:headerReference w:type="default" r:id="rId11"/>
      <w:footerReference w:type="even" r:id="rId12"/>
      <w:footerReference w:type="default" r:id="rId13"/>
      <w:headerReference w:type="first" r:id="rId14"/>
      <w:footerReference w:type="first" r:id="rId15"/>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54F4" w:rsidRDefault="004554F4" w:rsidP="004A5089">
      <w:r>
        <w:separator/>
      </w:r>
    </w:p>
  </w:endnote>
  <w:endnote w:type="continuationSeparator" w:id="0">
    <w:p w:rsidR="004554F4" w:rsidRDefault="004554F4" w:rsidP="004A50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5321" w:rsidRDefault="0097532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5321" w:rsidRDefault="0097532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5321" w:rsidRDefault="0097532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54F4" w:rsidRDefault="004554F4" w:rsidP="004A5089">
      <w:r>
        <w:separator/>
      </w:r>
    </w:p>
  </w:footnote>
  <w:footnote w:type="continuationSeparator" w:id="0">
    <w:p w:rsidR="004554F4" w:rsidRDefault="004554F4" w:rsidP="004A50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5321" w:rsidRDefault="0097532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5321" w:rsidRDefault="0097532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5321" w:rsidRDefault="0097532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F5A"/>
    <w:rsid w:val="00013101"/>
    <w:rsid w:val="0001609B"/>
    <w:rsid w:val="00017302"/>
    <w:rsid w:val="00023FA7"/>
    <w:rsid w:val="00032308"/>
    <w:rsid w:val="0003383F"/>
    <w:rsid w:val="00044771"/>
    <w:rsid w:val="00053C95"/>
    <w:rsid w:val="000548D7"/>
    <w:rsid w:val="00055B29"/>
    <w:rsid w:val="000654B1"/>
    <w:rsid w:val="0007028D"/>
    <w:rsid w:val="00070E99"/>
    <w:rsid w:val="0007636C"/>
    <w:rsid w:val="000806AE"/>
    <w:rsid w:val="00087099"/>
    <w:rsid w:val="00091F8C"/>
    <w:rsid w:val="00093E39"/>
    <w:rsid w:val="00094E7C"/>
    <w:rsid w:val="000A36D1"/>
    <w:rsid w:val="000A36F3"/>
    <w:rsid w:val="000B0B1E"/>
    <w:rsid w:val="000D09EA"/>
    <w:rsid w:val="000D35AE"/>
    <w:rsid w:val="000E52A5"/>
    <w:rsid w:val="000E7053"/>
    <w:rsid w:val="00100894"/>
    <w:rsid w:val="00113454"/>
    <w:rsid w:val="00117D6B"/>
    <w:rsid w:val="00121AD2"/>
    <w:rsid w:val="00122E3D"/>
    <w:rsid w:val="00125BE8"/>
    <w:rsid w:val="001322E2"/>
    <w:rsid w:val="0015307D"/>
    <w:rsid w:val="00160D56"/>
    <w:rsid w:val="00172A2C"/>
    <w:rsid w:val="001A24C8"/>
    <w:rsid w:val="001E31D8"/>
    <w:rsid w:val="001E57F4"/>
    <w:rsid w:val="001E5F5A"/>
    <w:rsid w:val="001E7604"/>
    <w:rsid w:val="001F2638"/>
    <w:rsid w:val="001F7322"/>
    <w:rsid w:val="00200AB8"/>
    <w:rsid w:val="00215823"/>
    <w:rsid w:val="00216163"/>
    <w:rsid w:val="00216BA1"/>
    <w:rsid w:val="002348C0"/>
    <w:rsid w:val="002435AB"/>
    <w:rsid w:val="00243F11"/>
    <w:rsid w:val="00250C27"/>
    <w:rsid w:val="00253986"/>
    <w:rsid w:val="002617B3"/>
    <w:rsid w:val="00266610"/>
    <w:rsid w:val="002705A8"/>
    <w:rsid w:val="0027251B"/>
    <w:rsid w:val="002739AF"/>
    <w:rsid w:val="002D184B"/>
    <w:rsid w:val="002D7582"/>
    <w:rsid w:val="002F354C"/>
    <w:rsid w:val="00305423"/>
    <w:rsid w:val="0030567C"/>
    <w:rsid w:val="0031182A"/>
    <w:rsid w:val="0031792A"/>
    <w:rsid w:val="00323149"/>
    <w:rsid w:val="003255EA"/>
    <w:rsid w:val="0032682A"/>
    <w:rsid w:val="00327EA1"/>
    <w:rsid w:val="00334E0F"/>
    <w:rsid w:val="00341D06"/>
    <w:rsid w:val="00346513"/>
    <w:rsid w:val="00357788"/>
    <w:rsid w:val="003672B5"/>
    <w:rsid w:val="00375CFE"/>
    <w:rsid w:val="0037720A"/>
    <w:rsid w:val="0038044D"/>
    <w:rsid w:val="003807A5"/>
    <w:rsid w:val="003845A8"/>
    <w:rsid w:val="00385062"/>
    <w:rsid w:val="003850ED"/>
    <w:rsid w:val="00386254"/>
    <w:rsid w:val="003B4484"/>
    <w:rsid w:val="003C40ED"/>
    <w:rsid w:val="003D1CF1"/>
    <w:rsid w:val="003D7359"/>
    <w:rsid w:val="003D7FBB"/>
    <w:rsid w:val="003E3480"/>
    <w:rsid w:val="003F0347"/>
    <w:rsid w:val="003F1959"/>
    <w:rsid w:val="003F3E2F"/>
    <w:rsid w:val="003F7932"/>
    <w:rsid w:val="004036FB"/>
    <w:rsid w:val="004065B7"/>
    <w:rsid w:val="00410075"/>
    <w:rsid w:val="00422805"/>
    <w:rsid w:val="004302FD"/>
    <w:rsid w:val="00430C6F"/>
    <w:rsid w:val="00433FFD"/>
    <w:rsid w:val="004426F8"/>
    <w:rsid w:val="00452FDA"/>
    <w:rsid w:val="004554F4"/>
    <w:rsid w:val="004578F6"/>
    <w:rsid w:val="00473B6F"/>
    <w:rsid w:val="00490F2C"/>
    <w:rsid w:val="004A1AEE"/>
    <w:rsid w:val="004A5089"/>
    <w:rsid w:val="004B1CB2"/>
    <w:rsid w:val="004C5AD8"/>
    <w:rsid w:val="004C7EF7"/>
    <w:rsid w:val="004D716D"/>
    <w:rsid w:val="004E5D84"/>
    <w:rsid w:val="005038A1"/>
    <w:rsid w:val="00510D1D"/>
    <w:rsid w:val="00514034"/>
    <w:rsid w:val="00515454"/>
    <w:rsid w:val="00524F3A"/>
    <w:rsid w:val="005257B9"/>
    <w:rsid w:val="00526226"/>
    <w:rsid w:val="005307A5"/>
    <w:rsid w:val="0053527E"/>
    <w:rsid w:val="0056149C"/>
    <w:rsid w:val="00571CD9"/>
    <w:rsid w:val="00573AEA"/>
    <w:rsid w:val="00584400"/>
    <w:rsid w:val="00587A53"/>
    <w:rsid w:val="0059206E"/>
    <w:rsid w:val="00594B56"/>
    <w:rsid w:val="00596826"/>
    <w:rsid w:val="005A4B3C"/>
    <w:rsid w:val="005A5D03"/>
    <w:rsid w:val="005A5FE7"/>
    <w:rsid w:val="005B2F2F"/>
    <w:rsid w:val="005B51EB"/>
    <w:rsid w:val="005C26FE"/>
    <w:rsid w:val="005C743F"/>
    <w:rsid w:val="005E52AC"/>
    <w:rsid w:val="005E557D"/>
    <w:rsid w:val="005F2B5C"/>
    <w:rsid w:val="005F322E"/>
    <w:rsid w:val="00616848"/>
    <w:rsid w:val="00624FFE"/>
    <w:rsid w:val="00630AA9"/>
    <w:rsid w:val="00642528"/>
    <w:rsid w:val="006474CE"/>
    <w:rsid w:val="006524D4"/>
    <w:rsid w:val="006543E3"/>
    <w:rsid w:val="00660CD3"/>
    <w:rsid w:val="006735C9"/>
    <w:rsid w:val="00674452"/>
    <w:rsid w:val="006749D6"/>
    <w:rsid w:val="00676CFE"/>
    <w:rsid w:val="00685C91"/>
    <w:rsid w:val="006874E4"/>
    <w:rsid w:val="006879F3"/>
    <w:rsid w:val="00694175"/>
    <w:rsid w:val="006966FC"/>
    <w:rsid w:val="006C7B70"/>
    <w:rsid w:val="006E6A2F"/>
    <w:rsid w:val="0070106B"/>
    <w:rsid w:val="007106E2"/>
    <w:rsid w:val="00712458"/>
    <w:rsid w:val="00716FAA"/>
    <w:rsid w:val="00720ACA"/>
    <w:rsid w:val="0073755D"/>
    <w:rsid w:val="00750F83"/>
    <w:rsid w:val="00752C8F"/>
    <w:rsid w:val="00762738"/>
    <w:rsid w:val="007659FF"/>
    <w:rsid w:val="007733B4"/>
    <w:rsid w:val="007746CE"/>
    <w:rsid w:val="00775169"/>
    <w:rsid w:val="00780874"/>
    <w:rsid w:val="0078535D"/>
    <w:rsid w:val="00794A7A"/>
    <w:rsid w:val="00795CE5"/>
    <w:rsid w:val="007A7ECE"/>
    <w:rsid w:val="007C65D9"/>
    <w:rsid w:val="007D51D1"/>
    <w:rsid w:val="007D6DF5"/>
    <w:rsid w:val="007F0EF4"/>
    <w:rsid w:val="007F7DCD"/>
    <w:rsid w:val="008009E7"/>
    <w:rsid w:val="00801124"/>
    <w:rsid w:val="00812162"/>
    <w:rsid w:val="0081741F"/>
    <w:rsid w:val="008209C7"/>
    <w:rsid w:val="00822D27"/>
    <w:rsid w:val="00823B02"/>
    <w:rsid w:val="0083215D"/>
    <w:rsid w:val="00834D25"/>
    <w:rsid w:val="008351C8"/>
    <w:rsid w:val="008376A5"/>
    <w:rsid w:val="0086048D"/>
    <w:rsid w:val="00862BA8"/>
    <w:rsid w:val="00866508"/>
    <w:rsid w:val="00867767"/>
    <w:rsid w:val="0087005B"/>
    <w:rsid w:val="00881D33"/>
    <w:rsid w:val="00882096"/>
    <w:rsid w:val="00883D6C"/>
    <w:rsid w:val="008943E7"/>
    <w:rsid w:val="008A5FDC"/>
    <w:rsid w:val="008B1777"/>
    <w:rsid w:val="008B532D"/>
    <w:rsid w:val="008B58EA"/>
    <w:rsid w:val="008C3682"/>
    <w:rsid w:val="008D24BC"/>
    <w:rsid w:val="008D3D39"/>
    <w:rsid w:val="008D66B8"/>
    <w:rsid w:val="008E2744"/>
    <w:rsid w:val="008E54C8"/>
    <w:rsid w:val="008E5AD9"/>
    <w:rsid w:val="008F4B8F"/>
    <w:rsid w:val="0090690C"/>
    <w:rsid w:val="00910F26"/>
    <w:rsid w:val="00911DB9"/>
    <w:rsid w:val="00925A0F"/>
    <w:rsid w:val="00935525"/>
    <w:rsid w:val="00956BF9"/>
    <w:rsid w:val="0096072E"/>
    <w:rsid w:val="009613F3"/>
    <w:rsid w:val="009642D7"/>
    <w:rsid w:val="00973951"/>
    <w:rsid w:val="00975321"/>
    <w:rsid w:val="009838A9"/>
    <w:rsid w:val="00992CAE"/>
    <w:rsid w:val="009B5AD6"/>
    <w:rsid w:val="009B7D1B"/>
    <w:rsid w:val="009D59D3"/>
    <w:rsid w:val="009E7D9D"/>
    <w:rsid w:val="00A0140F"/>
    <w:rsid w:val="00A142B7"/>
    <w:rsid w:val="00A37027"/>
    <w:rsid w:val="00A47D4A"/>
    <w:rsid w:val="00A51C04"/>
    <w:rsid w:val="00A53199"/>
    <w:rsid w:val="00A55B9B"/>
    <w:rsid w:val="00A55BAB"/>
    <w:rsid w:val="00A746A7"/>
    <w:rsid w:val="00A81378"/>
    <w:rsid w:val="00A86A0C"/>
    <w:rsid w:val="00AA17C0"/>
    <w:rsid w:val="00AA3378"/>
    <w:rsid w:val="00AC5170"/>
    <w:rsid w:val="00AC799A"/>
    <w:rsid w:val="00AD14A5"/>
    <w:rsid w:val="00AE4640"/>
    <w:rsid w:val="00AF0A36"/>
    <w:rsid w:val="00AF67D4"/>
    <w:rsid w:val="00AF6BB4"/>
    <w:rsid w:val="00B11126"/>
    <w:rsid w:val="00B3177F"/>
    <w:rsid w:val="00B31B92"/>
    <w:rsid w:val="00B36F54"/>
    <w:rsid w:val="00B428BE"/>
    <w:rsid w:val="00B4658E"/>
    <w:rsid w:val="00B630F2"/>
    <w:rsid w:val="00B75813"/>
    <w:rsid w:val="00B80F33"/>
    <w:rsid w:val="00B84761"/>
    <w:rsid w:val="00BA6787"/>
    <w:rsid w:val="00BD1693"/>
    <w:rsid w:val="00BD40DB"/>
    <w:rsid w:val="00BD56D1"/>
    <w:rsid w:val="00BD769E"/>
    <w:rsid w:val="00BE6FBD"/>
    <w:rsid w:val="00C14E9E"/>
    <w:rsid w:val="00C15790"/>
    <w:rsid w:val="00C33BDF"/>
    <w:rsid w:val="00C33C2A"/>
    <w:rsid w:val="00C43D8A"/>
    <w:rsid w:val="00C44D82"/>
    <w:rsid w:val="00C45F8A"/>
    <w:rsid w:val="00C47F29"/>
    <w:rsid w:val="00C51AFC"/>
    <w:rsid w:val="00C536E8"/>
    <w:rsid w:val="00C55A66"/>
    <w:rsid w:val="00C616DF"/>
    <w:rsid w:val="00C658CA"/>
    <w:rsid w:val="00C70B69"/>
    <w:rsid w:val="00C750A0"/>
    <w:rsid w:val="00C774E6"/>
    <w:rsid w:val="00C85429"/>
    <w:rsid w:val="00C96321"/>
    <w:rsid w:val="00CA21ED"/>
    <w:rsid w:val="00CA458C"/>
    <w:rsid w:val="00CB2E3D"/>
    <w:rsid w:val="00CC2497"/>
    <w:rsid w:val="00CC3931"/>
    <w:rsid w:val="00CD3783"/>
    <w:rsid w:val="00CE4122"/>
    <w:rsid w:val="00CE51A0"/>
    <w:rsid w:val="00D10EE1"/>
    <w:rsid w:val="00D12501"/>
    <w:rsid w:val="00D200E8"/>
    <w:rsid w:val="00D33D3A"/>
    <w:rsid w:val="00D356A3"/>
    <w:rsid w:val="00D3622B"/>
    <w:rsid w:val="00D40819"/>
    <w:rsid w:val="00D52A9A"/>
    <w:rsid w:val="00D5744B"/>
    <w:rsid w:val="00D64E65"/>
    <w:rsid w:val="00D659C5"/>
    <w:rsid w:val="00D81F8F"/>
    <w:rsid w:val="00D86239"/>
    <w:rsid w:val="00D870FF"/>
    <w:rsid w:val="00D91E51"/>
    <w:rsid w:val="00DB006B"/>
    <w:rsid w:val="00DB011F"/>
    <w:rsid w:val="00DB12FA"/>
    <w:rsid w:val="00DB1820"/>
    <w:rsid w:val="00DB1A44"/>
    <w:rsid w:val="00DD5682"/>
    <w:rsid w:val="00DE5133"/>
    <w:rsid w:val="00DE7B41"/>
    <w:rsid w:val="00E07942"/>
    <w:rsid w:val="00E27310"/>
    <w:rsid w:val="00E545EA"/>
    <w:rsid w:val="00E608AB"/>
    <w:rsid w:val="00E6240F"/>
    <w:rsid w:val="00E661EE"/>
    <w:rsid w:val="00E7259F"/>
    <w:rsid w:val="00E736CB"/>
    <w:rsid w:val="00E8120E"/>
    <w:rsid w:val="00E8342B"/>
    <w:rsid w:val="00E93F86"/>
    <w:rsid w:val="00EA113C"/>
    <w:rsid w:val="00EB65A0"/>
    <w:rsid w:val="00EC30F9"/>
    <w:rsid w:val="00EC3DF4"/>
    <w:rsid w:val="00ED5B69"/>
    <w:rsid w:val="00ED7F73"/>
    <w:rsid w:val="00EE10EC"/>
    <w:rsid w:val="00EE25DC"/>
    <w:rsid w:val="00EE753A"/>
    <w:rsid w:val="00EE7EF0"/>
    <w:rsid w:val="00EF10BB"/>
    <w:rsid w:val="00F04568"/>
    <w:rsid w:val="00F32F0E"/>
    <w:rsid w:val="00F37122"/>
    <w:rsid w:val="00F40671"/>
    <w:rsid w:val="00F43565"/>
    <w:rsid w:val="00F43ADD"/>
    <w:rsid w:val="00F43C38"/>
    <w:rsid w:val="00F50679"/>
    <w:rsid w:val="00F5283F"/>
    <w:rsid w:val="00F54C95"/>
    <w:rsid w:val="00F603F8"/>
    <w:rsid w:val="00F60DC6"/>
    <w:rsid w:val="00F70E31"/>
    <w:rsid w:val="00F74173"/>
    <w:rsid w:val="00F74A3C"/>
    <w:rsid w:val="00F77A10"/>
    <w:rsid w:val="00F8038E"/>
    <w:rsid w:val="00F91229"/>
    <w:rsid w:val="00F91C22"/>
    <w:rsid w:val="00F9521D"/>
    <w:rsid w:val="00FA0546"/>
    <w:rsid w:val="00FB2AFF"/>
    <w:rsid w:val="00FB43E0"/>
    <w:rsid w:val="00FC2754"/>
    <w:rsid w:val="00FD02AB"/>
    <w:rsid w:val="00FD137A"/>
    <w:rsid w:val="00FD2D52"/>
    <w:rsid w:val="00FE00A5"/>
    <w:rsid w:val="00FE2EF9"/>
    <w:rsid w:val="00FF0E4B"/>
    <w:rsid w:val="00FF6F6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caption" w:qFormat="1"/>
    <w:lsdException w:name="footnote reference"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Normal"/>
    <w:link w:val="FootnoteTextChar"/>
    <w:uiPriority w:val="99"/>
    <w:unhideWhenUsed/>
    <w:qFormat/>
    <w:rsid w:val="004A5089"/>
    <w:pPr>
      <w:jc w:val="left"/>
    </w:pPr>
    <w:rPr>
      <w:rFonts w:asciiTheme="minorHAnsi" w:eastAsiaTheme="minorHAnsi" w:hAnsiTheme="minorHAnsi" w:cstheme="minorBidi"/>
      <w:sz w:val="20"/>
      <w:szCs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4A5089"/>
    <w:rPr>
      <w:rFonts w:asciiTheme="minorHAnsi" w:eastAsiaTheme="minorHAnsi" w:hAnsiTheme="minorHAnsi" w:cstheme="minorBidi"/>
      <w:lang w:eastAsia="en-US"/>
    </w:rPr>
  </w:style>
  <w:style w:type="character" w:styleId="FootnoteReference">
    <w:name w:val="footnote reference"/>
    <w:aliases w:val="Footnotes refss,Appel note de bas de page,Ref,de nota al pie,註腳內容,(NECG) Footnote Reference,Footnote Reference + Superscript,fr"/>
    <w:basedOn w:val="DefaultParagraphFont"/>
    <w:unhideWhenUsed/>
    <w:qFormat/>
    <w:rsid w:val="004A5089"/>
    <w:rPr>
      <w:vertAlign w:val="superscript"/>
    </w:rPr>
  </w:style>
  <w:style w:type="paragraph" w:styleId="Header">
    <w:name w:val="header"/>
    <w:basedOn w:val="Normal"/>
    <w:link w:val="HeaderChar"/>
    <w:unhideWhenUsed/>
    <w:rsid w:val="00E7259F"/>
    <w:pPr>
      <w:tabs>
        <w:tab w:val="center" w:pos="4513"/>
        <w:tab w:val="right" w:pos="9026"/>
      </w:tabs>
    </w:pPr>
  </w:style>
  <w:style w:type="character" w:customStyle="1" w:styleId="HeaderChar">
    <w:name w:val="Header Char"/>
    <w:basedOn w:val="DefaultParagraphFont"/>
    <w:link w:val="Header"/>
    <w:rsid w:val="00E7259F"/>
    <w:rPr>
      <w:sz w:val="24"/>
      <w:szCs w:val="24"/>
      <w:lang w:eastAsia="en-US"/>
    </w:rPr>
  </w:style>
  <w:style w:type="paragraph" w:styleId="Footer">
    <w:name w:val="footer"/>
    <w:basedOn w:val="Normal"/>
    <w:link w:val="FooterChar"/>
    <w:unhideWhenUsed/>
    <w:rsid w:val="00E7259F"/>
    <w:pPr>
      <w:tabs>
        <w:tab w:val="center" w:pos="4513"/>
        <w:tab w:val="right" w:pos="9026"/>
      </w:tabs>
    </w:pPr>
  </w:style>
  <w:style w:type="character" w:customStyle="1" w:styleId="FooterChar">
    <w:name w:val="Footer Char"/>
    <w:basedOn w:val="DefaultParagraphFont"/>
    <w:link w:val="Footer"/>
    <w:rsid w:val="00E7259F"/>
    <w:rPr>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caption" w:qFormat="1"/>
    <w:lsdException w:name="footnote reference"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Normal"/>
    <w:link w:val="FootnoteTextChar"/>
    <w:uiPriority w:val="99"/>
    <w:unhideWhenUsed/>
    <w:qFormat/>
    <w:rsid w:val="004A5089"/>
    <w:pPr>
      <w:jc w:val="left"/>
    </w:pPr>
    <w:rPr>
      <w:rFonts w:asciiTheme="minorHAnsi" w:eastAsiaTheme="minorHAnsi" w:hAnsiTheme="minorHAnsi" w:cstheme="minorBidi"/>
      <w:sz w:val="20"/>
      <w:szCs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4A5089"/>
    <w:rPr>
      <w:rFonts w:asciiTheme="minorHAnsi" w:eastAsiaTheme="minorHAnsi" w:hAnsiTheme="minorHAnsi" w:cstheme="minorBidi"/>
      <w:lang w:eastAsia="en-US"/>
    </w:rPr>
  </w:style>
  <w:style w:type="character" w:styleId="FootnoteReference">
    <w:name w:val="footnote reference"/>
    <w:aliases w:val="Footnotes refss,Appel note de bas de page,Ref,de nota al pie,註腳內容,(NECG) Footnote Reference,Footnote Reference + Superscript,fr"/>
    <w:basedOn w:val="DefaultParagraphFont"/>
    <w:unhideWhenUsed/>
    <w:qFormat/>
    <w:rsid w:val="004A5089"/>
    <w:rPr>
      <w:vertAlign w:val="superscript"/>
    </w:rPr>
  </w:style>
  <w:style w:type="paragraph" w:styleId="Header">
    <w:name w:val="header"/>
    <w:basedOn w:val="Normal"/>
    <w:link w:val="HeaderChar"/>
    <w:unhideWhenUsed/>
    <w:rsid w:val="00E7259F"/>
    <w:pPr>
      <w:tabs>
        <w:tab w:val="center" w:pos="4513"/>
        <w:tab w:val="right" w:pos="9026"/>
      </w:tabs>
    </w:pPr>
  </w:style>
  <w:style w:type="character" w:customStyle="1" w:styleId="HeaderChar">
    <w:name w:val="Header Char"/>
    <w:basedOn w:val="DefaultParagraphFont"/>
    <w:link w:val="Header"/>
    <w:rsid w:val="00E7259F"/>
    <w:rPr>
      <w:sz w:val="24"/>
      <w:szCs w:val="24"/>
      <w:lang w:eastAsia="en-US"/>
    </w:rPr>
  </w:style>
  <w:style w:type="paragraph" w:styleId="Footer">
    <w:name w:val="footer"/>
    <w:basedOn w:val="Normal"/>
    <w:link w:val="FooterChar"/>
    <w:unhideWhenUsed/>
    <w:rsid w:val="00E7259F"/>
    <w:pPr>
      <w:tabs>
        <w:tab w:val="center" w:pos="4513"/>
        <w:tab w:val="right" w:pos="9026"/>
      </w:tabs>
    </w:pPr>
  </w:style>
  <w:style w:type="character" w:customStyle="1" w:styleId="FooterChar">
    <w:name w:val="Footer Char"/>
    <w:basedOn w:val="DefaultParagraphFont"/>
    <w:link w:val="Footer"/>
    <w:rsid w:val="00E7259F"/>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7414706">
      <w:bodyDiv w:val="1"/>
      <w:marLeft w:val="0"/>
      <w:marRight w:val="0"/>
      <w:marTop w:val="0"/>
      <w:marBottom w:val="0"/>
      <w:divBdr>
        <w:top w:val="none" w:sz="0" w:space="0" w:color="auto"/>
        <w:left w:val="none" w:sz="0" w:space="0" w:color="auto"/>
        <w:bottom w:val="none" w:sz="0" w:space="0" w:color="auto"/>
        <w:right w:val="none" w:sz="0" w:space="0" w:color="auto"/>
      </w:divBdr>
    </w:div>
    <w:div w:id="357464441">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292980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cid:image001.png@01CF121A.2263A8C0"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1363</Words>
  <Characters>7332</Characters>
  <Application>Microsoft Office Word</Application>
  <DocSecurity>0</DocSecurity>
  <Lines>61</Lines>
  <Paragraphs>17</Paragraphs>
  <ScaleCrop>false</ScaleCrop>
  <Company/>
  <LinksUpToDate>false</LinksUpToDate>
  <CharactersWithSpaces>8678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2019-08-20T12:54:00Z</dcterms:created>
  <dcterms:modified xsi:type="dcterms:W3CDTF">2019-08-20T12:54:00Z</dcterms:modified>
</cp:coreProperties>
</file>