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AB8" w:rsidRPr="00932043" w:rsidRDefault="005A3F77" w:rsidP="00784AB8">
      <w:pPr>
        <w:jc w:val="center"/>
      </w:pPr>
      <w:r>
        <w:rPr>
          <w:noProof/>
          <w:lang w:eastAsia="en-ZA"/>
        </w:rPr>
        <w:drawing>
          <wp:inline distT="0" distB="0" distL="0" distR="0">
            <wp:extent cx="1148487" cy="828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8487" cy="828675"/>
                    </a:xfrm>
                    <a:prstGeom prst="rect">
                      <a:avLst/>
                    </a:prstGeom>
                    <a:noFill/>
                    <a:ln>
                      <a:noFill/>
                    </a:ln>
                  </pic:spPr>
                </pic:pic>
              </a:graphicData>
            </a:graphic>
          </wp:inline>
        </w:drawing>
      </w:r>
    </w:p>
    <w:p w:rsidR="00784AB8" w:rsidRPr="00932043" w:rsidRDefault="00784AB8" w:rsidP="00784AB8">
      <w:pPr>
        <w:jc w:val="center"/>
      </w:pPr>
    </w:p>
    <w:p w:rsidR="00784AB8" w:rsidRPr="00932043" w:rsidRDefault="00784AB8" w:rsidP="00784AB8">
      <w:pPr>
        <w:jc w:val="center"/>
        <w:rPr>
          <w:b/>
        </w:rPr>
      </w:pPr>
      <w:r w:rsidRPr="00932043">
        <w:rPr>
          <w:b/>
        </w:rPr>
        <w:t>CONSTITUTIONAL COURT OF SOUTH AFRICA</w:t>
      </w:r>
    </w:p>
    <w:p w:rsidR="00784AB8" w:rsidRPr="00932043" w:rsidRDefault="00784AB8" w:rsidP="00784AB8"/>
    <w:p w:rsidR="00784AB8" w:rsidRPr="008376CD" w:rsidRDefault="008376CD" w:rsidP="00784AB8">
      <w:pPr>
        <w:jc w:val="center"/>
        <w:rPr>
          <w:b/>
        </w:rPr>
      </w:pPr>
      <w:r w:rsidRPr="008376CD">
        <w:rPr>
          <w:b/>
        </w:rPr>
        <w:t xml:space="preserve">Trustees of the </w:t>
      </w:r>
      <w:proofErr w:type="spellStart"/>
      <w:r w:rsidRPr="008376CD">
        <w:rPr>
          <w:b/>
        </w:rPr>
        <w:t>Simcha</w:t>
      </w:r>
      <w:proofErr w:type="spellEnd"/>
      <w:r w:rsidRPr="008376CD">
        <w:rPr>
          <w:b/>
        </w:rPr>
        <w:t xml:space="preserve"> Trust v Da Cruz and Others; City of Cape Town v Da Cruz and Others</w:t>
      </w:r>
    </w:p>
    <w:p w:rsidR="002A2323" w:rsidRDefault="002A2323" w:rsidP="00784AB8">
      <w:pPr>
        <w:jc w:val="right"/>
        <w:rPr>
          <w:b/>
        </w:rPr>
      </w:pPr>
    </w:p>
    <w:p w:rsidR="00784AB8" w:rsidRDefault="008376CD" w:rsidP="00784AB8">
      <w:pPr>
        <w:jc w:val="right"/>
        <w:rPr>
          <w:b/>
        </w:rPr>
      </w:pPr>
      <w:r>
        <w:rPr>
          <w:b/>
        </w:rPr>
        <w:t>CCT 125/18</w:t>
      </w:r>
    </w:p>
    <w:p w:rsidR="008376CD" w:rsidRPr="00932043" w:rsidRDefault="008376CD" w:rsidP="00784AB8">
      <w:pPr>
        <w:jc w:val="right"/>
        <w:rPr>
          <w:b/>
        </w:rPr>
      </w:pPr>
      <w:r>
        <w:rPr>
          <w:b/>
        </w:rPr>
        <w:t>CCT 128/18</w:t>
      </w:r>
    </w:p>
    <w:p w:rsidR="00784AB8" w:rsidRPr="00932043" w:rsidRDefault="003A4F87" w:rsidP="00282A52">
      <w:pPr>
        <w:tabs>
          <w:tab w:val="left" w:pos="4999"/>
        </w:tabs>
        <w:rPr>
          <w:b/>
        </w:rPr>
      </w:pPr>
      <w:r>
        <w:rPr>
          <w:b/>
        </w:rPr>
        <w:tab/>
      </w:r>
    </w:p>
    <w:p w:rsidR="00784AB8" w:rsidRPr="00932043" w:rsidRDefault="00784AB8" w:rsidP="00784AB8">
      <w:pPr>
        <w:jc w:val="right"/>
        <w:rPr>
          <w:b/>
        </w:rPr>
      </w:pPr>
      <w:r w:rsidRPr="00932043">
        <w:rPr>
          <w:b/>
        </w:rPr>
        <w:t xml:space="preserve">Date of judgment: </w:t>
      </w:r>
      <w:r w:rsidR="00447101">
        <w:rPr>
          <w:b/>
        </w:rPr>
        <w:t>1</w:t>
      </w:r>
      <w:r w:rsidRPr="003A4F87">
        <w:rPr>
          <w:b/>
        </w:rPr>
        <w:t xml:space="preserve">9 </w:t>
      </w:r>
      <w:r w:rsidR="00447101" w:rsidRPr="003A4F87">
        <w:rPr>
          <w:b/>
        </w:rPr>
        <w:t>February</w:t>
      </w:r>
      <w:r w:rsidR="003A4F87">
        <w:rPr>
          <w:b/>
        </w:rPr>
        <w:t xml:space="preserve"> 2019</w:t>
      </w:r>
    </w:p>
    <w:p w:rsidR="00784AB8" w:rsidRPr="00932043" w:rsidRDefault="00784AB8" w:rsidP="00784AB8"/>
    <w:p w:rsidR="00784AB8" w:rsidRPr="00932043" w:rsidRDefault="00784AB8" w:rsidP="00784AB8">
      <w:r w:rsidRPr="00932043">
        <w:t>________________________________________________________________________</w:t>
      </w:r>
    </w:p>
    <w:p w:rsidR="00784AB8" w:rsidRPr="00932043" w:rsidRDefault="00784AB8" w:rsidP="00784AB8">
      <w:pPr>
        <w:jc w:val="center"/>
        <w:rPr>
          <w:b/>
        </w:rPr>
      </w:pPr>
    </w:p>
    <w:p w:rsidR="00784AB8" w:rsidRPr="00932043" w:rsidRDefault="00784AB8" w:rsidP="00784AB8">
      <w:pPr>
        <w:jc w:val="center"/>
        <w:rPr>
          <w:b/>
        </w:rPr>
      </w:pPr>
      <w:r w:rsidRPr="00932043">
        <w:rPr>
          <w:b/>
        </w:rPr>
        <w:t>MEDIA SUMMARY</w:t>
      </w:r>
    </w:p>
    <w:p w:rsidR="00784AB8" w:rsidRPr="00932043" w:rsidRDefault="00784AB8" w:rsidP="00784AB8">
      <w:pPr>
        <w:jc w:val="center"/>
      </w:pPr>
      <w:r w:rsidRPr="00932043">
        <w:t>________________________________________________________________________</w:t>
      </w:r>
    </w:p>
    <w:p w:rsidR="00784AB8" w:rsidRPr="00932043" w:rsidRDefault="00784AB8" w:rsidP="00784AB8">
      <w:pPr>
        <w:spacing w:line="360" w:lineRule="auto"/>
        <w:jc w:val="left"/>
      </w:pPr>
    </w:p>
    <w:p w:rsidR="00784AB8" w:rsidRPr="00932043" w:rsidRDefault="00784AB8" w:rsidP="00784AB8">
      <w:pPr>
        <w:rPr>
          <w:i/>
        </w:rPr>
      </w:pPr>
      <w:r w:rsidRPr="00932043">
        <w:rPr>
          <w:i/>
        </w:rPr>
        <w:t>The following explanatory note is provided to assist the media in reporting this case and is not binding on the Constitutional Court or any member of the Court.</w:t>
      </w:r>
    </w:p>
    <w:p w:rsidR="00784AB8" w:rsidRPr="00932043" w:rsidRDefault="00784AB8" w:rsidP="00784AB8"/>
    <w:p w:rsidR="008376CD" w:rsidRDefault="00784AB8" w:rsidP="00784AB8">
      <w:r w:rsidRPr="00932043">
        <w:t xml:space="preserve">On </w:t>
      </w:r>
      <w:r w:rsidR="00F16A81" w:rsidRPr="003A4F87">
        <w:t xml:space="preserve">Tuesday, </w:t>
      </w:r>
      <w:r w:rsidR="00447101" w:rsidRPr="003A4F87">
        <w:t>1</w:t>
      </w:r>
      <w:r w:rsidRPr="003A4F87">
        <w:t xml:space="preserve">9 </w:t>
      </w:r>
      <w:r w:rsidR="00447101" w:rsidRPr="003A4F87">
        <w:t>February</w:t>
      </w:r>
      <w:r w:rsidR="003A4F87">
        <w:t xml:space="preserve"> 2019</w:t>
      </w:r>
      <w:r w:rsidR="00F16A81">
        <w:t xml:space="preserve"> at 10h00,</w:t>
      </w:r>
      <w:r w:rsidRPr="00932043">
        <w:t xml:space="preserve"> the Constitutional Court handed down judgment in </w:t>
      </w:r>
      <w:r w:rsidR="008376CD">
        <w:t>two applications seeking leave to appeal against the judgment of the Full Court of the High Court of South Africa, Western Cape Division, Cape Town (Full Court).  Both applications raised the same legal issue</w:t>
      </w:r>
      <w:r w:rsidR="00525F5E">
        <w:t>, namely</w:t>
      </w:r>
      <w:r w:rsidR="0072029E">
        <w:t xml:space="preserve"> </w:t>
      </w:r>
      <w:r w:rsidR="00525F5E">
        <w:t>d</w:t>
      </w:r>
      <w:r w:rsidR="008376CD">
        <w:t xml:space="preserve">oes the legitimate expectations test, which is used to </w:t>
      </w:r>
      <w:r w:rsidR="00EE486C">
        <w:t>assess</w:t>
      </w:r>
      <w:r w:rsidR="008376CD">
        <w:t xml:space="preserve"> building plans that might derogate the value of neighbouring properties, also apply to approving building plans that might disfigure a neighbouring area or be unsightly?</w:t>
      </w:r>
    </w:p>
    <w:p w:rsidR="008376CD" w:rsidRDefault="008376CD" w:rsidP="00784AB8"/>
    <w:p w:rsidR="00A76CE9" w:rsidRPr="00A76CE9" w:rsidRDefault="008376CD" w:rsidP="00A76CE9">
      <w:r>
        <w:t>In 2005</w:t>
      </w:r>
      <w:r w:rsidR="003A4F87">
        <w:t>,</w:t>
      </w:r>
      <w:r>
        <w:t xml:space="preserve"> the City of Cape Town approved </w:t>
      </w:r>
      <w:r w:rsidR="00A76CE9">
        <w:t xml:space="preserve">a development application by the Four Seasons sectional title scheme.  The building plan entailed building balconies up to the boundary of the Four Seasons’ property.  Adjacent to the Four Seasons’ property is a property owned by the </w:t>
      </w:r>
      <w:proofErr w:type="spellStart"/>
      <w:r w:rsidR="00A76CE9">
        <w:t>Simcha</w:t>
      </w:r>
      <w:proofErr w:type="spellEnd"/>
      <w:r w:rsidR="00A76CE9">
        <w:t xml:space="preserve"> Trust.  Between 2005 and 2007, </w:t>
      </w:r>
      <w:r w:rsidR="00A76CE9" w:rsidRPr="00A76CE9">
        <w:t>Four</w:t>
      </w:r>
      <w:r w:rsidR="001128C0">
        <w:t xml:space="preserve"> </w:t>
      </w:r>
      <w:r w:rsidR="00926EDF">
        <w:t>Seasons erected a 17</w:t>
      </w:r>
      <w:r w:rsidR="00926EDF">
        <w:noBreakHyphen/>
      </w:r>
      <w:r w:rsidR="00A76CE9" w:rsidRPr="00A76CE9">
        <w:t xml:space="preserve">storey building with balconies </w:t>
      </w:r>
      <w:r w:rsidR="00393BAD">
        <w:t>leaning</w:t>
      </w:r>
      <w:r w:rsidR="00A76CE9">
        <w:t xml:space="preserve"> into the </w:t>
      </w:r>
      <w:proofErr w:type="spellStart"/>
      <w:r w:rsidR="00A76CE9">
        <w:t>Simcha</w:t>
      </w:r>
      <w:proofErr w:type="spellEnd"/>
      <w:r w:rsidR="00A76CE9">
        <w:t xml:space="preserve"> Trust’s property.  In 2007, t</w:t>
      </w:r>
      <w:r w:rsidR="00A76CE9" w:rsidRPr="00A76CE9">
        <w:t>he</w:t>
      </w:r>
      <w:r w:rsidR="003A4F87">
        <w:t xml:space="preserve"> </w:t>
      </w:r>
      <w:proofErr w:type="spellStart"/>
      <w:r w:rsidR="003A4F87">
        <w:t>Simcha</w:t>
      </w:r>
      <w:proofErr w:type="spellEnd"/>
      <w:r w:rsidR="00A76CE9" w:rsidRPr="00A76CE9">
        <w:t xml:space="preserve"> Trust submitted a </w:t>
      </w:r>
      <w:r w:rsidR="00A76CE9">
        <w:t>building</w:t>
      </w:r>
      <w:r w:rsidR="00A76CE9" w:rsidRPr="00A76CE9">
        <w:t xml:space="preserve"> application.  </w:t>
      </w:r>
      <w:r w:rsidR="00A76CE9">
        <w:t>It</w:t>
      </w:r>
      <w:r w:rsidR="00A76CE9" w:rsidRPr="00A76CE9">
        <w:t xml:space="preserve"> sought to build an additional four stor</w:t>
      </w:r>
      <w:r w:rsidR="0072029E">
        <w:t>eys</w:t>
      </w:r>
      <w:r w:rsidR="00A76CE9" w:rsidRPr="00A76CE9">
        <w:t xml:space="preserve"> to the existing structure</w:t>
      </w:r>
      <w:r w:rsidR="00A76CE9">
        <w:t xml:space="preserve"> on its property</w:t>
      </w:r>
      <w:r w:rsidR="00A76CE9" w:rsidRPr="00A76CE9">
        <w:t xml:space="preserve">.  All </w:t>
      </w:r>
      <w:r w:rsidR="00525F5E">
        <w:t xml:space="preserve">storeys </w:t>
      </w:r>
      <w:r w:rsidR="00A76CE9" w:rsidRPr="00A76CE9">
        <w:t>were to be built up to the boundary of the property.  If implemented, the top three stor</w:t>
      </w:r>
      <w:r w:rsidR="00525F5E">
        <w:t xml:space="preserve">eys </w:t>
      </w:r>
      <w:r w:rsidR="00A76CE9" w:rsidRPr="00A76CE9">
        <w:t xml:space="preserve">of the new building would touch the existing balconies on the eighth, ninth and tenth floors of </w:t>
      </w:r>
      <w:r w:rsidR="002C65D0">
        <w:t xml:space="preserve">the </w:t>
      </w:r>
      <w:r w:rsidR="00A76CE9" w:rsidRPr="00A76CE9">
        <w:t xml:space="preserve">Four Seasons’ building.  The Municipality approved the </w:t>
      </w:r>
      <w:proofErr w:type="spellStart"/>
      <w:r w:rsidR="002C65D0">
        <w:t>Simcha</w:t>
      </w:r>
      <w:proofErr w:type="spellEnd"/>
      <w:r w:rsidR="002C65D0">
        <w:t xml:space="preserve"> </w:t>
      </w:r>
      <w:r w:rsidR="00A76CE9" w:rsidRPr="00A76CE9">
        <w:t>Trust’s application in September 2008</w:t>
      </w:r>
      <w:r w:rsidR="00A76CE9">
        <w:t xml:space="preserve"> and</w:t>
      </w:r>
      <w:r w:rsidR="00A76CE9" w:rsidRPr="00A76CE9">
        <w:t xml:space="preserve"> construction commenced.</w:t>
      </w:r>
    </w:p>
    <w:p w:rsidR="00784AB8" w:rsidRDefault="00784AB8" w:rsidP="00784AB8"/>
    <w:p w:rsidR="007B4B82" w:rsidRDefault="007B4B82" w:rsidP="007B4B82">
      <w:r w:rsidRPr="007B4B82">
        <w:t>Four Seasons instituted a review in the High Court</w:t>
      </w:r>
      <w:r>
        <w:t xml:space="preserve"> </w:t>
      </w:r>
      <w:r w:rsidR="001128C0">
        <w:t xml:space="preserve">with regard to </w:t>
      </w:r>
      <w:r w:rsidRPr="007B4B82">
        <w:t>the Municipality’s decision to approve the</w:t>
      </w:r>
      <w:r>
        <w:t xml:space="preserve"> </w:t>
      </w:r>
      <w:proofErr w:type="spellStart"/>
      <w:r w:rsidR="00BF241B">
        <w:t>Simcha</w:t>
      </w:r>
      <w:proofErr w:type="spellEnd"/>
      <w:r w:rsidR="00BF241B">
        <w:t xml:space="preserve"> </w:t>
      </w:r>
      <w:r>
        <w:t>Trust’s</w:t>
      </w:r>
      <w:r w:rsidRPr="007B4B82">
        <w:t xml:space="preserve"> plans.  </w:t>
      </w:r>
      <w:r>
        <w:t>The High Court</w:t>
      </w:r>
      <w:r w:rsidRPr="007B4B82">
        <w:t xml:space="preserve"> set aside the development </w:t>
      </w:r>
      <w:r w:rsidRPr="007B4B82">
        <w:lastRenderedPageBreak/>
        <w:t>approval on two</w:t>
      </w:r>
      <w:r w:rsidR="002C65D0">
        <w:t xml:space="preserve"> grounds:  f</w:t>
      </w:r>
      <w:r w:rsidRPr="007B4B82">
        <w:t xml:space="preserve">irst, that </w:t>
      </w:r>
      <w:r>
        <w:t>the City’s official,</w:t>
      </w:r>
      <w:r w:rsidRPr="007B4B82">
        <w:t xml:space="preserve"> in approving the plans, was materially influenced by an error of law</w:t>
      </w:r>
      <w:r w:rsidR="002C65D0">
        <w:t>; and, second, that</w:t>
      </w:r>
      <w:r w:rsidRPr="007B4B82">
        <w:t xml:space="preserve"> </w:t>
      </w:r>
      <w:r>
        <w:t>the official</w:t>
      </w:r>
      <w:r w:rsidRPr="007B4B82">
        <w:t xml:space="preserve"> failed to take into account a relevant consideration</w:t>
      </w:r>
      <w:r w:rsidR="002C65D0">
        <w:t xml:space="preserve">, namely </w:t>
      </w:r>
      <w:r w:rsidRPr="007B4B82">
        <w:t>whether the proposed development gave rise to any disqualifying factors when viewed from the perspective of the neighbouring Four Seasons’ building.</w:t>
      </w:r>
    </w:p>
    <w:p w:rsidR="007B4B82" w:rsidRDefault="007B4B82" w:rsidP="007B4B82"/>
    <w:p w:rsidR="007B4B82" w:rsidRPr="007B4B82" w:rsidRDefault="007B4B82" w:rsidP="007B4B82">
      <w:r w:rsidRPr="007B4B82">
        <w:t xml:space="preserve">The </w:t>
      </w:r>
      <w:proofErr w:type="spellStart"/>
      <w:r w:rsidR="002C65D0">
        <w:t>Simcha</w:t>
      </w:r>
      <w:proofErr w:type="spellEnd"/>
      <w:r w:rsidR="002C65D0">
        <w:t xml:space="preserve"> </w:t>
      </w:r>
      <w:r w:rsidRPr="007B4B82">
        <w:t xml:space="preserve">Trust and the </w:t>
      </w:r>
      <w:r w:rsidR="00EE486C">
        <w:t>City</w:t>
      </w:r>
      <w:r w:rsidRPr="007B4B82">
        <w:t xml:space="preserve"> appealed to the Full Court.  The Full Court held that the decision</w:t>
      </w:r>
      <w:r w:rsidR="002C65D0">
        <w:t>-</w:t>
      </w:r>
      <w:r w:rsidRPr="007B4B82">
        <w:t xml:space="preserve">makers </w:t>
      </w:r>
      <w:r w:rsidR="006C28CC">
        <w:t xml:space="preserve">had </w:t>
      </w:r>
      <w:r w:rsidRPr="007B4B82">
        <w:t>committed errors of law</w:t>
      </w:r>
      <w:r w:rsidR="002C65D0">
        <w:t>,</w:t>
      </w:r>
      <w:r w:rsidR="00172780">
        <w:t xml:space="preserve"> first by</w:t>
      </w:r>
      <w:r w:rsidRPr="007B4B82">
        <w:t xml:space="preserve"> </w:t>
      </w:r>
      <w:r w:rsidR="00172780">
        <w:t>applying</w:t>
      </w:r>
      <w:r w:rsidR="00172780" w:rsidRPr="007B4B82">
        <w:t xml:space="preserve"> </w:t>
      </w:r>
      <w:r w:rsidRPr="007B4B82">
        <w:t>the incorrect test when considering whether any of the disqualifying factors were present</w:t>
      </w:r>
      <w:r w:rsidR="002C65D0">
        <w:t>,</w:t>
      </w:r>
      <w:r w:rsidR="00172780">
        <w:t xml:space="preserve"> and</w:t>
      </w:r>
      <w:r w:rsidR="002C65D0">
        <w:t>,</w:t>
      </w:r>
      <w:r w:rsidR="00172780">
        <w:t xml:space="preserve"> second</w:t>
      </w:r>
      <w:r w:rsidR="002C65D0">
        <w:t>,</w:t>
      </w:r>
      <w:r w:rsidRPr="007B4B82">
        <w:t xml:space="preserve"> </w:t>
      </w:r>
      <w:r w:rsidR="00172780">
        <w:t>by failing to take into account</w:t>
      </w:r>
      <w:r w:rsidRPr="007B4B82">
        <w:t xml:space="preserve"> the impact of the building plans on the neighbouring properties</w:t>
      </w:r>
      <w:r w:rsidR="00172780">
        <w:t>.</w:t>
      </w:r>
    </w:p>
    <w:p w:rsidR="007B4B82" w:rsidRPr="007B4B82" w:rsidRDefault="007B4B82" w:rsidP="007B4B82"/>
    <w:p w:rsidR="007B4B82" w:rsidRDefault="00122599" w:rsidP="007B4B82">
      <w:r>
        <w:t>The</w:t>
      </w:r>
      <w:r w:rsidR="007B4B82" w:rsidRPr="007B4B82">
        <w:t xml:space="preserve"> Full Court dismissed </w:t>
      </w:r>
      <w:r w:rsidR="005C08E8">
        <w:t>the appeal on 2 February 2018, and a</w:t>
      </w:r>
      <w:r w:rsidR="007B4B82" w:rsidRPr="007B4B82">
        <w:t xml:space="preserve"> petition for special leave to appeal to the Supreme Court of Appeal was unsuccessful.</w:t>
      </w:r>
    </w:p>
    <w:p w:rsidR="007B4B82" w:rsidRDefault="007B4B82" w:rsidP="007B4B82"/>
    <w:p w:rsidR="00467359" w:rsidRDefault="00784AB8" w:rsidP="00A51966">
      <w:r w:rsidRPr="00EE34BD">
        <w:t>In a unanimous judgment written by Theron J</w:t>
      </w:r>
      <w:r w:rsidR="00172780">
        <w:t xml:space="preserve"> without a hearing</w:t>
      </w:r>
      <w:r w:rsidRPr="00EE34BD">
        <w:t xml:space="preserve">, </w:t>
      </w:r>
      <w:r w:rsidR="00A51966">
        <w:t>the Constitutional</w:t>
      </w:r>
      <w:r w:rsidR="00A51966" w:rsidRPr="00EE34BD">
        <w:t xml:space="preserve"> </w:t>
      </w:r>
      <w:r w:rsidRPr="00EE34BD">
        <w:t xml:space="preserve">Court </w:t>
      </w:r>
      <w:r w:rsidR="007B4B82">
        <w:t>dismissed the applications for leave to appeal.  Th</w:t>
      </w:r>
      <w:r w:rsidR="00BA6942">
        <w:t>e Constitutional</w:t>
      </w:r>
      <w:r w:rsidR="007B4B82">
        <w:t xml:space="preserve"> Court held that the </w:t>
      </w:r>
      <w:r w:rsidR="002C65D0">
        <w:t>decision-</w:t>
      </w:r>
      <w:r w:rsidR="007B4B82">
        <w:t xml:space="preserve">makers had applied the incorrect test when deciding if the building application should be disqualified.  </w:t>
      </w:r>
      <w:r w:rsidR="007B4B82" w:rsidRPr="00D94BE8">
        <w:t>Th</w:t>
      </w:r>
      <w:r w:rsidR="00525F5E" w:rsidRPr="00D94BE8">
        <w:t xml:space="preserve">is </w:t>
      </w:r>
      <w:r w:rsidR="007B4B82" w:rsidRPr="00D94BE8">
        <w:t>Court</w:t>
      </w:r>
      <w:r w:rsidR="007B4B82">
        <w:t xml:space="preserve"> also confirmed the Full Court’s finding that the legitimate expectations </w:t>
      </w:r>
      <w:r w:rsidR="005C0A52">
        <w:t>of an obje</w:t>
      </w:r>
      <w:bookmarkStart w:id="0" w:name="_GoBack"/>
      <w:bookmarkEnd w:id="0"/>
      <w:r w:rsidR="005C0A52">
        <w:t xml:space="preserve">ctive, hypothetical neighbour must be considered when assessing all disqualifying factors.  This includes the possibility of derogation of value, but also the possibility of disfigurement and unsightliness. </w:t>
      </w:r>
      <w:r w:rsidR="00CA1B88">
        <w:t xml:space="preserve"> In other words, when considering a proposed building, t</w:t>
      </w:r>
      <w:r w:rsidR="002C65D0">
        <w:t>he decision-</w:t>
      </w:r>
      <w:r w:rsidR="00CA1B88" w:rsidRPr="00CA1B88">
        <w:t xml:space="preserve">maker should consider whether the proposed building </w:t>
      </w:r>
      <w:r w:rsidR="00C55C1F">
        <w:t>would</w:t>
      </w:r>
      <w:r w:rsidR="00CA1B88" w:rsidRPr="00CA1B88">
        <w:t xml:space="preserve"> probably, or </w:t>
      </w:r>
      <w:r w:rsidR="00C55C1F">
        <w:t xml:space="preserve">will </w:t>
      </w:r>
      <w:r w:rsidR="00CA1B88" w:rsidRPr="00CA1B88">
        <w:t>in fact, be so disfiguring of the area, objectionable or unsightly</w:t>
      </w:r>
      <w:r w:rsidR="00CA1B88">
        <w:t>, or derogate from the value of adjacent properties,</w:t>
      </w:r>
      <w:r w:rsidR="00CA1B88" w:rsidRPr="00CA1B88">
        <w:t xml:space="preserve"> that it would exceed the legitimate expectations of a hypothetical owner of a neighbouring property</w:t>
      </w:r>
      <w:r w:rsidR="00CA1B88">
        <w:t>.</w:t>
      </w:r>
    </w:p>
    <w:sectPr w:rsidR="00467359"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B73" w:rsidRDefault="00391B73" w:rsidP="00A9738B">
      <w:r>
        <w:separator/>
      </w:r>
    </w:p>
  </w:endnote>
  <w:endnote w:type="continuationSeparator" w:id="0">
    <w:p w:rsidR="00391B73" w:rsidRDefault="00391B73" w:rsidP="00A9738B">
      <w:r>
        <w:continuationSeparator/>
      </w:r>
    </w:p>
  </w:endnote>
  <w:endnote w:type="continuationNotice" w:id="1">
    <w:p w:rsidR="00391B73" w:rsidRDefault="00391B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B73" w:rsidRDefault="00391B73" w:rsidP="00A9738B">
      <w:r>
        <w:separator/>
      </w:r>
    </w:p>
  </w:footnote>
  <w:footnote w:type="continuationSeparator" w:id="0">
    <w:p w:rsidR="00391B73" w:rsidRDefault="00391B73" w:rsidP="00A9738B">
      <w:r>
        <w:continuationSeparator/>
      </w:r>
    </w:p>
  </w:footnote>
  <w:footnote w:type="continuationNotice" w:id="1">
    <w:p w:rsidR="00391B73" w:rsidRDefault="00391B73"/>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AB8"/>
    <w:rsid w:val="00041E92"/>
    <w:rsid w:val="00097933"/>
    <w:rsid w:val="00110B83"/>
    <w:rsid w:val="001128C0"/>
    <w:rsid w:val="00115D0D"/>
    <w:rsid w:val="00122599"/>
    <w:rsid w:val="00132F33"/>
    <w:rsid w:val="00137C14"/>
    <w:rsid w:val="00172780"/>
    <w:rsid w:val="001A155A"/>
    <w:rsid w:val="001A48AD"/>
    <w:rsid w:val="00282A52"/>
    <w:rsid w:val="002A2323"/>
    <w:rsid w:val="002C65D0"/>
    <w:rsid w:val="002D72AC"/>
    <w:rsid w:val="002F3D1D"/>
    <w:rsid w:val="00387F76"/>
    <w:rsid w:val="00391B73"/>
    <w:rsid w:val="00393BAD"/>
    <w:rsid w:val="003A4F87"/>
    <w:rsid w:val="003B62AA"/>
    <w:rsid w:val="003E37D5"/>
    <w:rsid w:val="003E4421"/>
    <w:rsid w:val="004328DB"/>
    <w:rsid w:val="00447101"/>
    <w:rsid w:val="00455D67"/>
    <w:rsid w:val="00467359"/>
    <w:rsid w:val="00471980"/>
    <w:rsid w:val="0047608D"/>
    <w:rsid w:val="00495F3B"/>
    <w:rsid w:val="004F023E"/>
    <w:rsid w:val="005123B9"/>
    <w:rsid w:val="00525F5E"/>
    <w:rsid w:val="005A3F77"/>
    <w:rsid w:val="005C08E8"/>
    <w:rsid w:val="005C0A52"/>
    <w:rsid w:val="005E4062"/>
    <w:rsid w:val="00681988"/>
    <w:rsid w:val="00696B20"/>
    <w:rsid w:val="006C28CC"/>
    <w:rsid w:val="00716B52"/>
    <w:rsid w:val="0072029E"/>
    <w:rsid w:val="00784AB8"/>
    <w:rsid w:val="007A37EF"/>
    <w:rsid w:val="007B4B82"/>
    <w:rsid w:val="0083209D"/>
    <w:rsid w:val="008376CD"/>
    <w:rsid w:val="00845D41"/>
    <w:rsid w:val="00882A01"/>
    <w:rsid w:val="00883D6C"/>
    <w:rsid w:val="008C4591"/>
    <w:rsid w:val="00923204"/>
    <w:rsid w:val="00925078"/>
    <w:rsid w:val="00926EDF"/>
    <w:rsid w:val="00931385"/>
    <w:rsid w:val="00932043"/>
    <w:rsid w:val="00970903"/>
    <w:rsid w:val="009B15E8"/>
    <w:rsid w:val="009E6B58"/>
    <w:rsid w:val="00A51966"/>
    <w:rsid w:val="00A76CE9"/>
    <w:rsid w:val="00A9738B"/>
    <w:rsid w:val="00AB3A0B"/>
    <w:rsid w:val="00AC0E4B"/>
    <w:rsid w:val="00BA6942"/>
    <w:rsid w:val="00BF241B"/>
    <w:rsid w:val="00C55C1F"/>
    <w:rsid w:val="00C84032"/>
    <w:rsid w:val="00C92951"/>
    <w:rsid w:val="00CA1B88"/>
    <w:rsid w:val="00CC3A42"/>
    <w:rsid w:val="00CF13C0"/>
    <w:rsid w:val="00D50470"/>
    <w:rsid w:val="00D90A15"/>
    <w:rsid w:val="00D94BE8"/>
    <w:rsid w:val="00DA625D"/>
    <w:rsid w:val="00DD57BB"/>
    <w:rsid w:val="00DD6EE5"/>
    <w:rsid w:val="00E313C0"/>
    <w:rsid w:val="00E929D4"/>
    <w:rsid w:val="00EB09FF"/>
    <w:rsid w:val="00EE34BD"/>
    <w:rsid w:val="00EE486C"/>
    <w:rsid w:val="00F15FF1"/>
    <w:rsid w:val="00F16A81"/>
    <w:rsid w:val="00F24C6F"/>
    <w:rsid w:val="00F713F1"/>
    <w:rsid w:val="00FB031C"/>
    <w:rsid w:val="00FB25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AB8"/>
    <w:pPr>
      <w:spacing w:after="0" w:line="24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4AB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84AB8"/>
    <w:rPr>
      <w:rFonts w:ascii="Tahoma" w:hAnsi="Tahoma" w:cs="Tahoma"/>
      <w:sz w:val="16"/>
      <w:szCs w:val="16"/>
    </w:rPr>
  </w:style>
  <w:style w:type="paragraph" w:styleId="Header">
    <w:name w:val="header"/>
    <w:basedOn w:val="Normal"/>
    <w:link w:val="HeaderChar"/>
    <w:uiPriority w:val="99"/>
    <w:unhideWhenUsed/>
    <w:rsid w:val="00A9738B"/>
    <w:pPr>
      <w:tabs>
        <w:tab w:val="center" w:pos="4513"/>
        <w:tab w:val="right" w:pos="9026"/>
      </w:tabs>
    </w:pPr>
  </w:style>
  <w:style w:type="character" w:customStyle="1" w:styleId="HeaderChar">
    <w:name w:val="Header Char"/>
    <w:basedOn w:val="DefaultParagraphFont"/>
    <w:link w:val="Header"/>
    <w:uiPriority w:val="99"/>
    <w:locked/>
    <w:rsid w:val="00A9738B"/>
    <w:rPr>
      <w:rFonts w:ascii="Times New Roman" w:hAnsi="Times New Roman" w:cs="Times New Roman"/>
      <w:sz w:val="24"/>
      <w:szCs w:val="24"/>
    </w:rPr>
  </w:style>
  <w:style w:type="paragraph" w:styleId="Footer">
    <w:name w:val="footer"/>
    <w:basedOn w:val="Normal"/>
    <w:link w:val="FooterChar"/>
    <w:uiPriority w:val="99"/>
    <w:unhideWhenUsed/>
    <w:rsid w:val="00A9738B"/>
    <w:pPr>
      <w:tabs>
        <w:tab w:val="center" w:pos="4513"/>
        <w:tab w:val="right" w:pos="9026"/>
      </w:tabs>
    </w:pPr>
  </w:style>
  <w:style w:type="character" w:customStyle="1" w:styleId="FooterChar">
    <w:name w:val="Footer Char"/>
    <w:basedOn w:val="DefaultParagraphFont"/>
    <w:link w:val="Footer"/>
    <w:uiPriority w:val="99"/>
    <w:locked/>
    <w:rsid w:val="00A9738B"/>
    <w:rPr>
      <w:rFonts w:ascii="Times New Roman" w:hAnsi="Times New Roman" w:cs="Times New Roman"/>
      <w:sz w:val="24"/>
      <w:szCs w:val="24"/>
    </w:rPr>
  </w:style>
  <w:style w:type="paragraph" w:styleId="FootnoteText">
    <w:name w:val="footnote text"/>
    <w:basedOn w:val="Normal"/>
    <w:link w:val="FootnoteTextChar"/>
    <w:uiPriority w:val="99"/>
    <w:rsid w:val="007B4B82"/>
    <w:rPr>
      <w:sz w:val="20"/>
      <w:szCs w:val="20"/>
    </w:rPr>
  </w:style>
  <w:style w:type="character" w:customStyle="1" w:styleId="FootnoteTextChar">
    <w:name w:val="Footnote Text Char"/>
    <w:basedOn w:val="DefaultParagraphFont"/>
    <w:link w:val="FootnoteText"/>
    <w:uiPriority w:val="99"/>
    <w:rsid w:val="007B4B82"/>
    <w:rPr>
      <w:rFonts w:ascii="Times New Roman" w:hAnsi="Times New Roman" w:cs="Times New Roman"/>
      <w:sz w:val="20"/>
      <w:szCs w:val="20"/>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Heading 6 Char1"/>
    <w:basedOn w:val="DefaultParagraphFont"/>
    <w:uiPriority w:val="99"/>
    <w:unhideWhenUsed/>
    <w:qFormat/>
    <w:rsid w:val="007B4B82"/>
    <w:rPr>
      <w:vertAlign w:val="superscript"/>
    </w:rPr>
  </w:style>
  <w:style w:type="paragraph" w:styleId="Revision">
    <w:name w:val="Revision"/>
    <w:hidden/>
    <w:uiPriority w:val="99"/>
    <w:semiHidden/>
    <w:rsid w:val="00387F76"/>
    <w:pPr>
      <w:spacing w:after="0" w:line="240"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AB8"/>
    <w:pPr>
      <w:spacing w:after="0" w:line="240" w:lineRule="auto"/>
      <w:jc w:val="both"/>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4AB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84AB8"/>
    <w:rPr>
      <w:rFonts w:ascii="Tahoma" w:hAnsi="Tahoma" w:cs="Tahoma"/>
      <w:sz w:val="16"/>
      <w:szCs w:val="16"/>
    </w:rPr>
  </w:style>
  <w:style w:type="paragraph" w:styleId="Header">
    <w:name w:val="header"/>
    <w:basedOn w:val="Normal"/>
    <w:link w:val="HeaderChar"/>
    <w:uiPriority w:val="99"/>
    <w:unhideWhenUsed/>
    <w:rsid w:val="00A9738B"/>
    <w:pPr>
      <w:tabs>
        <w:tab w:val="center" w:pos="4513"/>
        <w:tab w:val="right" w:pos="9026"/>
      </w:tabs>
    </w:pPr>
  </w:style>
  <w:style w:type="character" w:customStyle="1" w:styleId="HeaderChar">
    <w:name w:val="Header Char"/>
    <w:basedOn w:val="DefaultParagraphFont"/>
    <w:link w:val="Header"/>
    <w:uiPriority w:val="99"/>
    <w:locked/>
    <w:rsid w:val="00A9738B"/>
    <w:rPr>
      <w:rFonts w:ascii="Times New Roman" w:hAnsi="Times New Roman" w:cs="Times New Roman"/>
      <w:sz w:val="24"/>
      <w:szCs w:val="24"/>
    </w:rPr>
  </w:style>
  <w:style w:type="paragraph" w:styleId="Footer">
    <w:name w:val="footer"/>
    <w:basedOn w:val="Normal"/>
    <w:link w:val="FooterChar"/>
    <w:uiPriority w:val="99"/>
    <w:unhideWhenUsed/>
    <w:rsid w:val="00A9738B"/>
    <w:pPr>
      <w:tabs>
        <w:tab w:val="center" w:pos="4513"/>
        <w:tab w:val="right" w:pos="9026"/>
      </w:tabs>
    </w:pPr>
  </w:style>
  <w:style w:type="character" w:customStyle="1" w:styleId="FooterChar">
    <w:name w:val="Footer Char"/>
    <w:basedOn w:val="DefaultParagraphFont"/>
    <w:link w:val="Footer"/>
    <w:uiPriority w:val="99"/>
    <w:locked/>
    <w:rsid w:val="00A9738B"/>
    <w:rPr>
      <w:rFonts w:ascii="Times New Roman" w:hAnsi="Times New Roman" w:cs="Times New Roman"/>
      <w:sz w:val="24"/>
      <w:szCs w:val="24"/>
    </w:rPr>
  </w:style>
  <w:style w:type="paragraph" w:styleId="FootnoteText">
    <w:name w:val="footnote text"/>
    <w:basedOn w:val="Normal"/>
    <w:link w:val="FootnoteTextChar"/>
    <w:uiPriority w:val="99"/>
    <w:rsid w:val="007B4B82"/>
    <w:rPr>
      <w:sz w:val="20"/>
      <w:szCs w:val="20"/>
    </w:rPr>
  </w:style>
  <w:style w:type="character" w:customStyle="1" w:styleId="FootnoteTextChar">
    <w:name w:val="Footnote Text Char"/>
    <w:basedOn w:val="DefaultParagraphFont"/>
    <w:link w:val="FootnoteText"/>
    <w:uiPriority w:val="99"/>
    <w:rsid w:val="007B4B82"/>
    <w:rPr>
      <w:rFonts w:ascii="Times New Roman" w:hAnsi="Times New Roman" w:cs="Times New Roman"/>
      <w:sz w:val="20"/>
      <w:szCs w:val="20"/>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Heading 6 Char1"/>
    <w:basedOn w:val="DefaultParagraphFont"/>
    <w:uiPriority w:val="99"/>
    <w:unhideWhenUsed/>
    <w:qFormat/>
    <w:rsid w:val="007B4B82"/>
    <w:rPr>
      <w:vertAlign w:val="superscript"/>
    </w:rPr>
  </w:style>
  <w:style w:type="paragraph" w:styleId="Revision">
    <w:name w:val="Revision"/>
    <w:hidden/>
    <w:uiPriority w:val="99"/>
    <w:semiHidden/>
    <w:rsid w:val="00387F76"/>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5556">
      <w:bodyDiv w:val="1"/>
      <w:marLeft w:val="0"/>
      <w:marRight w:val="0"/>
      <w:marTop w:val="0"/>
      <w:marBottom w:val="0"/>
      <w:divBdr>
        <w:top w:val="none" w:sz="0" w:space="0" w:color="auto"/>
        <w:left w:val="none" w:sz="0" w:space="0" w:color="auto"/>
        <w:bottom w:val="none" w:sz="0" w:space="0" w:color="auto"/>
        <w:right w:val="none" w:sz="0" w:space="0" w:color="auto"/>
      </w:divBdr>
    </w:div>
    <w:div w:id="589627437">
      <w:bodyDiv w:val="1"/>
      <w:marLeft w:val="0"/>
      <w:marRight w:val="0"/>
      <w:marTop w:val="0"/>
      <w:marBottom w:val="0"/>
      <w:divBdr>
        <w:top w:val="none" w:sz="0" w:space="0" w:color="auto"/>
        <w:left w:val="none" w:sz="0" w:space="0" w:color="auto"/>
        <w:bottom w:val="none" w:sz="0" w:space="0" w:color="auto"/>
        <w:right w:val="none" w:sz="0" w:space="0" w:color="auto"/>
      </w:divBdr>
    </w:div>
    <w:div w:id="1123422210">
      <w:bodyDiv w:val="1"/>
      <w:marLeft w:val="0"/>
      <w:marRight w:val="0"/>
      <w:marTop w:val="0"/>
      <w:marBottom w:val="0"/>
      <w:divBdr>
        <w:top w:val="none" w:sz="0" w:space="0" w:color="auto"/>
        <w:left w:val="none" w:sz="0" w:space="0" w:color="auto"/>
        <w:bottom w:val="none" w:sz="0" w:space="0" w:color="auto"/>
        <w:right w:val="none" w:sz="0" w:space="0" w:color="auto"/>
      </w:divBdr>
    </w:div>
    <w:div w:id="1427071024">
      <w:bodyDiv w:val="1"/>
      <w:marLeft w:val="0"/>
      <w:marRight w:val="0"/>
      <w:marTop w:val="0"/>
      <w:marBottom w:val="0"/>
      <w:divBdr>
        <w:top w:val="none" w:sz="0" w:space="0" w:color="auto"/>
        <w:left w:val="none" w:sz="0" w:space="0" w:color="auto"/>
        <w:bottom w:val="none" w:sz="0" w:space="0" w:color="auto"/>
        <w:right w:val="none" w:sz="0" w:space="0" w:color="auto"/>
      </w:divBdr>
    </w:div>
    <w:div w:id="1718241238">
      <w:bodyDiv w:val="1"/>
      <w:marLeft w:val="0"/>
      <w:marRight w:val="0"/>
      <w:marTop w:val="0"/>
      <w:marBottom w:val="0"/>
      <w:divBdr>
        <w:top w:val="none" w:sz="0" w:space="0" w:color="auto"/>
        <w:left w:val="none" w:sz="0" w:space="0" w:color="auto"/>
        <w:bottom w:val="none" w:sz="0" w:space="0" w:color="auto"/>
        <w:right w:val="none" w:sz="0" w:space="0" w:color="auto"/>
      </w:divBdr>
    </w:div>
    <w:div w:id="181279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596</Words>
  <Characters>3356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2019-02-19T06:33:00Z</dcterms:created>
  <dcterms:modified xsi:type="dcterms:W3CDTF">2019-02-19T06:33:00Z</dcterms:modified>
</cp:coreProperties>
</file>