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E2A1AA" w14:textId="77777777" w:rsidR="003A18CF" w:rsidRDefault="0003374F" w:rsidP="003A18CF">
      <w:pPr>
        <w:spacing w:line="240" w:lineRule="auto"/>
        <w:jc w:val="center"/>
        <w:outlineLvl w:val="0"/>
      </w:pPr>
      <w:r w:rsidRPr="0003374F">
        <w:rPr>
          <w:b/>
          <w:bCs/>
          <w:noProof/>
          <w:color w:val="1F497D"/>
          <w:lang w:eastAsia="en-ZA"/>
        </w:rPr>
        <w:drawing>
          <wp:inline distT="0" distB="0" distL="0" distR="0" wp14:anchorId="4DA6160C" wp14:editId="77A89788">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4360F05E" w14:textId="77777777" w:rsidR="003A18CF" w:rsidRDefault="003A18CF" w:rsidP="003A18CF">
      <w:pPr>
        <w:spacing w:line="240" w:lineRule="auto"/>
        <w:jc w:val="center"/>
        <w:outlineLvl w:val="0"/>
      </w:pPr>
    </w:p>
    <w:p w14:paraId="78F2186B" w14:textId="77777777" w:rsidR="003A18CF" w:rsidRPr="00271C49" w:rsidRDefault="003A18CF" w:rsidP="003A18CF">
      <w:pPr>
        <w:spacing w:line="240" w:lineRule="auto"/>
        <w:jc w:val="center"/>
        <w:outlineLvl w:val="0"/>
        <w:rPr>
          <w:b/>
        </w:rPr>
      </w:pPr>
      <w:r w:rsidRPr="00271C49">
        <w:rPr>
          <w:b/>
        </w:rPr>
        <w:t>CONSTITUTIONAL COURT OF SOUTH AFRICA</w:t>
      </w:r>
    </w:p>
    <w:p w14:paraId="7A9FABA4" w14:textId="77777777" w:rsidR="003A18CF" w:rsidRDefault="003A18CF" w:rsidP="003A18CF">
      <w:pPr>
        <w:spacing w:line="240" w:lineRule="auto"/>
      </w:pPr>
    </w:p>
    <w:p w14:paraId="5A88ACA3" w14:textId="77777777" w:rsidR="003A18CF" w:rsidRPr="009C3888" w:rsidRDefault="003A18CF" w:rsidP="003A18CF">
      <w:pPr>
        <w:spacing w:line="240" w:lineRule="auto"/>
      </w:pPr>
    </w:p>
    <w:p w14:paraId="4853BF02" w14:textId="77777777" w:rsidR="00EE0175" w:rsidRPr="00F31137" w:rsidRDefault="003A18CF" w:rsidP="00EE0175">
      <w:pPr>
        <w:spacing w:line="240" w:lineRule="auto"/>
        <w:jc w:val="right"/>
        <w:rPr>
          <w:szCs w:val="26"/>
        </w:rPr>
      </w:pPr>
      <w:r w:rsidRPr="00961263">
        <w:tab/>
      </w:r>
      <w:r w:rsidR="00EE0175" w:rsidRPr="00F31137">
        <w:rPr>
          <w:szCs w:val="26"/>
        </w:rPr>
        <w:t>Cases CCT 125/18 and CCT 128/18</w:t>
      </w:r>
    </w:p>
    <w:p w14:paraId="4FD388BE" w14:textId="77777777" w:rsidR="00EE0175" w:rsidRPr="00F31137" w:rsidRDefault="00EE0175" w:rsidP="00EE0175">
      <w:pPr>
        <w:spacing w:line="240" w:lineRule="auto"/>
        <w:jc w:val="right"/>
        <w:rPr>
          <w:szCs w:val="26"/>
        </w:rPr>
      </w:pPr>
    </w:p>
    <w:p w14:paraId="0131B2C6" w14:textId="77777777" w:rsidR="00EE0175" w:rsidRPr="00EE02D5" w:rsidRDefault="00EE0175" w:rsidP="00EE0175">
      <w:pPr>
        <w:tabs>
          <w:tab w:val="right" w:pos="9029"/>
        </w:tabs>
        <w:spacing w:line="240" w:lineRule="auto"/>
        <w:rPr>
          <w:b/>
          <w:szCs w:val="26"/>
        </w:rPr>
      </w:pPr>
      <w:r w:rsidRPr="00F31137">
        <w:rPr>
          <w:szCs w:val="26"/>
        </w:rPr>
        <w:tab/>
        <w:t>Case CCT 125/18</w:t>
      </w:r>
    </w:p>
    <w:p w14:paraId="6AA40FEC" w14:textId="77777777" w:rsidR="00EE0175" w:rsidRPr="00EE02D5" w:rsidRDefault="00EE0175" w:rsidP="00EE0175">
      <w:pPr>
        <w:tabs>
          <w:tab w:val="left" w:pos="8998"/>
        </w:tabs>
        <w:spacing w:line="240" w:lineRule="auto"/>
        <w:rPr>
          <w:szCs w:val="26"/>
        </w:rPr>
      </w:pPr>
    </w:p>
    <w:p w14:paraId="3303C134" w14:textId="77777777" w:rsidR="00EE0175" w:rsidRPr="00EE02D5" w:rsidRDefault="00EE0175" w:rsidP="00EE0175">
      <w:pPr>
        <w:tabs>
          <w:tab w:val="left" w:pos="8998"/>
        </w:tabs>
        <w:spacing w:line="240" w:lineRule="auto"/>
        <w:rPr>
          <w:szCs w:val="26"/>
        </w:rPr>
      </w:pPr>
      <w:r w:rsidRPr="00EE02D5">
        <w:rPr>
          <w:szCs w:val="26"/>
        </w:rPr>
        <w:t>In the matter between:</w:t>
      </w:r>
    </w:p>
    <w:p w14:paraId="3217BF7C" w14:textId="77777777" w:rsidR="00EE0175" w:rsidRPr="00EE02D5" w:rsidRDefault="00EE0175" w:rsidP="00EE0175">
      <w:pPr>
        <w:tabs>
          <w:tab w:val="left" w:pos="8998"/>
        </w:tabs>
        <w:spacing w:line="240" w:lineRule="auto"/>
        <w:rPr>
          <w:szCs w:val="26"/>
        </w:rPr>
      </w:pPr>
    </w:p>
    <w:p w14:paraId="5419B87C" w14:textId="77777777" w:rsidR="00EE0175" w:rsidRPr="00EE02D5" w:rsidRDefault="00EE0175" w:rsidP="00EE0175">
      <w:pPr>
        <w:tabs>
          <w:tab w:val="left" w:pos="8998"/>
        </w:tabs>
        <w:spacing w:line="240" w:lineRule="auto"/>
        <w:rPr>
          <w:szCs w:val="26"/>
        </w:rPr>
      </w:pPr>
    </w:p>
    <w:p w14:paraId="79C74EFA" w14:textId="77777777" w:rsidR="00EE0175" w:rsidRPr="00EE02D5" w:rsidRDefault="00EE0175" w:rsidP="00EE0175">
      <w:pPr>
        <w:tabs>
          <w:tab w:val="right" w:pos="9029"/>
        </w:tabs>
        <w:spacing w:line="240" w:lineRule="auto"/>
        <w:rPr>
          <w:szCs w:val="26"/>
        </w:rPr>
      </w:pPr>
      <w:r>
        <w:rPr>
          <w:b/>
          <w:szCs w:val="26"/>
        </w:rPr>
        <w:t>TRUSTEES OF THE SIMCHA TRUST</w:t>
      </w:r>
      <w:r w:rsidRPr="00EE02D5">
        <w:rPr>
          <w:szCs w:val="26"/>
        </w:rPr>
        <w:tab/>
        <w:t>Applicant</w:t>
      </w:r>
    </w:p>
    <w:p w14:paraId="6E2DB62B" w14:textId="77777777" w:rsidR="00EE0175" w:rsidRPr="00EE02D5" w:rsidRDefault="00EE0175" w:rsidP="00EE0175">
      <w:pPr>
        <w:tabs>
          <w:tab w:val="right" w:pos="9029"/>
        </w:tabs>
        <w:spacing w:line="240" w:lineRule="auto"/>
        <w:rPr>
          <w:szCs w:val="26"/>
        </w:rPr>
      </w:pPr>
    </w:p>
    <w:p w14:paraId="6AB27872" w14:textId="77777777" w:rsidR="00EE0175" w:rsidRPr="00EE02D5" w:rsidRDefault="00EE0175" w:rsidP="00EE0175">
      <w:pPr>
        <w:spacing w:line="240" w:lineRule="auto"/>
        <w:rPr>
          <w:szCs w:val="26"/>
        </w:rPr>
      </w:pPr>
      <w:r w:rsidRPr="00EE02D5">
        <w:rPr>
          <w:szCs w:val="26"/>
        </w:rPr>
        <w:t>and</w:t>
      </w:r>
    </w:p>
    <w:p w14:paraId="5BC38BBF" w14:textId="77777777" w:rsidR="00EE0175" w:rsidRPr="00EE02D5" w:rsidRDefault="00EE0175" w:rsidP="00EE0175">
      <w:pPr>
        <w:spacing w:line="240" w:lineRule="auto"/>
        <w:rPr>
          <w:szCs w:val="26"/>
        </w:rPr>
      </w:pPr>
    </w:p>
    <w:p w14:paraId="77D51286" w14:textId="77777777" w:rsidR="00EE0175" w:rsidRPr="00ED1CCC" w:rsidRDefault="00EE0175" w:rsidP="00EE0175">
      <w:pPr>
        <w:tabs>
          <w:tab w:val="right" w:pos="9029"/>
        </w:tabs>
        <w:spacing w:line="240" w:lineRule="auto"/>
        <w:rPr>
          <w:szCs w:val="26"/>
        </w:rPr>
      </w:pPr>
      <w:r w:rsidRPr="00ED1CCC">
        <w:rPr>
          <w:b/>
          <w:szCs w:val="26"/>
        </w:rPr>
        <w:t>JOAO JOSE RIBEIRO DA CRUZ</w:t>
      </w:r>
      <w:r w:rsidRPr="00ED1CCC">
        <w:rPr>
          <w:szCs w:val="26"/>
        </w:rPr>
        <w:tab/>
        <w:t>First Respondent</w:t>
      </w:r>
    </w:p>
    <w:p w14:paraId="44348D59" w14:textId="77777777" w:rsidR="00EE0175" w:rsidRPr="00ED1CCC" w:rsidRDefault="00EE0175" w:rsidP="00EE0175">
      <w:pPr>
        <w:tabs>
          <w:tab w:val="right" w:pos="9029"/>
        </w:tabs>
        <w:spacing w:line="240" w:lineRule="auto"/>
        <w:rPr>
          <w:szCs w:val="26"/>
        </w:rPr>
      </w:pPr>
    </w:p>
    <w:p w14:paraId="5146D9C0" w14:textId="20100307" w:rsidR="00DE1D6B" w:rsidRPr="00ED1CCC" w:rsidRDefault="00EE0175" w:rsidP="00DE1D6B">
      <w:pPr>
        <w:tabs>
          <w:tab w:val="right" w:pos="9029"/>
        </w:tabs>
        <w:spacing w:line="240" w:lineRule="auto"/>
        <w:rPr>
          <w:szCs w:val="26"/>
        </w:rPr>
      </w:pPr>
      <w:r w:rsidRPr="00ED1CCC">
        <w:rPr>
          <w:b/>
          <w:szCs w:val="26"/>
        </w:rPr>
        <w:t>BODY CORPORATE OF THE FOUR SEASONS</w:t>
      </w:r>
      <w:r w:rsidR="00DE1D6B">
        <w:rPr>
          <w:szCs w:val="26"/>
        </w:rPr>
        <w:tab/>
      </w:r>
      <w:r w:rsidR="00DE1D6B" w:rsidRPr="00ED1CCC">
        <w:rPr>
          <w:szCs w:val="26"/>
        </w:rPr>
        <w:t>Second Respondent</w:t>
      </w:r>
    </w:p>
    <w:p w14:paraId="50C5FF69" w14:textId="14E6C842" w:rsidR="00DE1D6B" w:rsidRDefault="00EE0175" w:rsidP="000A26A7">
      <w:pPr>
        <w:tabs>
          <w:tab w:val="right" w:pos="9029"/>
        </w:tabs>
        <w:spacing w:line="240" w:lineRule="auto"/>
        <w:rPr>
          <w:szCs w:val="26"/>
        </w:rPr>
      </w:pPr>
      <w:r w:rsidRPr="00ED1CCC">
        <w:rPr>
          <w:b/>
          <w:szCs w:val="26"/>
        </w:rPr>
        <w:t>SECTIONAL TITLE SCHEME</w:t>
      </w:r>
      <w:r w:rsidRPr="00ED1CCC">
        <w:rPr>
          <w:szCs w:val="26"/>
        </w:rPr>
        <w:tab/>
      </w:r>
    </w:p>
    <w:p w14:paraId="62EC649E" w14:textId="77777777" w:rsidR="00DE1D6B" w:rsidRDefault="00DE1D6B" w:rsidP="000A26A7">
      <w:pPr>
        <w:tabs>
          <w:tab w:val="right" w:pos="9029"/>
        </w:tabs>
        <w:spacing w:line="240" w:lineRule="auto"/>
        <w:rPr>
          <w:szCs w:val="26"/>
        </w:rPr>
      </w:pPr>
      <w:r>
        <w:rPr>
          <w:szCs w:val="26"/>
        </w:rPr>
        <w:tab/>
      </w:r>
    </w:p>
    <w:p w14:paraId="3E200075" w14:textId="4F478D76" w:rsidR="00EE0175" w:rsidRPr="00ED1CCC" w:rsidRDefault="00DE1D6B" w:rsidP="000A26A7">
      <w:pPr>
        <w:tabs>
          <w:tab w:val="right" w:pos="9029"/>
        </w:tabs>
        <w:spacing w:line="240" w:lineRule="auto"/>
        <w:rPr>
          <w:szCs w:val="26"/>
        </w:rPr>
      </w:pPr>
      <w:r w:rsidRPr="00ED1CCC">
        <w:rPr>
          <w:b/>
          <w:szCs w:val="26"/>
        </w:rPr>
        <w:t>CITY OF CAPE TOWN</w:t>
      </w:r>
      <w:r>
        <w:rPr>
          <w:szCs w:val="26"/>
        </w:rPr>
        <w:tab/>
      </w:r>
      <w:r w:rsidRPr="00ED1CCC">
        <w:rPr>
          <w:szCs w:val="26"/>
        </w:rPr>
        <w:t>Third Respondent</w:t>
      </w:r>
      <w:r w:rsidRPr="00ED1CCC" w:rsidDel="00DE1D6B">
        <w:rPr>
          <w:szCs w:val="26"/>
        </w:rPr>
        <w:t xml:space="preserve"> </w:t>
      </w:r>
    </w:p>
    <w:p w14:paraId="4E1DAD91" w14:textId="4FCACC97" w:rsidR="0072552B" w:rsidRDefault="00EE0175" w:rsidP="00EE0175">
      <w:pPr>
        <w:tabs>
          <w:tab w:val="right" w:pos="9029"/>
        </w:tabs>
        <w:spacing w:line="240" w:lineRule="auto"/>
        <w:rPr>
          <w:szCs w:val="26"/>
        </w:rPr>
      </w:pPr>
      <w:r w:rsidRPr="00ED1CCC">
        <w:rPr>
          <w:szCs w:val="26"/>
        </w:rPr>
        <w:tab/>
      </w:r>
    </w:p>
    <w:p w14:paraId="00E6CB29" w14:textId="77777777" w:rsidR="00EE0175" w:rsidRPr="00EE02D5" w:rsidRDefault="00EE0175" w:rsidP="00EE0175">
      <w:pPr>
        <w:tabs>
          <w:tab w:val="right" w:pos="9029"/>
        </w:tabs>
        <w:spacing w:line="240" w:lineRule="auto"/>
        <w:rPr>
          <w:szCs w:val="26"/>
        </w:rPr>
      </w:pPr>
    </w:p>
    <w:p w14:paraId="310C83F7" w14:textId="76BF67A6" w:rsidR="00EE0175" w:rsidRPr="00F31137" w:rsidRDefault="00E4675F" w:rsidP="00EE0175">
      <w:pPr>
        <w:tabs>
          <w:tab w:val="right" w:pos="9029"/>
        </w:tabs>
        <w:spacing w:line="240" w:lineRule="auto"/>
        <w:jc w:val="right"/>
        <w:rPr>
          <w:szCs w:val="26"/>
        </w:rPr>
      </w:pPr>
      <w:r>
        <w:rPr>
          <w:szCs w:val="26"/>
        </w:rPr>
        <w:t xml:space="preserve">Case </w:t>
      </w:r>
      <w:r w:rsidR="00EE0175" w:rsidRPr="00F31137">
        <w:rPr>
          <w:szCs w:val="26"/>
        </w:rPr>
        <w:t>CCT 128/18</w:t>
      </w:r>
    </w:p>
    <w:p w14:paraId="482F6AAE" w14:textId="77777777" w:rsidR="00EE0175" w:rsidRPr="00EE02D5" w:rsidRDefault="00EE0175" w:rsidP="00EE0175">
      <w:pPr>
        <w:tabs>
          <w:tab w:val="left" w:pos="8998"/>
        </w:tabs>
        <w:spacing w:line="240" w:lineRule="auto"/>
        <w:rPr>
          <w:szCs w:val="26"/>
        </w:rPr>
      </w:pPr>
    </w:p>
    <w:p w14:paraId="5E1C7348" w14:textId="77777777" w:rsidR="00EE0175" w:rsidRPr="00EE02D5" w:rsidRDefault="00EE0175" w:rsidP="00EE0175">
      <w:pPr>
        <w:tabs>
          <w:tab w:val="left" w:pos="8998"/>
        </w:tabs>
        <w:spacing w:line="240" w:lineRule="auto"/>
        <w:rPr>
          <w:szCs w:val="26"/>
        </w:rPr>
      </w:pPr>
      <w:r w:rsidRPr="00EE02D5">
        <w:rPr>
          <w:szCs w:val="26"/>
        </w:rPr>
        <w:t>In the matter between:</w:t>
      </w:r>
    </w:p>
    <w:p w14:paraId="047F800E" w14:textId="77777777" w:rsidR="00EE0175" w:rsidRPr="00EE02D5" w:rsidRDefault="00EE0175" w:rsidP="00EE0175">
      <w:pPr>
        <w:tabs>
          <w:tab w:val="left" w:pos="8998"/>
        </w:tabs>
        <w:spacing w:line="240" w:lineRule="auto"/>
        <w:rPr>
          <w:szCs w:val="26"/>
        </w:rPr>
      </w:pPr>
    </w:p>
    <w:p w14:paraId="2A6045F8" w14:textId="77777777" w:rsidR="00EE0175" w:rsidRPr="00EE02D5" w:rsidRDefault="00EE0175" w:rsidP="00EE0175">
      <w:pPr>
        <w:tabs>
          <w:tab w:val="left" w:pos="8998"/>
        </w:tabs>
        <w:spacing w:line="240" w:lineRule="auto"/>
        <w:rPr>
          <w:szCs w:val="26"/>
        </w:rPr>
      </w:pPr>
    </w:p>
    <w:p w14:paraId="4A690D5D" w14:textId="77777777" w:rsidR="00EE0175" w:rsidRPr="00EE02D5" w:rsidRDefault="00EE0175" w:rsidP="00EE0175">
      <w:pPr>
        <w:tabs>
          <w:tab w:val="right" w:pos="9029"/>
        </w:tabs>
        <w:spacing w:line="240" w:lineRule="auto"/>
        <w:rPr>
          <w:szCs w:val="26"/>
        </w:rPr>
      </w:pPr>
      <w:r w:rsidRPr="00ED1CCC">
        <w:rPr>
          <w:b/>
          <w:szCs w:val="26"/>
        </w:rPr>
        <w:t>CITY OF CAPE TOWN</w:t>
      </w:r>
      <w:r w:rsidRPr="00EE02D5">
        <w:rPr>
          <w:szCs w:val="26"/>
        </w:rPr>
        <w:tab/>
        <w:t>Applicant</w:t>
      </w:r>
    </w:p>
    <w:p w14:paraId="3B32938F" w14:textId="77777777" w:rsidR="00EE0175" w:rsidRPr="00EE02D5" w:rsidRDefault="00EE0175" w:rsidP="00EE0175">
      <w:pPr>
        <w:tabs>
          <w:tab w:val="right" w:pos="9029"/>
        </w:tabs>
        <w:spacing w:line="240" w:lineRule="auto"/>
        <w:rPr>
          <w:szCs w:val="26"/>
        </w:rPr>
      </w:pPr>
    </w:p>
    <w:p w14:paraId="1E53A892" w14:textId="77777777" w:rsidR="00EE0175" w:rsidRPr="00EE02D5" w:rsidRDefault="00EE0175" w:rsidP="00EE0175">
      <w:pPr>
        <w:spacing w:line="240" w:lineRule="auto"/>
        <w:rPr>
          <w:szCs w:val="26"/>
        </w:rPr>
      </w:pPr>
      <w:r w:rsidRPr="00EE02D5">
        <w:rPr>
          <w:szCs w:val="26"/>
        </w:rPr>
        <w:t>and</w:t>
      </w:r>
    </w:p>
    <w:p w14:paraId="0A76B7CB" w14:textId="77777777" w:rsidR="00EE0175" w:rsidRPr="00EE02D5" w:rsidRDefault="00EE0175" w:rsidP="00EE0175">
      <w:pPr>
        <w:spacing w:line="240" w:lineRule="auto"/>
        <w:rPr>
          <w:szCs w:val="26"/>
        </w:rPr>
      </w:pPr>
    </w:p>
    <w:p w14:paraId="0775968E" w14:textId="77777777" w:rsidR="00EE0175" w:rsidRPr="00ED1CCC" w:rsidRDefault="00EE0175" w:rsidP="00EE0175">
      <w:pPr>
        <w:tabs>
          <w:tab w:val="right" w:pos="9029"/>
        </w:tabs>
        <w:spacing w:line="240" w:lineRule="auto"/>
        <w:rPr>
          <w:szCs w:val="26"/>
        </w:rPr>
      </w:pPr>
      <w:r w:rsidRPr="00ED1CCC">
        <w:rPr>
          <w:b/>
          <w:szCs w:val="26"/>
        </w:rPr>
        <w:t>JOAO JOSE RIBEIRO DA CRUZ</w:t>
      </w:r>
      <w:r w:rsidRPr="00ED1CCC">
        <w:rPr>
          <w:szCs w:val="26"/>
        </w:rPr>
        <w:tab/>
        <w:t>First Respondent</w:t>
      </w:r>
    </w:p>
    <w:p w14:paraId="451D74B7" w14:textId="77777777" w:rsidR="00EE0175" w:rsidRPr="00ED1CCC" w:rsidRDefault="00EE0175" w:rsidP="00EE0175">
      <w:pPr>
        <w:tabs>
          <w:tab w:val="right" w:pos="9029"/>
        </w:tabs>
        <w:spacing w:line="240" w:lineRule="auto"/>
        <w:rPr>
          <w:szCs w:val="26"/>
        </w:rPr>
      </w:pPr>
    </w:p>
    <w:p w14:paraId="161373FD" w14:textId="403082A0" w:rsidR="00EE0175" w:rsidRPr="00ED1CCC" w:rsidRDefault="00EE0175" w:rsidP="00EE0175">
      <w:pPr>
        <w:tabs>
          <w:tab w:val="right" w:pos="9029"/>
        </w:tabs>
        <w:spacing w:line="240" w:lineRule="auto"/>
        <w:rPr>
          <w:b/>
          <w:szCs w:val="26"/>
        </w:rPr>
      </w:pPr>
      <w:r w:rsidRPr="00ED1CCC">
        <w:rPr>
          <w:b/>
          <w:szCs w:val="26"/>
        </w:rPr>
        <w:t>BODY CORPORATE OF THE FOUR SEASONS</w:t>
      </w:r>
      <w:r w:rsidR="0072552B">
        <w:rPr>
          <w:szCs w:val="26"/>
        </w:rPr>
        <w:tab/>
      </w:r>
      <w:r w:rsidR="0072552B" w:rsidRPr="00ED1CCC">
        <w:rPr>
          <w:szCs w:val="26"/>
        </w:rPr>
        <w:t>Second Respondent</w:t>
      </w:r>
    </w:p>
    <w:p w14:paraId="03556CC8" w14:textId="506B262A" w:rsidR="00EE0175" w:rsidRPr="00ED1CCC" w:rsidRDefault="00EE0175" w:rsidP="00EE0175">
      <w:pPr>
        <w:tabs>
          <w:tab w:val="right" w:pos="9029"/>
        </w:tabs>
        <w:spacing w:line="240" w:lineRule="auto"/>
        <w:rPr>
          <w:szCs w:val="26"/>
        </w:rPr>
      </w:pPr>
      <w:r w:rsidRPr="00ED1CCC">
        <w:rPr>
          <w:b/>
          <w:szCs w:val="26"/>
        </w:rPr>
        <w:t>SECTIONAL TITLE SCHEME</w:t>
      </w:r>
      <w:r w:rsidRPr="00ED1CCC">
        <w:rPr>
          <w:szCs w:val="26"/>
        </w:rPr>
        <w:tab/>
      </w:r>
    </w:p>
    <w:p w14:paraId="7F3AED26" w14:textId="77777777" w:rsidR="00EE0175" w:rsidRPr="00ED1CCC" w:rsidRDefault="00EE0175" w:rsidP="00EE0175">
      <w:pPr>
        <w:spacing w:line="240" w:lineRule="auto"/>
        <w:rPr>
          <w:szCs w:val="26"/>
        </w:rPr>
      </w:pPr>
    </w:p>
    <w:p w14:paraId="12A8C95D" w14:textId="77777777" w:rsidR="00EE0175" w:rsidRDefault="00EE0175" w:rsidP="00EE0175">
      <w:pPr>
        <w:tabs>
          <w:tab w:val="right" w:pos="9029"/>
        </w:tabs>
        <w:spacing w:line="240" w:lineRule="auto"/>
        <w:rPr>
          <w:szCs w:val="26"/>
        </w:rPr>
      </w:pPr>
      <w:r>
        <w:rPr>
          <w:b/>
          <w:szCs w:val="26"/>
        </w:rPr>
        <w:t>TRUSTEES OF THE SIMCHA TRUST</w:t>
      </w:r>
      <w:r w:rsidRPr="00ED1CCC">
        <w:rPr>
          <w:szCs w:val="26"/>
        </w:rPr>
        <w:tab/>
        <w:t>Third Respondent</w:t>
      </w:r>
    </w:p>
    <w:p w14:paraId="7041B73E" w14:textId="77777777" w:rsidR="003A18CF" w:rsidRDefault="003A18CF" w:rsidP="00EE0175">
      <w:pPr>
        <w:tabs>
          <w:tab w:val="right" w:pos="9029"/>
        </w:tabs>
        <w:spacing w:line="240" w:lineRule="auto"/>
      </w:pPr>
    </w:p>
    <w:p w14:paraId="241FCA26" w14:textId="77777777" w:rsidR="003A18CF" w:rsidRPr="009C3888" w:rsidRDefault="003A18CF" w:rsidP="003A18CF">
      <w:pPr>
        <w:spacing w:line="240" w:lineRule="auto"/>
      </w:pPr>
    </w:p>
    <w:p w14:paraId="729ADAC2" w14:textId="459FB4AA" w:rsidR="003A18CF" w:rsidRPr="00F05BBD" w:rsidRDefault="003A18CF" w:rsidP="003A18CF">
      <w:pPr>
        <w:spacing w:line="240" w:lineRule="auto"/>
        <w:ind w:left="2160" w:hanging="2160"/>
      </w:pPr>
      <w:r w:rsidRPr="008B40EE">
        <w:rPr>
          <w:b/>
        </w:rPr>
        <w:t>Neutral citation:</w:t>
      </w:r>
      <w:r>
        <w:tab/>
      </w:r>
      <w:r w:rsidR="00783950">
        <w:rPr>
          <w:i/>
        </w:rPr>
        <w:t xml:space="preserve">Trustees of </w:t>
      </w:r>
      <w:r w:rsidR="00783950" w:rsidRPr="00F31137">
        <w:rPr>
          <w:i/>
        </w:rPr>
        <w:t xml:space="preserve">the </w:t>
      </w:r>
      <w:r w:rsidR="00CD50E1" w:rsidRPr="00F31137">
        <w:rPr>
          <w:i/>
        </w:rPr>
        <w:t xml:space="preserve">Simcha Trust </w:t>
      </w:r>
      <w:r w:rsidRPr="00F31137">
        <w:rPr>
          <w:i/>
        </w:rPr>
        <w:t xml:space="preserve">v </w:t>
      </w:r>
      <w:r w:rsidR="00CD50E1" w:rsidRPr="00F31137">
        <w:rPr>
          <w:i/>
        </w:rPr>
        <w:t>Da Cruz and Others</w:t>
      </w:r>
      <w:r w:rsidR="00783950" w:rsidRPr="00F31137">
        <w:rPr>
          <w:i/>
        </w:rPr>
        <w:t xml:space="preserve">; City of Cape Town v Da Cruz and </w:t>
      </w:r>
      <w:r w:rsidR="00755DB2">
        <w:rPr>
          <w:i/>
        </w:rPr>
        <w:t>O</w:t>
      </w:r>
      <w:r w:rsidR="00783950" w:rsidRPr="00F31137">
        <w:rPr>
          <w:i/>
        </w:rPr>
        <w:t>thers</w:t>
      </w:r>
      <w:r w:rsidRPr="00F31137">
        <w:rPr>
          <w:i/>
        </w:rPr>
        <w:t xml:space="preserve"> </w:t>
      </w:r>
      <w:r w:rsidRPr="00F31137">
        <w:t>[</w:t>
      </w:r>
      <w:r w:rsidR="00CD50E1" w:rsidRPr="00F31137">
        <w:t>2018</w:t>
      </w:r>
      <w:r w:rsidRPr="00F31137">
        <w:t xml:space="preserve">] ZACC </w:t>
      </w:r>
      <w:r w:rsidR="008C67A3">
        <w:t>8</w:t>
      </w:r>
    </w:p>
    <w:p w14:paraId="39C74534" w14:textId="77777777" w:rsidR="003A18CF" w:rsidRDefault="003A18CF" w:rsidP="003A18CF">
      <w:pPr>
        <w:spacing w:line="240" w:lineRule="auto"/>
      </w:pPr>
    </w:p>
    <w:p w14:paraId="2CB6B821" w14:textId="77777777" w:rsidR="007410F3" w:rsidRPr="00A8146A" w:rsidRDefault="003A18CF" w:rsidP="007410F3">
      <w:pPr>
        <w:pStyle w:val="BODYNON-NUMBERED"/>
        <w:spacing w:after="0"/>
        <w:ind w:left="2160" w:hanging="2160"/>
        <w:rPr>
          <w:szCs w:val="26"/>
        </w:rPr>
      </w:pPr>
      <w:r w:rsidRPr="008B40EE">
        <w:rPr>
          <w:b/>
        </w:rPr>
        <w:t>Coram:</w:t>
      </w:r>
      <w:r>
        <w:tab/>
      </w:r>
      <w:r w:rsidR="007410F3">
        <w:rPr>
          <w:szCs w:val="26"/>
        </w:rPr>
        <w:t xml:space="preserve">Mogoeng CJ, </w:t>
      </w:r>
      <w:r w:rsidR="00CD50E1">
        <w:rPr>
          <w:szCs w:val="26"/>
        </w:rPr>
        <w:t xml:space="preserve">Basson AJ, </w:t>
      </w:r>
      <w:r w:rsidR="007410F3" w:rsidRPr="002162D7">
        <w:rPr>
          <w:szCs w:val="26"/>
        </w:rPr>
        <w:t>Cameron J</w:t>
      </w:r>
      <w:r w:rsidR="007410F3">
        <w:rPr>
          <w:szCs w:val="26"/>
        </w:rPr>
        <w:t xml:space="preserve">, </w:t>
      </w:r>
      <w:r w:rsidR="00CD50E1">
        <w:rPr>
          <w:szCs w:val="26"/>
        </w:rPr>
        <w:t xml:space="preserve">Dlodlo AJ, </w:t>
      </w:r>
      <w:r w:rsidR="007410F3">
        <w:rPr>
          <w:szCs w:val="26"/>
        </w:rPr>
        <w:t xml:space="preserve">Froneman J, </w:t>
      </w:r>
      <w:r w:rsidR="00CD50E1">
        <w:rPr>
          <w:szCs w:val="26"/>
        </w:rPr>
        <w:t xml:space="preserve">Goliath AJ, </w:t>
      </w:r>
      <w:r w:rsidR="007410F3">
        <w:rPr>
          <w:szCs w:val="26"/>
        </w:rPr>
        <w:t>Khampepe </w:t>
      </w:r>
      <w:r w:rsidR="007410F3" w:rsidRPr="002162D7">
        <w:rPr>
          <w:szCs w:val="26"/>
        </w:rPr>
        <w:t xml:space="preserve">J, Mhlantla J, </w:t>
      </w:r>
      <w:r w:rsidR="00CD50E1">
        <w:rPr>
          <w:szCs w:val="26"/>
        </w:rPr>
        <w:t xml:space="preserve">Petse </w:t>
      </w:r>
      <w:r w:rsidR="007410F3">
        <w:rPr>
          <w:szCs w:val="26"/>
        </w:rPr>
        <w:t xml:space="preserve">AJ and </w:t>
      </w:r>
      <w:r w:rsidR="00CD50E1">
        <w:rPr>
          <w:szCs w:val="26"/>
        </w:rPr>
        <w:t>Theron J</w:t>
      </w:r>
    </w:p>
    <w:p w14:paraId="5BC68833" w14:textId="77777777" w:rsidR="003A18CF" w:rsidRDefault="003A18CF" w:rsidP="003A18CF">
      <w:pPr>
        <w:spacing w:line="240" w:lineRule="auto"/>
      </w:pPr>
    </w:p>
    <w:p w14:paraId="6A63E6D0" w14:textId="61FF7443" w:rsidR="00AE7143" w:rsidRDefault="00AE7143" w:rsidP="00AE7143">
      <w:pPr>
        <w:spacing w:line="240" w:lineRule="auto"/>
        <w:ind w:left="2160" w:hanging="2160"/>
      </w:pPr>
      <w:r>
        <w:rPr>
          <w:b/>
        </w:rPr>
        <w:t>Judgment</w:t>
      </w:r>
      <w:r w:rsidRPr="008B40EE">
        <w:rPr>
          <w:b/>
        </w:rPr>
        <w:t>:</w:t>
      </w:r>
      <w:r>
        <w:tab/>
      </w:r>
      <w:r w:rsidR="00EE0175" w:rsidRPr="00CD50E1">
        <w:t>Theron</w:t>
      </w:r>
      <w:r w:rsidRPr="00CD50E1">
        <w:t xml:space="preserve"> </w:t>
      </w:r>
      <w:r w:rsidR="00CD50E1" w:rsidRPr="00CD50E1">
        <w:t xml:space="preserve">J </w:t>
      </w:r>
      <w:r w:rsidRPr="00CD50E1">
        <w:t>(</w:t>
      </w:r>
      <w:r w:rsidRPr="00167637">
        <w:t>unanimous</w:t>
      </w:r>
      <w:r w:rsidRPr="00CD50E1">
        <w:t>)</w:t>
      </w:r>
    </w:p>
    <w:p w14:paraId="159AB50C" w14:textId="77777777" w:rsidR="003A18CF" w:rsidRPr="009C3888" w:rsidRDefault="00AE7143" w:rsidP="0044313C">
      <w:pPr>
        <w:spacing w:line="240" w:lineRule="auto"/>
        <w:ind w:left="2160" w:hanging="2160"/>
      </w:pPr>
      <w:r>
        <w:rPr>
          <w:b/>
        </w:rPr>
        <w:tab/>
      </w:r>
    </w:p>
    <w:p w14:paraId="6B204E05" w14:textId="581E8DB5" w:rsidR="003A18CF" w:rsidRDefault="003A18CF" w:rsidP="0044313C">
      <w:pPr>
        <w:spacing w:line="240" w:lineRule="auto"/>
        <w:ind w:left="2160" w:hanging="2160"/>
      </w:pPr>
      <w:r w:rsidRPr="008B40EE">
        <w:rPr>
          <w:b/>
        </w:rPr>
        <w:t>Decided on:</w:t>
      </w:r>
      <w:r>
        <w:tab/>
      </w:r>
      <w:r w:rsidR="008C67A3" w:rsidRPr="008C67A3">
        <w:t>19 February 2019</w:t>
      </w:r>
    </w:p>
    <w:p w14:paraId="515E0CA7" w14:textId="77777777" w:rsidR="004110F6" w:rsidRDefault="004110F6" w:rsidP="003A18CF">
      <w:pPr>
        <w:spacing w:line="240" w:lineRule="auto"/>
      </w:pPr>
    </w:p>
    <w:p w14:paraId="20183FCE" w14:textId="61FF6CD8" w:rsidR="004D02BA" w:rsidRDefault="004D02BA" w:rsidP="00CD50E1">
      <w:pPr>
        <w:spacing w:line="240" w:lineRule="auto"/>
        <w:ind w:left="2160" w:hanging="2160"/>
      </w:pPr>
      <w:r>
        <w:rPr>
          <w:b/>
        </w:rPr>
        <w:t>Summary:</w:t>
      </w:r>
      <w:r>
        <w:rPr>
          <w:b/>
        </w:rPr>
        <w:tab/>
      </w:r>
      <w:r w:rsidR="00CD50E1" w:rsidRPr="000A26A7">
        <w:t>National Building Regulations and Building Standards Act</w:t>
      </w:r>
      <w:r w:rsidRPr="0066349E">
        <w:t xml:space="preserve"> </w:t>
      </w:r>
      <w:r w:rsidR="006724E0" w:rsidRPr="0066349E">
        <w:t>—</w:t>
      </w:r>
      <w:r w:rsidRPr="0066349E">
        <w:t xml:space="preserve"> </w:t>
      </w:r>
      <w:r w:rsidR="00CD50E1" w:rsidRPr="000A26A7">
        <w:t>disqualifying factors</w:t>
      </w:r>
      <w:r w:rsidRPr="0066349E">
        <w:t xml:space="preserve"> </w:t>
      </w:r>
      <w:r w:rsidR="006724E0" w:rsidRPr="0066349E">
        <w:t>—</w:t>
      </w:r>
      <w:r w:rsidRPr="0066349E">
        <w:t xml:space="preserve"> </w:t>
      </w:r>
      <w:r w:rsidR="00CD50E1" w:rsidRPr="000A26A7">
        <w:t>legitimate expectation</w:t>
      </w:r>
      <w:r w:rsidR="00411AA1" w:rsidRPr="000A26A7">
        <w:t>s</w:t>
      </w:r>
      <w:r w:rsidR="00CD50E1" w:rsidRPr="000A26A7">
        <w:t xml:space="preserve"> test</w:t>
      </w:r>
    </w:p>
    <w:p w14:paraId="5D549335" w14:textId="77777777" w:rsidR="004D02BA" w:rsidRDefault="004D02BA" w:rsidP="004D02BA">
      <w:pPr>
        <w:spacing w:line="240" w:lineRule="auto"/>
      </w:pPr>
    </w:p>
    <w:p w14:paraId="10A03C23" w14:textId="77777777" w:rsidR="004D02BA" w:rsidRPr="004110F6" w:rsidRDefault="004D02BA" w:rsidP="004D02BA">
      <w:pPr>
        <w:spacing w:line="240" w:lineRule="auto"/>
      </w:pPr>
    </w:p>
    <w:p w14:paraId="6E2FC30F" w14:textId="77777777" w:rsidR="003A18CF" w:rsidRPr="009C3888" w:rsidRDefault="003A18CF" w:rsidP="003A18CF">
      <w:pPr>
        <w:keepNext/>
        <w:pBdr>
          <w:top w:val="single" w:sz="4" w:space="1" w:color="auto"/>
          <w:bottom w:val="single" w:sz="4" w:space="1" w:color="auto"/>
        </w:pBdr>
        <w:spacing w:line="240" w:lineRule="auto"/>
        <w:jc w:val="center"/>
      </w:pPr>
    </w:p>
    <w:p w14:paraId="395B0711" w14:textId="77777777" w:rsidR="003A18CF" w:rsidRPr="005C6482" w:rsidRDefault="003A18CF" w:rsidP="003A18CF">
      <w:pPr>
        <w:keepNext/>
        <w:pBdr>
          <w:top w:val="single" w:sz="4" w:space="1" w:color="auto"/>
          <w:bottom w:val="single" w:sz="4" w:space="1" w:color="auto"/>
        </w:pBdr>
        <w:spacing w:line="240" w:lineRule="auto"/>
        <w:jc w:val="center"/>
        <w:outlineLvl w:val="0"/>
        <w:rPr>
          <w:b/>
        </w:rPr>
      </w:pPr>
      <w:r>
        <w:rPr>
          <w:b/>
        </w:rPr>
        <w:t>ORDER</w:t>
      </w:r>
    </w:p>
    <w:p w14:paraId="742AF150" w14:textId="77777777" w:rsidR="003A18CF" w:rsidRPr="009C3888" w:rsidRDefault="003A18CF" w:rsidP="003A18CF">
      <w:pPr>
        <w:pBdr>
          <w:top w:val="single" w:sz="4" w:space="1" w:color="auto"/>
          <w:bottom w:val="single" w:sz="4" w:space="1" w:color="auto"/>
        </w:pBdr>
        <w:spacing w:line="240" w:lineRule="auto"/>
        <w:jc w:val="center"/>
      </w:pPr>
    </w:p>
    <w:p w14:paraId="2E78779C" w14:textId="77777777" w:rsidR="003A18CF" w:rsidRDefault="003A18CF" w:rsidP="003A18CF">
      <w:pPr>
        <w:spacing w:line="240" w:lineRule="auto"/>
      </w:pPr>
    </w:p>
    <w:p w14:paraId="5E9164BA" w14:textId="77777777" w:rsidR="003A18CF" w:rsidRPr="009C3888" w:rsidRDefault="003A18CF" w:rsidP="003A18CF">
      <w:pPr>
        <w:spacing w:line="240" w:lineRule="auto"/>
      </w:pPr>
    </w:p>
    <w:p w14:paraId="0AD2113C" w14:textId="4DF4CBA2" w:rsidR="0068798F" w:rsidRDefault="0068798F" w:rsidP="0068798F">
      <w:pPr>
        <w:pStyle w:val="JUDGMENTCONTINUED"/>
      </w:pPr>
      <w:r w:rsidRPr="00CD50E1">
        <w:t>On appeal from the</w:t>
      </w:r>
      <w:r>
        <w:t xml:space="preserve"> High Court</w:t>
      </w:r>
      <w:r w:rsidR="002D1F60">
        <w:t xml:space="preserve"> of South Africa, </w:t>
      </w:r>
      <w:r>
        <w:t>Western Cape Division</w:t>
      </w:r>
      <w:r w:rsidR="002D1F60">
        <w:t>, Cape Town</w:t>
      </w:r>
      <w:r w:rsidR="00783950">
        <w:t>:</w:t>
      </w:r>
    </w:p>
    <w:p w14:paraId="37EBE039" w14:textId="77777777" w:rsidR="00783950" w:rsidRPr="00783950" w:rsidRDefault="00783950" w:rsidP="00F31137">
      <w:pPr>
        <w:pStyle w:val="JUDGMENTNUMBERED"/>
        <w:numPr>
          <w:ilvl w:val="0"/>
          <w:numId w:val="0"/>
        </w:numPr>
      </w:pPr>
    </w:p>
    <w:p w14:paraId="6F05B1BD" w14:textId="4334F113" w:rsidR="00685DAF" w:rsidRPr="00167637" w:rsidRDefault="00685DAF" w:rsidP="00685DAF">
      <w:pPr>
        <w:pStyle w:val="JUDGMENTCONTINUED"/>
      </w:pPr>
      <w:r w:rsidRPr="00167637">
        <w:t>Under CCT 125/18 (</w:t>
      </w:r>
      <w:r w:rsidRPr="00167637">
        <w:rPr>
          <w:i/>
        </w:rPr>
        <w:t xml:space="preserve">Trustees of the Simcha Trust v Da Cruz and </w:t>
      </w:r>
      <w:r w:rsidR="00CC0ECD">
        <w:rPr>
          <w:i/>
        </w:rPr>
        <w:t>O</w:t>
      </w:r>
      <w:r w:rsidRPr="00167637">
        <w:rPr>
          <w:i/>
        </w:rPr>
        <w:t>thers</w:t>
      </w:r>
      <w:r w:rsidRPr="00167637">
        <w:t>):</w:t>
      </w:r>
    </w:p>
    <w:p w14:paraId="488080FE" w14:textId="2AA409B9" w:rsidR="00685DAF" w:rsidRPr="009C0A12" w:rsidRDefault="005F1537" w:rsidP="000A26A7">
      <w:pPr>
        <w:pStyle w:val="ORDER"/>
      </w:pPr>
      <w:r w:rsidRPr="009C0A12">
        <w:t>1.</w:t>
      </w:r>
      <w:r w:rsidR="00685DAF" w:rsidRPr="009C0A12">
        <w:tab/>
        <w:t>Leave to appeal is granted.</w:t>
      </w:r>
    </w:p>
    <w:p w14:paraId="04E16851" w14:textId="61113CF8" w:rsidR="00685DAF" w:rsidRPr="009C0A12" w:rsidRDefault="005F1537" w:rsidP="000A26A7">
      <w:pPr>
        <w:pStyle w:val="ORDER"/>
      </w:pPr>
      <w:r w:rsidRPr="009C0A12">
        <w:t>2.</w:t>
      </w:r>
      <w:r w:rsidRPr="009C0A12">
        <w:tab/>
      </w:r>
      <w:r w:rsidR="00685DAF" w:rsidRPr="009C0A12">
        <w:t>The appeal is dismissed.</w:t>
      </w:r>
    </w:p>
    <w:p w14:paraId="566BAF4F" w14:textId="648FB568" w:rsidR="00685DAF" w:rsidRPr="009C0A12" w:rsidRDefault="005F1537" w:rsidP="000A26A7">
      <w:pPr>
        <w:pStyle w:val="ORDER"/>
      </w:pPr>
      <w:r w:rsidRPr="009C0A12">
        <w:t>3.</w:t>
      </w:r>
      <w:r w:rsidRPr="009C0A12">
        <w:tab/>
      </w:r>
      <w:r w:rsidR="00685DAF" w:rsidRPr="009C0A12">
        <w:t>The applicant must pay the costs of</w:t>
      </w:r>
      <w:r w:rsidR="00063A0F" w:rsidRPr="009C0A12">
        <w:t xml:space="preserve"> the respondents in this Court, </w:t>
      </w:r>
      <w:r w:rsidR="00685DAF" w:rsidRPr="009C0A12">
        <w:t>including</w:t>
      </w:r>
      <w:r w:rsidR="00CC0ECD">
        <w:t xml:space="preserve"> where applicable</w:t>
      </w:r>
      <w:r w:rsidR="00685DAF" w:rsidRPr="009C0A12">
        <w:t xml:space="preserve"> the costs of two counsel.</w:t>
      </w:r>
    </w:p>
    <w:p w14:paraId="7C315944" w14:textId="77777777" w:rsidR="00685DAF" w:rsidRDefault="00685DAF" w:rsidP="00685DAF">
      <w:pPr>
        <w:pStyle w:val="List1"/>
        <w:ind w:left="1080" w:firstLine="0"/>
      </w:pPr>
    </w:p>
    <w:p w14:paraId="0C3A714E" w14:textId="6D5CD27A" w:rsidR="00685DAF" w:rsidRPr="00257C86" w:rsidRDefault="00685DAF" w:rsidP="00685DAF">
      <w:pPr>
        <w:pStyle w:val="JUDGMENTCONTINUED"/>
      </w:pPr>
      <w:r>
        <w:t>Under CCT 128/18 (</w:t>
      </w:r>
      <w:r w:rsidRPr="002B22C3">
        <w:rPr>
          <w:i/>
        </w:rPr>
        <w:t xml:space="preserve">City of Cape Town v Da Cruz and </w:t>
      </w:r>
      <w:r w:rsidR="00B268C9">
        <w:rPr>
          <w:i/>
        </w:rPr>
        <w:t>O</w:t>
      </w:r>
      <w:r w:rsidRPr="002B22C3">
        <w:rPr>
          <w:i/>
        </w:rPr>
        <w:t>thers</w:t>
      </w:r>
      <w:r>
        <w:t>):</w:t>
      </w:r>
    </w:p>
    <w:p w14:paraId="39196A85" w14:textId="10C87109" w:rsidR="00685DAF" w:rsidRDefault="009C0A12" w:rsidP="000A26A7">
      <w:pPr>
        <w:pStyle w:val="ORDER"/>
      </w:pPr>
      <w:r>
        <w:t>1.</w:t>
      </w:r>
      <w:r>
        <w:tab/>
      </w:r>
      <w:r w:rsidR="00685DAF">
        <w:t>The application for condonation is granted.</w:t>
      </w:r>
    </w:p>
    <w:p w14:paraId="1F18381A" w14:textId="67BCA6A5" w:rsidR="00685DAF" w:rsidRPr="00775431" w:rsidRDefault="009C0A12" w:rsidP="000A26A7">
      <w:pPr>
        <w:pStyle w:val="ORDER"/>
      </w:pPr>
      <w:r>
        <w:t>2.</w:t>
      </w:r>
      <w:r>
        <w:tab/>
      </w:r>
      <w:r w:rsidR="00685DAF">
        <w:t>Leave to appeal is granted.</w:t>
      </w:r>
    </w:p>
    <w:p w14:paraId="7F2CF15E" w14:textId="4B51F363" w:rsidR="00685DAF" w:rsidRDefault="009C0A12" w:rsidP="000A26A7">
      <w:pPr>
        <w:pStyle w:val="ORDER"/>
      </w:pPr>
      <w:r>
        <w:t>3.</w:t>
      </w:r>
      <w:r>
        <w:tab/>
      </w:r>
      <w:r w:rsidR="00685DAF" w:rsidRPr="00775431">
        <w:t xml:space="preserve">The appeal </w:t>
      </w:r>
      <w:r w:rsidR="00685DAF">
        <w:t>is dismissed.</w:t>
      </w:r>
    </w:p>
    <w:p w14:paraId="7A349EA1" w14:textId="288A87BB" w:rsidR="00685DAF" w:rsidRDefault="009C0A12" w:rsidP="000A26A7">
      <w:pPr>
        <w:pStyle w:val="ORDER"/>
      </w:pPr>
      <w:r>
        <w:t>4.</w:t>
      </w:r>
      <w:r>
        <w:tab/>
      </w:r>
      <w:r w:rsidR="00685DAF">
        <w:t xml:space="preserve">The applicant must pay the costs of </w:t>
      </w:r>
      <w:r w:rsidR="00063A0F">
        <w:t xml:space="preserve">the respondents in this Court, </w:t>
      </w:r>
      <w:r w:rsidR="00685DAF">
        <w:t>including</w:t>
      </w:r>
      <w:r w:rsidR="00B268C9">
        <w:t xml:space="preserve"> where applicable</w:t>
      </w:r>
      <w:r w:rsidR="00685DAF">
        <w:t xml:space="preserve"> the costs of two counsel.</w:t>
      </w:r>
    </w:p>
    <w:p w14:paraId="7B3F050B" w14:textId="77777777" w:rsidR="009261BE" w:rsidRDefault="009261BE" w:rsidP="000A26A7">
      <w:pPr>
        <w:pStyle w:val="ORDER"/>
      </w:pPr>
    </w:p>
    <w:p w14:paraId="3BB17BC5" w14:textId="77777777" w:rsidR="009261BE" w:rsidRDefault="009261BE" w:rsidP="000A26A7">
      <w:pPr>
        <w:pStyle w:val="ORDER"/>
      </w:pPr>
    </w:p>
    <w:p w14:paraId="4FB66D84" w14:textId="77777777" w:rsidR="00CA12A1" w:rsidRPr="00775431" w:rsidRDefault="00CA12A1" w:rsidP="00CA12A1">
      <w:pPr>
        <w:pStyle w:val="BODYLIST"/>
        <w:numPr>
          <w:ilvl w:val="0"/>
          <w:numId w:val="0"/>
        </w:numPr>
        <w:tabs>
          <w:tab w:val="clear" w:pos="680"/>
          <w:tab w:val="left" w:pos="1418"/>
        </w:tabs>
      </w:pPr>
    </w:p>
    <w:p w14:paraId="24943181" w14:textId="77777777" w:rsidR="00CB0CB2" w:rsidRPr="00CB0CB2" w:rsidRDefault="00CB0CB2" w:rsidP="000C38CF">
      <w:pPr>
        <w:pStyle w:val="JUDGMENTCONTINUED"/>
      </w:pPr>
    </w:p>
    <w:p w14:paraId="643BDF74" w14:textId="77777777" w:rsidR="00CB0CB2" w:rsidRDefault="00CB0CB2" w:rsidP="000C38CF">
      <w:pPr>
        <w:pStyle w:val="JUDGMENTCONTINUED"/>
        <w:sectPr w:rsidR="00CB0CB2" w:rsidSect="009559B5">
          <w:footerReference w:type="default" r:id="rId9"/>
          <w:pgSz w:w="11907" w:h="16839" w:code="9"/>
          <w:pgMar w:top="1440" w:right="1440" w:bottom="1440" w:left="1440" w:header="708" w:footer="708" w:gutter="0"/>
          <w:pgNumType w:start="1"/>
          <w:cols w:space="708"/>
          <w:titlePg/>
          <w:docGrid w:linePitch="360"/>
        </w:sectPr>
      </w:pPr>
    </w:p>
    <w:p w14:paraId="67F84AD1" w14:textId="77777777" w:rsidR="000704F2" w:rsidRPr="009C3888" w:rsidRDefault="000704F2" w:rsidP="00F245CE">
      <w:pPr>
        <w:keepNext/>
        <w:pBdr>
          <w:top w:val="single" w:sz="4" w:space="1" w:color="auto"/>
          <w:bottom w:val="single" w:sz="4" w:space="1" w:color="auto"/>
        </w:pBdr>
        <w:spacing w:line="240" w:lineRule="auto"/>
        <w:jc w:val="center"/>
      </w:pPr>
    </w:p>
    <w:p w14:paraId="3B5B206C" w14:textId="41F4DF48" w:rsidR="00E4607C" w:rsidRPr="003A18CF" w:rsidRDefault="000704F2" w:rsidP="00F245CE">
      <w:pPr>
        <w:keepNext/>
        <w:pBdr>
          <w:top w:val="single" w:sz="4" w:space="1" w:color="auto"/>
          <w:bottom w:val="single" w:sz="4" w:space="1" w:color="auto"/>
        </w:pBdr>
        <w:spacing w:line="240" w:lineRule="auto"/>
        <w:jc w:val="center"/>
        <w:outlineLvl w:val="0"/>
        <w:rPr>
          <w:b/>
        </w:rPr>
      </w:pPr>
      <w:r w:rsidRPr="003A18CF">
        <w:rPr>
          <w:b/>
        </w:rPr>
        <w:t>JUDGMENT</w:t>
      </w:r>
    </w:p>
    <w:p w14:paraId="31F7A9AD" w14:textId="77777777" w:rsidR="000704F2" w:rsidRPr="009C3888" w:rsidRDefault="000704F2" w:rsidP="000704F2">
      <w:pPr>
        <w:pBdr>
          <w:top w:val="single" w:sz="4" w:space="1" w:color="auto"/>
          <w:bottom w:val="single" w:sz="4" w:space="1" w:color="auto"/>
        </w:pBdr>
        <w:spacing w:line="240" w:lineRule="auto"/>
        <w:jc w:val="center"/>
      </w:pPr>
    </w:p>
    <w:p w14:paraId="05350E8B" w14:textId="77777777" w:rsidR="000704F2" w:rsidRDefault="000704F2" w:rsidP="000704F2">
      <w:pPr>
        <w:spacing w:line="240" w:lineRule="auto"/>
      </w:pPr>
    </w:p>
    <w:p w14:paraId="5F7BA2EA" w14:textId="77777777" w:rsidR="00CA12A1" w:rsidRPr="009C3888" w:rsidRDefault="00CA12A1" w:rsidP="000704F2">
      <w:pPr>
        <w:spacing w:line="240" w:lineRule="auto"/>
      </w:pPr>
    </w:p>
    <w:p w14:paraId="2525E298" w14:textId="77777777" w:rsidR="006E3711" w:rsidRPr="009C3888" w:rsidRDefault="006E3711" w:rsidP="000704F2">
      <w:pPr>
        <w:spacing w:line="240" w:lineRule="auto"/>
      </w:pPr>
    </w:p>
    <w:p w14:paraId="3972B72A" w14:textId="2CE252CF" w:rsidR="000704F2" w:rsidRPr="007B5814" w:rsidRDefault="00EE0175" w:rsidP="007B5814">
      <w:pPr>
        <w:pStyle w:val="BODYNON-NUMBERED"/>
        <w:spacing w:after="0"/>
        <w:rPr>
          <w:szCs w:val="26"/>
        </w:rPr>
      </w:pPr>
      <w:r>
        <w:t>THERON J</w:t>
      </w:r>
      <w:r w:rsidR="003644DF">
        <w:t xml:space="preserve"> (</w:t>
      </w:r>
      <w:r w:rsidR="00CA12A1">
        <w:t>Mogoeng CJ, Basson AJ, Cameron J, Dlodlo AJ, Froneman J, Goliath AJ, Mhlantla J, Khampepe J</w:t>
      </w:r>
      <w:r w:rsidR="00FF4B42">
        <w:t xml:space="preserve"> and</w:t>
      </w:r>
      <w:r w:rsidR="00CA12A1">
        <w:t xml:space="preserve"> Petse AJ</w:t>
      </w:r>
      <w:r>
        <w:rPr>
          <w:szCs w:val="26"/>
        </w:rPr>
        <w:t xml:space="preserve"> concurring</w:t>
      </w:r>
      <w:r w:rsidR="003644DF">
        <w:t>)</w:t>
      </w:r>
      <w:r w:rsidR="00AE7602" w:rsidRPr="009C3888">
        <w:t>:</w:t>
      </w:r>
    </w:p>
    <w:p w14:paraId="00E986DA" w14:textId="77777777" w:rsidR="00AE7602" w:rsidRDefault="00AE7602" w:rsidP="000704F2">
      <w:pPr>
        <w:spacing w:line="240" w:lineRule="auto"/>
      </w:pPr>
    </w:p>
    <w:p w14:paraId="41405B10" w14:textId="77777777" w:rsidR="002043AB" w:rsidRPr="009C3888" w:rsidRDefault="002043AB" w:rsidP="000704F2">
      <w:pPr>
        <w:spacing w:line="240" w:lineRule="auto"/>
      </w:pPr>
    </w:p>
    <w:p w14:paraId="19E6FC57" w14:textId="77777777" w:rsidR="00AE7602" w:rsidRPr="009C3888" w:rsidRDefault="00EC27B4" w:rsidP="00EC27B4">
      <w:pPr>
        <w:pStyle w:val="HEADING"/>
      </w:pPr>
      <w:r>
        <w:t>Introduction</w:t>
      </w:r>
    </w:p>
    <w:p w14:paraId="4D6B505A" w14:textId="7F7FD45C" w:rsidR="00F219B2" w:rsidRDefault="00AB0A0E" w:rsidP="00FC1F5F">
      <w:pPr>
        <w:pStyle w:val="JUDGMENTNUMBERED"/>
        <w:ind w:left="0" w:firstLine="0"/>
      </w:pPr>
      <w:r>
        <w:t>The applicants</w:t>
      </w:r>
      <w:r w:rsidR="00E01947">
        <w:t xml:space="preserve"> in both</w:t>
      </w:r>
      <w:r w:rsidRPr="00AB0A0E">
        <w:t xml:space="preserve"> applications </w:t>
      </w:r>
      <w:r w:rsidR="00E01947">
        <w:t xml:space="preserve">seek </w:t>
      </w:r>
      <w:r w:rsidRPr="00AB0A0E">
        <w:t>l</w:t>
      </w:r>
      <w:r w:rsidR="00E01947">
        <w:t>eave to appeal against the judg</w:t>
      </w:r>
      <w:r w:rsidRPr="00AB0A0E">
        <w:t xml:space="preserve">ment of the </w:t>
      </w:r>
      <w:r w:rsidR="0079361A">
        <w:t>F</w:t>
      </w:r>
      <w:r w:rsidRPr="00AB0A0E">
        <w:t xml:space="preserve">ull </w:t>
      </w:r>
      <w:r w:rsidR="0079361A">
        <w:t>Court</w:t>
      </w:r>
      <w:r w:rsidRPr="00AB0A0E">
        <w:t xml:space="preserve"> of the High Court</w:t>
      </w:r>
      <w:r w:rsidR="002B711F">
        <w:t xml:space="preserve"> of South Africa, </w:t>
      </w:r>
      <w:r w:rsidRPr="00AB0A0E">
        <w:t>Western Cape Division</w:t>
      </w:r>
      <w:r w:rsidR="002B711F">
        <w:t>, Cape Town (Full Court)</w:t>
      </w:r>
      <w:r w:rsidRPr="00AB0A0E">
        <w:t>.</w:t>
      </w:r>
      <w:r w:rsidR="00E01947">
        <w:t xml:space="preserve"> </w:t>
      </w:r>
      <w:r w:rsidR="00BA7D7E">
        <w:t xml:space="preserve"> </w:t>
      </w:r>
      <w:r w:rsidR="00E01947" w:rsidRPr="00E01947">
        <w:t xml:space="preserve">The two applications were consolidated pursuant to directions issued by the Chief Justice on 22 August 2018. </w:t>
      </w:r>
      <w:r w:rsidR="00BA7D7E">
        <w:t xml:space="preserve"> </w:t>
      </w:r>
      <w:r w:rsidR="00E01947">
        <w:t>The</w:t>
      </w:r>
      <w:r w:rsidR="00D93CAE">
        <w:t xml:space="preserve"> directions invited t</w:t>
      </w:r>
      <w:r w:rsidR="00EE0175">
        <w:t xml:space="preserve">he parties to </w:t>
      </w:r>
      <w:r w:rsidR="00F219B2">
        <w:t xml:space="preserve">file written submissions </w:t>
      </w:r>
      <w:r w:rsidR="00EE0175" w:rsidRPr="001B4DA8">
        <w:t xml:space="preserve">on </w:t>
      </w:r>
      <w:r w:rsidR="00EE0175">
        <w:t>the</w:t>
      </w:r>
      <w:r w:rsidR="00E01947">
        <w:t xml:space="preserve"> interpretation </w:t>
      </w:r>
      <w:r w:rsidR="00E01947" w:rsidRPr="00E01947">
        <w:t>of section 7(1)(b)(ii)</w:t>
      </w:r>
      <w:r w:rsidR="003311EE">
        <w:t>(aa)</w:t>
      </w:r>
      <w:r w:rsidR="00E01947" w:rsidRPr="00E01947">
        <w:t xml:space="preserve">(aaa)-(bbb) (disqualifying factors) of the </w:t>
      </w:r>
      <w:r w:rsidR="00BA7D7E" w:rsidRPr="00E01947">
        <w:t>National</w:t>
      </w:r>
      <w:r w:rsidR="00BA7D7E">
        <w:t> </w:t>
      </w:r>
      <w:r w:rsidR="00E01947" w:rsidRPr="00E01947">
        <w:t>Building Regulations and Building Standards Act</w:t>
      </w:r>
      <w:r w:rsidR="00AD5474">
        <w:rPr>
          <w:rStyle w:val="FootnoteReference"/>
        </w:rPr>
        <w:footnoteReference w:id="1"/>
      </w:r>
      <w:r w:rsidR="00E01947" w:rsidRPr="00E01947">
        <w:t xml:space="preserve"> (Act</w:t>
      </w:r>
      <w:r w:rsidR="00E01947">
        <w:t>) and in particular the</w:t>
      </w:r>
      <w:r w:rsidR="00EE0175">
        <w:t xml:space="preserve"> test for </w:t>
      </w:r>
      <w:r w:rsidR="00617701">
        <w:t>the establishment</w:t>
      </w:r>
      <w:r w:rsidR="00EE0175">
        <w:t xml:space="preserve"> </w:t>
      </w:r>
      <w:r w:rsidR="00617701">
        <w:t>of</w:t>
      </w:r>
      <w:r w:rsidR="00EE0175">
        <w:t xml:space="preserve"> </w:t>
      </w:r>
      <w:r w:rsidR="00617701">
        <w:t xml:space="preserve">the </w:t>
      </w:r>
      <w:r w:rsidR="00EE0175">
        <w:t xml:space="preserve">disqualifying factors </w:t>
      </w:r>
      <w:r w:rsidR="00BF6BF5">
        <w:t>therein</w:t>
      </w:r>
      <w:r w:rsidR="00D93CAE">
        <w:t>.</w:t>
      </w:r>
    </w:p>
    <w:p w14:paraId="28F65B42" w14:textId="77777777" w:rsidR="00BF55EA" w:rsidRDefault="00BF55EA" w:rsidP="00643B9F">
      <w:pPr>
        <w:pStyle w:val="JUDGMENTCONTINUED"/>
      </w:pPr>
    </w:p>
    <w:p w14:paraId="0E17CAF2" w14:textId="0413106E" w:rsidR="00BF55EA" w:rsidRDefault="00BF55EA" w:rsidP="00FC1F5F">
      <w:pPr>
        <w:pStyle w:val="JUDGMENTNUMBERED"/>
        <w:ind w:left="0" w:firstLine="0"/>
      </w:pPr>
      <w:r>
        <w:t xml:space="preserve">While the appeal falls to be dismissed for lack of prospects of success, both applications raise a narrow point of law </w:t>
      </w:r>
      <w:r w:rsidR="006E65A8">
        <w:t xml:space="preserve">that </w:t>
      </w:r>
      <w:r>
        <w:t>demands attention.  The point of law concerns the proper interpretation of section 7(1)(b)(ii)(aa) of the Act.</w:t>
      </w:r>
      <w:r>
        <w:rPr>
          <w:rStyle w:val="FootnoteReference"/>
        </w:rPr>
        <w:footnoteReference w:id="2"/>
      </w:r>
      <w:r>
        <w:t xml:space="preserve">  The precise issue concerns </w:t>
      </w:r>
      <w:r w:rsidRPr="00CC1F1D">
        <w:t>whether the legitimate expectation</w:t>
      </w:r>
      <w:r>
        <w:t>s</w:t>
      </w:r>
      <w:r w:rsidRPr="00CC1F1D">
        <w:t xml:space="preserve"> test applied in the context of the disqualifying factor relating to derogation in value also applies to the other disqualifying factors found in section 7(1)(b)(ii)</w:t>
      </w:r>
      <w:r>
        <w:t>(aa)</w:t>
      </w:r>
      <w:r w:rsidRPr="00CC1F1D">
        <w:t>.</w:t>
      </w:r>
    </w:p>
    <w:p w14:paraId="41D162D5" w14:textId="77777777" w:rsidR="00BF55EA" w:rsidRDefault="00BF55EA" w:rsidP="00643B9F">
      <w:pPr>
        <w:pStyle w:val="JUDGMENTCONTINUED"/>
      </w:pPr>
    </w:p>
    <w:p w14:paraId="18C952B5" w14:textId="6A69F65E" w:rsidR="00BF55EA" w:rsidRPr="00BF55EA" w:rsidRDefault="00AD21EF" w:rsidP="00FC1F5F">
      <w:pPr>
        <w:pStyle w:val="JUDGMENTNUMBERED"/>
        <w:ind w:left="0" w:firstLine="0"/>
      </w:pPr>
      <w:r>
        <w:lastRenderedPageBreak/>
        <w:t xml:space="preserve">The legitimate expectations test is the means by which a decision maker determines whether there will be </w:t>
      </w:r>
      <w:r w:rsidR="00783950">
        <w:t xml:space="preserve">a </w:t>
      </w:r>
      <w:r>
        <w:t>derogation in value sufficient to disqualify a building application under the Act.</w:t>
      </w:r>
      <w:bookmarkStart w:id="0" w:name="_Ref1402510"/>
      <w:r>
        <w:rPr>
          <w:rStyle w:val="FootnoteReference"/>
        </w:rPr>
        <w:footnoteReference w:id="3"/>
      </w:r>
      <w:bookmarkEnd w:id="0"/>
      <w:r>
        <w:t xml:space="preserve">  The decision maker must be positively satisfied that a hypothetical purchaser of a neighbouring property would not harbour legitimate expectations that the proposed development application would be denied because it was so unattractive or intrusive.</w:t>
      </w:r>
      <w:r>
        <w:rPr>
          <w:rStyle w:val="FootnoteReference"/>
        </w:rPr>
        <w:footnoteReference w:id="4"/>
      </w:r>
      <w:r>
        <w:t xml:space="preserve">  In the applications before us, the applicants submit that the </w:t>
      </w:r>
      <w:r w:rsidR="00BB2226">
        <w:t xml:space="preserve">Full </w:t>
      </w:r>
      <w:r>
        <w:t>Court erred when it applied the legitimate expectations test to the other disqualifying factors in section 7(1)(b)(ii)(aa) of the Act.</w:t>
      </w:r>
    </w:p>
    <w:p w14:paraId="7E76AE9C" w14:textId="77777777" w:rsidR="00452821" w:rsidRDefault="00452821" w:rsidP="00452821">
      <w:pPr>
        <w:pStyle w:val="JUDGMENTCONTINUED"/>
      </w:pPr>
    </w:p>
    <w:p w14:paraId="2A15941A" w14:textId="77777777" w:rsidR="00F219B2" w:rsidRDefault="00783950" w:rsidP="00452821">
      <w:pPr>
        <w:pStyle w:val="HEADING"/>
      </w:pPr>
      <w:r>
        <w:t>Parties</w:t>
      </w:r>
    </w:p>
    <w:p w14:paraId="18DF85FC" w14:textId="77777777" w:rsidR="00783950" w:rsidRPr="00783950" w:rsidRDefault="00783950" w:rsidP="00F31137">
      <w:pPr>
        <w:pStyle w:val="HEADING"/>
        <w:ind w:left="720"/>
      </w:pPr>
      <w:r>
        <w:t>CCT 125/18</w:t>
      </w:r>
    </w:p>
    <w:p w14:paraId="5223D489" w14:textId="781EE73B" w:rsidR="00617701" w:rsidRDefault="00617701" w:rsidP="00FC1F5F">
      <w:pPr>
        <w:pStyle w:val="JUDGMENTNUMBERED"/>
        <w:ind w:left="0" w:firstLine="0"/>
      </w:pPr>
      <w:r>
        <w:t xml:space="preserve">In </w:t>
      </w:r>
      <w:r w:rsidR="00783950">
        <w:t xml:space="preserve">the </w:t>
      </w:r>
      <w:r>
        <w:t>application</w:t>
      </w:r>
      <w:r w:rsidR="00783950">
        <w:t xml:space="preserve"> under case number</w:t>
      </w:r>
      <w:r>
        <w:t xml:space="preserve"> CCT 125/18</w:t>
      </w:r>
      <w:r w:rsidR="004E5B1B">
        <w:t xml:space="preserve"> (first application)</w:t>
      </w:r>
      <w:r>
        <w:t>, the applicants are the trustees of the Simcha Trust</w:t>
      </w:r>
      <w:r w:rsidR="005A2FB7">
        <w:t xml:space="preserve"> (</w:t>
      </w:r>
      <w:r w:rsidR="00204EDA">
        <w:t>T</w:t>
      </w:r>
      <w:r w:rsidR="005A2FB7">
        <w:t>rust)</w:t>
      </w:r>
      <w:r w:rsidR="0043675C">
        <w:t>, the owner of erf 5284 on Buitenkant Street</w:t>
      </w:r>
      <w:r w:rsidR="00204EDA">
        <w:t>,</w:t>
      </w:r>
      <w:r w:rsidR="0043675C">
        <w:t xml:space="preserve"> Cape Town</w:t>
      </w:r>
      <w:r w:rsidR="00E95842">
        <w:t xml:space="preserve"> (</w:t>
      </w:r>
      <w:r w:rsidR="00204EDA">
        <w:t>p</w:t>
      </w:r>
      <w:r w:rsidR="00E95842">
        <w:t>roperty)</w:t>
      </w:r>
      <w:r>
        <w:t xml:space="preserve">.  The first respondent is </w:t>
      </w:r>
      <w:r w:rsidR="004E5B1B">
        <w:t xml:space="preserve">Mr </w:t>
      </w:r>
      <w:r>
        <w:t xml:space="preserve">Joao Jose Ribeiro Da Cruz, the owner of </w:t>
      </w:r>
      <w:r w:rsidR="00361C7F">
        <w:t>u</w:t>
      </w:r>
      <w:r w:rsidR="00BA7D7E">
        <w:t>nit </w:t>
      </w:r>
      <w:r>
        <w:t>807 in the Four Seasons sectional title scheme.  The second respondent is the body corporate of the Four Seasons sectional title scheme</w:t>
      </w:r>
      <w:r w:rsidR="004E5B1B">
        <w:t xml:space="preserve"> (Four</w:t>
      </w:r>
      <w:r w:rsidR="003B7C7D">
        <w:t> </w:t>
      </w:r>
      <w:r w:rsidR="004E5B1B">
        <w:t>Seasons)</w:t>
      </w:r>
      <w:r>
        <w:t xml:space="preserve">, which is located </w:t>
      </w:r>
      <w:r w:rsidR="0043675C">
        <w:t>adjacent to the property of the Trust, at 43 to 47</w:t>
      </w:r>
      <w:r w:rsidR="003B7C7D">
        <w:t> </w:t>
      </w:r>
      <w:r w:rsidR="0043675C">
        <w:t>Buitenkant Street</w:t>
      </w:r>
      <w:r w:rsidR="00204EDA">
        <w:t>,</w:t>
      </w:r>
      <w:r w:rsidR="0043675C">
        <w:t xml:space="preserve"> </w:t>
      </w:r>
      <w:r>
        <w:t>Cape Town</w:t>
      </w:r>
      <w:r w:rsidRPr="00FD717A">
        <w:t>.</w:t>
      </w:r>
      <w:r>
        <w:t xml:space="preserve">  The third respondent is the City of Cape Town</w:t>
      </w:r>
      <w:r w:rsidR="004E5B1B">
        <w:t xml:space="preserve"> (Municipality)</w:t>
      </w:r>
      <w:r>
        <w:t>, a municipality duly established in terms of section 12 of the Local</w:t>
      </w:r>
      <w:r w:rsidR="00B85ADE">
        <w:t> </w:t>
      </w:r>
      <w:r>
        <w:t>Government: Municipal Structures Act</w:t>
      </w:r>
      <w:r w:rsidR="00AD5474">
        <w:t>.</w:t>
      </w:r>
      <w:r w:rsidR="00AD5474">
        <w:rPr>
          <w:rStyle w:val="FootnoteReference"/>
        </w:rPr>
        <w:footnoteReference w:id="5"/>
      </w:r>
    </w:p>
    <w:p w14:paraId="439D6A41" w14:textId="77777777" w:rsidR="00617701" w:rsidRDefault="00617701" w:rsidP="00617701">
      <w:pPr>
        <w:pStyle w:val="JUDGMENTCONTINUED"/>
      </w:pPr>
    </w:p>
    <w:p w14:paraId="09021B54" w14:textId="77777777" w:rsidR="00783950" w:rsidRPr="00783950" w:rsidRDefault="00783950" w:rsidP="00F31137">
      <w:pPr>
        <w:pStyle w:val="HEADING"/>
        <w:ind w:left="720"/>
      </w:pPr>
      <w:r>
        <w:t>CCT 128/18</w:t>
      </w:r>
    </w:p>
    <w:p w14:paraId="30DF2595" w14:textId="2BBB7773" w:rsidR="00F219B2" w:rsidRDefault="00F219B2" w:rsidP="00FC1F5F">
      <w:pPr>
        <w:pStyle w:val="JUDGMENTNUMBERED"/>
        <w:ind w:left="0" w:firstLine="0"/>
      </w:pPr>
      <w:r>
        <w:t>In</w:t>
      </w:r>
      <w:r w:rsidR="00783950">
        <w:t xml:space="preserve"> the</w:t>
      </w:r>
      <w:r>
        <w:t xml:space="preserve"> </w:t>
      </w:r>
      <w:r w:rsidR="00204EDA">
        <w:t>a</w:t>
      </w:r>
      <w:r>
        <w:t xml:space="preserve">pplication </w:t>
      </w:r>
      <w:r w:rsidR="00783950">
        <w:t xml:space="preserve">under case number </w:t>
      </w:r>
      <w:r>
        <w:t>CCT 128/18</w:t>
      </w:r>
      <w:r w:rsidR="004E5B1B">
        <w:t xml:space="preserve"> (second application)</w:t>
      </w:r>
      <w:r>
        <w:t xml:space="preserve">, the applicant is the </w:t>
      </w:r>
      <w:r w:rsidR="005A2FB7">
        <w:t>Municipality</w:t>
      </w:r>
      <w:r>
        <w:t xml:space="preserve">.  The first respondent is </w:t>
      </w:r>
      <w:r w:rsidR="004E5B1B">
        <w:t xml:space="preserve">Mr </w:t>
      </w:r>
      <w:r>
        <w:t>Da Cruz</w:t>
      </w:r>
      <w:r w:rsidR="00617701">
        <w:t>.</w:t>
      </w:r>
      <w:r>
        <w:t xml:space="preserve">  The second respondent is Four Seasons</w:t>
      </w:r>
      <w:r w:rsidR="00204EDA">
        <w:t xml:space="preserve"> and t</w:t>
      </w:r>
      <w:r>
        <w:t xml:space="preserve">he </w:t>
      </w:r>
      <w:r w:rsidR="0043675C">
        <w:t>t</w:t>
      </w:r>
      <w:r>
        <w:t xml:space="preserve">hird </w:t>
      </w:r>
      <w:r w:rsidR="008449C5">
        <w:t>respondent</w:t>
      </w:r>
      <w:r w:rsidR="002A7F34">
        <w:t xml:space="preserve"> is</w:t>
      </w:r>
      <w:r>
        <w:t xml:space="preserve"> the Trust.</w:t>
      </w:r>
    </w:p>
    <w:p w14:paraId="7BB18437" w14:textId="77777777" w:rsidR="00235FF0" w:rsidRDefault="00235FF0" w:rsidP="00235FF0">
      <w:pPr>
        <w:pStyle w:val="JUDGMENTCONTINUED"/>
      </w:pPr>
    </w:p>
    <w:p w14:paraId="642A2FEF" w14:textId="77777777" w:rsidR="00783950" w:rsidRPr="00783950" w:rsidRDefault="00783950" w:rsidP="00F31137">
      <w:pPr>
        <w:pStyle w:val="HEADING"/>
      </w:pPr>
      <w:r>
        <w:lastRenderedPageBreak/>
        <w:t>Factual background</w:t>
      </w:r>
    </w:p>
    <w:p w14:paraId="417DCAB3" w14:textId="6F672FA8" w:rsidR="00235FF0" w:rsidRDefault="00E95842" w:rsidP="00FC1F5F">
      <w:pPr>
        <w:pStyle w:val="JUDGMENTNUMBERED"/>
        <w:ind w:left="0" w:firstLine="0"/>
      </w:pPr>
      <w:r>
        <w:t xml:space="preserve">The </w:t>
      </w:r>
      <w:r w:rsidR="005A2FB7">
        <w:t xml:space="preserve">Municipality </w:t>
      </w:r>
      <w:r>
        <w:t xml:space="preserve">approved a development application by Four Seasons to build balconies up to </w:t>
      </w:r>
      <w:r w:rsidR="00204EDA">
        <w:t>the</w:t>
      </w:r>
      <w:r>
        <w:t xml:space="preserve"> boundary </w:t>
      </w:r>
      <w:r w:rsidR="00204EDA">
        <w:t xml:space="preserve">it shared </w:t>
      </w:r>
      <w:r>
        <w:t xml:space="preserve">with </w:t>
      </w:r>
      <w:r w:rsidR="00204EDA">
        <w:t>the property</w:t>
      </w:r>
      <w:r>
        <w:t xml:space="preserve">.  From 2005 to 2007, </w:t>
      </w:r>
      <w:r w:rsidR="00BA7D7E">
        <w:t>Four </w:t>
      </w:r>
      <w:r>
        <w:t xml:space="preserve">Seasons erected a 17 storey building with balconies </w:t>
      </w:r>
      <w:r w:rsidR="008C641B">
        <w:t xml:space="preserve">abutting </w:t>
      </w:r>
      <w:r>
        <w:t xml:space="preserve">the boundary </w:t>
      </w:r>
      <w:r w:rsidR="008C641B">
        <w:t xml:space="preserve">of </w:t>
      </w:r>
      <w:r w:rsidR="00204EDA">
        <w:t>the property</w:t>
      </w:r>
      <w:r>
        <w:t xml:space="preserve">.  </w:t>
      </w:r>
      <w:r w:rsidR="00235FF0">
        <w:t xml:space="preserve">The zoning regulations for the area permit owners to build up to the boundaries of their </w:t>
      </w:r>
      <w:r w:rsidR="00204EDA">
        <w:t>respective</w:t>
      </w:r>
      <w:r w:rsidR="00235FF0">
        <w:t xml:space="preserve"> propert</w:t>
      </w:r>
      <w:r w:rsidR="00FA1622">
        <w:t>ies</w:t>
      </w:r>
      <w:r w:rsidR="00235FF0">
        <w:t xml:space="preserve">.  </w:t>
      </w:r>
      <w:r w:rsidR="00FA1622">
        <w:t>T</w:t>
      </w:r>
      <w:r w:rsidR="00235FF0">
        <w:t xml:space="preserve">he </w:t>
      </w:r>
      <w:r w:rsidR="005A2FB7">
        <w:t xml:space="preserve">Municipality </w:t>
      </w:r>
      <w:r w:rsidR="00235FF0">
        <w:t xml:space="preserve">does not </w:t>
      </w:r>
      <w:r w:rsidR="00FA1622">
        <w:t xml:space="preserve">normally </w:t>
      </w:r>
      <w:r w:rsidR="00235FF0">
        <w:t>approve plans w</w:t>
      </w:r>
      <w:r w:rsidR="00204EDA">
        <w:t>ith</w:t>
      </w:r>
      <w:r w:rsidR="00235FF0">
        <w:t xml:space="preserve"> habitable areas or balconies on the boundaries abutting neighbouring </w:t>
      </w:r>
      <w:r w:rsidR="00BA7D7E">
        <w:t>erven</w:t>
      </w:r>
      <w:r w:rsidR="00235FF0">
        <w:t xml:space="preserve">.  </w:t>
      </w:r>
      <w:r w:rsidR="00452821">
        <w:t>Uninhabited</w:t>
      </w:r>
      <w:r w:rsidR="00FA1622">
        <w:t xml:space="preserve"> spaces</w:t>
      </w:r>
      <w:r w:rsidR="00903F7E">
        <w:t>,</w:t>
      </w:r>
      <w:r w:rsidR="00FA1622">
        <w:t xml:space="preserve"> like fire escapes</w:t>
      </w:r>
      <w:r w:rsidR="00903F7E">
        <w:t>,</w:t>
      </w:r>
      <w:r w:rsidR="00FA1622">
        <w:t xml:space="preserve"> ordinarily occupy these spaces.  </w:t>
      </w:r>
      <w:r w:rsidR="00235FF0">
        <w:t>Contrary to</w:t>
      </w:r>
      <w:r w:rsidR="00FA1622">
        <w:t xml:space="preserve"> common practice</w:t>
      </w:r>
      <w:r w:rsidR="00235FF0">
        <w:t xml:space="preserve">, the </w:t>
      </w:r>
      <w:r w:rsidR="005A2FB7">
        <w:t xml:space="preserve">Municipality </w:t>
      </w:r>
      <w:r w:rsidR="00235FF0">
        <w:t xml:space="preserve">approved the plans of </w:t>
      </w:r>
      <w:r w:rsidR="00BA7D7E">
        <w:t>Four </w:t>
      </w:r>
      <w:r w:rsidR="00235FF0">
        <w:t>Seasons which placed balconies on the boundary abutting the neighbouring property.</w:t>
      </w:r>
    </w:p>
    <w:p w14:paraId="11D61DEE" w14:textId="77777777" w:rsidR="00235FF0" w:rsidRDefault="00235FF0" w:rsidP="00235FF0">
      <w:pPr>
        <w:pStyle w:val="JUDGMENTNUMBERED"/>
        <w:numPr>
          <w:ilvl w:val="0"/>
          <w:numId w:val="0"/>
        </w:numPr>
      </w:pPr>
    </w:p>
    <w:p w14:paraId="5E46F253" w14:textId="72152CBE" w:rsidR="00235FF0" w:rsidRDefault="00FA1622" w:rsidP="00FC1F5F">
      <w:pPr>
        <w:pStyle w:val="JUDGMENTNUMBERED"/>
        <w:ind w:left="0" w:firstLine="0"/>
      </w:pPr>
      <w:r>
        <w:t xml:space="preserve">The Trust </w:t>
      </w:r>
      <w:r w:rsidR="00235FF0">
        <w:t>submitted a development application</w:t>
      </w:r>
      <w:r>
        <w:t xml:space="preserve"> in October 2007 under the </w:t>
      </w:r>
      <w:r w:rsidR="004E5B1B">
        <w:t>Act</w:t>
      </w:r>
      <w:r>
        <w:t xml:space="preserve">.  </w:t>
      </w:r>
      <w:r w:rsidR="004E5B1B">
        <w:t>They sought to</w:t>
      </w:r>
      <w:r>
        <w:t xml:space="preserve"> </w:t>
      </w:r>
      <w:r w:rsidR="00204EDA">
        <w:t xml:space="preserve">build an additional </w:t>
      </w:r>
      <w:r w:rsidR="00235FF0">
        <w:t xml:space="preserve">four stories </w:t>
      </w:r>
      <w:r>
        <w:t>to the</w:t>
      </w:r>
      <w:r w:rsidR="00204EDA">
        <w:t xml:space="preserve"> existing</w:t>
      </w:r>
      <w:r>
        <w:t xml:space="preserve"> structure, which </w:t>
      </w:r>
      <w:r w:rsidR="00204EDA">
        <w:t xml:space="preserve">consisted of </w:t>
      </w:r>
      <w:r w:rsidR="00235FF0">
        <w:t>four stories</w:t>
      </w:r>
      <w:r>
        <w:t xml:space="preserve"> at the time</w:t>
      </w:r>
      <w:r w:rsidR="00235FF0">
        <w:t xml:space="preserve">.  All stories </w:t>
      </w:r>
      <w:r w:rsidR="00204EDA">
        <w:t>were to</w:t>
      </w:r>
      <w:r w:rsidR="00235FF0">
        <w:t xml:space="preserve"> be built up to the boundary of the property.  If implemented, the top three stories of the new building would touch the existing balconies on the </w:t>
      </w:r>
      <w:r w:rsidR="00783950">
        <w:t>eighth, ninth and tenth</w:t>
      </w:r>
      <w:r w:rsidR="00235FF0">
        <w:t xml:space="preserve"> </w:t>
      </w:r>
      <w:r w:rsidR="00044E7D">
        <w:t xml:space="preserve">floors </w:t>
      </w:r>
      <w:r w:rsidR="00235FF0">
        <w:t>of Four Seasons</w:t>
      </w:r>
      <w:r w:rsidR="00903F7E">
        <w:t>’</w:t>
      </w:r>
      <w:r w:rsidR="00235FF0">
        <w:t xml:space="preserve"> </w:t>
      </w:r>
      <w:r w:rsidR="00C01D4F">
        <w:t>b</w:t>
      </w:r>
      <w:r w:rsidR="00235FF0">
        <w:t xml:space="preserve">uilding.  The </w:t>
      </w:r>
      <w:r w:rsidR="005A2FB7">
        <w:t xml:space="preserve">Municipality </w:t>
      </w:r>
      <w:r w:rsidR="00235FF0">
        <w:t xml:space="preserve">approved the </w:t>
      </w:r>
      <w:r w:rsidR="00044E7D">
        <w:t xml:space="preserve">Trust’s </w:t>
      </w:r>
      <w:r w:rsidR="00235FF0">
        <w:t>application in September 2008</w:t>
      </w:r>
      <w:r w:rsidR="00A05876">
        <w:t>, construction commenced immediately</w:t>
      </w:r>
      <w:r w:rsidR="00235FF0">
        <w:t xml:space="preserve"> </w:t>
      </w:r>
      <w:r w:rsidR="00A05876">
        <w:t xml:space="preserve">thereafter </w:t>
      </w:r>
      <w:r w:rsidR="00235FF0">
        <w:t xml:space="preserve">and construction </w:t>
      </w:r>
      <w:r w:rsidR="00A05876">
        <w:t>re</w:t>
      </w:r>
      <w:r w:rsidR="00235FF0">
        <w:t>commenced in May 2012</w:t>
      </w:r>
      <w:r w:rsidR="00A05876">
        <w:t xml:space="preserve"> after </w:t>
      </w:r>
      <w:r w:rsidR="005B1B68">
        <w:t xml:space="preserve">a four-year </w:t>
      </w:r>
      <w:r w:rsidR="00A05876">
        <w:t>delay</w:t>
      </w:r>
      <w:r w:rsidR="00235FF0">
        <w:t>.</w:t>
      </w:r>
    </w:p>
    <w:p w14:paraId="62CB4333" w14:textId="77777777" w:rsidR="00F83346" w:rsidRDefault="00F83346" w:rsidP="00F83346">
      <w:pPr>
        <w:pStyle w:val="JUDGMENTCONTINUED"/>
      </w:pPr>
    </w:p>
    <w:p w14:paraId="2ADDEEB2" w14:textId="77777777" w:rsidR="00783950" w:rsidRPr="00783950" w:rsidRDefault="00FA1622" w:rsidP="00F31137">
      <w:pPr>
        <w:pStyle w:val="HEADING"/>
      </w:pPr>
      <w:r w:rsidRPr="00783950">
        <w:t xml:space="preserve">Litigation </w:t>
      </w:r>
      <w:r w:rsidR="005B7095">
        <w:t>h</w:t>
      </w:r>
      <w:r w:rsidRPr="00783950">
        <w:t>istory</w:t>
      </w:r>
    </w:p>
    <w:p w14:paraId="1F1ADD1C" w14:textId="28942B44" w:rsidR="00101C26" w:rsidRDefault="00FA1622" w:rsidP="00FC1F5F">
      <w:pPr>
        <w:pStyle w:val="JUDGMENTNUMBERED"/>
        <w:ind w:left="0" w:firstLine="0"/>
      </w:pPr>
      <w:r>
        <w:t xml:space="preserve">In December 2012, Four Seasons </w:t>
      </w:r>
      <w:r w:rsidR="00044E7D">
        <w:t xml:space="preserve">instituted </w:t>
      </w:r>
      <w:r>
        <w:t xml:space="preserve">an application </w:t>
      </w:r>
      <w:r w:rsidR="00044E7D">
        <w:t xml:space="preserve">in the High Court in which it sought an order </w:t>
      </w:r>
      <w:r>
        <w:t xml:space="preserve">that </w:t>
      </w:r>
      <w:r w:rsidR="005A2FB7">
        <w:t xml:space="preserve">the Trust </w:t>
      </w:r>
      <w:r>
        <w:t>suspend construction pending a review of the approval</w:t>
      </w:r>
      <w:r w:rsidR="00903F7E">
        <w:t xml:space="preserve"> of the development</w:t>
      </w:r>
      <w:r>
        <w:t xml:space="preserve">.  Dolamo J granted the interdict and Four Seasons </w:t>
      </w:r>
      <w:r w:rsidR="00044E7D">
        <w:t xml:space="preserve">instituted </w:t>
      </w:r>
      <w:r>
        <w:t xml:space="preserve">review proceedings.  </w:t>
      </w:r>
      <w:r w:rsidR="00101C26">
        <w:t xml:space="preserve">The </w:t>
      </w:r>
      <w:r w:rsidR="005A2FB7">
        <w:t xml:space="preserve">Municipality </w:t>
      </w:r>
      <w:r w:rsidR="00101C26">
        <w:t xml:space="preserve">conceded that the approval </w:t>
      </w:r>
      <w:r w:rsidR="00044E7D">
        <w:t xml:space="preserve">it had granted to the Trust </w:t>
      </w:r>
      <w:r w:rsidR="00101C26">
        <w:t xml:space="preserve">should be set aside </w:t>
      </w:r>
      <w:r w:rsidR="00D027F8">
        <w:t>as it had been improperly granted</w:t>
      </w:r>
      <w:r w:rsidR="00101C26">
        <w:t xml:space="preserve">.  The approval was </w:t>
      </w:r>
      <w:r>
        <w:t xml:space="preserve">set aside </w:t>
      </w:r>
      <w:r w:rsidR="00101C26">
        <w:t xml:space="preserve">by agreement between the parties </w:t>
      </w:r>
      <w:r w:rsidR="00133DE1">
        <w:t xml:space="preserve">and the </w:t>
      </w:r>
      <w:r w:rsidR="003E6379">
        <w:t xml:space="preserve">High </w:t>
      </w:r>
      <w:r w:rsidR="00133DE1">
        <w:t>Court made an order to this effect in August 2013</w:t>
      </w:r>
      <w:r w:rsidR="00101C26">
        <w:t>.</w:t>
      </w:r>
    </w:p>
    <w:p w14:paraId="64A148B9" w14:textId="77777777" w:rsidR="00D027F8" w:rsidRDefault="00D027F8" w:rsidP="00D027F8">
      <w:pPr>
        <w:pStyle w:val="JUDGMENTCONTINUED"/>
      </w:pPr>
    </w:p>
    <w:p w14:paraId="1A6FBAF9" w14:textId="77777777" w:rsidR="008A112A" w:rsidRDefault="005A2FB7" w:rsidP="00FC1F5F">
      <w:pPr>
        <w:pStyle w:val="JUDGMENTNUMBERED"/>
        <w:ind w:left="0" w:firstLine="0"/>
      </w:pPr>
      <w:r>
        <w:lastRenderedPageBreak/>
        <w:t xml:space="preserve">The Trust </w:t>
      </w:r>
      <w:r w:rsidR="00FA1622">
        <w:t xml:space="preserve">submitted new plans to the </w:t>
      </w:r>
      <w:r>
        <w:t xml:space="preserve">Municipality </w:t>
      </w:r>
      <w:r w:rsidR="00A71FB6">
        <w:t>in June 2014</w:t>
      </w:r>
      <w:r w:rsidR="00FA1622">
        <w:t xml:space="preserve">.  </w:t>
      </w:r>
      <w:r w:rsidR="00A71FB6">
        <w:t xml:space="preserve">The </w:t>
      </w:r>
      <w:r w:rsidR="003E6379">
        <w:t xml:space="preserve">application </w:t>
      </w:r>
      <w:r w:rsidR="00A71FB6">
        <w:t xml:space="preserve">process was more rigorous </w:t>
      </w:r>
      <w:r w:rsidR="0043675C">
        <w:t>this time</w:t>
      </w:r>
      <w:r w:rsidR="00A71FB6">
        <w:t xml:space="preserve">.  The </w:t>
      </w:r>
      <w:r>
        <w:t xml:space="preserve">Municipality </w:t>
      </w:r>
      <w:r w:rsidR="00A71FB6">
        <w:t xml:space="preserve">required </w:t>
      </w:r>
      <w:r w:rsidR="003E6379">
        <w:t xml:space="preserve">that </w:t>
      </w:r>
      <w:r w:rsidR="00A71FB6">
        <w:t>the Trust publi</w:t>
      </w:r>
      <w:r w:rsidR="003E6379">
        <w:t>sh</w:t>
      </w:r>
      <w:r w:rsidR="00A71FB6">
        <w:t xml:space="preserve"> their plans and invite comment on the impact on the heritage of the area.  The </w:t>
      </w:r>
      <w:r>
        <w:t xml:space="preserve">Municipality </w:t>
      </w:r>
      <w:r w:rsidR="00A71FB6">
        <w:t xml:space="preserve">also invited the owners of surrounding erven, including Four Seasons, to comment.  </w:t>
      </w:r>
      <w:r w:rsidR="0043675C">
        <w:t xml:space="preserve">The </w:t>
      </w:r>
      <w:r>
        <w:t xml:space="preserve">Municipality </w:t>
      </w:r>
      <w:r w:rsidR="00310712">
        <w:t xml:space="preserve">received a number of submissions from the owners of neighbouring properties </w:t>
      </w:r>
      <w:r w:rsidR="00D027F8">
        <w:t>who were opposed to</w:t>
      </w:r>
      <w:r w:rsidR="00310712">
        <w:t xml:space="preserve"> the </w:t>
      </w:r>
      <w:r>
        <w:t xml:space="preserve">Trust’s </w:t>
      </w:r>
      <w:r w:rsidR="00310712">
        <w:t>application.</w:t>
      </w:r>
    </w:p>
    <w:p w14:paraId="4B64AD29" w14:textId="77777777" w:rsidR="005A2FB7" w:rsidRPr="005A2FB7" w:rsidRDefault="005A2FB7" w:rsidP="00AB296E">
      <w:pPr>
        <w:pStyle w:val="JUDGMENTCONTINUED"/>
      </w:pPr>
    </w:p>
    <w:p w14:paraId="7053DB67" w14:textId="00799D46" w:rsidR="008A112A" w:rsidRPr="008A112A" w:rsidRDefault="008A112A" w:rsidP="00FC1F5F">
      <w:pPr>
        <w:pStyle w:val="JUDGMENTNUMBERED"/>
        <w:ind w:left="0" w:firstLine="0"/>
      </w:pPr>
      <w:r>
        <w:t xml:space="preserve">The </w:t>
      </w:r>
      <w:r w:rsidR="002D6911">
        <w:t>b</w:t>
      </w:r>
      <w:r>
        <w:t xml:space="preserve">uilding </w:t>
      </w:r>
      <w:r w:rsidR="002D6911">
        <w:t>c</w:t>
      </w:r>
      <w:r>
        <w:t xml:space="preserve">ontrol </w:t>
      </w:r>
      <w:r w:rsidR="002D6911">
        <w:t>o</w:t>
      </w:r>
      <w:r>
        <w:t xml:space="preserve">fficer recommended that the plans be approved.  </w:t>
      </w:r>
      <w:r w:rsidR="00923649">
        <w:t>T</w:t>
      </w:r>
      <w:r>
        <w:t xml:space="preserve">he head of the </w:t>
      </w:r>
      <w:r w:rsidR="0037094A">
        <w:t xml:space="preserve">Municipality’s </w:t>
      </w:r>
      <w:r>
        <w:t>Building Development Management Section</w:t>
      </w:r>
      <w:r w:rsidR="00AC5E9D">
        <w:t>, Mr</w:t>
      </w:r>
      <w:r w:rsidR="00990139">
        <w:t> </w:t>
      </w:r>
      <w:r w:rsidR="00AC5E9D">
        <w:t>Henshall</w:t>
      </w:r>
      <w:r w:rsidR="004B4D26">
        <w:noBreakHyphen/>
      </w:r>
      <w:r w:rsidR="00AC5E9D">
        <w:t>Howard</w:t>
      </w:r>
      <w:r w:rsidR="00923649">
        <w:t xml:space="preserve">, </w:t>
      </w:r>
      <w:r>
        <w:t>approved the plans</w:t>
      </w:r>
      <w:r w:rsidR="0037094A">
        <w:t xml:space="preserve"> on the same day</w:t>
      </w:r>
      <w:r>
        <w:t>.</w:t>
      </w:r>
    </w:p>
    <w:p w14:paraId="5C14F2A1" w14:textId="77777777" w:rsidR="008A112A" w:rsidRPr="008A112A" w:rsidRDefault="008A112A" w:rsidP="008A112A">
      <w:pPr>
        <w:pStyle w:val="JUDGMENTCONTINUED"/>
      </w:pPr>
    </w:p>
    <w:p w14:paraId="2AAD0034" w14:textId="0796C818" w:rsidR="008B1A86" w:rsidRDefault="00D027F8" w:rsidP="00FC1F5F">
      <w:pPr>
        <w:pStyle w:val="JUDGMENTNUMBERED"/>
        <w:ind w:left="0" w:firstLine="0"/>
      </w:pPr>
      <w:r>
        <w:t xml:space="preserve">Mr </w:t>
      </w:r>
      <w:r w:rsidR="00FA1622">
        <w:t>Da Cruz and Four Seasons</w:t>
      </w:r>
      <w:r w:rsidR="00A71FB6">
        <w:t xml:space="preserve"> </w:t>
      </w:r>
      <w:r w:rsidR="00945DA3">
        <w:t xml:space="preserve">instituted </w:t>
      </w:r>
      <w:r w:rsidR="00FA1622">
        <w:t>a review</w:t>
      </w:r>
      <w:r w:rsidR="00BC00B0">
        <w:t xml:space="preserve"> in the High Court</w:t>
      </w:r>
      <w:r w:rsidR="003E6379">
        <w:t>,</w:t>
      </w:r>
      <w:r w:rsidR="00FA1622">
        <w:t xml:space="preserve"> </w:t>
      </w:r>
      <w:r w:rsidR="00945DA3">
        <w:t>under the Promotion of Administrative Justice Act</w:t>
      </w:r>
      <w:r w:rsidR="00BC00B0">
        <w:rPr>
          <w:rStyle w:val="FootnoteReference"/>
        </w:rPr>
        <w:footnoteReference w:id="6"/>
      </w:r>
      <w:r w:rsidR="00945DA3">
        <w:t xml:space="preserve"> </w:t>
      </w:r>
      <w:r w:rsidR="00945DA3" w:rsidRPr="00C14E80">
        <w:t>(PAJA)</w:t>
      </w:r>
      <w:r w:rsidR="00C01D4F">
        <w:t>,</w:t>
      </w:r>
      <w:r w:rsidR="00945DA3">
        <w:t xml:space="preserve"> </w:t>
      </w:r>
      <w:r w:rsidR="008A112A">
        <w:t xml:space="preserve">of the </w:t>
      </w:r>
      <w:r w:rsidR="0037094A">
        <w:t xml:space="preserve">Municipality’s </w:t>
      </w:r>
      <w:r w:rsidR="00BC00B0">
        <w:t>decision to approve the plans</w:t>
      </w:r>
      <w:r w:rsidR="00945DA3">
        <w:t>.</w:t>
      </w:r>
      <w:r w:rsidR="00FA1622" w:rsidRPr="00C14E80">
        <w:t xml:space="preserve">  Binns-Ward J set aside the development approval on 13 January 2017</w:t>
      </w:r>
      <w:r w:rsidR="008B1A86" w:rsidRPr="00AC5E9D">
        <w:t xml:space="preserve"> </w:t>
      </w:r>
      <w:r w:rsidR="000C7F9C" w:rsidRPr="00AC5E9D">
        <w:t xml:space="preserve">on </w:t>
      </w:r>
      <w:r w:rsidR="00945DA3">
        <w:t>two</w:t>
      </w:r>
      <w:r w:rsidR="00945DA3" w:rsidRPr="00AC5E9D">
        <w:t xml:space="preserve"> </w:t>
      </w:r>
      <w:r w:rsidR="000C7F9C" w:rsidRPr="00AC5E9D">
        <w:t>grounds</w:t>
      </w:r>
      <w:r w:rsidR="00945DA3">
        <w:t xml:space="preserve">. </w:t>
      </w:r>
      <w:r w:rsidR="000C7F9C" w:rsidRPr="00AC5E9D">
        <w:t xml:space="preserve"> </w:t>
      </w:r>
      <w:r w:rsidR="00945DA3">
        <w:t xml:space="preserve">First, </w:t>
      </w:r>
      <w:r w:rsidR="003E6379">
        <w:t xml:space="preserve">that </w:t>
      </w:r>
      <w:r w:rsidR="00AC5E9D">
        <w:t>Mr Henshall</w:t>
      </w:r>
      <w:r w:rsidR="004B4D26">
        <w:noBreakHyphen/>
      </w:r>
      <w:r w:rsidR="00AC5E9D">
        <w:t>Howard</w:t>
      </w:r>
      <w:r w:rsidR="00BC00B0">
        <w:t xml:space="preserve">, in approving the plans, </w:t>
      </w:r>
      <w:r w:rsidR="000C7F9C" w:rsidRPr="00AC5E9D">
        <w:t xml:space="preserve">was materially influenced by an error </w:t>
      </w:r>
      <w:r w:rsidR="00945DA3">
        <w:t>of</w:t>
      </w:r>
      <w:r w:rsidR="000C7F9C" w:rsidRPr="00AC5E9D">
        <w:t xml:space="preserve"> law</w:t>
      </w:r>
      <w:r w:rsidR="00BC00B0">
        <w:t xml:space="preserve"> </w:t>
      </w:r>
      <w:r w:rsidR="00945DA3">
        <w:t xml:space="preserve">in that he </w:t>
      </w:r>
      <w:r w:rsidR="00945DA3" w:rsidRPr="00AC5E9D">
        <w:t>misunderstood the requirements of section 7(1) of the Act, particularly that it requires a determination which is separate from the application of the zoning scheme.</w:t>
      </w:r>
      <w:bookmarkStart w:id="1" w:name="_Ref1402496"/>
      <w:r w:rsidR="00945DA3" w:rsidRPr="00AC5E9D">
        <w:rPr>
          <w:rStyle w:val="FootnoteReference"/>
        </w:rPr>
        <w:footnoteReference w:id="7"/>
      </w:r>
      <w:bookmarkEnd w:id="1"/>
      <w:r w:rsidR="000C7F9C" w:rsidRPr="00AC5E9D">
        <w:t xml:space="preserve">  </w:t>
      </w:r>
      <w:r w:rsidR="00945DA3">
        <w:t xml:space="preserve">Second, </w:t>
      </w:r>
      <w:r w:rsidR="00783950">
        <w:t>Mr Henshall</w:t>
      </w:r>
      <w:r w:rsidR="004B4D26">
        <w:noBreakHyphen/>
      </w:r>
      <w:r w:rsidR="00783950">
        <w:t>Howard</w:t>
      </w:r>
      <w:r w:rsidR="00783950" w:rsidDel="00783950">
        <w:t xml:space="preserve"> </w:t>
      </w:r>
      <w:r w:rsidR="00945DA3">
        <w:t xml:space="preserve">failed to </w:t>
      </w:r>
      <w:r w:rsidR="00945DA3" w:rsidRPr="00AC5E9D">
        <w:t>take into account a relevant consideration</w:t>
      </w:r>
      <w:r w:rsidR="008E6A0E">
        <w:t>:</w:t>
      </w:r>
      <w:r w:rsidR="00945DA3" w:rsidRPr="00AC5E9D">
        <w:t xml:space="preserve"> </w:t>
      </w:r>
      <w:r w:rsidR="000C7F9C" w:rsidRPr="00AC5E9D">
        <w:t>whether the proposed development gave rise to any of the disqualifying factors</w:t>
      </w:r>
      <w:r w:rsidR="00BC00B0">
        <w:t xml:space="preserve"> in section 7(1)</w:t>
      </w:r>
      <w:r w:rsidR="00BA7D7E">
        <w:t xml:space="preserve"> </w:t>
      </w:r>
      <w:r w:rsidR="00BC00B0">
        <w:t>of the Act</w:t>
      </w:r>
      <w:r w:rsidR="000C7F9C" w:rsidRPr="00AC5E9D">
        <w:t xml:space="preserve"> when viewed from the perspective of the neighbouring Four Seasons</w:t>
      </w:r>
      <w:r w:rsidR="00AD4F95">
        <w:t>’</w:t>
      </w:r>
      <w:r w:rsidR="000C7F9C" w:rsidRPr="00AC5E9D">
        <w:t xml:space="preserve"> building.</w:t>
      </w:r>
      <w:r w:rsidR="000C7F9C" w:rsidRPr="00AC5E9D">
        <w:rPr>
          <w:rStyle w:val="FootnoteReference"/>
        </w:rPr>
        <w:footnoteReference w:id="8"/>
      </w:r>
      <w:r w:rsidR="00C14E80" w:rsidRPr="00AC5E9D">
        <w:t xml:space="preserve">  </w:t>
      </w:r>
      <w:r w:rsidR="00C14E80">
        <w:t>Binns</w:t>
      </w:r>
      <w:r w:rsidR="004B4D26">
        <w:noBreakHyphen/>
      </w:r>
      <w:r w:rsidR="00C14E80">
        <w:t xml:space="preserve">Ward J set aside the decision to approve the </w:t>
      </w:r>
      <w:r w:rsidR="00BC00B0">
        <w:t>Trust</w:t>
      </w:r>
      <w:r w:rsidR="00273DDF">
        <w:t>’</w:t>
      </w:r>
      <w:r w:rsidR="00BC00B0">
        <w:t>s development</w:t>
      </w:r>
      <w:r w:rsidR="00C14E80">
        <w:t xml:space="preserve"> application and remitted the application to the </w:t>
      </w:r>
      <w:r w:rsidR="0037094A">
        <w:t xml:space="preserve">Municipality </w:t>
      </w:r>
      <w:r w:rsidR="00C14E80">
        <w:t>for a fresh de</w:t>
      </w:r>
      <w:r w:rsidR="003E6379">
        <w:t>termination</w:t>
      </w:r>
      <w:r w:rsidR="00C14E80">
        <w:t xml:space="preserve"> by a new decision maker.</w:t>
      </w:r>
      <w:r w:rsidR="00C14E80">
        <w:rPr>
          <w:rStyle w:val="FootnoteReference"/>
        </w:rPr>
        <w:footnoteReference w:id="9"/>
      </w:r>
    </w:p>
    <w:p w14:paraId="49ED8C14" w14:textId="77777777" w:rsidR="003E6379" w:rsidRPr="003E6379" w:rsidRDefault="003E6379" w:rsidP="003E6379">
      <w:pPr>
        <w:pStyle w:val="JUDGMENTCONTINUED"/>
      </w:pPr>
    </w:p>
    <w:p w14:paraId="3923B628" w14:textId="7EA408F9" w:rsidR="00783950" w:rsidRDefault="0037094A" w:rsidP="00FC1F5F">
      <w:pPr>
        <w:pStyle w:val="JUDGMENTNUMBERED"/>
        <w:ind w:left="0" w:firstLine="0"/>
      </w:pPr>
      <w:r>
        <w:t xml:space="preserve">The Trust </w:t>
      </w:r>
      <w:r w:rsidR="00FA1622">
        <w:t xml:space="preserve">and the </w:t>
      </w:r>
      <w:r>
        <w:t xml:space="preserve">Municipality </w:t>
      </w:r>
      <w:r w:rsidR="00FA1622">
        <w:t xml:space="preserve">appealed to the </w:t>
      </w:r>
      <w:r w:rsidR="00BC00B0">
        <w:t>F</w:t>
      </w:r>
      <w:r w:rsidR="00FA1622">
        <w:t>ull Court</w:t>
      </w:r>
      <w:r w:rsidR="000C7F9C" w:rsidRPr="00C14E80">
        <w:t xml:space="preserve">. </w:t>
      </w:r>
      <w:r w:rsidR="008B1A86" w:rsidRPr="00C14E80">
        <w:t xml:space="preserve"> </w:t>
      </w:r>
      <w:r w:rsidR="000C7F9C" w:rsidRPr="00AC5E9D">
        <w:t>T</w:t>
      </w:r>
      <w:r w:rsidR="00C14E80" w:rsidRPr="00AC5E9D">
        <w:t xml:space="preserve">he Full Court held that the relevant decision makers </w:t>
      </w:r>
      <w:r w:rsidR="00BC00B0">
        <w:t>committed a number of errors</w:t>
      </w:r>
      <w:r w:rsidR="00C14E80" w:rsidRPr="00AC5E9D">
        <w:t xml:space="preserve"> </w:t>
      </w:r>
      <w:r w:rsidR="00A467EF">
        <w:t>of</w:t>
      </w:r>
      <w:r w:rsidR="00C14E80" w:rsidRPr="00AC5E9D">
        <w:t xml:space="preserve"> law.  </w:t>
      </w:r>
      <w:r w:rsidR="00BC00B0">
        <w:t>F</w:t>
      </w:r>
      <w:r w:rsidR="00C14E80" w:rsidRPr="00AC5E9D">
        <w:t>irst</w:t>
      </w:r>
      <w:r w:rsidR="00BC00B0">
        <w:t>,</w:t>
      </w:r>
      <w:r w:rsidR="000C7F9C" w:rsidRPr="00AC5E9D">
        <w:t xml:space="preserve"> the </w:t>
      </w:r>
      <w:r w:rsidR="00146874">
        <w:lastRenderedPageBreak/>
        <w:t>b</w:t>
      </w:r>
      <w:r w:rsidR="00945DA3">
        <w:t xml:space="preserve">uilding </w:t>
      </w:r>
      <w:r w:rsidR="00146874">
        <w:t>c</w:t>
      </w:r>
      <w:r w:rsidR="00945DA3">
        <w:t xml:space="preserve">ontrol </w:t>
      </w:r>
      <w:r w:rsidR="00146874">
        <w:t>o</w:t>
      </w:r>
      <w:r w:rsidR="00945DA3">
        <w:t>fficer</w:t>
      </w:r>
      <w:r w:rsidR="00AC5E9D">
        <w:t xml:space="preserve"> </w:t>
      </w:r>
      <w:r w:rsidR="00BC00B0">
        <w:t xml:space="preserve">and Mr Henshall-Howard </w:t>
      </w:r>
      <w:r w:rsidR="000C7F9C" w:rsidRPr="00AC5E9D">
        <w:t xml:space="preserve">applied the incorrect test when considering </w:t>
      </w:r>
      <w:r w:rsidR="00F3074F" w:rsidRPr="00AC5E9D">
        <w:t>whether any of the</w:t>
      </w:r>
      <w:r w:rsidR="000C7F9C" w:rsidRPr="00AC5E9D">
        <w:t xml:space="preserve"> disqualifying factors</w:t>
      </w:r>
      <w:r w:rsidR="00F3074F" w:rsidRPr="00AC5E9D">
        <w:t xml:space="preserve"> were present</w:t>
      </w:r>
      <w:r w:rsidR="000C7F9C" w:rsidRPr="00AC5E9D">
        <w:t>.</w:t>
      </w:r>
      <w:r w:rsidR="00F3074F" w:rsidRPr="00AC5E9D">
        <w:rPr>
          <w:rStyle w:val="FootnoteReference"/>
        </w:rPr>
        <w:footnoteReference w:id="10"/>
      </w:r>
      <w:r w:rsidR="000C7F9C" w:rsidRPr="00AC5E9D">
        <w:t xml:space="preserve">  </w:t>
      </w:r>
      <w:r w:rsidR="00BC00B0">
        <w:t>S</w:t>
      </w:r>
      <w:r w:rsidR="00C14E80" w:rsidRPr="00AC5E9D">
        <w:t>econd</w:t>
      </w:r>
      <w:r w:rsidR="00273DDF">
        <w:t>,</w:t>
      </w:r>
      <w:r w:rsidR="00C14E80" w:rsidRPr="00AC5E9D">
        <w:t xml:space="preserve"> both the </w:t>
      </w:r>
      <w:r w:rsidR="009D33A6">
        <w:t>b</w:t>
      </w:r>
      <w:r w:rsidR="00357B9D">
        <w:t xml:space="preserve">uilding </w:t>
      </w:r>
      <w:r w:rsidR="009D33A6">
        <w:t>c</w:t>
      </w:r>
      <w:r>
        <w:t xml:space="preserve">ontrol </w:t>
      </w:r>
      <w:r w:rsidR="009D33A6">
        <w:t>o</w:t>
      </w:r>
      <w:r>
        <w:t>fficer</w:t>
      </w:r>
      <w:r w:rsidRPr="00AC5E9D">
        <w:t xml:space="preserve"> </w:t>
      </w:r>
      <w:r w:rsidR="00C14E80" w:rsidRPr="00AC5E9D">
        <w:t xml:space="preserve">and </w:t>
      </w:r>
      <w:r w:rsidR="00AC5E9D">
        <w:t>Mr Henshall-Howard</w:t>
      </w:r>
      <w:r w:rsidR="00F3074F" w:rsidRPr="00AC5E9D">
        <w:t xml:space="preserve"> </w:t>
      </w:r>
      <w:r w:rsidR="00C14E80" w:rsidRPr="00AC5E9D">
        <w:t>incorrectly assumed</w:t>
      </w:r>
      <w:r w:rsidR="00F3074F" w:rsidRPr="00AC5E9D">
        <w:t xml:space="preserve"> that an application </w:t>
      </w:r>
      <w:r w:rsidR="00BC00B0">
        <w:t>could not</w:t>
      </w:r>
      <w:r w:rsidR="00F3074F" w:rsidRPr="00AC5E9D">
        <w:t xml:space="preserve"> be refused on the grounds of the disqualifying factors where </w:t>
      </w:r>
      <w:r w:rsidR="00945DA3">
        <w:t>the application</w:t>
      </w:r>
      <w:r w:rsidR="00945DA3" w:rsidRPr="00AC5E9D">
        <w:t xml:space="preserve"> </w:t>
      </w:r>
      <w:r w:rsidR="00F3074F" w:rsidRPr="00AC5E9D">
        <w:t>complies with the zoning regulations.</w:t>
      </w:r>
      <w:r w:rsidR="00F3074F" w:rsidRPr="00AC5E9D">
        <w:rPr>
          <w:rStyle w:val="FootnoteReference"/>
        </w:rPr>
        <w:footnoteReference w:id="11"/>
      </w:r>
      <w:r w:rsidR="00F3074F" w:rsidRPr="00AC5E9D">
        <w:t xml:space="preserve">  </w:t>
      </w:r>
      <w:r w:rsidR="00C14E80" w:rsidRPr="00AC5E9D">
        <w:t>Th</w:t>
      </w:r>
      <w:r w:rsidR="00BC00B0">
        <w:t>ird,</w:t>
      </w:r>
      <w:r w:rsidR="00C14E80" w:rsidRPr="00AC5E9D">
        <w:t xml:space="preserve"> </w:t>
      </w:r>
      <w:r w:rsidR="00AC5E9D">
        <w:t>both</w:t>
      </w:r>
      <w:r w:rsidR="00C14E80" w:rsidRPr="00AC5E9D">
        <w:t xml:space="preserve"> decision makers failed to take </w:t>
      </w:r>
      <w:r w:rsidR="00BC00B0">
        <w:t xml:space="preserve">the </w:t>
      </w:r>
      <w:r w:rsidR="00C14E80" w:rsidRPr="00AC5E9D">
        <w:t>impact of the building plans on the neighbouring properties</w:t>
      </w:r>
      <w:r w:rsidR="00BC00B0">
        <w:t xml:space="preserve"> into account.</w:t>
      </w:r>
      <w:r w:rsidR="00DC0386">
        <w:rPr>
          <w:rStyle w:val="FootnoteReference"/>
        </w:rPr>
        <w:footnoteReference w:id="12"/>
      </w:r>
    </w:p>
    <w:p w14:paraId="2A0FDCAC" w14:textId="77777777" w:rsidR="00783950" w:rsidRPr="00783950" w:rsidRDefault="00783950" w:rsidP="00F31137">
      <w:pPr>
        <w:pStyle w:val="JUDGMENTCONTINUED"/>
      </w:pPr>
    </w:p>
    <w:p w14:paraId="3D91788B" w14:textId="73281259" w:rsidR="00357B9D" w:rsidRDefault="006B0D26" w:rsidP="00FC1F5F">
      <w:pPr>
        <w:pStyle w:val="JUDGMENTNUMBERED"/>
        <w:ind w:left="0" w:firstLine="0"/>
      </w:pPr>
      <w:r>
        <w:t>Accordingly, t</w:t>
      </w:r>
      <w:r w:rsidR="00357B9D">
        <w:t xml:space="preserve">he Full Court </w:t>
      </w:r>
      <w:r>
        <w:t>dismissed the</w:t>
      </w:r>
      <w:r w:rsidR="00357B9D">
        <w:t xml:space="preserve"> appeal</w:t>
      </w:r>
      <w:r w:rsidR="009A07DF">
        <w:t xml:space="preserve"> </w:t>
      </w:r>
      <w:r w:rsidR="009A07DF" w:rsidRPr="00AC5E9D">
        <w:t>on</w:t>
      </w:r>
      <w:r w:rsidR="009A07DF">
        <w:t xml:space="preserve"> 2 February 2018</w:t>
      </w:r>
      <w:r w:rsidR="00357B9D">
        <w:t>.  A petition for</w:t>
      </w:r>
      <w:r w:rsidR="009A07DF">
        <w:t xml:space="preserve"> special</w:t>
      </w:r>
      <w:r w:rsidR="00357B9D">
        <w:t xml:space="preserve"> leave to appeal to the Supreme Court of Appeal </w:t>
      </w:r>
      <w:r w:rsidR="00783950">
        <w:t>was unsuccessful</w:t>
      </w:r>
      <w:r w:rsidR="00357B9D">
        <w:t>.</w:t>
      </w:r>
    </w:p>
    <w:p w14:paraId="10CA3FF8" w14:textId="77777777" w:rsidR="00783950" w:rsidRDefault="00783950" w:rsidP="00F31137">
      <w:pPr>
        <w:pStyle w:val="JUDGMENTCONTINUED"/>
      </w:pPr>
    </w:p>
    <w:p w14:paraId="3A04CDE8" w14:textId="77777777" w:rsidR="00783950" w:rsidRPr="00783950" w:rsidRDefault="00783950" w:rsidP="00FC1F5F">
      <w:pPr>
        <w:pStyle w:val="JUDGMENTNUMBERED"/>
        <w:ind w:left="0" w:firstLine="0"/>
      </w:pPr>
      <w:r>
        <w:t xml:space="preserve">The Trust and the </w:t>
      </w:r>
      <w:r w:rsidR="006B0D26">
        <w:t>Municipality</w:t>
      </w:r>
      <w:r>
        <w:t xml:space="preserve"> then filed separate applications for leave to appeal in this Court.</w:t>
      </w:r>
    </w:p>
    <w:p w14:paraId="655C1BB0" w14:textId="77777777" w:rsidR="00E641F2" w:rsidRPr="00E641F2" w:rsidRDefault="00E641F2" w:rsidP="00E641F2">
      <w:pPr>
        <w:pStyle w:val="JUDGMENTCONTINUED"/>
      </w:pPr>
    </w:p>
    <w:p w14:paraId="199F2A0C" w14:textId="77777777" w:rsidR="00783950" w:rsidRDefault="00783950" w:rsidP="00F31137">
      <w:pPr>
        <w:pStyle w:val="HEADING"/>
      </w:pPr>
      <w:r>
        <w:t>In this Court</w:t>
      </w:r>
    </w:p>
    <w:p w14:paraId="0A1CD28C" w14:textId="4ED7ABF3" w:rsidR="00783950" w:rsidRDefault="00783950" w:rsidP="00FC1F5F">
      <w:pPr>
        <w:pStyle w:val="JUDGMENTNUMBERED"/>
        <w:ind w:left="0" w:firstLine="0"/>
      </w:pPr>
      <w:r>
        <w:t xml:space="preserve">On 22 August 2018, the Chief Justice issued directions </w:t>
      </w:r>
      <w:r w:rsidR="003A44A2">
        <w:t xml:space="preserve">requiring the parties to make written submissions on what the proper test for establishing the disqualifying factors in section 7(1)(b)(ii)(aaa)-(bbb) of the Act ought to be. </w:t>
      </w:r>
      <w:r w:rsidR="005147D5">
        <w:t xml:space="preserve"> </w:t>
      </w:r>
      <w:r w:rsidR="003A44A2">
        <w:t xml:space="preserve">The parties were directed to refer to </w:t>
      </w:r>
      <w:r w:rsidR="003A44A2">
        <w:rPr>
          <w:i/>
        </w:rPr>
        <w:t>Camps Bay</w:t>
      </w:r>
      <w:r w:rsidR="003A44A2">
        <w:t xml:space="preserve"> and other authorities if necessary.</w:t>
      </w:r>
    </w:p>
    <w:p w14:paraId="0EC60394" w14:textId="77777777" w:rsidR="003A44A2" w:rsidRPr="003A44A2" w:rsidRDefault="003A44A2" w:rsidP="00F31137">
      <w:pPr>
        <w:pStyle w:val="JUDGMENTCONTINUED"/>
      </w:pPr>
    </w:p>
    <w:p w14:paraId="5D83F983" w14:textId="2AC3311F" w:rsidR="00E641F2" w:rsidRDefault="00E641F2" w:rsidP="00FC1F5F">
      <w:pPr>
        <w:pStyle w:val="JUDGMENTNUMBERED"/>
        <w:ind w:left="0" w:firstLine="0"/>
      </w:pPr>
      <w:r>
        <w:t xml:space="preserve">The Municipality and </w:t>
      </w:r>
      <w:r w:rsidRPr="00E641F2">
        <w:t xml:space="preserve">the Trust each filed submissions which were substantively the same. </w:t>
      </w:r>
      <w:r w:rsidR="00273DDF">
        <w:t xml:space="preserve"> </w:t>
      </w:r>
      <w:r w:rsidRPr="00E641F2">
        <w:t>They submit that the disqualifying factors are disjunctive and should be considered separately.  They submit that the legitimate expectations test is suited to application in the context of derogation in value from a particular property, rather than disfigurement of an entire area.</w:t>
      </w:r>
      <w:r w:rsidR="00273DDF">
        <w:t xml:space="preserve"> </w:t>
      </w:r>
      <w:r w:rsidRPr="00E641F2">
        <w:t xml:space="preserve"> They further submit that the question of whether a building disfigures an area involves a value judgement which only the </w:t>
      </w:r>
      <w:r w:rsidR="0026427B">
        <w:t>b</w:t>
      </w:r>
      <w:r w:rsidRPr="00E641F2">
        <w:t xml:space="preserve">uilding </w:t>
      </w:r>
      <w:r w:rsidR="0026427B">
        <w:t>c</w:t>
      </w:r>
      <w:r w:rsidRPr="00E641F2">
        <w:t xml:space="preserve">ontrol </w:t>
      </w:r>
      <w:r w:rsidR="0026427B">
        <w:t>o</w:t>
      </w:r>
      <w:r w:rsidRPr="00E641F2">
        <w:t>fficer can make.  Finally, they submit that it is unduly burdensome on the Municipality to expect it to consult with all neighbours.</w:t>
      </w:r>
    </w:p>
    <w:p w14:paraId="2B081200" w14:textId="77777777" w:rsidR="00E641F2" w:rsidRDefault="00E641F2" w:rsidP="00E641F2">
      <w:pPr>
        <w:pStyle w:val="JUDGMENTCONTINUED"/>
      </w:pPr>
    </w:p>
    <w:p w14:paraId="6FA743B1" w14:textId="1D403A45" w:rsidR="00E641F2" w:rsidRPr="00E641F2" w:rsidRDefault="006624CB" w:rsidP="00FC1F5F">
      <w:pPr>
        <w:pStyle w:val="JUDGMENTNUMBERED"/>
        <w:ind w:left="0" w:firstLine="0"/>
      </w:pPr>
      <w:r>
        <w:t xml:space="preserve">Mr </w:t>
      </w:r>
      <w:r w:rsidR="005C07CA">
        <w:t>D</w:t>
      </w:r>
      <w:r>
        <w:t xml:space="preserve">a </w:t>
      </w:r>
      <w:r w:rsidRPr="006624CB">
        <w:t xml:space="preserve">Cruz and Four Seasons submit that the test is not worded </w:t>
      </w:r>
      <w:r w:rsidR="0007088C">
        <w:t xml:space="preserve">so </w:t>
      </w:r>
      <w:r w:rsidRPr="006624CB">
        <w:t xml:space="preserve">as to limit it to the disqualifying factor of derogation in value. </w:t>
      </w:r>
      <w:r w:rsidR="00273DDF">
        <w:t xml:space="preserve"> </w:t>
      </w:r>
      <w:r w:rsidRPr="006624CB">
        <w:t>It is an expectations test, rather than a valuation test.  They submit that the test concerns the legitimate expectations of not only the neighbours, but also the area and the community in general.</w:t>
      </w:r>
    </w:p>
    <w:p w14:paraId="7EDCD841" w14:textId="77777777" w:rsidR="00E641F2" w:rsidRDefault="00E641F2" w:rsidP="00E641F2">
      <w:pPr>
        <w:pStyle w:val="JUDGMENTCONTINUED"/>
      </w:pPr>
    </w:p>
    <w:p w14:paraId="796138A9" w14:textId="77777777" w:rsidR="00945DA3" w:rsidRDefault="00EE3159" w:rsidP="00357B9D">
      <w:pPr>
        <w:pStyle w:val="HEADING"/>
      </w:pPr>
      <w:r>
        <w:t>Condonation</w:t>
      </w:r>
    </w:p>
    <w:p w14:paraId="21C79FC3" w14:textId="440831E6" w:rsidR="00945DA3" w:rsidRDefault="00945DA3" w:rsidP="00FC1F5F">
      <w:pPr>
        <w:pStyle w:val="JUDGMENTNUMBERED"/>
        <w:ind w:left="0" w:firstLine="0"/>
      </w:pPr>
      <w:r>
        <w:t xml:space="preserve">The </w:t>
      </w:r>
      <w:r w:rsidR="0037094A">
        <w:t xml:space="preserve">Municipality </w:t>
      </w:r>
      <w:r>
        <w:t xml:space="preserve">seeks condonation for the late filing of the second application.  The application for condonation is unopposed.  The application was filed </w:t>
      </w:r>
      <w:r w:rsidR="00BC00B0">
        <w:t>a</w:t>
      </w:r>
      <w:r>
        <w:t xml:space="preserve"> day late </w:t>
      </w:r>
      <w:r w:rsidR="00357B9D">
        <w:t xml:space="preserve">and </w:t>
      </w:r>
      <w:r>
        <w:t xml:space="preserve">no prejudice </w:t>
      </w:r>
      <w:r w:rsidR="0037094A">
        <w:t xml:space="preserve">was </w:t>
      </w:r>
      <w:r>
        <w:t xml:space="preserve">occasioned by the delay.  </w:t>
      </w:r>
      <w:r w:rsidR="00357B9D">
        <w:t>C</w:t>
      </w:r>
      <w:r>
        <w:t xml:space="preserve">ondonation </w:t>
      </w:r>
      <w:r w:rsidR="00163EA0">
        <w:t>is</w:t>
      </w:r>
      <w:r w:rsidR="00357B9D">
        <w:t xml:space="preserve"> granted.</w:t>
      </w:r>
    </w:p>
    <w:p w14:paraId="0248B2C4" w14:textId="77777777" w:rsidR="00CC1F1D" w:rsidRPr="00CC1F1D" w:rsidRDefault="00CC1F1D" w:rsidP="00CC1F1D">
      <w:pPr>
        <w:pStyle w:val="JUDGMENTCONTINUED"/>
      </w:pPr>
    </w:p>
    <w:p w14:paraId="39FEC226" w14:textId="77777777" w:rsidR="00CC1F1D" w:rsidRDefault="00CC1F1D" w:rsidP="00CC1F1D">
      <w:pPr>
        <w:pStyle w:val="HEADING"/>
      </w:pPr>
      <w:r>
        <w:t>Jurisdiction and leave to appeal</w:t>
      </w:r>
    </w:p>
    <w:p w14:paraId="7D6B0771" w14:textId="61BE1269" w:rsidR="00CC1F1D" w:rsidRPr="00CC1F1D" w:rsidRDefault="00575354" w:rsidP="00FC1F5F">
      <w:pPr>
        <w:pStyle w:val="JUDGMENTNUMBERED"/>
        <w:ind w:left="0" w:firstLine="0"/>
      </w:pPr>
      <w:r w:rsidRPr="00575354">
        <w:rPr>
          <w:lang w:val="en-GB"/>
        </w:rPr>
        <w:t>This Court will grant leave to appeal where the application raises a constitutional issue and where it is in the interests of justice to grant leave to appeal.</w:t>
      </w:r>
      <w:r w:rsidRPr="00575354">
        <w:rPr>
          <w:vertAlign w:val="superscript"/>
          <w:lang w:val="en-GB"/>
        </w:rPr>
        <w:footnoteReference w:id="13"/>
      </w:r>
      <w:r w:rsidR="00252979">
        <w:rPr>
          <w:lang w:val="en-GB"/>
        </w:rPr>
        <w:t xml:space="preserve"> </w:t>
      </w:r>
      <w:r w:rsidRPr="00575354">
        <w:rPr>
          <w:lang w:val="en-GB"/>
        </w:rPr>
        <w:t xml:space="preserve"> </w:t>
      </w:r>
      <w:r w:rsidR="00CC1F1D">
        <w:t>This Court has jurisdiction to consider the appeal because all PAJA reviews concern the right to just and fair administrative action under section 33 of the Constitution.</w:t>
      </w:r>
      <w:r w:rsidR="00CC1F1D">
        <w:rPr>
          <w:rStyle w:val="FootnoteReference"/>
        </w:rPr>
        <w:footnoteReference w:id="14"/>
      </w:r>
      <w:r w:rsidR="00CC1F1D">
        <w:t xml:space="preserve">  They are constitutional matters.</w:t>
      </w:r>
    </w:p>
    <w:p w14:paraId="0E097084" w14:textId="77777777" w:rsidR="00CC1F1D" w:rsidRPr="00CC1F1D" w:rsidRDefault="00CC1F1D" w:rsidP="00CC1F1D">
      <w:pPr>
        <w:pStyle w:val="JUDGMENTNUMBERED"/>
        <w:numPr>
          <w:ilvl w:val="0"/>
          <w:numId w:val="0"/>
        </w:numPr>
        <w:rPr>
          <w:highlight w:val="yellow"/>
        </w:rPr>
      </w:pPr>
    </w:p>
    <w:p w14:paraId="1B2E322D" w14:textId="061FADD8" w:rsidR="00A5063C" w:rsidRDefault="00632A98" w:rsidP="00FC1F5F">
      <w:pPr>
        <w:pStyle w:val="JUDGMENTNUMBERED"/>
        <w:ind w:left="0" w:firstLine="0"/>
      </w:pPr>
      <w:r>
        <w:t>While p</w:t>
      </w:r>
      <w:r w:rsidR="00A5063C" w:rsidRPr="00A5063C">
        <w:t xml:space="preserve">rospects of success are </w:t>
      </w:r>
      <w:r>
        <w:t>important in determining whether leave to appeal should be granted, they</w:t>
      </w:r>
      <w:r w:rsidRPr="00A5063C" w:rsidDel="00632A98">
        <w:t xml:space="preserve"> </w:t>
      </w:r>
      <w:r>
        <w:t>are not</w:t>
      </w:r>
      <w:r w:rsidR="00A5063C" w:rsidRPr="00A5063C">
        <w:t xml:space="preserve"> determinative.</w:t>
      </w:r>
      <w:r w:rsidR="00A5063C" w:rsidRPr="00A5063C">
        <w:rPr>
          <w:vertAlign w:val="superscript"/>
        </w:rPr>
        <w:footnoteReference w:id="15"/>
      </w:r>
      <w:r w:rsidR="00A5063C" w:rsidRPr="00A5063C">
        <w:t xml:space="preserve">  </w:t>
      </w:r>
      <w:r w:rsidR="00575354">
        <w:t xml:space="preserve">There are no prospects of success in this matter </w:t>
      </w:r>
      <w:r w:rsidR="006368DA">
        <w:t>yet</w:t>
      </w:r>
      <w:r w:rsidR="003A44A2">
        <w:t xml:space="preserve"> there is</w:t>
      </w:r>
      <w:r w:rsidR="00575354">
        <w:t xml:space="preserve"> a narrow question of law which this Court should pronounce upon</w:t>
      </w:r>
      <w:r w:rsidR="003A44A2">
        <w:t>. I</w:t>
      </w:r>
      <w:r w:rsidR="00575354">
        <w:t xml:space="preserve">t is </w:t>
      </w:r>
      <w:r w:rsidR="002635EC">
        <w:t xml:space="preserve">therefore </w:t>
      </w:r>
      <w:r w:rsidR="00575354">
        <w:t>in the interests of justice to grant leave to appeal.</w:t>
      </w:r>
    </w:p>
    <w:p w14:paraId="5647A0FE" w14:textId="77777777" w:rsidR="00575354" w:rsidRPr="00575354" w:rsidRDefault="00575354" w:rsidP="002B22C3">
      <w:pPr>
        <w:pStyle w:val="JUDGMENTCONTINUED"/>
      </w:pPr>
    </w:p>
    <w:p w14:paraId="14F81667" w14:textId="085CECE5" w:rsidR="008B1A86" w:rsidRDefault="00575354" w:rsidP="00FC1F5F">
      <w:pPr>
        <w:pStyle w:val="JUDGMENTNUMBERED"/>
        <w:ind w:left="0" w:firstLine="0"/>
      </w:pPr>
      <w:r>
        <w:lastRenderedPageBreak/>
        <w:t>Th</w:t>
      </w:r>
      <w:r w:rsidR="006368DA">
        <w:t>e</w:t>
      </w:r>
      <w:r>
        <w:t xml:space="preserve"> </w:t>
      </w:r>
      <w:r w:rsidR="00CC1F1D" w:rsidRPr="00CC1F1D">
        <w:t xml:space="preserve">question </w:t>
      </w:r>
      <w:r w:rsidR="00566663">
        <w:t>of law</w:t>
      </w:r>
      <w:r w:rsidR="003A44A2">
        <w:t xml:space="preserve"> to be addressed </w:t>
      </w:r>
      <w:r w:rsidR="008D04F7">
        <w:t>is</w:t>
      </w:r>
      <w:r w:rsidR="008D04F7" w:rsidRPr="00CC1F1D">
        <w:t xml:space="preserve"> </w:t>
      </w:r>
      <w:r w:rsidR="00CC1F1D" w:rsidRPr="00CC1F1D">
        <w:t>whether the legitimate expectation</w:t>
      </w:r>
      <w:r w:rsidR="00411AA1">
        <w:t>s</w:t>
      </w:r>
      <w:r w:rsidR="00CC1F1D" w:rsidRPr="00CC1F1D">
        <w:t xml:space="preserve"> test applied in the context of the disqualifying factor relating to derogation in value also applies to the other disqualifying factors found in section 7(1)(b)(ii)</w:t>
      </w:r>
      <w:r w:rsidR="003311EE">
        <w:t>(aa)</w:t>
      </w:r>
      <w:r w:rsidR="00CC1F1D" w:rsidRPr="00CC1F1D">
        <w:t>.</w:t>
      </w:r>
    </w:p>
    <w:p w14:paraId="0C803700" w14:textId="77777777" w:rsidR="00452821" w:rsidRPr="00452821" w:rsidRDefault="00452821" w:rsidP="00452821">
      <w:pPr>
        <w:pStyle w:val="JUDGMENTCONTINUED"/>
      </w:pPr>
    </w:p>
    <w:p w14:paraId="2DCABCB7" w14:textId="77777777" w:rsidR="008B1A86" w:rsidRPr="00DB04FD" w:rsidRDefault="00452821" w:rsidP="00423EA1">
      <w:pPr>
        <w:pStyle w:val="HEADING"/>
      </w:pPr>
      <w:r>
        <w:t>Merits</w:t>
      </w:r>
    </w:p>
    <w:p w14:paraId="55B6776B" w14:textId="66EC6E18" w:rsidR="008B1A86" w:rsidRDefault="008B1A86" w:rsidP="00FC1F5F">
      <w:pPr>
        <w:pStyle w:val="JUDGMENTNUMBERED"/>
        <w:ind w:left="0" w:firstLine="0"/>
      </w:pPr>
      <w:r>
        <w:t xml:space="preserve">It was settled in </w:t>
      </w:r>
      <w:r w:rsidRPr="00AC5E9D">
        <w:rPr>
          <w:i/>
        </w:rPr>
        <w:t>Turnbull-Jackson</w:t>
      </w:r>
      <w:r w:rsidR="00C21D31" w:rsidRPr="008B1A86">
        <w:rPr>
          <w:rStyle w:val="FootnoteReference"/>
        </w:rPr>
        <w:footnoteReference w:id="16"/>
      </w:r>
      <w:r w:rsidRPr="00AC5E9D">
        <w:rPr>
          <w:i/>
        </w:rPr>
        <w:t xml:space="preserve"> </w:t>
      </w:r>
      <w:r>
        <w:t>that the appropriate approach to section</w:t>
      </w:r>
      <w:r w:rsidR="00ED1BEF">
        <w:t> </w:t>
      </w:r>
      <w:r>
        <w:t xml:space="preserve">7(1)(b)(ii) is </w:t>
      </w:r>
      <w:r w:rsidR="00FC6413">
        <w:t xml:space="preserve">to be </w:t>
      </w:r>
      <w:r>
        <w:t xml:space="preserve">found in </w:t>
      </w:r>
      <w:r w:rsidRPr="00AC5E9D">
        <w:rPr>
          <w:i/>
        </w:rPr>
        <w:t>Walele</w:t>
      </w:r>
      <w:bookmarkStart w:id="3" w:name="_Ref1402456"/>
      <w:r w:rsidR="00C21D31" w:rsidRPr="000A26A7">
        <w:rPr>
          <w:rStyle w:val="FootnoteReference"/>
        </w:rPr>
        <w:footnoteReference w:id="17"/>
      </w:r>
      <w:bookmarkEnd w:id="3"/>
      <w:r w:rsidRPr="00AC5E9D">
        <w:rPr>
          <w:i/>
        </w:rPr>
        <w:t xml:space="preserve"> </w:t>
      </w:r>
      <w:r>
        <w:t xml:space="preserve">rather than </w:t>
      </w:r>
      <w:r w:rsidRPr="00AC5E9D">
        <w:rPr>
          <w:i/>
        </w:rPr>
        <w:t>True Motives.</w:t>
      </w:r>
      <w:r w:rsidR="00C21D31" w:rsidRPr="000A26A7">
        <w:rPr>
          <w:rStyle w:val="FootnoteReference"/>
        </w:rPr>
        <w:footnoteReference w:id="18"/>
      </w:r>
      <w:r w:rsidRPr="00AC5E9D">
        <w:rPr>
          <w:i/>
        </w:rPr>
        <w:t xml:space="preserve"> </w:t>
      </w:r>
      <w:r>
        <w:t xml:space="preserve"> In essence, </w:t>
      </w:r>
      <w:r w:rsidR="0097447B">
        <w:rPr>
          <w:i/>
        </w:rPr>
        <w:t xml:space="preserve">Walele </w:t>
      </w:r>
      <w:r>
        <w:t>requires that the local authority must be positively satisfied that there are no disqualifying factors present</w:t>
      </w:r>
      <w:r w:rsidR="0097447B">
        <w:t xml:space="preserve">, separate from the </w:t>
      </w:r>
      <w:r w:rsidR="00BE5861">
        <w:t>require</w:t>
      </w:r>
      <w:r w:rsidR="00566663">
        <w:t>ments</w:t>
      </w:r>
      <w:r w:rsidR="00BE5861">
        <w:t xml:space="preserve"> under</w:t>
      </w:r>
      <w:r w:rsidR="0097447B">
        <w:t xml:space="preserve"> the Act</w:t>
      </w:r>
      <w:r>
        <w:t>.</w:t>
      </w:r>
      <w:r w:rsidR="0097447B">
        <w:rPr>
          <w:rStyle w:val="FootnoteReference"/>
        </w:rPr>
        <w:footnoteReference w:id="19"/>
      </w:r>
      <w:r>
        <w:t xml:space="preserve">  </w:t>
      </w:r>
      <w:r w:rsidR="00AC5E9D">
        <w:t xml:space="preserve">I agree with the </w:t>
      </w:r>
      <w:r w:rsidR="0051511B">
        <w:t xml:space="preserve">Full </w:t>
      </w:r>
      <w:r w:rsidR="00AC5E9D">
        <w:t>Court that</w:t>
      </w:r>
      <w:r>
        <w:t xml:space="preserve"> </w:t>
      </w:r>
      <w:r w:rsidR="00BF4057">
        <w:t xml:space="preserve">both </w:t>
      </w:r>
      <w:r>
        <w:t xml:space="preserve">the </w:t>
      </w:r>
      <w:r w:rsidR="002508B9">
        <w:t>building control officer</w:t>
      </w:r>
      <w:r w:rsidR="00FC6413">
        <w:t xml:space="preserve"> </w:t>
      </w:r>
      <w:r w:rsidR="00BF4057">
        <w:t>and Mr Henshall</w:t>
      </w:r>
      <w:r w:rsidR="00CA1E3D">
        <w:noBreakHyphen/>
      </w:r>
      <w:r w:rsidR="00BF4057">
        <w:t xml:space="preserve">Howard </w:t>
      </w:r>
      <w:r>
        <w:t xml:space="preserve">applied the </w:t>
      </w:r>
      <w:r w:rsidRPr="00AC5E9D">
        <w:rPr>
          <w:i/>
        </w:rPr>
        <w:t xml:space="preserve">True Motives </w:t>
      </w:r>
      <w:r>
        <w:t xml:space="preserve">test rather than the </w:t>
      </w:r>
      <w:r w:rsidRPr="00AC5E9D">
        <w:rPr>
          <w:i/>
        </w:rPr>
        <w:t xml:space="preserve">Walele </w:t>
      </w:r>
      <w:r>
        <w:t>test.</w:t>
      </w:r>
      <w:r w:rsidR="0097447B">
        <w:rPr>
          <w:rStyle w:val="FootnoteReference"/>
        </w:rPr>
        <w:footnoteReference w:id="20"/>
      </w:r>
      <w:r>
        <w:t xml:space="preserve">  </w:t>
      </w:r>
      <w:r w:rsidR="00BF4057">
        <w:t>Mr Henshall-Howard</w:t>
      </w:r>
      <w:r>
        <w:t xml:space="preserve"> wrote the following in respect of the disqualifying factors:</w:t>
      </w:r>
    </w:p>
    <w:p w14:paraId="541033E3" w14:textId="77777777" w:rsidR="008B1A86" w:rsidRPr="00EE1C7C" w:rsidRDefault="008B1A86" w:rsidP="00F31137">
      <w:pPr>
        <w:pStyle w:val="QUOTATION"/>
      </w:pPr>
    </w:p>
    <w:p w14:paraId="0CA37A83" w14:textId="77777777" w:rsidR="008B1A86" w:rsidRDefault="008B1A86" w:rsidP="008B1A86">
      <w:pPr>
        <w:pStyle w:val="QUOTATION"/>
      </w:pPr>
      <w:r w:rsidRPr="00BA3BE1">
        <w:t>“I am not satisfied that the area will be disfigured by the additions to the existing building and nor am I satisfied that the building will be unsightly or objectionable.”</w:t>
      </w:r>
    </w:p>
    <w:p w14:paraId="769FAE68" w14:textId="77777777" w:rsidR="008B1A86" w:rsidRDefault="008B1A86" w:rsidP="008B1A86">
      <w:pPr>
        <w:pStyle w:val="JUDGMENTCONTINUED"/>
      </w:pPr>
    </w:p>
    <w:p w14:paraId="66F2BC2C" w14:textId="3E4A415B" w:rsidR="008B1A86" w:rsidRDefault="008B1A86" w:rsidP="00FC1F5F">
      <w:pPr>
        <w:pStyle w:val="JUDGMENTNUMBERED"/>
        <w:ind w:left="0" w:firstLine="0"/>
      </w:pPr>
      <w:r>
        <w:t xml:space="preserve">The </w:t>
      </w:r>
      <w:r w:rsidR="0030566C">
        <w:t>b</w:t>
      </w:r>
      <w:r w:rsidR="00A87965">
        <w:t xml:space="preserve">uilding </w:t>
      </w:r>
      <w:r w:rsidR="0030566C">
        <w:t>c</w:t>
      </w:r>
      <w:r w:rsidR="0097447B">
        <w:t xml:space="preserve">ontrol </w:t>
      </w:r>
      <w:r w:rsidR="0030566C">
        <w:t>o</w:t>
      </w:r>
      <w:r w:rsidR="00A87965">
        <w:t>fficer</w:t>
      </w:r>
      <w:r>
        <w:t xml:space="preserve"> wrote:</w:t>
      </w:r>
    </w:p>
    <w:p w14:paraId="0929CF83" w14:textId="77777777" w:rsidR="008B1A86" w:rsidRDefault="008B1A86" w:rsidP="00F31137">
      <w:pPr>
        <w:pStyle w:val="QUOTATION"/>
      </w:pPr>
    </w:p>
    <w:p w14:paraId="240A7ACE" w14:textId="77777777" w:rsidR="008B1A86" w:rsidRPr="00FF0AF8" w:rsidRDefault="008B1A86" w:rsidP="008B1A86">
      <w:pPr>
        <w:pStyle w:val="QUOTATION"/>
      </w:pPr>
      <w:r>
        <w:t>“I can find no reason to be satisfied that the proposed building would disfigure the area.”</w:t>
      </w:r>
    </w:p>
    <w:p w14:paraId="4115FCBD" w14:textId="77777777" w:rsidR="008B1A86" w:rsidRPr="00BA3BE1" w:rsidRDefault="008B1A86" w:rsidP="008B1A86">
      <w:pPr>
        <w:pStyle w:val="JUDGMENTCONTINUED"/>
      </w:pPr>
    </w:p>
    <w:p w14:paraId="038DB894" w14:textId="41BA152D" w:rsidR="008B1A86" w:rsidRDefault="008B1A86" w:rsidP="00FC1F5F">
      <w:pPr>
        <w:pStyle w:val="JUDGMENTNUMBERED"/>
        <w:ind w:left="0" w:firstLine="0"/>
      </w:pPr>
      <w:r w:rsidRPr="00BA3BE1">
        <w:t>The correct formulation</w:t>
      </w:r>
      <w:r w:rsidRPr="00A844E2">
        <w:t xml:space="preserve"> o</w:t>
      </w:r>
      <w:r w:rsidR="00993A05">
        <w:t>f the reasons would have been “</w:t>
      </w:r>
      <w:r w:rsidRPr="00BE5861">
        <w:rPr>
          <w:i/>
        </w:rPr>
        <w:t>I am satisfied</w:t>
      </w:r>
      <w:r w:rsidRPr="00A844E2">
        <w:t xml:space="preserve"> that the area will </w:t>
      </w:r>
      <w:r w:rsidRPr="00BE5861">
        <w:rPr>
          <w:i/>
        </w:rPr>
        <w:t xml:space="preserve">not </w:t>
      </w:r>
      <w:r w:rsidRPr="00A844E2">
        <w:t>be disfigured</w:t>
      </w:r>
      <w:r w:rsidR="00993A05">
        <w:t>”</w:t>
      </w:r>
      <w:r w:rsidR="00ED1BEF">
        <w:t>.</w:t>
      </w:r>
      <w:r w:rsidRPr="00A844E2">
        <w:t xml:space="preserve"> </w:t>
      </w:r>
      <w:r>
        <w:t xml:space="preserve"> The first ground of appeal has no prospects of success.</w:t>
      </w:r>
      <w:r w:rsidR="00452821">
        <w:t xml:space="preserve">  This </w:t>
      </w:r>
      <w:r w:rsidR="0051511B">
        <w:t>disposes</w:t>
      </w:r>
      <w:r w:rsidR="00452821">
        <w:t xml:space="preserve"> of both applications for leave to appeal, because the applicants must succeed on all grounds </w:t>
      </w:r>
      <w:r w:rsidR="00A87965">
        <w:t>in order</w:t>
      </w:r>
      <w:r w:rsidR="00452821">
        <w:t xml:space="preserve"> to </w:t>
      </w:r>
      <w:r w:rsidR="0097447B">
        <w:t xml:space="preserve">have </w:t>
      </w:r>
      <w:r w:rsidR="00452821">
        <w:t xml:space="preserve">the order of the </w:t>
      </w:r>
      <w:r w:rsidR="0051511B">
        <w:t xml:space="preserve">Full </w:t>
      </w:r>
      <w:r w:rsidR="00452821">
        <w:t>Court</w:t>
      </w:r>
      <w:r w:rsidR="0097447B">
        <w:t xml:space="preserve"> set aside</w:t>
      </w:r>
      <w:r w:rsidR="00452821">
        <w:t>.</w:t>
      </w:r>
      <w:r w:rsidR="00D813D6">
        <w:rPr>
          <w:rStyle w:val="FootnoteReference"/>
        </w:rPr>
        <w:footnoteReference w:id="21"/>
      </w:r>
      <w:r w:rsidR="00452821">
        <w:t xml:space="preserve"> </w:t>
      </w:r>
      <w:r w:rsidR="00BE5861">
        <w:t xml:space="preserve"> In the circumstances I make no finding in respect of the remaining grounds of appeal as it is not necessary to do so</w:t>
      </w:r>
      <w:r w:rsidR="00566663">
        <w:t>, save for the ground concerning the legitimate expectation</w:t>
      </w:r>
      <w:r w:rsidR="00E61FE5">
        <w:t>s</w:t>
      </w:r>
      <w:r w:rsidR="00566663">
        <w:t xml:space="preserve"> test</w:t>
      </w:r>
      <w:r w:rsidR="00BE5861">
        <w:t>.</w:t>
      </w:r>
    </w:p>
    <w:p w14:paraId="6EEEB80A" w14:textId="77777777" w:rsidR="00AA361E" w:rsidRPr="00AA361E" w:rsidRDefault="00AA361E" w:rsidP="00AA361E">
      <w:pPr>
        <w:pStyle w:val="JUDGMENTCONTINUED"/>
      </w:pPr>
    </w:p>
    <w:p w14:paraId="57175343" w14:textId="77777777" w:rsidR="00D0240C" w:rsidRPr="006D41D9" w:rsidRDefault="00C96260" w:rsidP="00DA3694">
      <w:pPr>
        <w:pStyle w:val="HEADING"/>
      </w:pPr>
      <w:r>
        <w:t>Question of law</w:t>
      </w:r>
    </w:p>
    <w:p w14:paraId="34E22674" w14:textId="0357A15A" w:rsidR="00947013" w:rsidRDefault="00C96260" w:rsidP="00FC1F5F">
      <w:pPr>
        <w:pStyle w:val="JUDGMENTNUMBERED"/>
        <w:ind w:left="0" w:firstLine="0"/>
      </w:pPr>
      <w:r w:rsidRPr="00515441">
        <w:t>The</w:t>
      </w:r>
      <w:r w:rsidRPr="00423EA1">
        <w:t xml:space="preserve"> question of law in this appeal concerns whether</w:t>
      </w:r>
      <w:r>
        <w:t xml:space="preserve"> the legitimate expectations test applies to all of the disqualifying factors in section 7(1)(b)(ii)</w:t>
      </w:r>
      <w:r w:rsidR="003311EE">
        <w:t>(aa)</w:t>
      </w:r>
      <w:r>
        <w:t>.  The legitimate expectations test is the means by which a decision maker determines whether there will be derogation in value sufficient to disqualify a building application under the Act.</w:t>
      </w:r>
      <w:r>
        <w:rPr>
          <w:rStyle w:val="FootnoteReference"/>
        </w:rPr>
        <w:footnoteReference w:id="22"/>
      </w:r>
      <w:r>
        <w:t xml:space="preserve">  In the applications before us, the applicants submit that the </w:t>
      </w:r>
      <w:r w:rsidR="00E61FE5">
        <w:t xml:space="preserve">Full </w:t>
      </w:r>
      <w:r>
        <w:t>Court erred when it applied the legitimate expectations test to the other disqualifying factors in section</w:t>
      </w:r>
      <w:r w:rsidR="00AA0E83">
        <w:t> </w:t>
      </w:r>
      <w:r>
        <w:t>7(1)(b)(ii)</w:t>
      </w:r>
      <w:r w:rsidR="003311EE">
        <w:t>(aa)</w:t>
      </w:r>
      <w:r>
        <w:t xml:space="preserve"> of the Act.</w:t>
      </w:r>
    </w:p>
    <w:p w14:paraId="62EA064E" w14:textId="77777777" w:rsidR="00947013" w:rsidRPr="00947013" w:rsidRDefault="00947013" w:rsidP="00947013">
      <w:pPr>
        <w:pStyle w:val="JUDGMENTCONTINUED"/>
      </w:pPr>
    </w:p>
    <w:p w14:paraId="4700DA31" w14:textId="3E6D25FA" w:rsidR="0016551A" w:rsidRPr="0016551A" w:rsidRDefault="003311EE" w:rsidP="00FC1F5F">
      <w:pPr>
        <w:pStyle w:val="JUDGMENTNUMBERED"/>
        <w:ind w:left="0" w:firstLine="0"/>
      </w:pPr>
      <w:r>
        <w:lastRenderedPageBreak/>
        <w:t xml:space="preserve">In terms of section 7(1)(b)(ii)(aa) of the Act, the local authority must be “satisfied” that none of the disqualifying factors are present.  </w:t>
      </w:r>
      <w:r w:rsidR="00AD21EF">
        <w:t xml:space="preserve">Discretionary power is an essential tool in the </w:t>
      </w:r>
      <w:r w:rsidR="00466C3B">
        <w:t>administration</w:t>
      </w:r>
      <w:r w:rsidR="00AD21EF">
        <w:t xml:space="preserve"> and the legal system </w:t>
      </w:r>
      <w:r w:rsidR="00466C3B">
        <w:t xml:space="preserve">that </w:t>
      </w:r>
      <w:r w:rsidR="00AD21EF">
        <w:t>governs it.</w:t>
      </w:r>
      <w:r w:rsidR="00AD21EF">
        <w:rPr>
          <w:rStyle w:val="FootnoteReference"/>
        </w:rPr>
        <w:footnoteReference w:id="23"/>
      </w:r>
      <w:r w:rsidR="00AD21EF">
        <w:t xml:space="preserve">  The latitude of discretionary power varies with context.</w:t>
      </w:r>
      <w:r w:rsidR="00AD21EF">
        <w:rPr>
          <w:rStyle w:val="FootnoteReference"/>
        </w:rPr>
        <w:footnoteReference w:id="24"/>
      </w:r>
      <w:r w:rsidR="00AD21EF">
        <w:t xml:space="preserve">  Section 7(1)(b)(ii)(aa)</w:t>
      </w:r>
      <w:r>
        <w:t xml:space="preserve"> confers a broad discretion on the local authority to consider a range of factors.  However, this discretion is not untrammelled.  All administrative action must be lawful, reasonable and procedurally fair.</w:t>
      </w:r>
      <w:r>
        <w:rPr>
          <w:rStyle w:val="FootnoteReference"/>
        </w:rPr>
        <w:footnoteReference w:id="25"/>
      </w:r>
      <w:r>
        <w:t xml:space="preserve">  In my view, the legitimate expectations test correctly circumscribes the discretion of the decision maker with the constitutionally mandated requirements of lawfulness, reasonableness and procedural fairness.</w:t>
      </w:r>
    </w:p>
    <w:p w14:paraId="06BF6D4F" w14:textId="77777777" w:rsidR="00C96260" w:rsidRPr="00C96260" w:rsidRDefault="00C96260" w:rsidP="00C96260">
      <w:pPr>
        <w:pStyle w:val="JUDGMENTCONTINUED"/>
      </w:pPr>
    </w:p>
    <w:p w14:paraId="78D12B90" w14:textId="1D7A54CA" w:rsidR="00C96260" w:rsidRDefault="00C96260" w:rsidP="00FC1F5F">
      <w:pPr>
        <w:pStyle w:val="JUDGMENTNUMBERED"/>
        <w:ind w:left="0" w:firstLine="0"/>
      </w:pPr>
      <w:r w:rsidRPr="006D41D9">
        <w:t xml:space="preserve">The </w:t>
      </w:r>
      <w:r>
        <w:t xml:space="preserve">concept of </w:t>
      </w:r>
      <w:r w:rsidRPr="006D41D9">
        <w:t xml:space="preserve">legitimate expectation </w:t>
      </w:r>
      <w:r>
        <w:t xml:space="preserve">finds its origins in administrative law.  In </w:t>
      </w:r>
      <w:r w:rsidRPr="00E334D9">
        <w:rPr>
          <w:i/>
        </w:rPr>
        <w:t>Traub</w:t>
      </w:r>
      <w:r w:rsidR="003A44A2">
        <w:rPr>
          <w:i/>
        </w:rPr>
        <w:t>,</w:t>
      </w:r>
      <w:r w:rsidRPr="00E334D9">
        <w:rPr>
          <w:i/>
        </w:rPr>
        <w:t xml:space="preserve"> </w:t>
      </w:r>
      <w:r>
        <w:t xml:space="preserve">the </w:t>
      </w:r>
      <w:r w:rsidR="006368DA">
        <w:t>then Appellate Division</w:t>
      </w:r>
      <w:r>
        <w:t xml:space="preserve"> cited with approval the following passage from </w:t>
      </w:r>
      <w:r w:rsidR="003A44A2">
        <w:t>a</w:t>
      </w:r>
      <w:r w:rsidR="00EC37D8">
        <w:t xml:space="preserve"> judgment of an</w:t>
      </w:r>
      <w:r w:rsidR="003A44A2">
        <w:t xml:space="preserve"> English </w:t>
      </w:r>
      <w:r w:rsidR="00EC37D8">
        <w:t>Court</w:t>
      </w:r>
      <w:r>
        <w:t>:</w:t>
      </w:r>
      <w:r w:rsidR="00557F9A">
        <w:rPr>
          <w:rStyle w:val="FootnoteReference"/>
        </w:rPr>
        <w:footnoteReference w:id="26"/>
      </w:r>
    </w:p>
    <w:p w14:paraId="0B81388A" w14:textId="77777777" w:rsidR="00C96260" w:rsidRDefault="00C96260" w:rsidP="00C96260">
      <w:pPr>
        <w:pStyle w:val="QUOTATION"/>
      </w:pPr>
    </w:p>
    <w:p w14:paraId="7762B81B" w14:textId="2A4689CC" w:rsidR="00C96260" w:rsidRDefault="00C96260" w:rsidP="00C96260">
      <w:pPr>
        <w:pStyle w:val="QUOTATION"/>
      </w:pPr>
      <w:r>
        <w:t xml:space="preserve">“But even where a person claiming some benefit or privilege has no legal right to it, as a matter of private law, he may have a legitimate expectation of receiving the benefit or privilege, and, if so, the courts will protect his expectation by judicial review as a matter of public law. </w:t>
      </w:r>
      <w:r w:rsidR="008F1A67">
        <w:t xml:space="preserve"> </w:t>
      </w:r>
      <w:r>
        <w:t>Legitimate, or reasonable, expectation may arise either from an express promise given on behalf of a public authority or from the existence of a regular practice which the claimant can reasonably expect to continue.”</w:t>
      </w:r>
      <w:r>
        <w:rPr>
          <w:rStyle w:val="FootnoteReference"/>
        </w:rPr>
        <w:footnoteReference w:id="27"/>
      </w:r>
    </w:p>
    <w:p w14:paraId="213DE9EF" w14:textId="77777777" w:rsidR="00C96260" w:rsidRPr="00C96260" w:rsidRDefault="00C96260" w:rsidP="00C96260">
      <w:pPr>
        <w:pStyle w:val="JUDGMENTCONTINUED"/>
      </w:pPr>
    </w:p>
    <w:p w14:paraId="5F442EB1" w14:textId="7913809A" w:rsidR="00E334D9" w:rsidRDefault="00E334D9" w:rsidP="00FC1F5F">
      <w:pPr>
        <w:pStyle w:val="JUDGMENTNUMBERED"/>
        <w:ind w:left="0" w:firstLine="0"/>
      </w:pPr>
      <w:r>
        <w:lastRenderedPageBreak/>
        <w:t xml:space="preserve">The </w:t>
      </w:r>
      <w:r w:rsidR="00763D22">
        <w:t xml:space="preserve">Full </w:t>
      </w:r>
      <w:r>
        <w:t>Court correctly distinguished the creature of legitimate expectation</w:t>
      </w:r>
      <w:r w:rsidR="00A66C71">
        <w:t>s</w:t>
      </w:r>
      <w:r>
        <w:t xml:space="preserve"> known to administrative law from the </w:t>
      </w:r>
      <w:r w:rsidR="00D26FDF">
        <w:t xml:space="preserve">phrase as it is used </w:t>
      </w:r>
      <w:r>
        <w:t xml:space="preserve">in </w:t>
      </w:r>
      <w:r>
        <w:rPr>
          <w:i/>
        </w:rPr>
        <w:t>Camps Bay</w:t>
      </w:r>
      <w:r>
        <w:t xml:space="preserve">. </w:t>
      </w:r>
      <w:r w:rsidR="008228B5">
        <w:t xml:space="preserve"> </w:t>
      </w:r>
      <w:r>
        <w:t xml:space="preserve">The </w:t>
      </w:r>
      <w:r w:rsidR="008228B5">
        <w:t>Full</w:t>
      </w:r>
      <w:r w:rsidR="00FF0A08">
        <w:t> </w:t>
      </w:r>
      <w:r>
        <w:t>Court held:</w:t>
      </w:r>
    </w:p>
    <w:p w14:paraId="55C03755" w14:textId="77777777" w:rsidR="00E334D9" w:rsidRDefault="00E334D9" w:rsidP="00E334D9">
      <w:pPr>
        <w:pStyle w:val="JUDGMENTCONTINUED"/>
      </w:pPr>
    </w:p>
    <w:p w14:paraId="4A179B75" w14:textId="77777777" w:rsidR="00E334D9" w:rsidRDefault="00E334D9" w:rsidP="00E334D9">
      <w:pPr>
        <w:pStyle w:val="QUOTATION"/>
      </w:pPr>
      <w:r>
        <w:t xml:space="preserve">“The reference to ‘legitimate expectations’ in </w:t>
      </w:r>
      <w:r w:rsidRPr="00D26FDF">
        <w:rPr>
          <w:i/>
        </w:rPr>
        <w:t>Camps Bay Ratepayers</w:t>
      </w:r>
      <w:r>
        <w:t xml:space="preserve"> is therefore to be understood as a reference to the hypothetical range of future possibilities which the parties to a notional sale would, as a legal construct, be considered to have had in the forefront of their minds, at the time, and is not to be confused with the concept of a ‘legitimate expectation’ as it has been established in law, in order to protect a party, by way of a procedural remedy, from the adverse consequences of a decision being taken by another without a prior opportunity to be heard.”</w:t>
      </w:r>
      <w:r>
        <w:rPr>
          <w:rStyle w:val="FootnoteReference"/>
        </w:rPr>
        <w:footnoteReference w:id="28"/>
      </w:r>
    </w:p>
    <w:p w14:paraId="06B3C0B5" w14:textId="77777777" w:rsidR="00E334D9" w:rsidRDefault="00E334D9" w:rsidP="00E334D9">
      <w:pPr>
        <w:pStyle w:val="JUDGMENTCONTINUED"/>
      </w:pPr>
    </w:p>
    <w:p w14:paraId="38F49421" w14:textId="4734B024" w:rsidR="00515441" w:rsidRDefault="00D26FDF" w:rsidP="00FC1F5F">
      <w:pPr>
        <w:pStyle w:val="JUDGMENTNUMBERED"/>
        <w:ind w:left="0" w:firstLine="0"/>
      </w:pPr>
      <w:r>
        <w:t>The language of legitimate expectation</w:t>
      </w:r>
      <w:r w:rsidR="00411AA1">
        <w:t>s</w:t>
      </w:r>
      <w:r>
        <w:t xml:space="preserve"> in the context of derogation from value does not refer to an independent right held on behalf of a neighbour to have their opinion heard by the decision maker. </w:t>
      </w:r>
      <w:r w:rsidR="00CB35E7">
        <w:t xml:space="preserve"> </w:t>
      </w:r>
      <w:r>
        <w:t xml:space="preserve">The phrase refers to </w:t>
      </w:r>
      <w:r w:rsidR="00EC1D1F">
        <w:t xml:space="preserve">an objective factual inquiry into the </w:t>
      </w:r>
      <w:r>
        <w:t xml:space="preserve">legitimate expectations of a party to a hypothetical sale of a neighbouring property. </w:t>
      </w:r>
      <w:r w:rsidR="00AA361E">
        <w:t xml:space="preserve"> </w:t>
      </w:r>
      <w:r w:rsidR="00515441">
        <w:t>In the context of derogation in value, the decision maker must be positively satisfied that a hypothetical purchaser of a neighbouri</w:t>
      </w:r>
      <w:r w:rsidR="00411AA1">
        <w:t xml:space="preserve">ng property would not harbour </w:t>
      </w:r>
      <w:r w:rsidR="00515441">
        <w:t>legitimate expectation</w:t>
      </w:r>
      <w:r w:rsidR="00411AA1">
        <w:t>s</w:t>
      </w:r>
      <w:r w:rsidR="00515441">
        <w:t xml:space="preserve"> that the proposed development application would be denied because it was so unattractive or intrusive.</w:t>
      </w:r>
      <w:r w:rsidR="00515441">
        <w:rPr>
          <w:rStyle w:val="FootnoteReference"/>
        </w:rPr>
        <w:footnoteReference w:id="29"/>
      </w:r>
    </w:p>
    <w:p w14:paraId="19E38E8E" w14:textId="77777777" w:rsidR="00947013" w:rsidRDefault="00947013" w:rsidP="00947013">
      <w:pPr>
        <w:pStyle w:val="JUDGMENTCONTINUED"/>
      </w:pPr>
    </w:p>
    <w:p w14:paraId="49E0ABE3" w14:textId="77777777" w:rsidR="00851B43" w:rsidRPr="00851B43" w:rsidRDefault="0014199F" w:rsidP="00FC1F5F">
      <w:pPr>
        <w:pStyle w:val="JUDGMENTNUMBERED"/>
        <w:ind w:left="0" w:firstLine="0"/>
      </w:pPr>
      <w:r>
        <w:t xml:space="preserve">The purpose of the Act colours the way in which the constitutional requirements of reasonableness, lawfulness and procedural fairness apply to administrative action taken under the Act.  </w:t>
      </w:r>
      <w:r w:rsidR="00515441">
        <w:t xml:space="preserve">It was held in </w:t>
      </w:r>
      <w:r w:rsidR="00515441" w:rsidRPr="00316200">
        <w:rPr>
          <w:i/>
        </w:rPr>
        <w:t>Odendaal</w:t>
      </w:r>
      <w:bookmarkStart w:id="4" w:name="_Ref1402569"/>
      <w:r w:rsidR="00763D22">
        <w:rPr>
          <w:rStyle w:val="FootnoteReference"/>
        </w:rPr>
        <w:footnoteReference w:id="30"/>
      </w:r>
      <w:bookmarkEnd w:id="4"/>
      <w:r w:rsidR="00515441">
        <w:t xml:space="preserve"> </w:t>
      </w:r>
      <w:r w:rsidR="00763D22">
        <w:t xml:space="preserve">and quoted with </w:t>
      </w:r>
      <w:r w:rsidR="00763D22" w:rsidRPr="00BC1BB4">
        <w:t>approval</w:t>
      </w:r>
      <w:r w:rsidR="00C54BDC" w:rsidRPr="00BC1BB4">
        <w:t xml:space="preserve"> </w:t>
      </w:r>
      <w:r w:rsidR="00C54BDC" w:rsidRPr="000A26A7">
        <w:t>by the minority</w:t>
      </w:r>
      <w:r w:rsidR="00763D22" w:rsidRPr="000A26A7">
        <w:t xml:space="preserve"> </w:t>
      </w:r>
      <w:r w:rsidR="00763D22" w:rsidRPr="00BC1BB4">
        <w:t>in</w:t>
      </w:r>
      <w:r w:rsidR="00763D22">
        <w:t xml:space="preserve"> </w:t>
      </w:r>
      <w:r w:rsidR="00763D22">
        <w:rPr>
          <w:i/>
        </w:rPr>
        <w:t xml:space="preserve">Walele </w:t>
      </w:r>
      <w:r w:rsidR="00515441">
        <w:t>that the purpose of the Act is to ensure the harmonious, safe and efficient development of urban areas.</w:t>
      </w:r>
      <w:r w:rsidR="006D62F2" w:rsidRPr="00643B9F">
        <w:rPr>
          <w:rStyle w:val="FootnoteReference"/>
        </w:rPr>
        <w:footnoteReference w:id="31"/>
      </w:r>
      <w:r w:rsidR="00515441">
        <w:t xml:space="preserve"> </w:t>
      </w:r>
      <w:r w:rsidR="00C83618">
        <w:t xml:space="preserve"> </w:t>
      </w:r>
      <w:r w:rsidR="00316200">
        <w:t xml:space="preserve">Local authorities must exercise powers conferred </w:t>
      </w:r>
      <w:r w:rsidR="00AA361E">
        <w:t>on</w:t>
      </w:r>
      <w:r w:rsidR="00316200">
        <w:t xml:space="preserve"> them under the Act in pursuit of that purpose.</w:t>
      </w:r>
      <w:r w:rsidR="00316200">
        <w:rPr>
          <w:rStyle w:val="FootnoteReference"/>
        </w:rPr>
        <w:footnoteReference w:id="32"/>
      </w:r>
      <w:r w:rsidR="00316200">
        <w:t xml:space="preserve">  They</w:t>
      </w:r>
      <w:r w:rsidR="00515441">
        <w:t xml:space="preserve"> are the caretakers </w:t>
      </w:r>
      <w:r w:rsidR="00515441">
        <w:lastRenderedPageBreak/>
        <w:t xml:space="preserve">of the community interest in relation to building </w:t>
      </w:r>
      <w:r w:rsidR="00316200">
        <w:t>applications</w:t>
      </w:r>
      <w:r w:rsidR="00515441">
        <w:t>.</w:t>
      </w:r>
      <w:r w:rsidR="00515441">
        <w:rPr>
          <w:rStyle w:val="FootnoteReference"/>
        </w:rPr>
        <w:footnoteReference w:id="33"/>
      </w:r>
      <w:r w:rsidR="00947013">
        <w:t xml:space="preserve"> </w:t>
      </w:r>
      <w:r w:rsidR="00515441">
        <w:t xml:space="preserve"> This </w:t>
      </w:r>
      <w:r w:rsidR="00316200">
        <w:t>impels</w:t>
      </w:r>
      <w:r w:rsidR="00515441">
        <w:t xml:space="preserve"> </w:t>
      </w:r>
      <w:r w:rsidR="00316200">
        <w:t>them</w:t>
      </w:r>
      <w:r w:rsidR="00515441">
        <w:t xml:space="preserve"> to consider </w:t>
      </w:r>
      <w:r w:rsidR="00316200">
        <w:t>the impact of a building proposal on the surrounding area and particul</w:t>
      </w:r>
      <w:r w:rsidR="00177A72">
        <w:t xml:space="preserve">arly the </w:t>
      </w:r>
      <w:r w:rsidR="00775431">
        <w:t>neighbours</w:t>
      </w:r>
      <w:r w:rsidR="00177A72">
        <w:t>.</w:t>
      </w:r>
    </w:p>
    <w:p w14:paraId="4B2EF62F" w14:textId="77777777" w:rsidR="00851B43" w:rsidRDefault="00851B43" w:rsidP="00851B43">
      <w:pPr>
        <w:pStyle w:val="JUDGMENTCONTINUED"/>
      </w:pPr>
    </w:p>
    <w:p w14:paraId="63A7574B" w14:textId="77777777" w:rsidR="00387086" w:rsidRPr="00387086" w:rsidRDefault="002C0746" w:rsidP="00FC1F5F">
      <w:pPr>
        <w:pStyle w:val="JUDGMENTNUMBERED"/>
        <w:ind w:left="0" w:firstLine="0"/>
      </w:pPr>
      <w:r w:rsidRPr="00851B43">
        <w:t>When</w:t>
      </w:r>
      <w:r>
        <w:t xml:space="preserve"> applied to each of the disqualifying factors</w:t>
      </w:r>
      <w:r w:rsidR="0014199F">
        <w:t xml:space="preserve"> in section 7(1)(b)(ii)(aa)</w:t>
      </w:r>
      <w:r>
        <w:t>, t</w:t>
      </w:r>
      <w:r w:rsidR="00DA3694">
        <w:t>he legitimate expectation</w:t>
      </w:r>
      <w:r w:rsidR="00411AA1">
        <w:t>s</w:t>
      </w:r>
      <w:r w:rsidR="00DA3694">
        <w:t xml:space="preserve"> test </w:t>
      </w:r>
      <w:r w:rsidR="00316200">
        <w:t>is an accurate translation of the duties of local authorities under the Act</w:t>
      </w:r>
      <w:r w:rsidR="0014199F">
        <w:t xml:space="preserve"> and the Constitution</w:t>
      </w:r>
      <w:r w:rsidR="00316200" w:rsidRPr="00C66678">
        <w:t>.</w:t>
      </w:r>
      <w:r w:rsidR="00947013" w:rsidRPr="00C66678">
        <w:t xml:space="preserve"> </w:t>
      </w:r>
      <w:r w:rsidR="00316200" w:rsidRPr="00C66678">
        <w:t xml:space="preserve"> I</w:t>
      </w:r>
      <w:r w:rsidR="00DA3694" w:rsidRPr="00C66678">
        <w:t xml:space="preserve">t requires the decision maker to </w:t>
      </w:r>
      <w:r w:rsidR="008228B5" w:rsidRPr="00C66678">
        <w:t>consider</w:t>
      </w:r>
      <w:r w:rsidR="00DA3694" w:rsidRPr="00C66678">
        <w:t xml:space="preserve"> the impact of the proposed development on neighbouring properties, from the perspective of </w:t>
      </w:r>
      <w:r w:rsidR="00775431" w:rsidRPr="00C66678">
        <w:t>a hypothetical</w:t>
      </w:r>
      <w:r w:rsidR="00DA3694" w:rsidRPr="00C66678">
        <w:t xml:space="preserve"> neighbour</w:t>
      </w:r>
      <w:r w:rsidR="00775431" w:rsidRPr="00C66678">
        <w:t xml:space="preserve">.  </w:t>
      </w:r>
      <w:r w:rsidR="0014199F" w:rsidRPr="00C66678">
        <w:t xml:space="preserve">This infuses </w:t>
      </w:r>
      <w:r w:rsidR="0014199F">
        <w:t xml:space="preserve">the exercise of the discretionary power under section 7(1)(b)(ii)(aa) with the constitutionally mandated requirements of reasonableness, lawfulness and procedural fairness, informed by the contextual approach mandated by the Act.  </w:t>
      </w:r>
      <w:r w:rsidR="00775431">
        <w:t>The test is consistent with the object</w:t>
      </w:r>
      <w:r w:rsidR="008228B5">
        <w:t>s</w:t>
      </w:r>
      <w:r w:rsidR="00775431">
        <w:t xml:space="preserve"> of the Act</w:t>
      </w:r>
      <w:r w:rsidR="0014199F">
        <w:t xml:space="preserve"> and the constitutional requirement of just administrative action</w:t>
      </w:r>
      <w:r w:rsidR="00775431">
        <w:t>.</w:t>
      </w:r>
    </w:p>
    <w:p w14:paraId="25CCB981" w14:textId="77777777" w:rsidR="00EE3159" w:rsidRDefault="00EE3159" w:rsidP="00EE3159">
      <w:pPr>
        <w:pStyle w:val="JUDGMENTCONTINUED"/>
      </w:pPr>
    </w:p>
    <w:p w14:paraId="39F55ADD" w14:textId="4B56361C" w:rsidR="00DA3694" w:rsidRDefault="00177A72" w:rsidP="00FC1F5F">
      <w:pPr>
        <w:pStyle w:val="JUDGMENTNUMBERED"/>
        <w:ind w:left="0" w:firstLine="0"/>
      </w:pPr>
      <w:r>
        <w:t xml:space="preserve">The </w:t>
      </w:r>
      <w:r w:rsidR="0037094A">
        <w:t xml:space="preserve">Municipality </w:t>
      </w:r>
      <w:r w:rsidR="00763D22">
        <w:t xml:space="preserve">expressed </w:t>
      </w:r>
      <w:r>
        <w:t xml:space="preserve">considerable concern in its submissions </w:t>
      </w:r>
      <w:r w:rsidR="006662AF">
        <w:t>about</w:t>
      </w:r>
      <w:r>
        <w:t xml:space="preserve"> the administrative burden which the legitimate expectation</w:t>
      </w:r>
      <w:r w:rsidR="00411AA1">
        <w:t>s</w:t>
      </w:r>
      <w:r>
        <w:t xml:space="preserve"> test would impose</w:t>
      </w:r>
      <w:r w:rsidR="00763D22">
        <w:t xml:space="preserve"> on it</w:t>
      </w:r>
      <w:r>
        <w:t xml:space="preserve">. </w:t>
      </w:r>
      <w:r w:rsidR="00C83618">
        <w:t xml:space="preserve"> </w:t>
      </w:r>
      <w:r w:rsidR="00763D22">
        <w:t>T</w:t>
      </w:r>
      <w:r>
        <w:t xml:space="preserve">he test </w:t>
      </w:r>
      <w:r w:rsidR="00763D22">
        <w:t xml:space="preserve">does not </w:t>
      </w:r>
      <w:r>
        <w:t>impose</w:t>
      </w:r>
      <w:r w:rsidR="00763D22">
        <w:t xml:space="preserve"> </w:t>
      </w:r>
      <w:r>
        <w:t xml:space="preserve">any additional duty on the </w:t>
      </w:r>
      <w:r w:rsidR="0037094A">
        <w:t xml:space="preserve">Municipality </w:t>
      </w:r>
      <w:r>
        <w:t xml:space="preserve">to consult with the public above and beyond the </w:t>
      </w:r>
      <w:r w:rsidR="00C83618">
        <w:t>existing requirements of the law</w:t>
      </w:r>
      <w:r>
        <w:t xml:space="preserve">. </w:t>
      </w:r>
      <w:r w:rsidR="006662AF">
        <w:t xml:space="preserve"> </w:t>
      </w:r>
      <w:r w:rsidR="00775431">
        <w:t>The legitimate expectation</w:t>
      </w:r>
      <w:r w:rsidR="00411AA1">
        <w:t>s</w:t>
      </w:r>
      <w:r w:rsidR="00775431">
        <w:t xml:space="preserve"> test</w:t>
      </w:r>
      <w:r>
        <w:t xml:space="preserve"> is not a subjective test </w:t>
      </w:r>
      <w:r w:rsidR="00C340DC">
        <w:t>determined by</w:t>
      </w:r>
      <w:r>
        <w:t xml:space="preserve"> the whim of a sensitive neighbour.</w:t>
      </w:r>
      <w:r w:rsidR="00EE3159" w:rsidRPr="00EE3159">
        <w:t xml:space="preserve"> </w:t>
      </w:r>
      <w:r w:rsidR="00F4131F">
        <w:t xml:space="preserve"> </w:t>
      </w:r>
      <w:r w:rsidR="00EE3159">
        <w:t xml:space="preserve">The test is objective </w:t>
      </w:r>
      <w:r w:rsidR="00763D22">
        <w:t xml:space="preserve">and </w:t>
      </w:r>
      <w:r w:rsidR="00EE3159">
        <w:t xml:space="preserve">based on </w:t>
      </w:r>
      <w:r w:rsidR="006662AF">
        <w:t xml:space="preserve">relevant </w:t>
      </w:r>
      <w:r w:rsidR="00EE3159">
        <w:t>facts</w:t>
      </w:r>
      <w:r w:rsidR="006662AF">
        <w:t>, which would</w:t>
      </w:r>
      <w:r w:rsidR="00851B43">
        <w:t>,</w:t>
      </w:r>
      <w:r w:rsidR="006662AF">
        <w:t xml:space="preserve"> in the ordinary course, be placed at the disposal of the decision maker</w:t>
      </w:r>
      <w:r w:rsidR="00EE3159">
        <w:t>.</w:t>
      </w:r>
    </w:p>
    <w:p w14:paraId="14AB9153" w14:textId="77777777" w:rsidR="00387086" w:rsidRDefault="00387086" w:rsidP="00387086">
      <w:pPr>
        <w:pStyle w:val="JUDGMENTCONTINUED"/>
      </w:pPr>
    </w:p>
    <w:p w14:paraId="44BB2363" w14:textId="0FDF97E4" w:rsidR="00624733" w:rsidRPr="00624733" w:rsidRDefault="00387086" w:rsidP="00FC1F5F">
      <w:pPr>
        <w:pStyle w:val="JUDGMENTNUMBERED"/>
        <w:ind w:left="0" w:firstLine="0"/>
      </w:pPr>
      <w:r>
        <w:t>The legitimate expectations test applies to the disqualifying factors in section</w:t>
      </w:r>
      <w:r w:rsidR="007F5A5A">
        <w:t> </w:t>
      </w:r>
      <w:r>
        <w:t>7(1)(b)(ii)</w:t>
      </w:r>
      <w:r w:rsidR="003311EE">
        <w:t>(aa)</w:t>
      </w:r>
      <w:r>
        <w:t>(</w:t>
      </w:r>
      <w:r w:rsidRPr="006D41D9">
        <w:t>aaa)-(</w:t>
      </w:r>
      <w:r w:rsidR="00BF6BF5">
        <w:t>ccc</w:t>
      </w:r>
      <w:r w:rsidRPr="006D41D9">
        <w:t>)</w:t>
      </w:r>
      <w:r>
        <w:t xml:space="preserve">.  </w:t>
      </w:r>
      <w:r w:rsidR="00BF07CE">
        <w:t>In contrast to the disqualifying factor in subsection (ccc), t</w:t>
      </w:r>
      <w:r w:rsidR="00602787">
        <w:t xml:space="preserve">he disqualifying factors in subsections (aaa)-(bbb) </w:t>
      </w:r>
      <w:r w:rsidR="00106826">
        <w:t>make no mention of neighbouring or adjoining properties</w:t>
      </w:r>
      <w:r w:rsidR="00BF07CE">
        <w:t>.</w:t>
      </w:r>
      <w:r w:rsidR="00602787">
        <w:t xml:space="preserve">  </w:t>
      </w:r>
      <w:r w:rsidR="00106826">
        <w:t>Accordingly, we use the phrase “neighbouring property” flexibly and its scope will vary in light of all of the circumstances of the case</w:t>
      </w:r>
      <w:r w:rsidR="00602787">
        <w:t xml:space="preserve">.  </w:t>
      </w:r>
      <w:r>
        <w:t>The decision maker should consider whether the proposed building will probably</w:t>
      </w:r>
      <w:r w:rsidR="00C83618">
        <w:t>,</w:t>
      </w:r>
      <w:r>
        <w:t xml:space="preserve"> or in </w:t>
      </w:r>
      <w:r>
        <w:lastRenderedPageBreak/>
        <w:t xml:space="preserve">fact, be </w:t>
      </w:r>
      <w:r w:rsidRPr="006D41D9">
        <w:t xml:space="preserve">so disfiguring of the area, objectionable or unsightly that it </w:t>
      </w:r>
      <w:r>
        <w:t>would exceed</w:t>
      </w:r>
      <w:r w:rsidRPr="006D41D9">
        <w:t xml:space="preserve"> the legitimate expectations of </w:t>
      </w:r>
      <w:r>
        <w:t>a hypothetical</w:t>
      </w:r>
      <w:r w:rsidRPr="006D41D9">
        <w:t xml:space="preserve"> owner of </w:t>
      </w:r>
      <w:r>
        <w:t>a neighbouring property</w:t>
      </w:r>
      <w:r w:rsidR="00106826">
        <w:t>.</w:t>
      </w:r>
    </w:p>
    <w:p w14:paraId="460BD630" w14:textId="77777777" w:rsidR="00387086" w:rsidRDefault="00387086">
      <w:pPr>
        <w:pStyle w:val="JUDGMENTCONTINUED"/>
      </w:pPr>
    </w:p>
    <w:p w14:paraId="4F24DB1C" w14:textId="77777777" w:rsidR="00387086" w:rsidRPr="00387086" w:rsidRDefault="00387086" w:rsidP="00FC1F5F">
      <w:pPr>
        <w:pStyle w:val="JUDGMENTNUMBERED"/>
        <w:ind w:left="0" w:firstLine="0"/>
      </w:pPr>
      <w:r>
        <w:t xml:space="preserve">The ordinary </w:t>
      </w:r>
      <w:r>
        <w:rPr>
          <w:i/>
        </w:rPr>
        <w:t xml:space="preserve">Walele </w:t>
      </w:r>
      <w:r>
        <w:t>requirements also apply, namely that the decision maker must be positively satisfied as to the existence of the disqualifying factors and that the disqualifying factors must be considered separately from compliance with the other requirements of the Act.</w:t>
      </w:r>
      <w:r>
        <w:rPr>
          <w:rStyle w:val="FootnoteReference"/>
        </w:rPr>
        <w:footnoteReference w:id="34"/>
      </w:r>
    </w:p>
    <w:p w14:paraId="53F69BAF" w14:textId="77777777" w:rsidR="00775431" w:rsidRPr="00775431" w:rsidRDefault="00775431" w:rsidP="00775431">
      <w:pPr>
        <w:pStyle w:val="JUDGMENTCONTINUED"/>
      </w:pPr>
    </w:p>
    <w:p w14:paraId="36BF7299" w14:textId="77777777" w:rsidR="00EE3159" w:rsidRDefault="00EE3159" w:rsidP="00EE3159">
      <w:pPr>
        <w:pStyle w:val="HEADING"/>
      </w:pPr>
      <w:r>
        <w:t>Conclusion</w:t>
      </w:r>
    </w:p>
    <w:p w14:paraId="699C323E" w14:textId="0FD2D1A9" w:rsidR="00763D22" w:rsidRDefault="00EE3159" w:rsidP="00FC1F5F">
      <w:pPr>
        <w:pStyle w:val="JUDGMENTNUMBERED"/>
        <w:ind w:left="0" w:firstLine="0"/>
      </w:pPr>
      <w:r>
        <w:t>For these reasons, the legitimate expectation</w:t>
      </w:r>
      <w:r w:rsidR="00411AA1">
        <w:t>s</w:t>
      </w:r>
      <w:r>
        <w:t xml:space="preserve"> test is the appropriate means through which to establish the existence of the disqualifying factors in section</w:t>
      </w:r>
      <w:r w:rsidR="00F22947">
        <w:t> </w:t>
      </w:r>
      <w:r>
        <w:t>7(1)(b)(ii)</w:t>
      </w:r>
      <w:r w:rsidR="003311EE">
        <w:t>(aa)</w:t>
      </w:r>
      <w:r w:rsidR="00BF6BF5">
        <w:t>(aaa)-(ccc)</w:t>
      </w:r>
      <w:r>
        <w:t xml:space="preserve"> of the Act.</w:t>
      </w:r>
    </w:p>
    <w:p w14:paraId="28406C7C" w14:textId="77777777" w:rsidR="00763D22" w:rsidRPr="00763D22" w:rsidRDefault="00763D22" w:rsidP="00845924">
      <w:pPr>
        <w:pStyle w:val="JUDGMENTCONTINUED"/>
      </w:pPr>
    </w:p>
    <w:p w14:paraId="4A8EA378" w14:textId="635D41C2" w:rsidR="00EE3159" w:rsidRPr="00EE3159" w:rsidRDefault="006D62F2" w:rsidP="00FC1F5F">
      <w:pPr>
        <w:pStyle w:val="JUDGMENTNUMBERED"/>
        <w:ind w:left="0" w:firstLine="0"/>
      </w:pPr>
      <w:r>
        <w:t xml:space="preserve">The appeal is dismissed. </w:t>
      </w:r>
      <w:r w:rsidR="00F22947">
        <w:t xml:space="preserve"> </w:t>
      </w:r>
      <w:r>
        <w:t>T</w:t>
      </w:r>
      <w:r w:rsidR="00763D22">
        <w:t xml:space="preserve">here is no reason why the ordinary rule that </w:t>
      </w:r>
      <w:r w:rsidR="00EE3159">
        <w:t>costs follow the result</w:t>
      </w:r>
      <w:r w:rsidR="00763D22">
        <w:t xml:space="preserve"> should not apply</w:t>
      </w:r>
      <w:r w:rsidR="00EE3159">
        <w:t>.</w:t>
      </w:r>
    </w:p>
    <w:p w14:paraId="7D245CED" w14:textId="25C1ECFB" w:rsidR="00775431" w:rsidRDefault="00775431">
      <w:pPr>
        <w:spacing w:line="240" w:lineRule="auto"/>
        <w:jc w:val="left"/>
        <w:rPr>
          <w:i/>
          <w:highlight w:val="yellow"/>
        </w:rPr>
      </w:pPr>
    </w:p>
    <w:p w14:paraId="770DE5F5" w14:textId="77777777" w:rsidR="00860C4E" w:rsidRPr="00775431" w:rsidRDefault="00860C4E" w:rsidP="00937742">
      <w:pPr>
        <w:pStyle w:val="HEADING"/>
      </w:pPr>
      <w:r w:rsidRPr="00775431">
        <w:t>Order</w:t>
      </w:r>
    </w:p>
    <w:p w14:paraId="6B3BDD90" w14:textId="77777777" w:rsidR="0068798F" w:rsidRDefault="0068798F" w:rsidP="00FC1F5F">
      <w:pPr>
        <w:pStyle w:val="JUDGMENTNUMBERED"/>
        <w:ind w:left="0" w:firstLine="0"/>
      </w:pPr>
      <w:r>
        <w:t>In the result, I make the following order:</w:t>
      </w:r>
    </w:p>
    <w:p w14:paraId="35A7DAE3" w14:textId="77777777" w:rsidR="007C7585" w:rsidRPr="0066349E" w:rsidRDefault="007C7585" w:rsidP="000A26A7">
      <w:pPr>
        <w:pStyle w:val="JUDGMENTCONTINUED"/>
      </w:pPr>
    </w:p>
    <w:p w14:paraId="72AFDD5D" w14:textId="1BAD0F96" w:rsidR="00A63BEB" w:rsidRPr="00A63BEB" w:rsidRDefault="0068798F" w:rsidP="00685DAF">
      <w:pPr>
        <w:pStyle w:val="JUDGMENTCONTINUED"/>
      </w:pPr>
      <w:r>
        <w:t>Under CCT 125/18 (</w:t>
      </w:r>
      <w:r w:rsidRPr="002B22C3">
        <w:rPr>
          <w:i/>
        </w:rPr>
        <w:t xml:space="preserve">Trustees of the Simcha Trust v Da Cruz and </w:t>
      </w:r>
      <w:r w:rsidR="007C7585">
        <w:rPr>
          <w:i/>
        </w:rPr>
        <w:t>O</w:t>
      </w:r>
      <w:r w:rsidRPr="002B22C3">
        <w:rPr>
          <w:i/>
        </w:rPr>
        <w:t>thers</w:t>
      </w:r>
      <w:r>
        <w:t>):</w:t>
      </w:r>
    </w:p>
    <w:p w14:paraId="5FCC22F5" w14:textId="593B9C05" w:rsidR="00685DAF" w:rsidRPr="008E7CC2" w:rsidRDefault="008E7CC2" w:rsidP="000A26A7">
      <w:pPr>
        <w:pStyle w:val="ORDER"/>
      </w:pPr>
      <w:r>
        <w:t>1.</w:t>
      </w:r>
      <w:r w:rsidR="0068798F" w:rsidRPr="008E7CC2">
        <w:tab/>
      </w:r>
      <w:r w:rsidR="00685DAF" w:rsidRPr="008E7CC2">
        <w:t>Leave to appeal is granted.</w:t>
      </w:r>
    </w:p>
    <w:p w14:paraId="3565F9AE" w14:textId="5EDD644D" w:rsidR="0068798F" w:rsidRPr="008E7CC2" w:rsidRDefault="008E7CC2" w:rsidP="000A26A7">
      <w:pPr>
        <w:pStyle w:val="ORDER"/>
      </w:pPr>
      <w:r>
        <w:t>2.</w:t>
      </w:r>
      <w:r w:rsidR="00685DAF" w:rsidRPr="008E7CC2">
        <w:tab/>
      </w:r>
      <w:r w:rsidR="0068798F" w:rsidRPr="008E7CC2">
        <w:t>The appeal is dismissed.</w:t>
      </w:r>
    </w:p>
    <w:p w14:paraId="24285889" w14:textId="6E5DBACE" w:rsidR="0068798F" w:rsidRPr="008E7CC2" w:rsidRDefault="008E7CC2" w:rsidP="000A26A7">
      <w:pPr>
        <w:pStyle w:val="ORDER"/>
      </w:pPr>
      <w:r>
        <w:t>3.</w:t>
      </w:r>
      <w:r w:rsidR="0068798F" w:rsidRPr="008E7CC2">
        <w:tab/>
        <w:t>The applicant must pay the costs of the respondents in this Court, including</w:t>
      </w:r>
      <w:r w:rsidR="007C7585">
        <w:t xml:space="preserve"> where applicable</w:t>
      </w:r>
      <w:r w:rsidR="0068798F" w:rsidRPr="008E7CC2">
        <w:t xml:space="preserve"> the costs of two counsel.</w:t>
      </w:r>
    </w:p>
    <w:p w14:paraId="3AD94ED2" w14:textId="77777777" w:rsidR="0068798F" w:rsidRDefault="0068798F" w:rsidP="0068798F">
      <w:pPr>
        <w:pStyle w:val="List1"/>
        <w:ind w:left="1080" w:firstLine="0"/>
      </w:pPr>
    </w:p>
    <w:p w14:paraId="3DB199F8" w14:textId="1CD47310" w:rsidR="0068798F" w:rsidRPr="00257C86" w:rsidRDefault="0068798F" w:rsidP="0068798F">
      <w:pPr>
        <w:pStyle w:val="JUDGMENTCONTINUED"/>
      </w:pPr>
      <w:r>
        <w:t>Under CCT 128/18 (</w:t>
      </w:r>
      <w:r w:rsidRPr="002B22C3">
        <w:rPr>
          <w:i/>
        </w:rPr>
        <w:t xml:space="preserve">City of Cape Town v Da Cruz and </w:t>
      </w:r>
      <w:r w:rsidR="006919AB">
        <w:rPr>
          <w:i/>
        </w:rPr>
        <w:t>O</w:t>
      </w:r>
      <w:r w:rsidRPr="002B22C3">
        <w:rPr>
          <w:i/>
        </w:rPr>
        <w:t>thers</w:t>
      </w:r>
      <w:r>
        <w:t>):</w:t>
      </w:r>
    </w:p>
    <w:p w14:paraId="616C841A" w14:textId="6BA1481D" w:rsidR="0068798F" w:rsidRDefault="008E7CC2" w:rsidP="000A26A7">
      <w:pPr>
        <w:pStyle w:val="ORDER"/>
      </w:pPr>
      <w:r>
        <w:t>1.</w:t>
      </w:r>
      <w:r>
        <w:tab/>
      </w:r>
      <w:r w:rsidR="0068798F">
        <w:t>The application for condonation is granted</w:t>
      </w:r>
      <w:r w:rsidR="00D30CAD">
        <w:t>.</w:t>
      </w:r>
    </w:p>
    <w:p w14:paraId="1B14BE74" w14:textId="7CDF3DAB" w:rsidR="00A63BEB" w:rsidRPr="00775431" w:rsidRDefault="008E7CC2" w:rsidP="000A26A7">
      <w:pPr>
        <w:pStyle w:val="ORDER"/>
      </w:pPr>
      <w:r>
        <w:t>2.</w:t>
      </w:r>
      <w:r>
        <w:tab/>
      </w:r>
      <w:r w:rsidR="00A63BEB">
        <w:t>Leave to appeal is granted.</w:t>
      </w:r>
    </w:p>
    <w:p w14:paraId="05DB15ED" w14:textId="1B4DD6D0" w:rsidR="0068798F" w:rsidRDefault="008E7CC2" w:rsidP="000A26A7">
      <w:pPr>
        <w:pStyle w:val="ORDER"/>
      </w:pPr>
      <w:r>
        <w:t>3.</w:t>
      </w:r>
      <w:r>
        <w:tab/>
      </w:r>
      <w:r w:rsidR="0068798F" w:rsidRPr="00775431">
        <w:t xml:space="preserve">The appeal </w:t>
      </w:r>
      <w:r w:rsidR="0068798F">
        <w:t>is dismissed.</w:t>
      </w:r>
    </w:p>
    <w:p w14:paraId="40E4D7E6" w14:textId="377A8A0D" w:rsidR="0068798F" w:rsidRPr="00775431" w:rsidRDefault="008E7CC2" w:rsidP="000A26A7">
      <w:pPr>
        <w:pStyle w:val="ORDER"/>
      </w:pPr>
      <w:r>
        <w:lastRenderedPageBreak/>
        <w:t>4.</w:t>
      </w:r>
      <w:r>
        <w:tab/>
      </w:r>
      <w:r w:rsidR="0068798F">
        <w:t>The applicant must pay the costs of the respondents in this Court</w:t>
      </w:r>
      <w:r w:rsidR="004C5332">
        <w:t>, including</w:t>
      </w:r>
      <w:r w:rsidR="00935558">
        <w:t xml:space="preserve"> where applicable</w:t>
      </w:r>
      <w:r w:rsidR="0068798F">
        <w:t xml:space="preserve"> the costs of two counsel.</w:t>
      </w:r>
    </w:p>
    <w:p w14:paraId="263B723D" w14:textId="77777777" w:rsidR="00CE5F9F" w:rsidRDefault="00CE5F9F" w:rsidP="000C38CF">
      <w:pPr>
        <w:pStyle w:val="JUDGMENTCONTINUED"/>
      </w:pPr>
    </w:p>
    <w:p w14:paraId="519A6646" w14:textId="77777777" w:rsidR="00CE5F9F" w:rsidRPr="00CE5F9F" w:rsidRDefault="00CE5F9F" w:rsidP="000C38CF">
      <w:pPr>
        <w:pStyle w:val="JUDGMENTCONTINUED"/>
        <w:sectPr w:rsidR="00CE5F9F" w:rsidRPr="00CE5F9F" w:rsidSect="000F7521">
          <w:headerReference w:type="default" r:id="rId10"/>
          <w:type w:val="continuous"/>
          <w:pgSz w:w="11907" w:h="16839" w:code="9"/>
          <w:pgMar w:top="1440" w:right="1440" w:bottom="1440" w:left="1440" w:header="708" w:footer="708" w:gutter="0"/>
          <w:cols w:space="708"/>
          <w:titlePg/>
          <w:docGrid w:linePitch="360"/>
        </w:sectPr>
      </w:pPr>
    </w:p>
    <w:p w14:paraId="2B527CA6" w14:textId="77777777" w:rsidR="00236F9A" w:rsidRPr="009C3888" w:rsidRDefault="00236F9A" w:rsidP="00860C4E">
      <w:pPr>
        <w:sectPr w:rsidR="00236F9A" w:rsidRPr="009C3888" w:rsidSect="009559B5">
          <w:headerReference w:type="default" r:id="rId11"/>
          <w:footerReference w:type="default" r:id="rId12"/>
          <w:pgSz w:w="11907" w:h="16839" w:code="9"/>
          <w:pgMar w:top="1440" w:right="1440" w:bottom="1440" w:left="1440" w:header="708" w:footer="708" w:gutter="0"/>
          <w:pgNumType w:start="1"/>
          <w:cols w:space="708"/>
          <w:docGrid w:linePitch="360"/>
        </w:sectPr>
      </w:pPr>
    </w:p>
    <w:p w14:paraId="23116C06" w14:textId="77777777" w:rsidR="00D5206E" w:rsidRDefault="00D5206E" w:rsidP="00D5206E">
      <w:pPr>
        <w:pStyle w:val="COUNSELDETAILS"/>
      </w:pPr>
      <w:r w:rsidRPr="009C3888">
        <w:t xml:space="preserve">For the </w:t>
      </w:r>
      <w:r>
        <w:t>Applicant in CCT 125/18 and the Third Respondent in CCT 128/18</w:t>
      </w:r>
      <w:r w:rsidRPr="009C3888">
        <w:t>:</w:t>
      </w:r>
    </w:p>
    <w:p w14:paraId="6E69F785" w14:textId="77777777" w:rsidR="00D5206E" w:rsidRPr="009C3888" w:rsidRDefault="00D5206E" w:rsidP="00D5206E">
      <w:pPr>
        <w:pStyle w:val="COUNSELDETAILS"/>
      </w:pPr>
    </w:p>
    <w:p w14:paraId="7249A53F" w14:textId="77777777" w:rsidR="00D5206E" w:rsidRDefault="00D5206E" w:rsidP="00D5206E">
      <w:pPr>
        <w:pStyle w:val="COUNSELDETAILS"/>
      </w:pPr>
    </w:p>
    <w:p w14:paraId="0E554C83" w14:textId="4706088F" w:rsidR="00D5206E" w:rsidRPr="009C3888" w:rsidRDefault="00D5206E" w:rsidP="00D5206E">
      <w:pPr>
        <w:pStyle w:val="COUNSELDETAILS"/>
      </w:pPr>
      <w:r w:rsidRPr="009C3888">
        <w:t xml:space="preserve">For the </w:t>
      </w:r>
      <w:r w:rsidR="001D6B86">
        <w:t>Third Respondent in CCT 125/18 and the Applicant in CCT </w:t>
      </w:r>
      <w:r>
        <w:t>128/18</w:t>
      </w:r>
      <w:r w:rsidRPr="009C3888">
        <w:t>:</w:t>
      </w:r>
    </w:p>
    <w:p w14:paraId="79650358" w14:textId="77777777" w:rsidR="00D5206E" w:rsidRDefault="00D5206E" w:rsidP="00D5206E">
      <w:pPr>
        <w:pStyle w:val="COUNSELDETAILS"/>
      </w:pPr>
    </w:p>
    <w:p w14:paraId="4FBEAF67" w14:textId="77777777" w:rsidR="00BC1BB4" w:rsidRPr="009C3888" w:rsidRDefault="00BC1BB4" w:rsidP="00D5206E">
      <w:pPr>
        <w:pStyle w:val="COUNSELDETAILS"/>
      </w:pPr>
    </w:p>
    <w:p w14:paraId="333E4B4B" w14:textId="77777777" w:rsidR="00D5206E" w:rsidRPr="009C3888" w:rsidRDefault="00D5206E" w:rsidP="00D5206E">
      <w:pPr>
        <w:pStyle w:val="COUNSELDETAILS"/>
      </w:pPr>
      <w:r w:rsidRPr="009C3888">
        <w:t xml:space="preserve">For </w:t>
      </w:r>
      <w:r>
        <w:t>the First and Second Respondents in both CCT 125/18 and CCT 128/18</w:t>
      </w:r>
      <w:r w:rsidRPr="009C3888">
        <w:t>:</w:t>
      </w:r>
    </w:p>
    <w:p w14:paraId="49350E8B" w14:textId="77777777" w:rsidR="00D5206E" w:rsidRPr="009C3888" w:rsidRDefault="00D5206E" w:rsidP="00D5206E">
      <w:pPr>
        <w:pStyle w:val="COUNSELDETAILS"/>
      </w:pPr>
    </w:p>
    <w:p w14:paraId="137BC310" w14:textId="3BA55D78" w:rsidR="00D5206E" w:rsidRDefault="00D5206E" w:rsidP="00D5206E">
      <w:pPr>
        <w:pStyle w:val="COUNSELDETAILS"/>
      </w:pPr>
      <w:r w:rsidRPr="009C3888">
        <w:br w:type="column"/>
      </w:r>
      <w:r>
        <w:rPr>
          <w:lang w:val="en-GB"/>
        </w:rPr>
        <w:t>G</w:t>
      </w:r>
      <w:r w:rsidRPr="008C3BC3">
        <w:rPr>
          <w:lang w:val="en-GB"/>
        </w:rPr>
        <w:t xml:space="preserve"> Budlender SC</w:t>
      </w:r>
      <w:r>
        <w:rPr>
          <w:lang w:val="en-GB"/>
        </w:rPr>
        <w:t xml:space="preserve"> </w:t>
      </w:r>
      <w:r w:rsidR="006E02B6">
        <w:rPr>
          <w:lang w:val="en-GB"/>
        </w:rPr>
        <w:t xml:space="preserve">and </w:t>
      </w:r>
      <w:r>
        <w:rPr>
          <w:lang w:val="en-GB"/>
        </w:rPr>
        <w:t>J</w:t>
      </w:r>
      <w:r w:rsidRPr="008C3BC3">
        <w:rPr>
          <w:lang w:val="en-GB"/>
        </w:rPr>
        <w:t xml:space="preserve"> de Waal SC</w:t>
      </w:r>
      <w:r>
        <w:rPr>
          <w:lang w:val="en-GB"/>
        </w:rPr>
        <w:t xml:space="preserve"> instructed by </w:t>
      </w:r>
      <w:r>
        <w:t>BDP Attorneys</w:t>
      </w:r>
    </w:p>
    <w:p w14:paraId="0DF70B1E" w14:textId="77777777" w:rsidR="00D5206E" w:rsidRDefault="00D5206E" w:rsidP="00D5206E">
      <w:pPr>
        <w:pStyle w:val="COUNSELDETAILS"/>
      </w:pPr>
    </w:p>
    <w:p w14:paraId="28A4C392" w14:textId="77777777" w:rsidR="00D5206E" w:rsidRDefault="00D5206E" w:rsidP="00D5206E">
      <w:pPr>
        <w:pStyle w:val="COUNSELDETAILS"/>
      </w:pPr>
    </w:p>
    <w:p w14:paraId="59722A41" w14:textId="34A919E5" w:rsidR="00D5206E" w:rsidRPr="009C3888" w:rsidRDefault="00D5206E" w:rsidP="00D5206E">
      <w:pPr>
        <w:pStyle w:val="COUNSELDETAILS"/>
      </w:pPr>
      <w:r>
        <w:t xml:space="preserve">S P Rosenberg SC and E F van Huyssteen instructed by Webber </w:t>
      </w:r>
      <w:r w:rsidR="00467A91">
        <w:t>Wentzel</w:t>
      </w:r>
    </w:p>
    <w:p w14:paraId="0BCBEDD6" w14:textId="77777777" w:rsidR="00D5206E" w:rsidRDefault="00D5206E" w:rsidP="00D5206E">
      <w:pPr>
        <w:pStyle w:val="COUNSELDETAILS"/>
      </w:pPr>
    </w:p>
    <w:p w14:paraId="2A7D6BFE" w14:textId="77777777" w:rsidR="00D5206E" w:rsidRDefault="00D5206E" w:rsidP="00D5206E">
      <w:pPr>
        <w:pStyle w:val="COUNSELDETAILS"/>
        <w:rPr>
          <w:lang w:val="en-GB"/>
        </w:rPr>
      </w:pPr>
    </w:p>
    <w:p w14:paraId="296FE5A3" w14:textId="3C5D0F19" w:rsidR="00D5206E" w:rsidRPr="008C3BC3" w:rsidRDefault="00D5206E" w:rsidP="00D5206E">
      <w:pPr>
        <w:pStyle w:val="COUNSELDETAILS"/>
      </w:pPr>
      <w:r>
        <w:rPr>
          <w:lang w:val="en-GB"/>
        </w:rPr>
        <w:t>D W</w:t>
      </w:r>
      <w:r w:rsidRPr="008C3BC3">
        <w:rPr>
          <w:lang w:val="en-GB"/>
        </w:rPr>
        <w:t xml:space="preserve"> Baguley instructed by </w:t>
      </w:r>
      <w:r w:rsidR="001D6B86">
        <w:t>Slabbert </w:t>
      </w:r>
      <w:r w:rsidRPr="008C3BC3">
        <w:t>Venter Yanoutsos Inc</w:t>
      </w:r>
    </w:p>
    <w:p w14:paraId="44C96F36" w14:textId="77777777" w:rsidR="00D5206E" w:rsidRPr="009C3888" w:rsidRDefault="00D5206E" w:rsidP="00D5206E">
      <w:pPr>
        <w:pStyle w:val="COUNSELDETAILS"/>
      </w:pPr>
    </w:p>
    <w:p w14:paraId="7EBC5204" w14:textId="77777777" w:rsidR="00D5206E" w:rsidRPr="009C3888" w:rsidRDefault="00D5206E" w:rsidP="00D5206E">
      <w:pPr>
        <w:pStyle w:val="COUNSELDETAILS"/>
      </w:pPr>
    </w:p>
    <w:p w14:paraId="1160E7B7" w14:textId="77777777" w:rsidR="00860C4E" w:rsidRPr="009C3888" w:rsidRDefault="00860C4E" w:rsidP="00CC158D">
      <w:pPr>
        <w:pStyle w:val="COUNSELDETAILS"/>
      </w:pPr>
    </w:p>
    <w:sectPr w:rsidR="00860C4E" w:rsidRPr="009C3888" w:rsidSect="009559B5">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893DB8" w14:textId="77777777" w:rsidR="00285673" w:rsidRDefault="00285673" w:rsidP="00E4607C">
      <w:pPr>
        <w:spacing w:line="240" w:lineRule="auto"/>
      </w:pPr>
      <w:r>
        <w:separator/>
      </w:r>
    </w:p>
  </w:endnote>
  <w:endnote w:type="continuationSeparator" w:id="0">
    <w:p w14:paraId="43B1D0EB" w14:textId="77777777" w:rsidR="00285673" w:rsidRDefault="00285673"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B6B6438" w14:textId="77777777" w:rsidR="00285673" w:rsidRDefault="00285673" w:rsidP="0087217E">
    <w:pPr>
      <w:pStyle w:val="Footer"/>
      <w:jc w:val="center"/>
    </w:pPr>
    <w:r>
      <w:fldChar w:fldCharType="begin"/>
    </w:r>
    <w:r>
      <w:instrText xml:space="preserve"> PAGE   \* MERGEFORMAT </w:instrText>
    </w:r>
    <w:r>
      <w:fldChar w:fldCharType="separate"/>
    </w:r>
    <w:r w:rsidR="00E85920">
      <w:rPr>
        <w:noProof/>
      </w:rPr>
      <w:t>15</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FDF9B" w14:textId="77777777" w:rsidR="00285673" w:rsidRDefault="00285673"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221716" w14:textId="77777777" w:rsidR="00285673" w:rsidRDefault="00285673" w:rsidP="00E4607C">
      <w:pPr>
        <w:spacing w:line="240" w:lineRule="auto"/>
      </w:pPr>
      <w:r>
        <w:separator/>
      </w:r>
    </w:p>
  </w:footnote>
  <w:footnote w:type="continuationSeparator" w:id="0">
    <w:p w14:paraId="5E26F06F" w14:textId="77777777" w:rsidR="00285673" w:rsidRDefault="00285673" w:rsidP="00E4607C">
      <w:pPr>
        <w:spacing w:line="240" w:lineRule="auto"/>
      </w:pPr>
      <w:r>
        <w:continuationSeparator/>
      </w:r>
    </w:p>
  </w:footnote>
  <w:footnote w:id="1">
    <w:p w14:paraId="67193C15" w14:textId="77777777" w:rsidR="00285673" w:rsidRDefault="00285673">
      <w:pPr>
        <w:pStyle w:val="FootnoteText"/>
      </w:pPr>
      <w:r>
        <w:rPr>
          <w:rStyle w:val="FootnoteReference"/>
        </w:rPr>
        <w:footnoteRef/>
      </w:r>
      <w:r>
        <w:t xml:space="preserve"> </w:t>
      </w:r>
      <w:r w:rsidRPr="00AD5474">
        <w:t>103 of 1977</w:t>
      </w:r>
      <w:r>
        <w:t>.</w:t>
      </w:r>
    </w:p>
  </w:footnote>
  <w:footnote w:id="2">
    <w:p w14:paraId="4E22D74E" w14:textId="5A9D0228" w:rsidR="00285673" w:rsidRDefault="00285673">
      <w:pPr>
        <w:pStyle w:val="FootnoteText"/>
      </w:pPr>
      <w:r>
        <w:rPr>
          <w:rStyle w:val="FootnoteReference"/>
        </w:rPr>
        <w:footnoteRef/>
      </w:r>
      <w:r>
        <w:t xml:space="preserve"> In terms of Section 7(1)(b)(ii)(aa) of the Act, a local authority must refuse to approve an application if the local authority</w:t>
      </w:r>
      <w:r w:rsidR="00CD4E1B">
        <w:t>—</w:t>
      </w:r>
    </w:p>
    <w:p w14:paraId="29AAB7D5" w14:textId="6C3BF8D6" w:rsidR="00285673" w:rsidRDefault="00285673" w:rsidP="000A26A7">
      <w:pPr>
        <w:pStyle w:val="QUOTEINFOOTNOTE"/>
      </w:pPr>
      <w:r>
        <w:t>“is satisfied that the building to which the application in question relates</w:t>
      </w:r>
      <w:r w:rsidR="00CD4E1B">
        <w:t>—</w:t>
      </w:r>
    </w:p>
    <w:p w14:paraId="155B40D2" w14:textId="724731A0" w:rsidR="00285673" w:rsidRDefault="00285673" w:rsidP="000A26A7">
      <w:pPr>
        <w:pStyle w:val="QUOTEINFOOTNOTE"/>
        <w:ind w:left="1440" w:hanging="720"/>
      </w:pPr>
      <w:r>
        <w:t>(aa)</w:t>
      </w:r>
      <w:r w:rsidR="00CD4E1B">
        <w:tab/>
      </w:r>
      <w:r>
        <w:t>is to be erected in such manner or will be of such nature or appearance that</w:t>
      </w:r>
      <w:r w:rsidR="004B4D26">
        <w:t>—</w:t>
      </w:r>
    </w:p>
    <w:p w14:paraId="68D274FB" w14:textId="3047AEFA" w:rsidR="00285673" w:rsidRDefault="00285673" w:rsidP="000A26A7">
      <w:pPr>
        <w:pStyle w:val="QUOTEINFOOTNOTE"/>
        <w:ind w:left="2160" w:hanging="720"/>
      </w:pPr>
      <w:r>
        <w:t>(aaa)</w:t>
      </w:r>
      <w:r w:rsidR="00CD4E1B">
        <w:tab/>
      </w:r>
      <w:r>
        <w:t>the area in which it is to be erected will probably or in fact be disfigured thereby;</w:t>
      </w:r>
    </w:p>
    <w:p w14:paraId="6CDE9FF7" w14:textId="49107D5E" w:rsidR="00285673" w:rsidRDefault="00285673" w:rsidP="000A26A7">
      <w:pPr>
        <w:pStyle w:val="QUOTEINFOOTNOTE"/>
        <w:ind w:firstLine="720"/>
      </w:pPr>
      <w:r>
        <w:t>(bbb)</w:t>
      </w:r>
      <w:r w:rsidR="00CD4E1B">
        <w:tab/>
      </w:r>
      <w:r>
        <w:t>it will probably or in fact be unsightly or objectionable;</w:t>
      </w:r>
    </w:p>
    <w:p w14:paraId="33ABBE51" w14:textId="4234C220" w:rsidR="00285673" w:rsidRDefault="00285673" w:rsidP="000A26A7">
      <w:pPr>
        <w:pStyle w:val="QUOTEINFOOTNOTE"/>
        <w:ind w:left="2160" w:hanging="720"/>
      </w:pPr>
      <w:r>
        <w:t>(ccc)</w:t>
      </w:r>
      <w:r w:rsidR="00CD4E1B">
        <w:tab/>
      </w:r>
      <w:r>
        <w:t>it will probably or in fact derogate from the value of adjoining or neighbouring properties</w:t>
      </w:r>
      <w:r w:rsidR="00FD552C">
        <w:t>.</w:t>
      </w:r>
      <w:r>
        <w:t>”</w:t>
      </w:r>
    </w:p>
  </w:footnote>
  <w:footnote w:id="3">
    <w:p w14:paraId="5EB0FF5E" w14:textId="38B7EBEA" w:rsidR="00285673" w:rsidRPr="002B23C6" w:rsidRDefault="00285673" w:rsidP="00AD21EF">
      <w:pPr>
        <w:pStyle w:val="FootnoteText"/>
      </w:pPr>
      <w:r>
        <w:rPr>
          <w:rStyle w:val="FootnoteReference"/>
        </w:rPr>
        <w:footnoteRef/>
      </w:r>
      <w:r>
        <w:t xml:space="preserve"> </w:t>
      </w:r>
      <w:r>
        <w:rPr>
          <w:i/>
        </w:rPr>
        <w:t xml:space="preserve">Camps Bay Ratepayers and Residents Association v Harrison </w:t>
      </w:r>
      <w:r>
        <w:t>[2010] ZACC 19; 2011 (4) SA 42 (CC); 2011 (2) BCLR 121 (CC) (</w:t>
      </w:r>
      <w:r w:rsidRPr="00F31137">
        <w:rPr>
          <w:i/>
        </w:rPr>
        <w:t>Camps Bay</w:t>
      </w:r>
      <w:r w:rsidRPr="003A44A2">
        <w:t>)</w:t>
      </w:r>
      <w:r>
        <w:t xml:space="preserve"> at para 40.</w:t>
      </w:r>
    </w:p>
  </w:footnote>
  <w:footnote w:id="4">
    <w:p w14:paraId="4741A01A" w14:textId="77777777" w:rsidR="00285673" w:rsidRDefault="00285673" w:rsidP="00AD21EF">
      <w:pPr>
        <w:pStyle w:val="FootnoteText"/>
      </w:pPr>
      <w:r>
        <w:rPr>
          <w:rStyle w:val="FootnoteReference"/>
        </w:rPr>
        <w:footnoteRef/>
      </w:r>
      <w:r>
        <w:t xml:space="preserve"> Id.</w:t>
      </w:r>
    </w:p>
  </w:footnote>
  <w:footnote w:id="5">
    <w:p w14:paraId="3BA7CEF3" w14:textId="77777777" w:rsidR="00285673" w:rsidRDefault="00285673">
      <w:pPr>
        <w:pStyle w:val="FootnoteText"/>
      </w:pPr>
      <w:r>
        <w:rPr>
          <w:rStyle w:val="FootnoteReference"/>
        </w:rPr>
        <w:footnoteRef/>
      </w:r>
      <w:r>
        <w:t xml:space="preserve"> </w:t>
      </w:r>
      <w:r w:rsidRPr="00AD5474">
        <w:t>117 of 1998</w:t>
      </w:r>
      <w:r>
        <w:t>.</w:t>
      </w:r>
    </w:p>
  </w:footnote>
  <w:footnote w:id="6">
    <w:p w14:paraId="38FC9607" w14:textId="77777777" w:rsidR="00285673" w:rsidRDefault="00285673">
      <w:pPr>
        <w:pStyle w:val="FootnoteText"/>
      </w:pPr>
      <w:r>
        <w:rPr>
          <w:rStyle w:val="FootnoteReference"/>
        </w:rPr>
        <w:footnoteRef/>
      </w:r>
      <w:r>
        <w:t xml:space="preserve"> 3 </w:t>
      </w:r>
      <w:r w:rsidRPr="00C14E80">
        <w:t>of 2000</w:t>
      </w:r>
      <w:r>
        <w:t>.</w:t>
      </w:r>
    </w:p>
  </w:footnote>
  <w:footnote w:id="7">
    <w:p w14:paraId="4D1453D3" w14:textId="6A0807B2" w:rsidR="00285673" w:rsidRDefault="00285673" w:rsidP="00945DA3">
      <w:pPr>
        <w:pStyle w:val="FootnoteText"/>
      </w:pPr>
      <w:r>
        <w:rPr>
          <w:rStyle w:val="FootnoteReference"/>
        </w:rPr>
        <w:footnoteRef/>
      </w:r>
      <w:r>
        <w:t xml:space="preserve"> The findings of Binns-Ward J are outlined in </w:t>
      </w:r>
      <w:r w:rsidR="00146874">
        <w:rPr>
          <w:i/>
        </w:rPr>
        <w:t xml:space="preserve">Cape Town City v Da Cruz </w:t>
      </w:r>
      <w:r w:rsidR="00146874">
        <w:t xml:space="preserve">2018 (3) SA 462 (WCC) (Full Court </w:t>
      </w:r>
      <w:r w:rsidR="008E6A0E">
        <w:t>j</w:t>
      </w:r>
      <w:r w:rsidR="00146874">
        <w:t xml:space="preserve">udgment) </w:t>
      </w:r>
      <w:r>
        <w:t>at paras 68-9.</w:t>
      </w:r>
    </w:p>
  </w:footnote>
  <w:footnote w:id="8">
    <w:p w14:paraId="1FE091DB" w14:textId="77777777" w:rsidR="00285673" w:rsidRDefault="00285673">
      <w:pPr>
        <w:pStyle w:val="FootnoteText"/>
      </w:pPr>
      <w:r>
        <w:rPr>
          <w:rStyle w:val="FootnoteReference"/>
        </w:rPr>
        <w:footnoteRef/>
      </w:r>
      <w:r>
        <w:t xml:space="preserve"> Id.</w:t>
      </w:r>
    </w:p>
  </w:footnote>
  <w:footnote w:id="9">
    <w:p w14:paraId="05484DFD" w14:textId="77777777" w:rsidR="00285673" w:rsidRDefault="00285673">
      <w:pPr>
        <w:pStyle w:val="FootnoteText"/>
      </w:pPr>
      <w:r>
        <w:rPr>
          <w:rStyle w:val="FootnoteReference"/>
        </w:rPr>
        <w:footnoteRef/>
      </w:r>
      <w:r>
        <w:t xml:space="preserve"> Id at para 74.</w:t>
      </w:r>
    </w:p>
  </w:footnote>
  <w:footnote w:id="10">
    <w:p w14:paraId="41E484B4" w14:textId="2C3ACFD7" w:rsidR="00285673" w:rsidRDefault="00285673">
      <w:pPr>
        <w:pStyle w:val="FootnoteText"/>
      </w:pPr>
      <w:r>
        <w:rPr>
          <w:rStyle w:val="FootnoteReference"/>
        </w:rPr>
        <w:footnoteRef/>
      </w:r>
      <w:r>
        <w:t xml:space="preserve"> </w:t>
      </w:r>
      <w:r w:rsidR="00146874">
        <w:t>Id</w:t>
      </w:r>
      <w:r>
        <w:t xml:space="preserve"> at </w:t>
      </w:r>
      <w:r w:rsidR="005C7498">
        <w:t xml:space="preserve">paras </w:t>
      </w:r>
      <w:r>
        <w:t xml:space="preserve">32, 64 </w:t>
      </w:r>
      <w:r w:rsidR="005C7498">
        <w:t xml:space="preserve">and </w:t>
      </w:r>
      <w:r w:rsidRPr="00643B9F">
        <w:t>71</w:t>
      </w:r>
      <w:r>
        <w:t>.</w:t>
      </w:r>
    </w:p>
  </w:footnote>
  <w:footnote w:id="11">
    <w:p w14:paraId="76C3C428" w14:textId="77777777" w:rsidR="00285673" w:rsidRDefault="00285673">
      <w:pPr>
        <w:pStyle w:val="FootnoteText"/>
      </w:pPr>
      <w:r>
        <w:rPr>
          <w:rStyle w:val="FootnoteReference"/>
        </w:rPr>
        <w:footnoteRef/>
      </w:r>
      <w:r>
        <w:t xml:space="preserve"> Id at para 61.</w:t>
      </w:r>
    </w:p>
  </w:footnote>
  <w:footnote w:id="12">
    <w:p w14:paraId="4F491968" w14:textId="77777777" w:rsidR="00285673" w:rsidRDefault="00285673">
      <w:pPr>
        <w:pStyle w:val="FootnoteText"/>
      </w:pPr>
      <w:r>
        <w:rPr>
          <w:rStyle w:val="FootnoteReference"/>
        </w:rPr>
        <w:footnoteRef/>
      </w:r>
      <w:r>
        <w:t xml:space="preserve"> Id at para 71.</w:t>
      </w:r>
    </w:p>
  </w:footnote>
  <w:footnote w:id="13">
    <w:p w14:paraId="0E113F50" w14:textId="4AE1B600" w:rsidR="00285673" w:rsidRPr="009F4916" w:rsidRDefault="00285673" w:rsidP="00575354">
      <w:pPr>
        <w:pStyle w:val="FootnoteText1"/>
        <w:rPr>
          <w:lang w:val="en-US"/>
        </w:rPr>
      </w:pPr>
      <w:r>
        <w:rPr>
          <w:rStyle w:val="FootnoteReference"/>
        </w:rPr>
        <w:footnoteRef/>
      </w:r>
      <w:r>
        <w:t xml:space="preserve"> </w:t>
      </w:r>
      <w:r>
        <w:rPr>
          <w:lang w:val="en-US"/>
        </w:rPr>
        <w:t xml:space="preserve">Section 167(3)(b)(i) and (6)(b) of the Constitution; </w:t>
      </w:r>
      <w:r w:rsidR="00662101">
        <w:rPr>
          <w:lang w:val="en-US"/>
        </w:rPr>
        <w:t>r</w:t>
      </w:r>
      <w:r>
        <w:rPr>
          <w:lang w:val="en-US"/>
        </w:rPr>
        <w:t xml:space="preserve">ule 19(2) of the Constitutional Court Rules; </w:t>
      </w:r>
      <w:r w:rsidRPr="009F4916">
        <w:rPr>
          <w:i/>
        </w:rPr>
        <w:t>Everfresh Market Virginia (Pty) Ltd v Shoprite Checkers (Pty) Ltd</w:t>
      </w:r>
      <w:r w:rsidRPr="009F4916">
        <w:t xml:space="preserve"> [2011] ZACC 30</w:t>
      </w:r>
      <w:r>
        <w:t>;</w:t>
      </w:r>
      <w:r w:rsidRPr="00FF36B2">
        <w:t xml:space="preserve"> 2012 (1) SA 256 (CC); 2012 (3) BCLR 219 (CC)</w:t>
      </w:r>
      <w:r>
        <w:t xml:space="preserve"> at paras 48-9.</w:t>
      </w:r>
    </w:p>
  </w:footnote>
  <w:footnote w:id="14">
    <w:p w14:paraId="46B69EA1" w14:textId="12A901FE" w:rsidR="00285673" w:rsidRPr="00273DDF" w:rsidRDefault="00285673" w:rsidP="00CC1F1D">
      <w:pPr>
        <w:pStyle w:val="FootnoteText"/>
      </w:pPr>
      <w:r>
        <w:rPr>
          <w:rStyle w:val="FootnoteReference"/>
        </w:rPr>
        <w:footnoteRef/>
      </w:r>
      <w:r>
        <w:t xml:space="preserve"> </w:t>
      </w:r>
      <w:r>
        <w:rPr>
          <w:i/>
        </w:rPr>
        <w:t xml:space="preserve">Giant Concerts CC v Rinaldo Investments (Pty) </w:t>
      </w:r>
      <w:r w:rsidR="00D97397">
        <w:rPr>
          <w:i/>
        </w:rPr>
        <w:t>L</w:t>
      </w:r>
      <w:r w:rsidR="00E75E18">
        <w:rPr>
          <w:i/>
        </w:rPr>
        <w:t>td</w:t>
      </w:r>
      <w:r w:rsidR="00D97397">
        <w:rPr>
          <w:i/>
        </w:rPr>
        <w:t xml:space="preserve"> </w:t>
      </w:r>
      <w:r>
        <w:t xml:space="preserve">[2012] ZACC 28; </w:t>
      </w:r>
      <w:r w:rsidR="007364E8" w:rsidRPr="000A26A7">
        <w:rPr>
          <w:bCs/>
        </w:rPr>
        <w:t>2012 JDR 2298 (</w:t>
      </w:r>
      <w:bookmarkStart w:id="2" w:name="LPHit4"/>
      <w:bookmarkEnd w:id="2"/>
      <w:r w:rsidR="007364E8" w:rsidRPr="007364E8">
        <w:t>CC</w:t>
      </w:r>
      <w:r w:rsidR="007364E8" w:rsidRPr="000A26A7">
        <w:rPr>
          <w:bCs/>
        </w:rPr>
        <w:t>)</w:t>
      </w:r>
      <w:r w:rsidR="007364E8">
        <w:rPr>
          <w:bCs/>
        </w:rPr>
        <w:t>;</w:t>
      </w:r>
      <w:r w:rsidR="007364E8" w:rsidRPr="007364E8">
        <w:t xml:space="preserve"> </w:t>
      </w:r>
      <w:r>
        <w:t>2013 (3) BCLR 251 (CC) at para</w:t>
      </w:r>
      <w:r w:rsidR="007B61D8">
        <w:t> </w:t>
      </w:r>
      <w:r>
        <w:t>2</w:t>
      </w:r>
      <w:r w:rsidR="00DD6A2C">
        <w:t>7</w:t>
      </w:r>
      <w:r>
        <w:t>.</w:t>
      </w:r>
    </w:p>
  </w:footnote>
  <w:footnote w:id="15">
    <w:p w14:paraId="66F053AA" w14:textId="78BE2445" w:rsidR="00285673" w:rsidRDefault="00285673" w:rsidP="00A5063C">
      <w:pPr>
        <w:pStyle w:val="FootnoteText"/>
      </w:pPr>
      <w:r>
        <w:rPr>
          <w:rStyle w:val="FootnoteReference"/>
        </w:rPr>
        <w:footnoteRef/>
      </w:r>
      <w:r>
        <w:t xml:space="preserve"> </w:t>
      </w:r>
      <w:r w:rsidRPr="00AE2761">
        <w:rPr>
          <w:i/>
        </w:rPr>
        <w:t>Albutt v Centre for the Study of Violence and Reconciliation</w:t>
      </w:r>
      <w:r>
        <w:t xml:space="preserve"> [2010] ZACC 4; 2010 (3) SA 293 (CC); 2010 (5) BCLR 391 (CC) at para 29.</w:t>
      </w:r>
    </w:p>
  </w:footnote>
  <w:footnote w:id="16">
    <w:p w14:paraId="4AB974D5" w14:textId="77777777" w:rsidR="00C21D31" w:rsidRDefault="00C21D31" w:rsidP="00C21D31">
      <w:pPr>
        <w:pStyle w:val="FootnoteText"/>
      </w:pPr>
      <w:r>
        <w:rPr>
          <w:rStyle w:val="FootnoteReference"/>
        </w:rPr>
        <w:footnoteRef/>
      </w:r>
      <w:r>
        <w:t xml:space="preserve"> </w:t>
      </w:r>
      <w:r w:rsidRPr="00AB296E">
        <w:rPr>
          <w:i/>
        </w:rPr>
        <w:t>Turnbull-Jackson v Hibiscus Coast Municipality</w:t>
      </w:r>
      <w:r>
        <w:t xml:space="preserve"> [2014] ZACC 24; 2014 (6) SA 592 (CC); 2014 (11) BCLR 1310 (CC) at para 71.</w:t>
      </w:r>
    </w:p>
  </w:footnote>
  <w:footnote w:id="17">
    <w:p w14:paraId="451595A4" w14:textId="6DCA4A6A" w:rsidR="00C21D31" w:rsidRDefault="00C21D31">
      <w:pPr>
        <w:pStyle w:val="FootnoteText"/>
      </w:pPr>
      <w:r>
        <w:rPr>
          <w:rStyle w:val="FootnoteReference"/>
        </w:rPr>
        <w:footnoteRef/>
      </w:r>
      <w:r>
        <w:t xml:space="preserve"> </w:t>
      </w:r>
      <w:r>
        <w:rPr>
          <w:i/>
        </w:rPr>
        <w:t xml:space="preserve">Walele v City of Cape Town </w:t>
      </w:r>
      <w:r>
        <w:t>[2008] ZACC 11; 2008 (6) SA 129 (CC); 2008 (11) BCLR 1067 (CC).</w:t>
      </w:r>
    </w:p>
  </w:footnote>
  <w:footnote w:id="18">
    <w:p w14:paraId="7D0AB581" w14:textId="0012C888" w:rsidR="00C21D31" w:rsidRPr="0066349E" w:rsidRDefault="00C21D31">
      <w:pPr>
        <w:pStyle w:val="FootnoteText"/>
      </w:pPr>
      <w:r>
        <w:rPr>
          <w:rStyle w:val="FootnoteReference"/>
        </w:rPr>
        <w:footnoteRef/>
      </w:r>
      <w:r>
        <w:t xml:space="preserve"> </w:t>
      </w:r>
      <w:r w:rsidR="0072569B" w:rsidRPr="0066349E">
        <w:rPr>
          <w:i/>
        </w:rPr>
        <w:t>True Motives 84 (Pty) Ltd v Mahd</w:t>
      </w:r>
      <w:r w:rsidRPr="000A26A7">
        <w:rPr>
          <w:i/>
        </w:rPr>
        <w:t xml:space="preserve">i </w:t>
      </w:r>
      <w:r w:rsidRPr="00C21D31">
        <w:t>[2009]</w:t>
      </w:r>
      <w:r w:rsidR="003C10B0">
        <w:t xml:space="preserve"> ZASCA 4; 2009 (4) SA 153 (SCA)</w:t>
      </w:r>
      <w:r w:rsidR="00FF3E80">
        <w:t xml:space="preserve"> (</w:t>
      </w:r>
      <w:r w:rsidR="00FF3E80">
        <w:rPr>
          <w:i/>
        </w:rPr>
        <w:t>True Motives</w:t>
      </w:r>
      <w:r w:rsidR="00FF3E80">
        <w:t>)</w:t>
      </w:r>
      <w:r w:rsidR="00C1225A">
        <w:t>.</w:t>
      </w:r>
    </w:p>
  </w:footnote>
  <w:footnote w:id="19">
    <w:p w14:paraId="55DE4B4E" w14:textId="086EC301" w:rsidR="00285673" w:rsidRDefault="00285673" w:rsidP="0097447B">
      <w:pPr>
        <w:pStyle w:val="FootnoteText"/>
      </w:pPr>
      <w:r>
        <w:rPr>
          <w:rStyle w:val="FootnoteReference"/>
        </w:rPr>
        <w:footnoteRef/>
      </w:r>
      <w:r>
        <w:t xml:space="preserve"> </w:t>
      </w:r>
      <w:r>
        <w:rPr>
          <w:i/>
        </w:rPr>
        <w:t xml:space="preserve">Walele </w:t>
      </w:r>
      <w:r w:rsidR="00C169B1">
        <w:t xml:space="preserve">above n </w:t>
      </w:r>
      <w:r w:rsidR="00C169B1">
        <w:fldChar w:fldCharType="begin"/>
      </w:r>
      <w:r w:rsidR="00C169B1">
        <w:instrText xml:space="preserve"> NOTEREF _Ref1402456 \h </w:instrText>
      </w:r>
      <w:r w:rsidR="00C169B1">
        <w:fldChar w:fldCharType="separate"/>
      </w:r>
      <w:r w:rsidR="00C169B1">
        <w:t>17</w:t>
      </w:r>
      <w:r w:rsidR="00C169B1">
        <w:fldChar w:fldCharType="end"/>
      </w:r>
      <w:r w:rsidR="00C169B1">
        <w:t xml:space="preserve"> </w:t>
      </w:r>
      <w:r>
        <w:t>at para 55:</w:t>
      </w:r>
    </w:p>
    <w:p w14:paraId="4BFBCAF9" w14:textId="1ACEF746" w:rsidR="00285673" w:rsidRDefault="00285673" w:rsidP="0097447B">
      <w:pPr>
        <w:pStyle w:val="QUOTEINFOOTNOTE"/>
      </w:pPr>
      <w:r>
        <w:t>“</w:t>
      </w:r>
      <w:r w:rsidRPr="00763D22">
        <w:t xml:space="preserve">Accordingly the decision-maker must be satisfied of two things before granting approval. </w:t>
      </w:r>
      <w:r w:rsidR="007364E8">
        <w:t xml:space="preserve"> </w:t>
      </w:r>
      <w:r w:rsidRPr="00763D22">
        <w:t xml:space="preserve">The first is that he or she must be satisfied that there is compliance with the necessary legal requirements. </w:t>
      </w:r>
      <w:r w:rsidR="007364E8">
        <w:t xml:space="preserve"> </w:t>
      </w:r>
      <w:r w:rsidRPr="00763D22">
        <w:t>Secondly, he or she must also be satisfied that none of the disqualifying factors in s</w:t>
      </w:r>
      <w:r w:rsidR="007364E8">
        <w:t>ection</w:t>
      </w:r>
      <w:r w:rsidRPr="00763D22">
        <w:t xml:space="preserve"> 7(1)(b)(ii) will be triggered by the erection of the building concerned. </w:t>
      </w:r>
      <w:r w:rsidR="00ED1BEF">
        <w:t xml:space="preserve"> </w:t>
      </w:r>
      <w:r w:rsidRPr="00763D22">
        <w:t>This is so because any approval of plans facilitating the erection of a building which devalues neighbouring properties, for example, is liable to be set aside on review.  An approval can be set aside on this ground irrespective of whether or not the decision-maker was satisfied that none of the disqualifying factors would be triggered.</w:t>
      </w:r>
      <w:r>
        <w:t xml:space="preserve">  </w:t>
      </w:r>
      <w:r w:rsidRPr="00763D22">
        <w:t>All that is needed for an applicant to succeed is to prove to the satisfaction of the reviewing court</w:t>
      </w:r>
      <w:r>
        <w:t xml:space="preserve"> </w:t>
      </w:r>
      <w:r w:rsidRPr="00763D22">
        <w:t xml:space="preserve">that the erection of the building will reduce the value of his or her property. </w:t>
      </w:r>
      <w:r w:rsidR="007364E8">
        <w:t xml:space="preserve"> </w:t>
      </w:r>
      <w:r w:rsidRPr="00763D22">
        <w:t xml:space="preserve">The legislature could not have intended to authorise an invalid exercise of power. </w:t>
      </w:r>
      <w:r w:rsidR="00C96B9A">
        <w:t xml:space="preserve"> </w:t>
      </w:r>
      <w:r w:rsidRPr="00763D22">
        <w:t xml:space="preserve">In order to avoid this consequence, the decision-maker must at least be satisfied that none of the invalidating factors exist before he or she grants approval. </w:t>
      </w:r>
      <w:r w:rsidR="007364E8">
        <w:t xml:space="preserve"> </w:t>
      </w:r>
      <w:r w:rsidRPr="00763D22">
        <w:t>This inte</w:t>
      </w:r>
      <w:r>
        <w:t xml:space="preserve">rpretation is consistent with </w:t>
      </w:r>
      <w:r w:rsidRPr="00763D22">
        <w:t xml:space="preserve">the obligation to promote the spirit, purport and objects of the Bill of Rights. </w:t>
      </w:r>
      <w:r w:rsidR="007364E8">
        <w:t xml:space="preserve"> </w:t>
      </w:r>
      <w:r w:rsidRPr="00763D22">
        <w:t xml:space="preserve">It demonstrates that it is not only the landowner's right of ownership which must be taken into account, but also the rights of owners of neighbouring properties which may be adversely affected by the erection of a building authorised by the approval of the plans in circumstances where they were not afforded a hearing. </w:t>
      </w:r>
      <w:r w:rsidR="007364E8">
        <w:t xml:space="preserve"> </w:t>
      </w:r>
      <w:r w:rsidRPr="00763D22">
        <w:t xml:space="preserve">The section, if construed in this way, strikes the right balance between the landowner's entitlement to exercise his or her right of ownership over property and the right of owners of neighbouring properties. </w:t>
      </w:r>
      <w:r w:rsidR="007364E8">
        <w:t xml:space="preserve"> </w:t>
      </w:r>
      <w:r w:rsidRPr="00763D22">
        <w:t>The interpretation promotes the property rights of the landowner and those of its neighbours.</w:t>
      </w:r>
      <w:r>
        <w:t>”</w:t>
      </w:r>
    </w:p>
  </w:footnote>
  <w:footnote w:id="20">
    <w:p w14:paraId="15A691EB" w14:textId="401132F8" w:rsidR="00285673" w:rsidRDefault="00285673" w:rsidP="0097447B">
      <w:pPr>
        <w:pStyle w:val="FootnoteText"/>
      </w:pPr>
      <w:r>
        <w:rPr>
          <w:rStyle w:val="FootnoteReference"/>
        </w:rPr>
        <w:footnoteRef/>
      </w:r>
      <w:r>
        <w:t xml:space="preserve"> Full Court </w:t>
      </w:r>
      <w:r w:rsidR="0007254E">
        <w:t>j</w:t>
      </w:r>
      <w:r>
        <w:t xml:space="preserve">udgment above n </w:t>
      </w:r>
      <w:r w:rsidR="00C169B1">
        <w:fldChar w:fldCharType="begin"/>
      </w:r>
      <w:r w:rsidR="00C169B1">
        <w:instrText xml:space="preserve"> NOTEREF _Ref1402496 \h </w:instrText>
      </w:r>
      <w:r w:rsidR="00C169B1">
        <w:fldChar w:fldCharType="separate"/>
      </w:r>
      <w:r w:rsidR="00C169B1">
        <w:t>7</w:t>
      </w:r>
      <w:r w:rsidR="00C169B1">
        <w:fldChar w:fldCharType="end"/>
      </w:r>
      <w:r>
        <w:t xml:space="preserve"> at para 27:</w:t>
      </w:r>
    </w:p>
    <w:p w14:paraId="3238A795" w14:textId="1DEB1F73" w:rsidR="00285673" w:rsidRDefault="00285673" w:rsidP="0097447B">
      <w:pPr>
        <w:pStyle w:val="QUOTEINFOOTNOTE"/>
      </w:pPr>
      <w:r>
        <w:t xml:space="preserve">“[I]t is necessary to discuss the approach which was adopted by the </w:t>
      </w:r>
      <w:r w:rsidR="00AD65E8">
        <w:t xml:space="preserve">Supreme Court of Appeal </w:t>
      </w:r>
      <w:r>
        <w:t xml:space="preserve">in </w:t>
      </w:r>
      <w:r w:rsidRPr="00EF6102">
        <w:rPr>
          <w:i/>
        </w:rPr>
        <w:t>True Motives</w:t>
      </w:r>
      <w:r>
        <w:t xml:space="preserve"> in more detail as, in our view, if one carefully considers the contents of the report of the Building Control Officer and the memorandum of the Head of the Building Development Management Section in this matter, it appears that the authors thereof incorrectly applied the test which was espoused in </w:t>
      </w:r>
      <w:r>
        <w:rPr>
          <w:i/>
        </w:rPr>
        <w:t>True Motives</w:t>
      </w:r>
      <w:r>
        <w:t xml:space="preserve">, rather than that which was laid down in </w:t>
      </w:r>
      <w:r>
        <w:rPr>
          <w:i/>
        </w:rPr>
        <w:t xml:space="preserve">Walele </w:t>
      </w:r>
      <w:r>
        <w:t xml:space="preserve">and confirmed in </w:t>
      </w:r>
      <w:r>
        <w:rPr>
          <w:i/>
        </w:rPr>
        <w:t>Turnbull-Jackson</w:t>
      </w:r>
      <w:r>
        <w:t>.”</w:t>
      </w:r>
    </w:p>
  </w:footnote>
  <w:footnote w:id="21">
    <w:p w14:paraId="4281D658" w14:textId="587F36AC" w:rsidR="00285673" w:rsidRDefault="00285673">
      <w:pPr>
        <w:pStyle w:val="FootnoteText"/>
      </w:pPr>
      <w:r>
        <w:rPr>
          <w:rStyle w:val="FootnoteReference"/>
        </w:rPr>
        <w:footnoteRef/>
      </w:r>
      <w:r>
        <w:t xml:space="preserve"> The applicants aver that the decision makers </w:t>
      </w:r>
      <w:r w:rsidR="00C10A41">
        <w:t xml:space="preserve">applied the </w:t>
      </w:r>
      <w:r w:rsidR="00F1709C">
        <w:t>correct</w:t>
      </w:r>
      <w:r w:rsidR="00C10A41">
        <w:t xml:space="preserve"> test to the</w:t>
      </w:r>
      <w:r>
        <w:t xml:space="preserve"> disqualifying factors; that Mr</w:t>
      </w:r>
      <w:r w:rsidR="00266EA7">
        <w:t> </w:t>
      </w:r>
      <w:r>
        <w:t xml:space="preserve">Henshall-Howard </w:t>
      </w:r>
      <w:r w:rsidR="00F1709C">
        <w:t>did take</w:t>
      </w:r>
      <w:r>
        <w:t xml:space="preserve"> into account the report of the </w:t>
      </w:r>
      <w:r w:rsidR="00266EA7">
        <w:t>building control officer</w:t>
      </w:r>
      <w:r w:rsidR="00F1709C">
        <w:t xml:space="preserve">, that the </w:t>
      </w:r>
      <w:r w:rsidR="00266EA7">
        <w:t xml:space="preserve">building control officer </w:t>
      </w:r>
      <w:r w:rsidR="00F1709C">
        <w:t xml:space="preserve">made a reasoned recommendation and that decision makers </w:t>
      </w:r>
      <w:r w:rsidR="0033603F">
        <w:t xml:space="preserve">are not required to consider </w:t>
      </w:r>
      <w:r w:rsidR="00F1709C">
        <w:t>the impact on neighbouring properties</w:t>
      </w:r>
      <w:r>
        <w:t>.</w:t>
      </w:r>
    </w:p>
  </w:footnote>
  <w:footnote w:id="22">
    <w:p w14:paraId="0A08D84C" w14:textId="098B1889" w:rsidR="00285673" w:rsidRPr="002B23C6" w:rsidRDefault="00285673" w:rsidP="00C96260">
      <w:pPr>
        <w:pStyle w:val="FootnoteText"/>
      </w:pPr>
      <w:r>
        <w:rPr>
          <w:rStyle w:val="FootnoteReference"/>
        </w:rPr>
        <w:footnoteRef/>
      </w:r>
      <w:r>
        <w:t xml:space="preserve"> </w:t>
      </w:r>
      <w:r>
        <w:rPr>
          <w:i/>
        </w:rPr>
        <w:t xml:space="preserve">Camps Bay </w:t>
      </w:r>
      <w:r>
        <w:t>above n</w:t>
      </w:r>
      <w:r w:rsidR="00342C54">
        <w:t xml:space="preserve"> </w:t>
      </w:r>
      <w:r w:rsidR="00E142CA">
        <w:fldChar w:fldCharType="begin"/>
      </w:r>
      <w:r w:rsidR="00E142CA">
        <w:instrText xml:space="preserve"> NOTEREF _Ref1402510 \h </w:instrText>
      </w:r>
      <w:r w:rsidR="00E142CA">
        <w:fldChar w:fldCharType="separate"/>
      </w:r>
      <w:r w:rsidR="00E142CA">
        <w:t>3</w:t>
      </w:r>
      <w:r w:rsidR="00E142CA">
        <w:fldChar w:fldCharType="end"/>
      </w:r>
      <w:r w:rsidR="00E142CA">
        <w:t xml:space="preserve"> </w:t>
      </w:r>
      <w:r>
        <w:t>at para 40.</w:t>
      </w:r>
    </w:p>
  </w:footnote>
  <w:footnote w:id="23">
    <w:p w14:paraId="105E856C" w14:textId="664D148D" w:rsidR="00285673" w:rsidRPr="006A54FE" w:rsidRDefault="00285673" w:rsidP="00AD21EF">
      <w:pPr>
        <w:pStyle w:val="FootnoteText"/>
      </w:pPr>
      <w:r>
        <w:rPr>
          <w:rStyle w:val="FootnoteReference"/>
        </w:rPr>
        <w:footnoteRef/>
      </w:r>
      <w:r>
        <w:t xml:space="preserve"> </w:t>
      </w:r>
      <w:r>
        <w:rPr>
          <w:i/>
        </w:rPr>
        <w:t xml:space="preserve">Dawood v Minister of Home Affairs; Shalabi v Minister of Home Affairs; Thomas v Minister of Home Affairs </w:t>
      </w:r>
      <w:r>
        <w:t>[2000] ZACC 8; 2000 (3) SA 936 (CC); 2000 (8) BCLR 837 (CC) at para 53</w:t>
      </w:r>
      <w:r w:rsidR="00C55409">
        <w:t>:</w:t>
      </w:r>
    </w:p>
    <w:p w14:paraId="1531415A" w14:textId="2D97F96F" w:rsidR="00285673" w:rsidRDefault="00285673" w:rsidP="00AD21EF">
      <w:pPr>
        <w:pStyle w:val="QUOTEINFOOTNOTE"/>
      </w:pPr>
      <w:r>
        <w:t>“</w:t>
      </w:r>
      <w:r w:rsidRPr="0016551A">
        <w:t>Discretion plays a cru</w:t>
      </w:r>
      <w:r>
        <w:t>cial role in any legal system.</w:t>
      </w:r>
      <w:r w:rsidRPr="0016551A">
        <w:t xml:space="preserve">  It permits abstract and general rules to be applied to specific and particular circumstances in a fair manner. </w:t>
      </w:r>
      <w:r>
        <w:t xml:space="preserve"> </w:t>
      </w:r>
      <w:r w:rsidRPr="0016551A">
        <w:t>The scope of discretionary powers</w:t>
      </w:r>
      <w:r>
        <w:t xml:space="preserve"> may vary.  At times they will</w:t>
      </w:r>
      <w:r w:rsidRPr="0016551A">
        <w:t xml:space="preserve"> be broad, particularly where the factors relevant to a decision are so numerous and varied that it is inappropriate or impossible for the Legislature to identify them in advance. </w:t>
      </w:r>
      <w:r>
        <w:t xml:space="preserve"> </w:t>
      </w:r>
      <w:r w:rsidRPr="0016551A">
        <w:t xml:space="preserve">Discretionary powers may also be broadly formulated where the factors relevant to the exercise of the discretionary power are indisputably clear. </w:t>
      </w:r>
      <w:r>
        <w:t xml:space="preserve"> </w:t>
      </w:r>
      <w:r w:rsidRPr="0016551A">
        <w:t>A further situation may arise where the decision-maker is posses</w:t>
      </w:r>
      <w:r>
        <w:t xml:space="preserve">sed of expertise relevant to </w:t>
      </w:r>
      <w:r w:rsidRPr="0016551A">
        <w:t>the decisions to be made.</w:t>
      </w:r>
      <w:r>
        <w:t>”</w:t>
      </w:r>
    </w:p>
  </w:footnote>
  <w:footnote w:id="24">
    <w:p w14:paraId="1DA4C741" w14:textId="77777777" w:rsidR="00285673" w:rsidRDefault="00285673" w:rsidP="00AD21EF">
      <w:pPr>
        <w:pStyle w:val="FootnoteText"/>
      </w:pPr>
      <w:r>
        <w:rPr>
          <w:rStyle w:val="FootnoteReference"/>
        </w:rPr>
        <w:footnoteRef/>
      </w:r>
      <w:r>
        <w:t xml:space="preserve"> Id.</w:t>
      </w:r>
    </w:p>
  </w:footnote>
  <w:footnote w:id="25">
    <w:p w14:paraId="557CCCDF" w14:textId="3A48EF71" w:rsidR="00285673" w:rsidRDefault="00285673" w:rsidP="003311EE">
      <w:pPr>
        <w:pStyle w:val="FootnoteText"/>
      </w:pPr>
      <w:r>
        <w:rPr>
          <w:rStyle w:val="FootnoteReference"/>
        </w:rPr>
        <w:footnoteRef/>
      </w:r>
      <w:r>
        <w:t xml:space="preserve"> Section 33(1)</w:t>
      </w:r>
      <w:r w:rsidR="005F1FAF">
        <w:t xml:space="preserve"> of the Constitution.</w:t>
      </w:r>
    </w:p>
  </w:footnote>
  <w:footnote w:id="26">
    <w:p w14:paraId="61C2F2A4" w14:textId="2EC70AF0" w:rsidR="00557F9A" w:rsidRDefault="00557F9A" w:rsidP="00557F9A">
      <w:pPr>
        <w:pStyle w:val="FootnoteText"/>
      </w:pPr>
      <w:r>
        <w:rPr>
          <w:rStyle w:val="FootnoteReference"/>
        </w:rPr>
        <w:footnoteRef/>
      </w:r>
      <w:r>
        <w:t xml:space="preserve"> </w:t>
      </w:r>
      <w:r w:rsidRPr="00E334D9">
        <w:rPr>
          <w:i/>
        </w:rPr>
        <w:t>Adminis</w:t>
      </w:r>
      <w:r>
        <w:rPr>
          <w:i/>
        </w:rPr>
        <w:t>trator of Transvaal</w:t>
      </w:r>
      <w:r w:rsidRPr="00E334D9">
        <w:rPr>
          <w:i/>
        </w:rPr>
        <w:t xml:space="preserve"> v</w:t>
      </w:r>
      <w:r w:rsidRPr="00E334D9">
        <w:t xml:space="preserve"> </w:t>
      </w:r>
      <w:r>
        <w:rPr>
          <w:i/>
        </w:rPr>
        <w:t xml:space="preserve">Traub </w:t>
      </w:r>
      <w:r w:rsidRPr="00E334D9">
        <w:t xml:space="preserve">[1989] ZASCA 90; </w:t>
      </w:r>
      <w:r>
        <w:t>(1989) 10 ILJ 823 (A)</w:t>
      </w:r>
      <w:r w:rsidRPr="00E334D9">
        <w:t xml:space="preserve"> </w:t>
      </w:r>
      <w:r>
        <w:t>at 835C-F</w:t>
      </w:r>
      <w:r w:rsidR="00E70876">
        <w:t xml:space="preserve"> (</w:t>
      </w:r>
      <w:r w:rsidR="00E70876">
        <w:rPr>
          <w:i/>
        </w:rPr>
        <w:t>Traub</w:t>
      </w:r>
      <w:r w:rsidR="00E70876">
        <w:t>)</w:t>
      </w:r>
      <w:r>
        <w:t>.</w:t>
      </w:r>
    </w:p>
  </w:footnote>
  <w:footnote w:id="27">
    <w:p w14:paraId="5166DD71" w14:textId="5EACFA3A" w:rsidR="00285673" w:rsidRDefault="00285673" w:rsidP="00C96260">
      <w:pPr>
        <w:pStyle w:val="FootnoteText"/>
      </w:pPr>
      <w:r>
        <w:rPr>
          <w:rStyle w:val="FootnoteReference"/>
        </w:rPr>
        <w:footnoteRef/>
      </w:r>
      <w:r>
        <w:t xml:space="preserve"> </w:t>
      </w:r>
      <w:r w:rsidRPr="00643B9F">
        <w:rPr>
          <w:i/>
        </w:rPr>
        <w:t>Council of Civil Service Unions v Minister for the Civil Service</w:t>
      </w:r>
      <w:r w:rsidRPr="00E334D9">
        <w:t xml:space="preserve"> [198</w:t>
      </w:r>
      <w:r w:rsidR="00B3615D">
        <w:t>5</w:t>
      </w:r>
      <w:r w:rsidRPr="00E334D9">
        <w:t xml:space="preserve">] </w:t>
      </w:r>
      <w:r w:rsidR="00B3615D">
        <w:t>AC</w:t>
      </w:r>
      <w:r w:rsidRPr="00E334D9">
        <w:t xml:space="preserve"> </w:t>
      </w:r>
      <w:r w:rsidR="00B3615D">
        <w:t>374</w:t>
      </w:r>
      <w:r w:rsidRPr="00E334D9">
        <w:t xml:space="preserve"> </w:t>
      </w:r>
      <w:r>
        <w:t>at</w:t>
      </w:r>
      <w:r w:rsidR="00992D90">
        <w:t xml:space="preserve"> 401A</w:t>
      </w:r>
      <w:r w:rsidR="0093059D">
        <w:t>-</w:t>
      </w:r>
      <w:r w:rsidR="00992D90">
        <w:t>B</w:t>
      </w:r>
      <w:r w:rsidR="00716081">
        <w:t>.</w:t>
      </w:r>
    </w:p>
  </w:footnote>
  <w:footnote w:id="28">
    <w:p w14:paraId="724A0D77" w14:textId="2344C80E" w:rsidR="00285673" w:rsidRDefault="00285673">
      <w:pPr>
        <w:pStyle w:val="FootnoteText"/>
      </w:pPr>
      <w:r>
        <w:rPr>
          <w:rStyle w:val="FootnoteReference"/>
        </w:rPr>
        <w:footnoteRef/>
      </w:r>
      <w:r>
        <w:t xml:space="preserve"> Full Court </w:t>
      </w:r>
      <w:r w:rsidR="003E0111">
        <w:t>j</w:t>
      </w:r>
      <w:r>
        <w:t xml:space="preserve">udgement above n </w:t>
      </w:r>
      <w:r w:rsidR="003A6B70">
        <w:fldChar w:fldCharType="begin"/>
      </w:r>
      <w:r w:rsidR="003A6B70">
        <w:instrText xml:space="preserve"> NOTEREF _Ref1402496 \h </w:instrText>
      </w:r>
      <w:r w:rsidR="003A6B70">
        <w:fldChar w:fldCharType="separate"/>
      </w:r>
      <w:r w:rsidR="003A6B70">
        <w:t>7</w:t>
      </w:r>
      <w:r w:rsidR="003A6B70">
        <w:fldChar w:fldCharType="end"/>
      </w:r>
      <w:r w:rsidR="003A6B70">
        <w:t xml:space="preserve"> </w:t>
      </w:r>
      <w:r>
        <w:t>at para 44.</w:t>
      </w:r>
    </w:p>
  </w:footnote>
  <w:footnote w:id="29">
    <w:p w14:paraId="1DF39122" w14:textId="1217F43B" w:rsidR="00285673" w:rsidRDefault="00285673" w:rsidP="00515441">
      <w:pPr>
        <w:pStyle w:val="FootnoteText"/>
      </w:pPr>
      <w:r>
        <w:rPr>
          <w:rStyle w:val="FootnoteReference"/>
        </w:rPr>
        <w:footnoteRef/>
      </w:r>
      <w:r>
        <w:t xml:space="preserve"> </w:t>
      </w:r>
      <w:r>
        <w:rPr>
          <w:i/>
        </w:rPr>
        <w:t>Camps Bay</w:t>
      </w:r>
      <w:r w:rsidR="00624733">
        <w:rPr>
          <w:i/>
        </w:rPr>
        <w:t xml:space="preserve"> </w:t>
      </w:r>
      <w:r w:rsidR="00624733">
        <w:t xml:space="preserve">above n </w:t>
      </w:r>
      <w:r w:rsidR="001911B4">
        <w:fldChar w:fldCharType="begin"/>
      </w:r>
      <w:r w:rsidR="001911B4">
        <w:instrText xml:space="preserve"> NOTEREF _Ref1402510 \h </w:instrText>
      </w:r>
      <w:r w:rsidR="001911B4">
        <w:fldChar w:fldCharType="separate"/>
      </w:r>
      <w:r w:rsidR="001911B4">
        <w:t>3</w:t>
      </w:r>
      <w:r w:rsidR="001911B4">
        <w:fldChar w:fldCharType="end"/>
      </w:r>
      <w:r>
        <w:rPr>
          <w:i/>
        </w:rPr>
        <w:t xml:space="preserve"> </w:t>
      </w:r>
      <w:r w:rsidRPr="00F31137">
        <w:t xml:space="preserve">at para </w:t>
      </w:r>
      <w:r>
        <w:t xml:space="preserve">40; read with </w:t>
      </w:r>
      <w:r>
        <w:rPr>
          <w:i/>
        </w:rPr>
        <w:t>Walele</w:t>
      </w:r>
      <w:r>
        <w:t xml:space="preserve"> above n </w:t>
      </w:r>
      <w:r w:rsidR="001911B4">
        <w:fldChar w:fldCharType="begin"/>
      </w:r>
      <w:r w:rsidR="001911B4">
        <w:instrText xml:space="preserve"> NOTEREF _Ref1402456 \h </w:instrText>
      </w:r>
      <w:r w:rsidR="001911B4">
        <w:fldChar w:fldCharType="separate"/>
      </w:r>
      <w:r w:rsidR="001911B4">
        <w:t>17</w:t>
      </w:r>
      <w:r w:rsidR="001911B4">
        <w:fldChar w:fldCharType="end"/>
      </w:r>
      <w:r w:rsidR="001911B4">
        <w:t xml:space="preserve"> </w:t>
      </w:r>
      <w:r>
        <w:t>at para 55.</w:t>
      </w:r>
    </w:p>
  </w:footnote>
  <w:footnote w:id="30">
    <w:p w14:paraId="2413856B" w14:textId="6DCE05A9" w:rsidR="00285673" w:rsidRDefault="00285673" w:rsidP="00CB35E7">
      <w:pPr>
        <w:pStyle w:val="FootnoteText1"/>
      </w:pPr>
      <w:r>
        <w:rPr>
          <w:rStyle w:val="FootnoteReference"/>
        </w:rPr>
        <w:footnoteRef/>
      </w:r>
      <w:r>
        <w:t xml:space="preserve"> </w:t>
      </w:r>
      <w:r w:rsidRPr="00CB35E7">
        <w:rPr>
          <w:i/>
        </w:rPr>
        <w:t xml:space="preserve">Odendaal v Eastern Metropolitan Local </w:t>
      </w:r>
      <w:r w:rsidRPr="00C54BDC">
        <w:rPr>
          <w:i/>
        </w:rPr>
        <w:t>Council</w:t>
      </w:r>
      <w:r w:rsidRPr="00CB35E7">
        <w:t xml:space="preserve"> 1999 CLR 77 (W) at </w:t>
      </w:r>
      <w:r>
        <w:t xml:space="preserve">paras </w:t>
      </w:r>
      <w:r w:rsidRPr="00CB35E7">
        <w:t>84</w:t>
      </w:r>
      <w:r w:rsidR="001B62E4">
        <w:t>-</w:t>
      </w:r>
      <w:r w:rsidRPr="00CB35E7">
        <w:t>5.</w:t>
      </w:r>
    </w:p>
  </w:footnote>
  <w:footnote w:id="31">
    <w:p w14:paraId="1BF218F7" w14:textId="0AD9AF60" w:rsidR="00285673" w:rsidRPr="00763D22" w:rsidRDefault="00285673" w:rsidP="006D62F2">
      <w:pPr>
        <w:pStyle w:val="FootnoteText"/>
      </w:pPr>
      <w:r>
        <w:rPr>
          <w:rStyle w:val="FootnoteReference"/>
        </w:rPr>
        <w:footnoteRef/>
      </w:r>
      <w:r>
        <w:t xml:space="preserve"> </w:t>
      </w:r>
      <w:r>
        <w:rPr>
          <w:i/>
        </w:rPr>
        <w:t xml:space="preserve">Walele </w:t>
      </w:r>
      <w:r>
        <w:t xml:space="preserve">above n </w:t>
      </w:r>
      <w:r w:rsidR="001911B4">
        <w:fldChar w:fldCharType="begin"/>
      </w:r>
      <w:r w:rsidR="001911B4">
        <w:instrText xml:space="preserve"> NOTEREF _Ref1402456 \h </w:instrText>
      </w:r>
      <w:r w:rsidR="001911B4">
        <w:fldChar w:fldCharType="separate"/>
      </w:r>
      <w:r w:rsidR="001911B4">
        <w:t>17</w:t>
      </w:r>
      <w:r w:rsidR="001911B4">
        <w:fldChar w:fldCharType="end"/>
      </w:r>
      <w:r w:rsidR="001911B4">
        <w:t xml:space="preserve"> </w:t>
      </w:r>
      <w:r>
        <w:t>at para 131.</w:t>
      </w:r>
    </w:p>
  </w:footnote>
  <w:footnote w:id="32">
    <w:p w14:paraId="31B46CF6" w14:textId="21680EEC" w:rsidR="00285673" w:rsidRDefault="00285673">
      <w:pPr>
        <w:pStyle w:val="FootnoteText"/>
      </w:pPr>
      <w:r>
        <w:rPr>
          <w:rStyle w:val="FootnoteReference"/>
        </w:rPr>
        <w:footnoteRef/>
      </w:r>
      <w:r>
        <w:t xml:space="preserve"> </w:t>
      </w:r>
      <w:r>
        <w:rPr>
          <w:i/>
        </w:rPr>
        <w:t xml:space="preserve">Odendaal </w:t>
      </w:r>
      <w:r>
        <w:t xml:space="preserve">above n </w:t>
      </w:r>
      <w:r w:rsidR="001911B4">
        <w:fldChar w:fldCharType="begin"/>
      </w:r>
      <w:r w:rsidR="001911B4">
        <w:instrText xml:space="preserve"> NOTEREF _Ref1402569 \h </w:instrText>
      </w:r>
      <w:r w:rsidR="001911B4">
        <w:fldChar w:fldCharType="separate"/>
      </w:r>
      <w:r w:rsidR="001911B4">
        <w:t>30</w:t>
      </w:r>
      <w:r w:rsidR="001911B4">
        <w:fldChar w:fldCharType="end"/>
      </w:r>
      <w:r w:rsidR="001911B4">
        <w:t xml:space="preserve"> </w:t>
      </w:r>
      <w:r>
        <w:t>at paras 84-5.</w:t>
      </w:r>
    </w:p>
  </w:footnote>
  <w:footnote w:id="33">
    <w:p w14:paraId="71C4D9CE" w14:textId="77777777" w:rsidR="00285673" w:rsidRPr="000A26A7" w:rsidRDefault="00285673">
      <w:pPr>
        <w:pStyle w:val="FootnoteText"/>
        <w:rPr>
          <w:rStyle w:val="Emphasis"/>
          <w:i w:val="0"/>
        </w:rPr>
      </w:pPr>
      <w:r>
        <w:rPr>
          <w:rStyle w:val="FootnoteReference"/>
        </w:rPr>
        <w:footnoteRef/>
      </w:r>
      <w:r>
        <w:t xml:space="preserve"> Id.</w:t>
      </w:r>
    </w:p>
  </w:footnote>
  <w:footnote w:id="34">
    <w:p w14:paraId="27E495C5" w14:textId="6096FDF6" w:rsidR="00285673" w:rsidRPr="00F024F9" w:rsidRDefault="00285673" w:rsidP="00387086">
      <w:pPr>
        <w:pStyle w:val="FootnoteText"/>
      </w:pPr>
      <w:r>
        <w:rPr>
          <w:rStyle w:val="FootnoteReference"/>
        </w:rPr>
        <w:footnoteRef/>
      </w:r>
      <w:r>
        <w:t xml:space="preserve"> </w:t>
      </w:r>
      <w:r>
        <w:rPr>
          <w:i/>
        </w:rPr>
        <w:t>Walele</w:t>
      </w:r>
      <w:r>
        <w:t xml:space="preserve"> above n </w:t>
      </w:r>
      <w:r w:rsidR="00E85920">
        <w:fldChar w:fldCharType="begin"/>
      </w:r>
      <w:r w:rsidR="00E85920">
        <w:instrText xml:space="preserve"> NOTEREF _Ref1402456 \h </w:instrText>
      </w:r>
      <w:r w:rsidR="00E85920">
        <w:fldChar w:fldCharType="separate"/>
      </w:r>
      <w:r w:rsidR="00E85920">
        <w:t>17</w:t>
      </w:r>
      <w:r w:rsidR="00E85920">
        <w:fldChar w:fldCharType="end"/>
      </w:r>
      <w:r w:rsidR="00E85920">
        <w:t xml:space="preserve"> </w:t>
      </w:r>
      <w:bookmarkStart w:id="5" w:name="_GoBack"/>
      <w:bookmarkEnd w:id="5"/>
      <w:r>
        <w:t>at para 55.</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B194E7" w14:textId="77777777" w:rsidR="00285673" w:rsidRDefault="00285673" w:rsidP="000F7521">
    <w:pPr>
      <w:pStyle w:val="Header"/>
      <w:tabs>
        <w:tab w:val="clear" w:pos="4680"/>
        <w:tab w:val="clear" w:pos="9360"/>
        <w:tab w:val="right" w:pos="9072"/>
      </w:tabs>
      <w:jc w:val="right"/>
    </w:pPr>
    <w:r>
      <w:t>THERON J</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9F50A7F" w14:textId="77777777" w:rsidR="00285673" w:rsidRDefault="00285673" w:rsidP="008C727F">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A7A26"/>
    <w:multiLevelType w:val="hybridMultilevel"/>
    <w:tmpl w:val="C30AD0BA"/>
    <w:lvl w:ilvl="0" w:tplc="0CD23EA0">
      <w:start w:val="1"/>
      <w:numFmt w:val="decimal"/>
      <w:pStyle w:val="JUDGMENTNUMBERED"/>
      <w:lvlText w:val="[%1]"/>
      <w:lvlJc w:val="left"/>
      <w:pPr>
        <w:ind w:left="104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FF7EC4"/>
    <w:multiLevelType w:val="multilevel"/>
    <w:tmpl w:val="AA90F654"/>
    <w:lvl w:ilvl="0">
      <w:start w:val="1"/>
      <w:numFmt w:val="decimal"/>
      <w:pStyle w:val="BODYLIST"/>
      <w:lvlText w:val="%1."/>
      <w:lvlJc w:val="left"/>
      <w:pPr>
        <w:ind w:left="720" w:firstLine="0"/>
      </w:pPr>
      <w:rPr>
        <w:rFonts w:hint="default"/>
      </w:rPr>
    </w:lvl>
    <w:lvl w:ilvl="1">
      <w:start w:val="1"/>
      <w:numFmt w:val="lowerLetter"/>
      <w:lvlText w:val="%2)"/>
      <w:lvlJc w:val="left"/>
      <w:pPr>
        <w:ind w:left="1440" w:firstLine="0"/>
      </w:pPr>
      <w:rPr>
        <w:rFonts w:hint="default"/>
      </w:rPr>
    </w:lvl>
    <w:lvl w:ilvl="2">
      <w:start w:val="1"/>
      <w:numFmt w:val="lowerRoman"/>
      <w:lvlText w:val="%3)"/>
      <w:lvlJc w:val="right"/>
      <w:pPr>
        <w:ind w:left="2160" w:firstLine="0"/>
      </w:pPr>
      <w:rPr>
        <w:rFonts w:hint="default"/>
      </w:rPr>
    </w:lvl>
    <w:lvl w:ilvl="3">
      <w:start w:val="1"/>
      <w:numFmt w:val="decimal"/>
      <w:lvlText w:val="%4."/>
      <w:lvlJc w:val="left"/>
      <w:pPr>
        <w:ind w:left="2880" w:firstLine="0"/>
      </w:pPr>
      <w:rPr>
        <w:rFonts w:hint="default"/>
      </w:rPr>
    </w:lvl>
    <w:lvl w:ilvl="4">
      <w:start w:val="1"/>
      <w:numFmt w:val="lowerLetter"/>
      <w:lvlText w:val="%5."/>
      <w:lvlJc w:val="left"/>
      <w:pPr>
        <w:ind w:left="3600" w:firstLine="0"/>
      </w:pPr>
      <w:rPr>
        <w:rFonts w:hint="default"/>
      </w:rPr>
    </w:lvl>
    <w:lvl w:ilvl="5">
      <w:start w:val="1"/>
      <w:numFmt w:val="lowerRoman"/>
      <w:lvlText w:val="%6."/>
      <w:lvlJc w:val="right"/>
      <w:pPr>
        <w:ind w:left="4320" w:firstLine="0"/>
      </w:pPr>
      <w:rPr>
        <w:rFonts w:hint="default"/>
      </w:rPr>
    </w:lvl>
    <w:lvl w:ilvl="6">
      <w:start w:val="1"/>
      <w:numFmt w:val="decimal"/>
      <w:lvlText w:val="%7."/>
      <w:lvlJc w:val="left"/>
      <w:pPr>
        <w:ind w:left="5040" w:firstLine="0"/>
      </w:pPr>
      <w:rPr>
        <w:rFonts w:hint="default"/>
      </w:rPr>
    </w:lvl>
    <w:lvl w:ilvl="7">
      <w:start w:val="1"/>
      <w:numFmt w:val="lowerLetter"/>
      <w:lvlText w:val="%8."/>
      <w:lvlJc w:val="left"/>
      <w:pPr>
        <w:ind w:left="5760" w:firstLine="0"/>
      </w:pPr>
      <w:rPr>
        <w:rFonts w:hint="default"/>
      </w:rPr>
    </w:lvl>
    <w:lvl w:ilvl="8">
      <w:start w:val="1"/>
      <w:numFmt w:val="lowerRoman"/>
      <w:lvlText w:val="%9."/>
      <w:lvlJc w:val="right"/>
      <w:pPr>
        <w:ind w:left="6480" w:firstLine="0"/>
      </w:pPr>
      <w:rPr>
        <w:rFonts w:hint="default"/>
      </w:rPr>
    </w:lvl>
  </w:abstractNum>
  <w:num w:numId="1">
    <w:abstractNumId w:val="0"/>
  </w:num>
  <w:num w:numId="2">
    <w:abstractNumId w:val="1"/>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3278"/>
    <w:rsid w:val="00021B45"/>
    <w:rsid w:val="0003222E"/>
    <w:rsid w:val="0003332C"/>
    <w:rsid w:val="0003374F"/>
    <w:rsid w:val="00044E7D"/>
    <w:rsid w:val="000570BC"/>
    <w:rsid w:val="00063A0F"/>
    <w:rsid w:val="000704F2"/>
    <w:rsid w:val="0007088C"/>
    <w:rsid w:val="0007254E"/>
    <w:rsid w:val="00081315"/>
    <w:rsid w:val="00082D97"/>
    <w:rsid w:val="0008371B"/>
    <w:rsid w:val="00095A15"/>
    <w:rsid w:val="000A1D3B"/>
    <w:rsid w:val="000A26A7"/>
    <w:rsid w:val="000B0C92"/>
    <w:rsid w:val="000B22E6"/>
    <w:rsid w:val="000B2911"/>
    <w:rsid w:val="000C38CF"/>
    <w:rsid w:val="000C7F9C"/>
    <w:rsid w:val="000E2DF7"/>
    <w:rsid w:val="000F7521"/>
    <w:rsid w:val="001016AC"/>
    <w:rsid w:val="00101C26"/>
    <w:rsid w:val="00102538"/>
    <w:rsid w:val="00104FBF"/>
    <w:rsid w:val="00106826"/>
    <w:rsid w:val="0011301C"/>
    <w:rsid w:val="00133DE1"/>
    <w:rsid w:val="0014199F"/>
    <w:rsid w:val="00146874"/>
    <w:rsid w:val="00151F0D"/>
    <w:rsid w:val="001611B1"/>
    <w:rsid w:val="00163EA0"/>
    <w:rsid w:val="0016551A"/>
    <w:rsid w:val="00167637"/>
    <w:rsid w:val="00174981"/>
    <w:rsid w:val="00177A72"/>
    <w:rsid w:val="00183FC9"/>
    <w:rsid w:val="0018405E"/>
    <w:rsid w:val="001911B4"/>
    <w:rsid w:val="001927E9"/>
    <w:rsid w:val="00194B9C"/>
    <w:rsid w:val="001B4C29"/>
    <w:rsid w:val="001B62E4"/>
    <w:rsid w:val="001C050A"/>
    <w:rsid w:val="001D31D7"/>
    <w:rsid w:val="001D3CA9"/>
    <w:rsid w:val="001D6B86"/>
    <w:rsid w:val="001E367C"/>
    <w:rsid w:val="002043AB"/>
    <w:rsid w:val="00204EDA"/>
    <w:rsid w:val="002058FC"/>
    <w:rsid w:val="002208F2"/>
    <w:rsid w:val="0022496C"/>
    <w:rsid w:val="00232B8F"/>
    <w:rsid w:val="00235FF0"/>
    <w:rsid w:val="00236F9A"/>
    <w:rsid w:val="00243C2B"/>
    <w:rsid w:val="0024725F"/>
    <w:rsid w:val="002508B9"/>
    <w:rsid w:val="00252979"/>
    <w:rsid w:val="002635EC"/>
    <w:rsid w:val="0026427B"/>
    <w:rsid w:val="00266EA7"/>
    <w:rsid w:val="00267249"/>
    <w:rsid w:val="00273DDF"/>
    <w:rsid w:val="002818D0"/>
    <w:rsid w:val="00285673"/>
    <w:rsid w:val="00287753"/>
    <w:rsid w:val="00295C91"/>
    <w:rsid w:val="002A3E67"/>
    <w:rsid w:val="002A559A"/>
    <w:rsid w:val="002A7F34"/>
    <w:rsid w:val="002B22C3"/>
    <w:rsid w:val="002B4153"/>
    <w:rsid w:val="002B5F96"/>
    <w:rsid w:val="002B711F"/>
    <w:rsid w:val="002C0746"/>
    <w:rsid w:val="002C5F97"/>
    <w:rsid w:val="002C7AC5"/>
    <w:rsid w:val="002D1F60"/>
    <w:rsid w:val="002D1FD9"/>
    <w:rsid w:val="002D6911"/>
    <w:rsid w:val="002D6E04"/>
    <w:rsid w:val="002E1AA1"/>
    <w:rsid w:val="002E4857"/>
    <w:rsid w:val="002F6A17"/>
    <w:rsid w:val="0030566C"/>
    <w:rsid w:val="00310712"/>
    <w:rsid w:val="003151C8"/>
    <w:rsid w:val="003159E8"/>
    <w:rsid w:val="00316200"/>
    <w:rsid w:val="00316650"/>
    <w:rsid w:val="00325BF3"/>
    <w:rsid w:val="00326649"/>
    <w:rsid w:val="003311EE"/>
    <w:rsid w:val="0033603F"/>
    <w:rsid w:val="00341131"/>
    <w:rsid w:val="00342C54"/>
    <w:rsid w:val="00346927"/>
    <w:rsid w:val="00357B9D"/>
    <w:rsid w:val="00361C7F"/>
    <w:rsid w:val="003644DF"/>
    <w:rsid w:val="00366550"/>
    <w:rsid w:val="0037094A"/>
    <w:rsid w:val="00381E96"/>
    <w:rsid w:val="003837F4"/>
    <w:rsid w:val="00386F56"/>
    <w:rsid w:val="00386FCB"/>
    <w:rsid w:val="00387086"/>
    <w:rsid w:val="003A18CF"/>
    <w:rsid w:val="003A3C4A"/>
    <w:rsid w:val="003A3E5C"/>
    <w:rsid w:val="003A44A2"/>
    <w:rsid w:val="003A6B70"/>
    <w:rsid w:val="003B0958"/>
    <w:rsid w:val="003B12C2"/>
    <w:rsid w:val="003B1BFC"/>
    <w:rsid w:val="003B310A"/>
    <w:rsid w:val="003B7C7D"/>
    <w:rsid w:val="003C0166"/>
    <w:rsid w:val="003C10B0"/>
    <w:rsid w:val="003C2FC5"/>
    <w:rsid w:val="003C59E3"/>
    <w:rsid w:val="003C5CF6"/>
    <w:rsid w:val="003C7B6C"/>
    <w:rsid w:val="003E0111"/>
    <w:rsid w:val="003E6379"/>
    <w:rsid w:val="003F2EE5"/>
    <w:rsid w:val="004110F6"/>
    <w:rsid w:val="004115C5"/>
    <w:rsid w:val="00411AA1"/>
    <w:rsid w:val="004126A5"/>
    <w:rsid w:val="00423EA1"/>
    <w:rsid w:val="004250C4"/>
    <w:rsid w:val="004307BD"/>
    <w:rsid w:val="00432ABF"/>
    <w:rsid w:val="0043675C"/>
    <w:rsid w:val="004412BC"/>
    <w:rsid w:val="0044313C"/>
    <w:rsid w:val="0044789D"/>
    <w:rsid w:val="00452821"/>
    <w:rsid w:val="0046182E"/>
    <w:rsid w:val="004620BF"/>
    <w:rsid w:val="00466C3B"/>
    <w:rsid w:val="00467A91"/>
    <w:rsid w:val="0048178F"/>
    <w:rsid w:val="00482D87"/>
    <w:rsid w:val="004A14DE"/>
    <w:rsid w:val="004B4D26"/>
    <w:rsid w:val="004B588B"/>
    <w:rsid w:val="004C5332"/>
    <w:rsid w:val="004C7588"/>
    <w:rsid w:val="004D02BA"/>
    <w:rsid w:val="004D3AD0"/>
    <w:rsid w:val="004D4858"/>
    <w:rsid w:val="004D5828"/>
    <w:rsid w:val="004E00EA"/>
    <w:rsid w:val="004E3677"/>
    <w:rsid w:val="004E5B1B"/>
    <w:rsid w:val="004E6CA6"/>
    <w:rsid w:val="00503030"/>
    <w:rsid w:val="0050685D"/>
    <w:rsid w:val="00507DCB"/>
    <w:rsid w:val="00510EF5"/>
    <w:rsid w:val="005147D5"/>
    <w:rsid w:val="0051511B"/>
    <w:rsid w:val="005151D8"/>
    <w:rsid w:val="00515441"/>
    <w:rsid w:val="00526CE6"/>
    <w:rsid w:val="0053045E"/>
    <w:rsid w:val="005314E0"/>
    <w:rsid w:val="00533037"/>
    <w:rsid w:val="00535E74"/>
    <w:rsid w:val="00542F53"/>
    <w:rsid w:val="005506E0"/>
    <w:rsid w:val="00557F9A"/>
    <w:rsid w:val="005627D3"/>
    <w:rsid w:val="00566663"/>
    <w:rsid w:val="0056742C"/>
    <w:rsid w:val="00575354"/>
    <w:rsid w:val="0058296A"/>
    <w:rsid w:val="00590B22"/>
    <w:rsid w:val="005A08DF"/>
    <w:rsid w:val="005A2FB7"/>
    <w:rsid w:val="005A7A7E"/>
    <w:rsid w:val="005B1B68"/>
    <w:rsid w:val="005B7095"/>
    <w:rsid w:val="005C07CA"/>
    <w:rsid w:val="005C7498"/>
    <w:rsid w:val="005E07C7"/>
    <w:rsid w:val="005F1537"/>
    <w:rsid w:val="005F1FAF"/>
    <w:rsid w:val="005F25A8"/>
    <w:rsid w:val="005F6FF8"/>
    <w:rsid w:val="00601A88"/>
    <w:rsid w:val="00602787"/>
    <w:rsid w:val="00617701"/>
    <w:rsid w:val="00624733"/>
    <w:rsid w:val="00632A98"/>
    <w:rsid w:val="006368DA"/>
    <w:rsid w:val="00643B9F"/>
    <w:rsid w:val="0065331C"/>
    <w:rsid w:val="00657B43"/>
    <w:rsid w:val="006608D2"/>
    <w:rsid w:val="00662101"/>
    <w:rsid w:val="006624CB"/>
    <w:rsid w:val="0066349E"/>
    <w:rsid w:val="006662AF"/>
    <w:rsid w:val="00667812"/>
    <w:rsid w:val="0067159E"/>
    <w:rsid w:val="006724E0"/>
    <w:rsid w:val="0067358F"/>
    <w:rsid w:val="0067644D"/>
    <w:rsid w:val="00685DAF"/>
    <w:rsid w:val="0068798F"/>
    <w:rsid w:val="006919AB"/>
    <w:rsid w:val="006927C5"/>
    <w:rsid w:val="006A0EBD"/>
    <w:rsid w:val="006A54FE"/>
    <w:rsid w:val="006A6304"/>
    <w:rsid w:val="006B0D26"/>
    <w:rsid w:val="006C3ABA"/>
    <w:rsid w:val="006C7D5F"/>
    <w:rsid w:val="006D21A9"/>
    <w:rsid w:val="006D41D9"/>
    <w:rsid w:val="006D62F2"/>
    <w:rsid w:val="006E02B6"/>
    <w:rsid w:val="006E3711"/>
    <w:rsid w:val="006E65A8"/>
    <w:rsid w:val="00703737"/>
    <w:rsid w:val="007038B4"/>
    <w:rsid w:val="00707C78"/>
    <w:rsid w:val="007158B0"/>
    <w:rsid w:val="00716081"/>
    <w:rsid w:val="00722630"/>
    <w:rsid w:val="0072552B"/>
    <w:rsid w:val="0072569B"/>
    <w:rsid w:val="00730113"/>
    <w:rsid w:val="007334B9"/>
    <w:rsid w:val="007364E8"/>
    <w:rsid w:val="007410F3"/>
    <w:rsid w:val="00741BE2"/>
    <w:rsid w:val="007459C4"/>
    <w:rsid w:val="0074753B"/>
    <w:rsid w:val="00755DB2"/>
    <w:rsid w:val="00763D22"/>
    <w:rsid w:val="00775431"/>
    <w:rsid w:val="00783950"/>
    <w:rsid w:val="007839F3"/>
    <w:rsid w:val="0079361A"/>
    <w:rsid w:val="00793F89"/>
    <w:rsid w:val="007947C8"/>
    <w:rsid w:val="00797674"/>
    <w:rsid w:val="007A3A3A"/>
    <w:rsid w:val="007B5814"/>
    <w:rsid w:val="007B61D8"/>
    <w:rsid w:val="007C2FC8"/>
    <w:rsid w:val="007C4840"/>
    <w:rsid w:val="007C7585"/>
    <w:rsid w:val="007E403C"/>
    <w:rsid w:val="007E64DE"/>
    <w:rsid w:val="007F5A5A"/>
    <w:rsid w:val="008063ED"/>
    <w:rsid w:val="00807A5D"/>
    <w:rsid w:val="008228B5"/>
    <w:rsid w:val="00834803"/>
    <w:rsid w:val="00842678"/>
    <w:rsid w:val="008449C5"/>
    <w:rsid w:val="00845924"/>
    <w:rsid w:val="00847E92"/>
    <w:rsid w:val="00851B43"/>
    <w:rsid w:val="00851D8D"/>
    <w:rsid w:val="00860C4E"/>
    <w:rsid w:val="00864ECA"/>
    <w:rsid w:val="0087217E"/>
    <w:rsid w:val="00875314"/>
    <w:rsid w:val="00893F46"/>
    <w:rsid w:val="00897B62"/>
    <w:rsid w:val="008A112A"/>
    <w:rsid w:val="008A200B"/>
    <w:rsid w:val="008A65D2"/>
    <w:rsid w:val="008B1882"/>
    <w:rsid w:val="008B1A86"/>
    <w:rsid w:val="008C641B"/>
    <w:rsid w:val="008C67A3"/>
    <w:rsid w:val="008C727F"/>
    <w:rsid w:val="008D04F7"/>
    <w:rsid w:val="008D2A83"/>
    <w:rsid w:val="008E31EF"/>
    <w:rsid w:val="008E562C"/>
    <w:rsid w:val="008E6A0E"/>
    <w:rsid w:val="008E7CC2"/>
    <w:rsid w:val="008F1A67"/>
    <w:rsid w:val="008F1AED"/>
    <w:rsid w:val="008F6EC1"/>
    <w:rsid w:val="00903F7E"/>
    <w:rsid w:val="00911782"/>
    <w:rsid w:val="00923649"/>
    <w:rsid w:val="009261BE"/>
    <w:rsid w:val="0092798A"/>
    <w:rsid w:val="0093059D"/>
    <w:rsid w:val="00935558"/>
    <w:rsid w:val="00937742"/>
    <w:rsid w:val="00940A0D"/>
    <w:rsid w:val="00941074"/>
    <w:rsid w:val="009444CC"/>
    <w:rsid w:val="00945DA3"/>
    <w:rsid w:val="00946CB6"/>
    <w:rsid w:val="00947013"/>
    <w:rsid w:val="009559B5"/>
    <w:rsid w:val="009560B3"/>
    <w:rsid w:val="00970232"/>
    <w:rsid w:val="0097447B"/>
    <w:rsid w:val="0098219B"/>
    <w:rsid w:val="00987555"/>
    <w:rsid w:val="00987B57"/>
    <w:rsid w:val="00990139"/>
    <w:rsid w:val="009908B4"/>
    <w:rsid w:val="00992D90"/>
    <w:rsid w:val="00993A05"/>
    <w:rsid w:val="009A07DF"/>
    <w:rsid w:val="009B5B24"/>
    <w:rsid w:val="009C0A12"/>
    <w:rsid w:val="009C3888"/>
    <w:rsid w:val="009D33A6"/>
    <w:rsid w:val="009E12A3"/>
    <w:rsid w:val="009F4F50"/>
    <w:rsid w:val="00A05876"/>
    <w:rsid w:val="00A203C4"/>
    <w:rsid w:val="00A33D39"/>
    <w:rsid w:val="00A35CE0"/>
    <w:rsid w:val="00A37094"/>
    <w:rsid w:val="00A41F20"/>
    <w:rsid w:val="00A467EF"/>
    <w:rsid w:val="00A5063C"/>
    <w:rsid w:val="00A63BEB"/>
    <w:rsid w:val="00A6519D"/>
    <w:rsid w:val="00A66C71"/>
    <w:rsid w:val="00A71FB6"/>
    <w:rsid w:val="00A8003A"/>
    <w:rsid w:val="00A81C1D"/>
    <w:rsid w:val="00A861D8"/>
    <w:rsid w:val="00A87965"/>
    <w:rsid w:val="00A9536A"/>
    <w:rsid w:val="00A97332"/>
    <w:rsid w:val="00AA0E83"/>
    <w:rsid w:val="00AA25B2"/>
    <w:rsid w:val="00AA361E"/>
    <w:rsid w:val="00AA6755"/>
    <w:rsid w:val="00AA6DC7"/>
    <w:rsid w:val="00AB0A0E"/>
    <w:rsid w:val="00AB296E"/>
    <w:rsid w:val="00AC5E9D"/>
    <w:rsid w:val="00AC7FF4"/>
    <w:rsid w:val="00AD0570"/>
    <w:rsid w:val="00AD1F13"/>
    <w:rsid w:val="00AD21EF"/>
    <w:rsid w:val="00AD2D1A"/>
    <w:rsid w:val="00AD35F4"/>
    <w:rsid w:val="00AD4F95"/>
    <w:rsid w:val="00AD5474"/>
    <w:rsid w:val="00AD65E8"/>
    <w:rsid w:val="00AE1728"/>
    <w:rsid w:val="00AE7143"/>
    <w:rsid w:val="00AE7602"/>
    <w:rsid w:val="00AF3840"/>
    <w:rsid w:val="00B242A6"/>
    <w:rsid w:val="00B268C9"/>
    <w:rsid w:val="00B31462"/>
    <w:rsid w:val="00B32AB4"/>
    <w:rsid w:val="00B3615D"/>
    <w:rsid w:val="00B64ADD"/>
    <w:rsid w:val="00B7017B"/>
    <w:rsid w:val="00B81F77"/>
    <w:rsid w:val="00B846ED"/>
    <w:rsid w:val="00B8590B"/>
    <w:rsid w:val="00B85ADE"/>
    <w:rsid w:val="00B97ED9"/>
    <w:rsid w:val="00BA3BEF"/>
    <w:rsid w:val="00BA7D7E"/>
    <w:rsid w:val="00BB0654"/>
    <w:rsid w:val="00BB2226"/>
    <w:rsid w:val="00BB312F"/>
    <w:rsid w:val="00BB36C9"/>
    <w:rsid w:val="00BC00B0"/>
    <w:rsid w:val="00BC1BB4"/>
    <w:rsid w:val="00BC231D"/>
    <w:rsid w:val="00BD0174"/>
    <w:rsid w:val="00BE5861"/>
    <w:rsid w:val="00BE700A"/>
    <w:rsid w:val="00BF07CE"/>
    <w:rsid w:val="00BF3824"/>
    <w:rsid w:val="00BF4057"/>
    <w:rsid w:val="00BF55EA"/>
    <w:rsid w:val="00BF6BF5"/>
    <w:rsid w:val="00C01D4F"/>
    <w:rsid w:val="00C066B6"/>
    <w:rsid w:val="00C10A41"/>
    <w:rsid w:val="00C118DB"/>
    <w:rsid w:val="00C1225A"/>
    <w:rsid w:val="00C14E80"/>
    <w:rsid w:val="00C169B1"/>
    <w:rsid w:val="00C21D31"/>
    <w:rsid w:val="00C340DC"/>
    <w:rsid w:val="00C43EA1"/>
    <w:rsid w:val="00C44207"/>
    <w:rsid w:val="00C50707"/>
    <w:rsid w:val="00C51413"/>
    <w:rsid w:val="00C54BDC"/>
    <w:rsid w:val="00C55409"/>
    <w:rsid w:val="00C6034D"/>
    <w:rsid w:val="00C63EC7"/>
    <w:rsid w:val="00C66678"/>
    <w:rsid w:val="00C67D73"/>
    <w:rsid w:val="00C739DB"/>
    <w:rsid w:val="00C74761"/>
    <w:rsid w:val="00C75E13"/>
    <w:rsid w:val="00C80511"/>
    <w:rsid w:val="00C83618"/>
    <w:rsid w:val="00C877DD"/>
    <w:rsid w:val="00C90D4C"/>
    <w:rsid w:val="00C95D7C"/>
    <w:rsid w:val="00C96260"/>
    <w:rsid w:val="00C96B9A"/>
    <w:rsid w:val="00CA12A1"/>
    <w:rsid w:val="00CA1E3D"/>
    <w:rsid w:val="00CA3BF8"/>
    <w:rsid w:val="00CA442B"/>
    <w:rsid w:val="00CA6ACC"/>
    <w:rsid w:val="00CB0CB2"/>
    <w:rsid w:val="00CB35E7"/>
    <w:rsid w:val="00CB63EA"/>
    <w:rsid w:val="00CB77B4"/>
    <w:rsid w:val="00CB7F0D"/>
    <w:rsid w:val="00CC0ECD"/>
    <w:rsid w:val="00CC158D"/>
    <w:rsid w:val="00CC1F1D"/>
    <w:rsid w:val="00CC301A"/>
    <w:rsid w:val="00CC38E6"/>
    <w:rsid w:val="00CC6FCA"/>
    <w:rsid w:val="00CD4E1B"/>
    <w:rsid w:val="00CD50E1"/>
    <w:rsid w:val="00CD5954"/>
    <w:rsid w:val="00CE21D2"/>
    <w:rsid w:val="00CE5F9F"/>
    <w:rsid w:val="00CF0044"/>
    <w:rsid w:val="00CF7CC1"/>
    <w:rsid w:val="00D0240C"/>
    <w:rsid w:val="00D027F8"/>
    <w:rsid w:val="00D033C4"/>
    <w:rsid w:val="00D225DB"/>
    <w:rsid w:val="00D26FDF"/>
    <w:rsid w:val="00D30CAD"/>
    <w:rsid w:val="00D310FA"/>
    <w:rsid w:val="00D508B5"/>
    <w:rsid w:val="00D508C1"/>
    <w:rsid w:val="00D5206E"/>
    <w:rsid w:val="00D6300E"/>
    <w:rsid w:val="00D75F61"/>
    <w:rsid w:val="00D76A1F"/>
    <w:rsid w:val="00D813D6"/>
    <w:rsid w:val="00D93CAE"/>
    <w:rsid w:val="00D97397"/>
    <w:rsid w:val="00DA3694"/>
    <w:rsid w:val="00DA7CDD"/>
    <w:rsid w:val="00DB3839"/>
    <w:rsid w:val="00DB3FC8"/>
    <w:rsid w:val="00DB4070"/>
    <w:rsid w:val="00DB4F96"/>
    <w:rsid w:val="00DB7092"/>
    <w:rsid w:val="00DC0386"/>
    <w:rsid w:val="00DD6A2C"/>
    <w:rsid w:val="00DE1D6B"/>
    <w:rsid w:val="00DE7926"/>
    <w:rsid w:val="00DE7E61"/>
    <w:rsid w:val="00E0113B"/>
    <w:rsid w:val="00E01947"/>
    <w:rsid w:val="00E12D4B"/>
    <w:rsid w:val="00E142CA"/>
    <w:rsid w:val="00E210D3"/>
    <w:rsid w:val="00E230D7"/>
    <w:rsid w:val="00E334D9"/>
    <w:rsid w:val="00E45515"/>
    <w:rsid w:val="00E4607C"/>
    <w:rsid w:val="00E4636A"/>
    <w:rsid w:val="00E4675F"/>
    <w:rsid w:val="00E51128"/>
    <w:rsid w:val="00E611D1"/>
    <w:rsid w:val="00E61FE5"/>
    <w:rsid w:val="00E63C65"/>
    <w:rsid w:val="00E641F2"/>
    <w:rsid w:val="00E70761"/>
    <w:rsid w:val="00E70876"/>
    <w:rsid w:val="00E75E18"/>
    <w:rsid w:val="00E8149C"/>
    <w:rsid w:val="00E85920"/>
    <w:rsid w:val="00E93A1B"/>
    <w:rsid w:val="00E95842"/>
    <w:rsid w:val="00EB119E"/>
    <w:rsid w:val="00EC0D6D"/>
    <w:rsid w:val="00EC1D1F"/>
    <w:rsid w:val="00EC27B4"/>
    <w:rsid w:val="00EC37D8"/>
    <w:rsid w:val="00ED0FE3"/>
    <w:rsid w:val="00ED1BEF"/>
    <w:rsid w:val="00ED707D"/>
    <w:rsid w:val="00EE0175"/>
    <w:rsid w:val="00EE3159"/>
    <w:rsid w:val="00EF7FB3"/>
    <w:rsid w:val="00F008DA"/>
    <w:rsid w:val="00F024F9"/>
    <w:rsid w:val="00F12F57"/>
    <w:rsid w:val="00F1709C"/>
    <w:rsid w:val="00F219B2"/>
    <w:rsid w:val="00F22947"/>
    <w:rsid w:val="00F23525"/>
    <w:rsid w:val="00F245CE"/>
    <w:rsid w:val="00F3074F"/>
    <w:rsid w:val="00F31137"/>
    <w:rsid w:val="00F4131F"/>
    <w:rsid w:val="00F44521"/>
    <w:rsid w:val="00F45DC4"/>
    <w:rsid w:val="00F549F8"/>
    <w:rsid w:val="00F6589A"/>
    <w:rsid w:val="00F76D30"/>
    <w:rsid w:val="00F82C7C"/>
    <w:rsid w:val="00F8303E"/>
    <w:rsid w:val="00F83346"/>
    <w:rsid w:val="00F8691D"/>
    <w:rsid w:val="00F9263C"/>
    <w:rsid w:val="00F93141"/>
    <w:rsid w:val="00FA1622"/>
    <w:rsid w:val="00FC1F5F"/>
    <w:rsid w:val="00FC2AE9"/>
    <w:rsid w:val="00FC6413"/>
    <w:rsid w:val="00FD540E"/>
    <w:rsid w:val="00FD552C"/>
    <w:rsid w:val="00FE36D1"/>
    <w:rsid w:val="00FE4256"/>
    <w:rsid w:val="00FE6B1B"/>
    <w:rsid w:val="00FF0A08"/>
    <w:rsid w:val="00FF3E80"/>
    <w:rsid w:val="00FF4B42"/>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606267C4"/>
  <w15:docId w15:val="{82E1FB25-8BA2-4C52-8327-9ECD7BE75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C21D31"/>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FootnoteText1"/>
    <w:link w:val="FootnoteTextChar"/>
    <w:unhideWhenUsed/>
    <w:qFormat/>
    <w:rsid w:val="00CB63EA"/>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rsid w:val="00CB63EA"/>
    <w:rPr>
      <w:rFonts w:ascii="Times New Roman" w:hAnsi="Times New Roman"/>
      <w:szCs w:val="22"/>
      <w:lang w:val="en-ZA"/>
    </w:rPr>
  </w:style>
  <w:style w:type="character" w:styleId="FootnoteReference">
    <w:name w:val="footnote reference"/>
    <w:aliases w:val="Footnote Reference + Superscript,Footnotes refss,Appel note de bas de page,Ref,de nota al pie,註腳內容,(NECG) Footnote Reference,fr,Footnote symbol,Footnote,Style 4,-E Fußnotenzeichen,16 Point,Superscript 6 Point,Heading 6 Char1"/>
    <w:basedOn w:val="DefaultParagraphFont"/>
    <w:uiPriority w:val="99"/>
    <w:unhideWhenUsed/>
    <w:qFormat/>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paragraph" w:customStyle="1" w:styleId="BODYLIST">
    <w:name w:val="BODY LIST"/>
    <w:basedOn w:val="BODYNON-NUMBERED"/>
    <w:link w:val="BODYLISTChar"/>
    <w:qFormat/>
    <w:rsid w:val="00EE0175"/>
    <w:pPr>
      <w:numPr>
        <w:numId w:val="2"/>
      </w:numPr>
    </w:pPr>
  </w:style>
  <w:style w:type="character" w:customStyle="1" w:styleId="BODYLISTChar">
    <w:name w:val="BODY LIST Char"/>
    <w:basedOn w:val="DefaultParagraphFont"/>
    <w:link w:val="BODYLIST"/>
    <w:rsid w:val="00EE0175"/>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044E7D"/>
    <w:rPr>
      <w:sz w:val="16"/>
      <w:szCs w:val="16"/>
    </w:rPr>
  </w:style>
  <w:style w:type="paragraph" w:styleId="CommentText">
    <w:name w:val="annotation text"/>
    <w:basedOn w:val="Normal"/>
    <w:link w:val="CommentTextChar"/>
    <w:uiPriority w:val="99"/>
    <w:unhideWhenUsed/>
    <w:rsid w:val="00044E7D"/>
    <w:pPr>
      <w:spacing w:line="240" w:lineRule="auto"/>
    </w:pPr>
    <w:rPr>
      <w:sz w:val="20"/>
      <w:szCs w:val="20"/>
    </w:rPr>
  </w:style>
  <w:style w:type="character" w:customStyle="1" w:styleId="CommentTextChar">
    <w:name w:val="Comment Text Char"/>
    <w:basedOn w:val="DefaultParagraphFont"/>
    <w:link w:val="CommentText"/>
    <w:uiPriority w:val="99"/>
    <w:rsid w:val="00044E7D"/>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044E7D"/>
    <w:rPr>
      <w:b/>
      <w:bCs/>
    </w:rPr>
  </w:style>
  <w:style w:type="character" w:customStyle="1" w:styleId="CommentSubjectChar">
    <w:name w:val="Comment Subject Char"/>
    <w:basedOn w:val="CommentTextChar"/>
    <w:link w:val="CommentSubject"/>
    <w:uiPriority w:val="99"/>
    <w:semiHidden/>
    <w:rsid w:val="00044E7D"/>
    <w:rPr>
      <w:rFonts w:ascii="Times New Roman" w:hAnsi="Times New Roman"/>
      <w:b/>
      <w:bCs/>
      <w:lang w:val="en-ZA"/>
    </w:rPr>
  </w:style>
  <w:style w:type="character" w:styleId="Hyperlink">
    <w:name w:val="Hyperlink"/>
    <w:basedOn w:val="DefaultParagraphFont"/>
    <w:uiPriority w:val="99"/>
    <w:unhideWhenUsed/>
    <w:rsid w:val="00CD5954"/>
    <w:rPr>
      <w:color w:val="0000FF" w:themeColor="hyperlink"/>
      <w:u w:val="single"/>
    </w:rPr>
  </w:style>
  <w:style w:type="character" w:styleId="FollowedHyperlink">
    <w:name w:val="FollowedHyperlink"/>
    <w:basedOn w:val="DefaultParagraphFont"/>
    <w:uiPriority w:val="99"/>
    <w:semiHidden/>
    <w:unhideWhenUsed/>
    <w:rsid w:val="00CD5954"/>
    <w:rPr>
      <w:color w:val="800080" w:themeColor="followedHyperlink"/>
      <w:u w:val="single"/>
    </w:rPr>
  </w:style>
  <w:style w:type="character" w:styleId="Emphasis">
    <w:name w:val="Emphasis"/>
    <w:basedOn w:val="DefaultParagraphFont"/>
    <w:uiPriority w:val="20"/>
    <w:qFormat/>
    <w:rsid w:val="0018405E"/>
    <w:rPr>
      <w:i/>
      <w:iCs/>
    </w:rPr>
  </w:style>
  <w:style w:type="character" w:customStyle="1" w:styleId="Heading2Char">
    <w:name w:val="Heading 2 Char"/>
    <w:basedOn w:val="DefaultParagraphFont"/>
    <w:link w:val="Heading2"/>
    <w:uiPriority w:val="9"/>
    <w:semiHidden/>
    <w:rsid w:val="00C21D31"/>
    <w:rPr>
      <w:rFonts w:asciiTheme="majorHAnsi" w:eastAsiaTheme="majorEastAsia" w:hAnsiTheme="majorHAnsi" w:cstheme="majorBidi"/>
      <w:color w:val="365F91" w:themeColor="accent1" w:themeShade="BF"/>
      <w:sz w:val="26"/>
      <w:szCs w:val="26"/>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1582185">
      <w:bodyDiv w:val="1"/>
      <w:marLeft w:val="0"/>
      <w:marRight w:val="0"/>
      <w:marTop w:val="0"/>
      <w:marBottom w:val="0"/>
      <w:divBdr>
        <w:top w:val="none" w:sz="0" w:space="0" w:color="auto"/>
        <w:left w:val="none" w:sz="0" w:space="0" w:color="auto"/>
        <w:bottom w:val="none" w:sz="0" w:space="0" w:color="auto"/>
        <w:right w:val="none" w:sz="0" w:space="0" w:color="auto"/>
      </w:divBdr>
    </w:div>
    <w:div w:id="71975346">
      <w:bodyDiv w:val="1"/>
      <w:marLeft w:val="0"/>
      <w:marRight w:val="0"/>
      <w:marTop w:val="0"/>
      <w:marBottom w:val="0"/>
      <w:divBdr>
        <w:top w:val="none" w:sz="0" w:space="0" w:color="auto"/>
        <w:left w:val="none" w:sz="0" w:space="0" w:color="auto"/>
        <w:bottom w:val="none" w:sz="0" w:space="0" w:color="auto"/>
        <w:right w:val="none" w:sz="0" w:space="0" w:color="auto"/>
      </w:divBdr>
    </w:div>
    <w:div w:id="831339544">
      <w:bodyDiv w:val="1"/>
      <w:marLeft w:val="0"/>
      <w:marRight w:val="0"/>
      <w:marTop w:val="0"/>
      <w:marBottom w:val="0"/>
      <w:divBdr>
        <w:top w:val="none" w:sz="0" w:space="0" w:color="auto"/>
        <w:left w:val="none" w:sz="0" w:space="0" w:color="auto"/>
        <w:bottom w:val="none" w:sz="0" w:space="0" w:color="auto"/>
        <w:right w:val="none" w:sz="0" w:space="0" w:color="auto"/>
      </w:divBdr>
    </w:div>
    <w:div w:id="846021456">
      <w:bodyDiv w:val="1"/>
      <w:marLeft w:val="0"/>
      <w:marRight w:val="0"/>
      <w:marTop w:val="0"/>
      <w:marBottom w:val="0"/>
      <w:divBdr>
        <w:top w:val="none" w:sz="0" w:space="0" w:color="auto"/>
        <w:left w:val="none" w:sz="0" w:space="0" w:color="auto"/>
        <w:bottom w:val="none" w:sz="0" w:space="0" w:color="auto"/>
        <w:right w:val="none" w:sz="0" w:space="0" w:color="auto"/>
      </w:divBdr>
    </w:div>
    <w:div w:id="927881675">
      <w:bodyDiv w:val="1"/>
      <w:marLeft w:val="0"/>
      <w:marRight w:val="0"/>
      <w:marTop w:val="0"/>
      <w:marBottom w:val="0"/>
      <w:divBdr>
        <w:top w:val="none" w:sz="0" w:space="0" w:color="auto"/>
        <w:left w:val="none" w:sz="0" w:space="0" w:color="auto"/>
        <w:bottom w:val="none" w:sz="0" w:space="0" w:color="auto"/>
        <w:right w:val="none" w:sz="0" w:space="0" w:color="auto"/>
      </w:divBdr>
    </w:div>
    <w:div w:id="1226338261">
      <w:bodyDiv w:val="1"/>
      <w:marLeft w:val="0"/>
      <w:marRight w:val="0"/>
      <w:marTop w:val="0"/>
      <w:marBottom w:val="0"/>
      <w:divBdr>
        <w:top w:val="none" w:sz="0" w:space="0" w:color="auto"/>
        <w:left w:val="none" w:sz="0" w:space="0" w:color="auto"/>
        <w:bottom w:val="none" w:sz="0" w:space="0" w:color="auto"/>
        <w:right w:val="none" w:sz="0" w:space="0" w:color="auto"/>
      </w:divBdr>
    </w:div>
    <w:div w:id="1465809167">
      <w:bodyDiv w:val="1"/>
      <w:marLeft w:val="0"/>
      <w:marRight w:val="0"/>
      <w:marTop w:val="0"/>
      <w:marBottom w:val="0"/>
      <w:divBdr>
        <w:top w:val="none" w:sz="0" w:space="0" w:color="auto"/>
        <w:left w:val="none" w:sz="0" w:space="0" w:color="auto"/>
        <w:bottom w:val="none" w:sz="0" w:space="0" w:color="auto"/>
        <w:right w:val="none" w:sz="0" w:space="0" w:color="auto"/>
      </w:divBdr>
    </w:div>
    <w:div w:id="1844319360">
      <w:bodyDiv w:val="1"/>
      <w:marLeft w:val="0"/>
      <w:marRight w:val="0"/>
      <w:marTop w:val="0"/>
      <w:marBottom w:val="0"/>
      <w:divBdr>
        <w:top w:val="none" w:sz="0" w:space="0" w:color="auto"/>
        <w:left w:val="none" w:sz="0" w:space="0" w:color="auto"/>
        <w:bottom w:val="none" w:sz="0" w:space="0" w:color="auto"/>
        <w:right w:val="none" w:sz="0" w:space="0" w:color="auto"/>
      </w:divBdr>
      <w:divsChild>
        <w:div w:id="534927123">
          <w:marLeft w:val="0"/>
          <w:marRight w:val="0"/>
          <w:marTop w:val="240"/>
          <w:marBottom w:val="0"/>
          <w:divBdr>
            <w:top w:val="none" w:sz="0" w:space="0" w:color="auto"/>
            <w:left w:val="none" w:sz="0" w:space="0" w:color="auto"/>
            <w:bottom w:val="none" w:sz="0" w:space="0" w:color="auto"/>
            <w:right w:val="none" w:sz="0" w:space="0" w:color="auto"/>
          </w:divBdr>
        </w:div>
        <w:div w:id="503668133">
          <w:marLeft w:val="0"/>
          <w:marRight w:val="0"/>
          <w:marTop w:val="120"/>
          <w:marBottom w:val="0"/>
          <w:divBdr>
            <w:top w:val="none" w:sz="0" w:space="0" w:color="auto"/>
            <w:left w:val="none" w:sz="0" w:space="0" w:color="auto"/>
            <w:bottom w:val="none" w:sz="0" w:space="0" w:color="auto"/>
            <w:right w:val="none" w:sz="0" w:space="0" w:color="auto"/>
          </w:divBdr>
        </w:div>
        <w:div w:id="924150212">
          <w:marLeft w:val="1134"/>
          <w:marRight w:val="0"/>
          <w:marTop w:val="60"/>
          <w:marBottom w:val="0"/>
          <w:divBdr>
            <w:top w:val="none" w:sz="0" w:space="0" w:color="auto"/>
            <w:left w:val="none" w:sz="0" w:space="0" w:color="auto"/>
            <w:bottom w:val="none" w:sz="0" w:space="0" w:color="auto"/>
            <w:right w:val="none" w:sz="0" w:space="0" w:color="auto"/>
          </w:divBdr>
        </w:div>
        <w:div w:id="988632472">
          <w:marLeft w:val="567"/>
          <w:marRight w:val="567"/>
          <w:marTop w:val="20"/>
          <w:marBottom w:val="20"/>
          <w:divBdr>
            <w:top w:val="none" w:sz="0" w:space="0" w:color="auto"/>
            <w:left w:val="none" w:sz="0" w:space="0" w:color="auto"/>
            <w:bottom w:val="none" w:sz="0" w:space="0" w:color="auto"/>
            <w:right w:val="none" w:sz="0" w:space="0" w:color="auto"/>
          </w:divBdr>
        </w:div>
        <w:div w:id="1142961180">
          <w:marLeft w:val="1985"/>
          <w:marRight w:val="0"/>
          <w:marTop w:val="60"/>
          <w:marBottom w:val="0"/>
          <w:divBdr>
            <w:top w:val="none" w:sz="0" w:space="0" w:color="auto"/>
            <w:left w:val="none" w:sz="0" w:space="0" w:color="auto"/>
            <w:bottom w:val="none" w:sz="0" w:space="0" w:color="auto"/>
            <w:right w:val="none" w:sz="0" w:space="0" w:color="auto"/>
          </w:divBdr>
        </w:div>
        <w:div w:id="971012631">
          <w:marLeft w:val="1985"/>
          <w:marRight w:val="0"/>
          <w:marTop w:val="60"/>
          <w:marBottom w:val="0"/>
          <w:divBdr>
            <w:top w:val="none" w:sz="0" w:space="0" w:color="auto"/>
            <w:left w:val="none" w:sz="0" w:space="0" w:color="auto"/>
            <w:bottom w:val="none" w:sz="0" w:space="0" w:color="auto"/>
            <w:right w:val="none" w:sz="0" w:space="0" w:color="auto"/>
          </w:divBdr>
        </w:div>
        <w:div w:id="47532152">
          <w:marLeft w:val="2580"/>
          <w:marRight w:val="0"/>
          <w:marTop w:val="60"/>
          <w:marBottom w:val="0"/>
          <w:divBdr>
            <w:top w:val="none" w:sz="0" w:space="0" w:color="auto"/>
            <w:left w:val="none" w:sz="0" w:space="0" w:color="auto"/>
            <w:bottom w:val="none" w:sz="0" w:space="0" w:color="auto"/>
            <w:right w:val="none" w:sz="0" w:space="0" w:color="auto"/>
          </w:divBdr>
        </w:div>
        <w:div w:id="1340505776">
          <w:marLeft w:val="3969"/>
          <w:marRight w:val="0"/>
          <w:marTop w:val="60"/>
          <w:marBottom w:val="0"/>
          <w:divBdr>
            <w:top w:val="none" w:sz="0" w:space="0" w:color="auto"/>
            <w:left w:val="none" w:sz="0" w:space="0" w:color="auto"/>
            <w:bottom w:val="none" w:sz="0" w:space="0" w:color="auto"/>
            <w:right w:val="none" w:sz="0" w:space="0" w:color="auto"/>
          </w:divBdr>
        </w:div>
        <w:div w:id="1597519977">
          <w:marLeft w:val="3969"/>
          <w:marRight w:val="0"/>
          <w:marTop w:val="60"/>
          <w:marBottom w:val="0"/>
          <w:divBdr>
            <w:top w:val="none" w:sz="0" w:space="0" w:color="auto"/>
            <w:left w:val="none" w:sz="0" w:space="0" w:color="auto"/>
            <w:bottom w:val="none" w:sz="0" w:space="0" w:color="auto"/>
            <w:right w:val="none" w:sz="0" w:space="0" w:color="auto"/>
          </w:divBdr>
        </w:div>
        <w:div w:id="762989269">
          <w:marLeft w:val="3969"/>
          <w:marRight w:val="0"/>
          <w:marTop w:val="60"/>
          <w:marBottom w:val="0"/>
          <w:divBdr>
            <w:top w:val="none" w:sz="0" w:space="0" w:color="auto"/>
            <w:left w:val="none" w:sz="0" w:space="0" w:color="auto"/>
            <w:bottom w:val="none" w:sz="0" w:space="0" w:color="auto"/>
            <w:right w:val="none" w:sz="0" w:space="0" w:color="auto"/>
          </w:divBdr>
        </w:div>
        <w:div w:id="1607343646">
          <w:marLeft w:val="2580"/>
          <w:marRight w:val="0"/>
          <w:marTop w:val="60"/>
          <w:marBottom w:val="0"/>
          <w:divBdr>
            <w:top w:val="none" w:sz="0" w:space="0" w:color="auto"/>
            <w:left w:val="none" w:sz="0" w:space="0" w:color="auto"/>
            <w:bottom w:val="none" w:sz="0" w:space="0" w:color="auto"/>
            <w:right w:val="none" w:sz="0" w:space="0" w:color="auto"/>
          </w:divBdr>
        </w:div>
        <w:div w:id="1657801733">
          <w:marLeft w:val="1134"/>
          <w:marRight w:val="0"/>
          <w:marTop w:val="60"/>
          <w:marBottom w:val="0"/>
          <w:divBdr>
            <w:top w:val="none" w:sz="0" w:space="0" w:color="auto"/>
            <w:left w:val="none" w:sz="0" w:space="0" w:color="auto"/>
            <w:bottom w:val="none" w:sz="0" w:space="0" w:color="auto"/>
            <w:right w:val="none" w:sz="0" w:space="0" w:color="auto"/>
          </w:divBdr>
        </w:div>
        <w:div w:id="749350900">
          <w:marLeft w:val="567"/>
          <w:marRight w:val="567"/>
          <w:marTop w:val="20"/>
          <w:marBottom w:val="20"/>
          <w:divBdr>
            <w:top w:val="none" w:sz="0" w:space="0" w:color="auto"/>
            <w:left w:val="none" w:sz="0" w:space="0" w:color="auto"/>
            <w:bottom w:val="none" w:sz="0" w:space="0" w:color="auto"/>
            <w:right w:val="none" w:sz="0" w:space="0" w:color="auto"/>
          </w:divBdr>
        </w:div>
        <w:div w:id="1139567923">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7A31ED-17B9-40FA-A89D-E160D2D2D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16</Pages>
  <Words>3063</Words>
  <Characters>17464</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Jarrod Mitchell</dc:creator>
  <cp:lastModifiedBy>Eshed Cohen</cp:lastModifiedBy>
  <cp:revision>11</cp:revision>
  <cp:lastPrinted>2018-11-21T16:11:00Z</cp:lastPrinted>
  <dcterms:created xsi:type="dcterms:W3CDTF">2018-12-21T09:43:00Z</dcterms:created>
  <dcterms:modified xsi:type="dcterms:W3CDTF">2019-02-18T15:17:00Z</dcterms:modified>
</cp:coreProperties>
</file>