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4AB8" w:rsidRPr="00932043" w:rsidRDefault="005A3F77" w:rsidP="00784AB8">
      <w:pPr>
        <w:jc w:val="center"/>
      </w:pPr>
      <w:r>
        <w:rPr>
          <w:noProof/>
          <w:lang w:eastAsia="en-ZA"/>
        </w:rPr>
        <w:drawing>
          <wp:inline distT="0" distB="0" distL="0" distR="0">
            <wp:extent cx="1148487" cy="8286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8487" cy="828675"/>
                    </a:xfrm>
                    <a:prstGeom prst="rect">
                      <a:avLst/>
                    </a:prstGeom>
                    <a:noFill/>
                    <a:ln>
                      <a:noFill/>
                    </a:ln>
                  </pic:spPr>
                </pic:pic>
              </a:graphicData>
            </a:graphic>
          </wp:inline>
        </w:drawing>
      </w:r>
    </w:p>
    <w:p w:rsidR="00784AB8" w:rsidRPr="00932043" w:rsidRDefault="00784AB8" w:rsidP="00784AB8">
      <w:pPr>
        <w:jc w:val="center"/>
      </w:pPr>
    </w:p>
    <w:p w:rsidR="00784AB8" w:rsidRPr="00932043" w:rsidRDefault="00784AB8" w:rsidP="00784AB8">
      <w:pPr>
        <w:jc w:val="center"/>
        <w:rPr>
          <w:b/>
        </w:rPr>
      </w:pPr>
      <w:r w:rsidRPr="00932043">
        <w:rPr>
          <w:b/>
        </w:rPr>
        <w:t>CONSTITUTIONAL COURT OF SOUTH AFRICA</w:t>
      </w:r>
    </w:p>
    <w:p w:rsidR="00784AB8" w:rsidRPr="00932043" w:rsidRDefault="00784AB8" w:rsidP="00784AB8"/>
    <w:p w:rsidR="000535D5" w:rsidRPr="000535D5" w:rsidRDefault="000535D5" w:rsidP="000535D5">
      <w:pPr>
        <w:jc w:val="center"/>
        <w:rPr>
          <w:b/>
        </w:rPr>
      </w:pPr>
      <w:proofErr w:type="spellStart"/>
      <w:r w:rsidRPr="000535D5">
        <w:rPr>
          <w:b/>
        </w:rPr>
        <w:t>Cloete</w:t>
      </w:r>
      <w:proofErr w:type="spellEnd"/>
      <w:r w:rsidRPr="000535D5">
        <w:rPr>
          <w:b/>
        </w:rPr>
        <w:t xml:space="preserve"> and Another v S; </w:t>
      </w:r>
      <w:proofErr w:type="spellStart"/>
      <w:r w:rsidRPr="000535D5">
        <w:rPr>
          <w:b/>
        </w:rPr>
        <w:t>Sekgala</w:t>
      </w:r>
      <w:proofErr w:type="spellEnd"/>
      <w:r w:rsidRPr="000535D5">
        <w:rPr>
          <w:b/>
        </w:rPr>
        <w:t xml:space="preserve"> v Nedbank Limited</w:t>
      </w:r>
    </w:p>
    <w:p w:rsidR="000F725A" w:rsidRDefault="000F725A" w:rsidP="00784AB8">
      <w:pPr>
        <w:jc w:val="right"/>
        <w:rPr>
          <w:b/>
        </w:rPr>
      </w:pPr>
    </w:p>
    <w:p w:rsidR="00784AB8" w:rsidRDefault="008A0902" w:rsidP="00784AB8">
      <w:pPr>
        <w:jc w:val="right"/>
        <w:rPr>
          <w:b/>
        </w:rPr>
      </w:pPr>
      <w:r>
        <w:rPr>
          <w:b/>
        </w:rPr>
        <w:t>CCT 324/17</w:t>
      </w:r>
    </w:p>
    <w:p w:rsidR="008376CD" w:rsidRPr="00932043" w:rsidRDefault="008A0902" w:rsidP="00784AB8">
      <w:pPr>
        <w:jc w:val="right"/>
        <w:rPr>
          <w:b/>
        </w:rPr>
      </w:pPr>
      <w:r>
        <w:rPr>
          <w:b/>
        </w:rPr>
        <w:t>CCT 63</w:t>
      </w:r>
      <w:r w:rsidR="008376CD">
        <w:rPr>
          <w:b/>
        </w:rPr>
        <w:t>/18</w:t>
      </w:r>
    </w:p>
    <w:p w:rsidR="00784AB8" w:rsidRPr="00932043" w:rsidRDefault="00784AB8" w:rsidP="00784AB8">
      <w:pPr>
        <w:jc w:val="right"/>
        <w:rPr>
          <w:b/>
        </w:rPr>
      </w:pPr>
    </w:p>
    <w:p w:rsidR="00784AB8" w:rsidRPr="00932043" w:rsidRDefault="00784AB8" w:rsidP="00784AB8">
      <w:pPr>
        <w:jc w:val="right"/>
        <w:rPr>
          <w:b/>
        </w:rPr>
      </w:pPr>
      <w:r w:rsidRPr="00C67983">
        <w:rPr>
          <w:b/>
        </w:rPr>
        <w:t xml:space="preserve">Date of judgment: </w:t>
      </w:r>
      <w:r w:rsidR="008467CC" w:rsidRPr="002D6B30">
        <w:rPr>
          <w:b/>
        </w:rPr>
        <w:t>19 February</w:t>
      </w:r>
      <w:r w:rsidR="00B50B9B">
        <w:rPr>
          <w:b/>
        </w:rPr>
        <w:t xml:space="preserve"> 2019</w:t>
      </w:r>
    </w:p>
    <w:p w:rsidR="00784AB8" w:rsidRPr="00932043" w:rsidRDefault="00784AB8" w:rsidP="00784AB8"/>
    <w:p w:rsidR="00784AB8" w:rsidRPr="00932043" w:rsidRDefault="00784AB8" w:rsidP="00784AB8">
      <w:r w:rsidRPr="00932043">
        <w:t>________________________________________________________________________</w:t>
      </w:r>
    </w:p>
    <w:p w:rsidR="00784AB8" w:rsidRPr="00932043" w:rsidRDefault="00784AB8" w:rsidP="00784AB8">
      <w:pPr>
        <w:jc w:val="center"/>
        <w:rPr>
          <w:b/>
        </w:rPr>
      </w:pPr>
    </w:p>
    <w:p w:rsidR="00784AB8" w:rsidRPr="00932043" w:rsidRDefault="00784AB8" w:rsidP="00784AB8">
      <w:pPr>
        <w:jc w:val="center"/>
        <w:rPr>
          <w:b/>
        </w:rPr>
      </w:pPr>
      <w:r w:rsidRPr="00932043">
        <w:rPr>
          <w:b/>
        </w:rPr>
        <w:t>MEDIA SUMMARY</w:t>
      </w:r>
    </w:p>
    <w:p w:rsidR="00784AB8" w:rsidRPr="00932043" w:rsidRDefault="00784AB8" w:rsidP="00784AB8">
      <w:pPr>
        <w:jc w:val="center"/>
      </w:pPr>
      <w:r w:rsidRPr="00932043">
        <w:t>________________________________________________________________________</w:t>
      </w:r>
    </w:p>
    <w:p w:rsidR="00784AB8" w:rsidRPr="00932043" w:rsidRDefault="00784AB8" w:rsidP="00784AB8">
      <w:pPr>
        <w:spacing w:line="360" w:lineRule="auto"/>
        <w:jc w:val="left"/>
      </w:pPr>
      <w:bookmarkStart w:id="0" w:name="_GoBack"/>
      <w:bookmarkEnd w:id="0"/>
    </w:p>
    <w:p w:rsidR="00784AB8" w:rsidRPr="00932043" w:rsidRDefault="00784AB8" w:rsidP="00784AB8">
      <w:pPr>
        <w:rPr>
          <w:i/>
        </w:rPr>
      </w:pPr>
      <w:r w:rsidRPr="00932043">
        <w:rPr>
          <w:i/>
        </w:rPr>
        <w:t>The following explanatory note is provided to assist the media in reporting this case and is not binding on the Constitutional Court or any member of the Court.</w:t>
      </w:r>
    </w:p>
    <w:p w:rsidR="00784AB8" w:rsidRPr="00932043" w:rsidRDefault="00784AB8" w:rsidP="00784AB8"/>
    <w:p w:rsidR="008376CD" w:rsidRDefault="00784AB8" w:rsidP="00784AB8">
      <w:r w:rsidRPr="00C67983">
        <w:t xml:space="preserve">On </w:t>
      </w:r>
      <w:r w:rsidR="00F16A81" w:rsidRPr="002D6B30">
        <w:t xml:space="preserve">Tuesday </w:t>
      </w:r>
      <w:r w:rsidR="008467CC" w:rsidRPr="002D6B30">
        <w:t>1</w:t>
      </w:r>
      <w:r w:rsidRPr="002D6B30">
        <w:t xml:space="preserve">9 </w:t>
      </w:r>
      <w:r w:rsidR="008467CC" w:rsidRPr="002D6B30">
        <w:t>February</w:t>
      </w:r>
      <w:r w:rsidR="00B50B9B">
        <w:t xml:space="preserve"> 2019</w:t>
      </w:r>
      <w:r w:rsidR="00F16A81" w:rsidRPr="00C67983">
        <w:t xml:space="preserve"> at 10h00,</w:t>
      </w:r>
      <w:r w:rsidRPr="00932043">
        <w:t xml:space="preserve"> the Constitutional Court handed down judgment in </w:t>
      </w:r>
      <w:r w:rsidR="008376CD">
        <w:t xml:space="preserve">two applications seeking leave to appeal </w:t>
      </w:r>
      <w:r w:rsidR="008A0902" w:rsidRPr="00EF41F1">
        <w:t xml:space="preserve">against </w:t>
      </w:r>
      <w:r w:rsidR="008A0902">
        <w:t>a decision</w:t>
      </w:r>
      <w:r w:rsidR="008A0902" w:rsidRPr="00EF41F1">
        <w:t xml:space="preserve"> </w:t>
      </w:r>
      <w:r w:rsidR="008A0902">
        <w:t xml:space="preserve">made by the President </w:t>
      </w:r>
      <w:r w:rsidR="008A0902" w:rsidRPr="00EF41F1">
        <w:t xml:space="preserve">of the Supreme Court of Appeal </w:t>
      </w:r>
      <w:r w:rsidR="008A0902">
        <w:t>(President) pursuant to section 17(2)(f) of the Superior Courts Act (Act).  The applications raise the same question</w:t>
      </w:r>
      <w:r w:rsidR="000F725A">
        <w:t xml:space="preserve">: </w:t>
      </w:r>
      <w:r w:rsidR="00B50B9B">
        <w:t>is a decision under section </w:t>
      </w:r>
      <w:r w:rsidR="008A0902">
        <w:t>17(2</w:t>
      </w:r>
      <w:proofErr w:type="gramStart"/>
      <w:r w:rsidR="008A0902">
        <w:t>)(</w:t>
      </w:r>
      <w:proofErr w:type="gramEnd"/>
      <w:r w:rsidR="008A0902">
        <w:t>f) of the Act appealable to this Court?</w:t>
      </w:r>
    </w:p>
    <w:p w:rsidR="008A0902" w:rsidRDefault="008A0902" w:rsidP="00784AB8"/>
    <w:p w:rsidR="008A0902" w:rsidRDefault="000F725A" w:rsidP="00784AB8">
      <w:r>
        <w:t>Where an applicant has</w:t>
      </w:r>
      <w:r w:rsidRPr="00985EBC">
        <w:t xml:space="preserve"> been denied leave to appeal by the S</w:t>
      </w:r>
      <w:r>
        <w:t xml:space="preserve">upreme </w:t>
      </w:r>
      <w:r w:rsidRPr="00985EBC">
        <w:t>C</w:t>
      </w:r>
      <w:r>
        <w:t xml:space="preserve">ourt of </w:t>
      </w:r>
      <w:r w:rsidRPr="00985EBC">
        <w:t>A</w:t>
      </w:r>
      <w:r>
        <w:t>ppeal</w:t>
      </w:r>
      <w:r w:rsidRPr="00985EBC">
        <w:t xml:space="preserve"> on petition</w:t>
      </w:r>
      <w:r>
        <w:t xml:space="preserve"> pursuant to the provisions of section 17(2)(b) of the Act, s</w:t>
      </w:r>
      <w:r w:rsidR="008A0902">
        <w:t>ection 17(2)(f) confers on the President a discretion</w:t>
      </w:r>
      <w:r w:rsidR="006F776B">
        <w:t xml:space="preserve"> to refer such a</w:t>
      </w:r>
      <w:r w:rsidR="008A0902">
        <w:t xml:space="preserve"> refusal to the Supreme Court of Appeal for reconsideratio</w:t>
      </w:r>
      <w:r w:rsidR="00FA7BD7">
        <w:t>n and</w:t>
      </w:r>
      <w:r w:rsidR="00B50B9B">
        <w:t>,</w:t>
      </w:r>
      <w:r w:rsidR="00FA7BD7">
        <w:t xml:space="preserve"> if necessary</w:t>
      </w:r>
      <w:r w:rsidR="00B50B9B">
        <w:t>,</w:t>
      </w:r>
      <w:r w:rsidR="00FA7BD7">
        <w:t xml:space="preserve"> variation.</w:t>
      </w:r>
    </w:p>
    <w:p w:rsidR="008A0902" w:rsidRDefault="008A0902" w:rsidP="00784AB8"/>
    <w:p w:rsidR="008A0902" w:rsidRDefault="008A0902" w:rsidP="00784AB8">
      <w:r>
        <w:t xml:space="preserve">In the first application, the two applicants </w:t>
      </w:r>
      <w:r w:rsidRPr="008A0902">
        <w:t>were charged and convicted in the High Court</w:t>
      </w:r>
      <w:r w:rsidR="000F725A">
        <w:t xml:space="preserve"> of South Africa</w:t>
      </w:r>
      <w:r w:rsidRPr="008A0902">
        <w:t>, North West</w:t>
      </w:r>
      <w:r w:rsidR="000F725A">
        <w:t xml:space="preserve"> Division</w:t>
      </w:r>
      <w:r w:rsidRPr="008A0902">
        <w:t xml:space="preserve"> with various offences, including murder, kidnapping and attempted murder.</w:t>
      </w:r>
      <w:r>
        <w:t xml:space="preserve">  The applicants unsuccessfully applied for leave to appeal to the Supreme Court of Appeal.  Their application to the President for reconsideration in terms of section 17(2</w:t>
      </w:r>
      <w:proofErr w:type="gramStart"/>
      <w:r>
        <w:t>)(</w:t>
      </w:r>
      <w:proofErr w:type="gramEnd"/>
      <w:r>
        <w:t>f) of the Act</w:t>
      </w:r>
      <w:r w:rsidR="00A24CEA">
        <w:t xml:space="preserve"> was dismissed</w:t>
      </w:r>
      <w:r>
        <w:t>.</w:t>
      </w:r>
    </w:p>
    <w:p w:rsidR="008A0902" w:rsidRDefault="008A0902" w:rsidP="00784AB8"/>
    <w:p w:rsidR="008A0902" w:rsidRDefault="008A0902" w:rsidP="00784AB8">
      <w:r>
        <w:t xml:space="preserve">In the second application, </w:t>
      </w:r>
      <w:r w:rsidR="006B629E">
        <w:t>the applicant had applied to rescind a default judgment</w:t>
      </w:r>
      <w:r w:rsidR="000F725A">
        <w:t xml:space="preserve"> by the High Court of South Africa, Gauteng Local Division, Johannesburg (High Court)</w:t>
      </w:r>
      <w:r w:rsidR="006B629E">
        <w:t xml:space="preserve"> obtained against him by Nedbank.  His </w:t>
      </w:r>
      <w:r w:rsidR="000F725A">
        <w:t xml:space="preserve">rescission </w:t>
      </w:r>
      <w:r w:rsidR="006B629E">
        <w:t xml:space="preserve">application was dismissed by the High Court.  He then unsuccessfully applied for leave to appeal to the Supreme Court of Appeal.  After that, he approached the </w:t>
      </w:r>
      <w:r w:rsidR="00B26E0F">
        <w:t>President under</w:t>
      </w:r>
      <w:r w:rsidR="000F725A">
        <w:t xml:space="preserve"> </w:t>
      </w:r>
      <w:r w:rsidR="00B26E0F">
        <w:t>section 17(2</w:t>
      </w:r>
      <w:proofErr w:type="gramStart"/>
      <w:r w:rsidR="00B26E0F">
        <w:t>)(</w:t>
      </w:r>
      <w:proofErr w:type="gramEnd"/>
      <w:r w:rsidR="00B26E0F">
        <w:t>f), but his application for recon</w:t>
      </w:r>
      <w:r w:rsidR="00A24CEA">
        <w:t>sideration was also dismissed.</w:t>
      </w:r>
    </w:p>
    <w:p w:rsidR="008376CD" w:rsidRDefault="008376CD" w:rsidP="00784AB8"/>
    <w:p w:rsidR="00467359" w:rsidRDefault="000B62A0" w:rsidP="00A51966">
      <w:r>
        <w:t xml:space="preserve">This matter was decided without a hearing. </w:t>
      </w:r>
      <w:r w:rsidR="00784AB8" w:rsidRPr="00EE34BD">
        <w:t xml:space="preserve">In a unanimous judgment written by </w:t>
      </w:r>
      <w:proofErr w:type="gramStart"/>
      <w:r w:rsidR="00784AB8" w:rsidRPr="00EE34BD">
        <w:t xml:space="preserve">Theron </w:t>
      </w:r>
      <w:r w:rsidR="002D6B30">
        <w:t> </w:t>
      </w:r>
      <w:r w:rsidR="00784AB8" w:rsidRPr="00EE34BD">
        <w:t>J</w:t>
      </w:r>
      <w:proofErr w:type="gramEnd"/>
      <w:r w:rsidR="00784AB8" w:rsidRPr="00EE34BD">
        <w:t xml:space="preserve">, </w:t>
      </w:r>
      <w:r w:rsidR="00A51966">
        <w:t>the Constitutional</w:t>
      </w:r>
      <w:r w:rsidR="00A51966" w:rsidRPr="00EE34BD">
        <w:t xml:space="preserve"> </w:t>
      </w:r>
      <w:r w:rsidR="00784AB8" w:rsidRPr="00EE34BD">
        <w:t xml:space="preserve">Court </w:t>
      </w:r>
      <w:r w:rsidR="007B4B82">
        <w:t xml:space="preserve">dismissed the applications for leave to appeal.  This Court held that </w:t>
      </w:r>
      <w:r w:rsidR="00B26E0F">
        <w:t>an appeal against the section 17(2</w:t>
      </w:r>
      <w:proofErr w:type="gramStart"/>
      <w:r w:rsidR="00B26E0F">
        <w:t>)(</w:t>
      </w:r>
      <w:proofErr w:type="gramEnd"/>
      <w:r w:rsidR="00B26E0F">
        <w:t>f) decision will not ordinarily fall within the jurisdiction of this Court because such appeals are factual in nature.  In any event, it will normally not be in the interests of justice to grant leave to appeal.  This is because the dec</w:t>
      </w:r>
      <w:r w:rsidR="00D11DE7">
        <w:t>ision will usually not be final.  G</w:t>
      </w:r>
      <w:r w:rsidR="00B26E0F">
        <w:t>ranting leave to appeal</w:t>
      </w:r>
      <w:r w:rsidR="00D11DE7">
        <w:t xml:space="preserve"> </w:t>
      </w:r>
      <w:r w:rsidR="00B26E0F">
        <w:t>could unnecessarily protract litigation and no prejudice arises from refusing leave to appeal</w:t>
      </w:r>
      <w:r w:rsidR="00F65161" w:rsidRPr="00F65161">
        <w:t xml:space="preserve"> </w:t>
      </w:r>
      <w:r w:rsidR="00F65161">
        <w:t>in these circumstances</w:t>
      </w:r>
      <w:r w:rsidR="00B26E0F">
        <w:t>.</w:t>
      </w:r>
    </w:p>
    <w:sectPr w:rsidR="00467359"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0E5C" w:rsidRDefault="00480E5C" w:rsidP="00A9738B">
      <w:r>
        <w:separator/>
      </w:r>
    </w:p>
  </w:endnote>
  <w:endnote w:type="continuationSeparator" w:id="0">
    <w:p w:rsidR="00480E5C" w:rsidRDefault="00480E5C" w:rsidP="00A973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0E5C" w:rsidRDefault="00480E5C" w:rsidP="00A9738B">
      <w:r>
        <w:separator/>
      </w:r>
    </w:p>
  </w:footnote>
  <w:footnote w:type="continuationSeparator" w:id="0">
    <w:p w:rsidR="00480E5C" w:rsidRDefault="00480E5C" w:rsidP="00A9738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AB8"/>
    <w:rsid w:val="000535D5"/>
    <w:rsid w:val="00056923"/>
    <w:rsid w:val="00097933"/>
    <w:rsid w:val="000B62A0"/>
    <w:rsid w:val="000F725A"/>
    <w:rsid w:val="00115D0D"/>
    <w:rsid w:val="00137C14"/>
    <w:rsid w:val="00181B5B"/>
    <w:rsid w:val="001A155A"/>
    <w:rsid w:val="001A48AD"/>
    <w:rsid w:val="001B1AC3"/>
    <w:rsid w:val="002D6B30"/>
    <w:rsid w:val="002D72AC"/>
    <w:rsid w:val="00356031"/>
    <w:rsid w:val="003B62AA"/>
    <w:rsid w:val="00405476"/>
    <w:rsid w:val="00455D67"/>
    <w:rsid w:val="00467359"/>
    <w:rsid w:val="0047608D"/>
    <w:rsid w:val="00480E5C"/>
    <w:rsid w:val="00495F3B"/>
    <w:rsid w:val="004F023E"/>
    <w:rsid w:val="005123B9"/>
    <w:rsid w:val="005A3F77"/>
    <w:rsid w:val="005C0A52"/>
    <w:rsid w:val="005E4062"/>
    <w:rsid w:val="006530B3"/>
    <w:rsid w:val="00696B20"/>
    <w:rsid w:val="006B629E"/>
    <w:rsid w:val="006F776B"/>
    <w:rsid w:val="00716B52"/>
    <w:rsid w:val="00784AB8"/>
    <w:rsid w:val="007A37EF"/>
    <w:rsid w:val="007B4B82"/>
    <w:rsid w:val="0083209D"/>
    <w:rsid w:val="008376CD"/>
    <w:rsid w:val="00845D41"/>
    <w:rsid w:val="008467CC"/>
    <w:rsid w:val="00882A01"/>
    <w:rsid w:val="00883D6C"/>
    <w:rsid w:val="008A0902"/>
    <w:rsid w:val="008C4591"/>
    <w:rsid w:val="00925078"/>
    <w:rsid w:val="00932043"/>
    <w:rsid w:val="00970903"/>
    <w:rsid w:val="009B15E8"/>
    <w:rsid w:val="009E6B58"/>
    <w:rsid w:val="00A24CEA"/>
    <w:rsid w:val="00A51966"/>
    <w:rsid w:val="00A76CE9"/>
    <w:rsid w:val="00A9738B"/>
    <w:rsid w:val="00B26E0F"/>
    <w:rsid w:val="00B50B9B"/>
    <w:rsid w:val="00BD7209"/>
    <w:rsid w:val="00C67983"/>
    <w:rsid w:val="00C84032"/>
    <w:rsid w:val="00C92951"/>
    <w:rsid w:val="00CA1B88"/>
    <w:rsid w:val="00CC3A42"/>
    <w:rsid w:val="00CF13C0"/>
    <w:rsid w:val="00D11DE7"/>
    <w:rsid w:val="00D257C0"/>
    <w:rsid w:val="00D90A15"/>
    <w:rsid w:val="00EE34BD"/>
    <w:rsid w:val="00EE486C"/>
    <w:rsid w:val="00F15FF1"/>
    <w:rsid w:val="00F16A81"/>
    <w:rsid w:val="00F57A92"/>
    <w:rsid w:val="00F65161"/>
    <w:rsid w:val="00FA7BD7"/>
    <w:rsid w:val="00FB25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AB8"/>
    <w:pPr>
      <w:spacing w:after="0" w:line="240" w:lineRule="auto"/>
      <w:jc w:val="both"/>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4AB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84AB8"/>
    <w:rPr>
      <w:rFonts w:ascii="Tahoma" w:hAnsi="Tahoma" w:cs="Tahoma"/>
      <w:sz w:val="16"/>
      <w:szCs w:val="16"/>
    </w:rPr>
  </w:style>
  <w:style w:type="paragraph" w:styleId="Header">
    <w:name w:val="header"/>
    <w:basedOn w:val="Normal"/>
    <w:link w:val="HeaderChar"/>
    <w:uiPriority w:val="99"/>
    <w:unhideWhenUsed/>
    <w:rsid w:val="00A9738B"/>
    <w:pPr>
      <w:tabs>
        <w:tab w:val="center" w:pos="4513"/>
        <w:tab w:val="right" w:pos="9026"/>
      </w:tabs>
    </w:pPr>
  </w:style>
  <w:style w:type="character" w:customStyle="1" w:styleId="HeaderChar">
    <w:name w:val="Header Char"/>
    <w:basedOn w:val="DefaultParagraphFont"/>
    <w:link w:val="Header"/>
    <w:uiPriority w:val="99"/>
    <w:locked/>
    <w:rsid w:val="00A9738B"/>
    <w:rPr>
      <w:rFonts w:ascii="Times New Roman" w:hAnsi="Times New Roman" w:cs="Times New Roman"/>
      <w:sz w:val="24"/>
      <w:szCs w:val="24"/>
    </w:rPr>
  </w:style>
  <w:style w:type="paragraph" w:styleId="Footer">
    <w:name w:val="footer"/>
    <w:basedOn w:val="Normal"/>
    <w:link w:val="FooterChar"/>
    <w:uiPriority w:val="99"/>
    <w:unhideWhenUsed/>
    <w:rsid w:val="00A9738B"/>
    <w:pPr>
      <w:tabs>
        <w:tab w:val="center" w:pos="4513"/>
        <w:tab w:val="right" w:pos="9026"/>
      </w:tabs>
    </w:pPr>
  </w:style>
  <w:style w:type="character" w:customStyle="1" w:styleId="FooterChar">
    <w:name w:val="Footer Char"/>
    <w:basedOn w:val="DefaultParagraphFont"/>
    <w:link w:val="Footer"/>
    <w:uiPriority w:val="99"/>
    <w:locked/>
    <w:rsid w:val="00A9738B"/>
    <w:rPr>
      <w:rFonts w:ascii="Times New Roman" w:hAnsi="Times New Roman" w:cs="Times New Roman"/>
      <w:sz w:val="24"/>
      <w:szCs w:val="24"/>
    </w:rPr>
  </w:style>
  <w:style w:type="paragraph" w:styleId="FootnoteText">
    <w:name w:val="footnote text"/>
    <w:basedOn w:val="Normal"/>
    <w:link w:val="FootnoteTextChar"/>
    <w:rsid w:val="007B4B82"/>
    <w:rPr>
      <w:sz w:val="20"/>
      <w:szCs w:val="20"/>
    </w:rPr>
  </w:style>
  <w:style w:type="character" w:customStyle="1" w:styleId="FootnoteTextChar">
    <w:name w:val="Footnote Text Char"/>
    <w:basedOn w:val="DefaultParagraphFont"/>
    <w:link w:val="FootnoteText"/>
    <w:uiPriority w:val="99"/>
    <w:rsid w:val="007B4B82"/>
    <w:rPr>
      <w:rFonts w:ascii="Times New Roman" w:hAnsi="Times New Roman" w:cs="Times New Roman"/>
      <w:sz w:val="20"/>
      <w:szCs w:val="20"/>
    </w:rPr>
  </w:style>
  <w:style w:type="character" w:styleId="FootnoteReference">
    <w:name w:val="footnote reference"/>
    <w:aliases w:val="Footnote Reference + Superscript,Footnotes refss,Appel note de bas de page,Ref,de nota al pie,註腳內容,(NECG) Footnote Reference,fr,Footnote symbol,Footnote,Style 4,-E Fußnotenzeichen,16 Point,Superscript 6 Point,Heading 6 Char1"/>
    <w:basedOn w:val="DefaultParagraphFont"/>
    <w:unhideWhenUsed/>
    <w:qFormat/>
    <w:rsid w:val="007B4B82"/>
    <w:rPr>
      <w:vertAlign w:val="superscript"/>
    </w:rPr>
  </w:style>
  <w:style w:type="paragraph" w:customStyle="1" w:styleId="QUOTEINFOOTNOTE">
    <w:name w:val="QUOTE IN FOOTNOTE"/>
    <w:basedOn w:val="Normal"/>
    <w:next w:val="Normal"/>
    <w:qFormat/>
    <w:rsid w:val="008A0902"/>
    <w:pPr>
      <w:spacing w:after="120"/>
      <w:ind w:left="720" w:right="720"/>
    </w:pPr>
    <w:rPr>
      <w:rFonts w:eastAsia="Calibri"/>
      <w:sz w:val="20"/>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AB8"/>
    <w:pPr>
      <w:spacing w:after="0" w:line="240" w:lineRule="auto"/>
      <w:jc w:val="both"/>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4AB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84AB8"/>
    <w:rPr>
      <w:rFonts w:ascii="Tahoma" w:hAnsi="Tahoma" w:cs="Tahoma"/>
      <w:sz w:val="16"/>
      <w:szCs w:val="16"/>
    </w:rPr>
  </w:style>
  <w:style w:type="paragraph" w:styleId="Header">
    <w:name w:val="header"/>
    <w:basedOn w:val="Normal"/>
    <w:link w:val="HeaderChar"/>
    <w:uiPriority w:val="99"/>
    <w:unhideWhenUsed/>
    <w:rsid w:val="00A9738B"/>
    <w:pPr>
      <w:tabs>
        <w:tab w:val="center" w:pos="4513"/>
        <w:tab w:val="right" w:pos="9026"/>
      </w:tabs>
    </w:pPr>
  </w:style>
  <w:style w:type="character" w:customStyle="1" w:styleId="HeaderChar">
    <w:name w:val="Header Char"/>
    <w:basedOn w:val="DefaultParagraphFont"/>
    <w:link w:val="Header"/>
    <w:uiPriority w:val="99"/>
    <w:locked/>
    <w:rsid w:val="00A9738B"/>
    <w:rPr>
      <w:rFonts w:ascii="Times New Roman" w:hAnsi="Times New Roman" w:cs="Times New Roman"/>
      <w:sz w:val="24"/>
      <w:szCs w:val="24"/>
    </w:rPr>
  </w:style>
  <w:style w:type="paragraph" w:styleId="Footer">
    <w:name w:val="footer"/>
    <w:basedOn w:val="Normal"/>
    <w:link w:val="FooterChar"/>
    <w:uiPriority w:val="99"/>
    <w:unhideWhenUsed/>
    <w:rsid w:val="00A9738B"/>
    <w:pPr>
      <w:tabs>
        <w:tab w:val="center" w:pos="4513"/>
        <w:tab w:val="right" w:pos="9026"/>
      </w:tabs>
    </w:pPr>
  </w:style>
  <w:style w:type="character" w:customStyle="1" w:styleId="FooterChar">
    <w:name w:val="Footer Char"/>
    <w:basedOn w:val="DefaultParagraphFont"/>
    <w:link w:val="Footer"/>
    <w:uiPriority w:val="99"/>
    <w:locked/>
    <w:rsid w:val="00A9738B"/>
    <w:rPr>
      <w:rFonts w:ascii="Times New Roman" w:hAnsi="Times New Roman" w:cs="Times New Roman"/>
      <w:sz w:val="24"/>
      <w:szCs w:val="24"/>
    </w:rPr>
  </w:style>
  <w:style w:type="paragraph" w:styleId="FootnoteText">
    <w:name w:val="footnote text"/>
    <w:basedOn w:val="Normal"/>
    <w:link w:val="FootnoteTextChar"/>
    <w:rsid w:val="007B4B82"/>
    <w:rPr>
      <w:sz w:val="20"/>
      <w:szCs w:val="20"/>
    </w:rPr>
  </w:style>
  <w:style w:type="character" w:customStyle="1" w:styleId="FootnoteTextChar">
    <w:name w:val="Footnote Text Char"/>
    <w:basedOn w:val="DefaultParagraphFont"/>
    <w:link w:val="FootnoteText"/>
    <w:uiPriority w:val="99"/>
    <w:rsid w:val="007B4B82"/>
    <w:rPr>
      <w:rFonts w:ascii="Times New Roman" w:hAnsi="Times New Roman" w:cs="Times New Roman"/>
      <w:sz w:val="20"/>
      <w:szCs w:val="20"/>
    </w:rPr>
  </w:style>
  <w:style w:type="character" w:styleId="FootnoteReference">
    <w:name w:val="footnote reference"/>
    <w:aliases w:val="Footnote Reference + Superscript,Footnotes refss,Appel note de bas de page,Ref,de nota al pie,註腳內容,(NECG) Footnote Reference,fr,Footnote symbol,Footnote,Style 4,-E Fußnotenzeichen,16 Point,Superscript 6 Point,Heading 6 Char1"/>
    <w:basedOn w:val="DefaultParagraphFont"/>
    <w:unhideWhenUsed/>
    <w:qFormat/>
    <w:rsid w:val="007B4B82"/>
    <w:rPr>
      <w:vertAlign w:val="superscript"/>
    </w:rPr>
  </w:style>
  <w:style w:type="paragraph" w:customStyle="1" w:styleId="QUOTEINFOOTNOTE">
    <w:name w:val="QUOTE IN FOOTNOTE"/>
    <w:basedOn w:val="Normal"/>
    <w:next w:val="Normal"/>
    <w:qFormat/>
    <w:rsid w:val="008A0902"/>
    <w:pPr>
      <w:spacing w:after="120"/>
      <w:ind w:left="720" w:right="720"/>
    </w:pPr>
    <w:rPr>
      <w:rFonts w:eastAsia="Calibri"/>
      <w:sz w:val="2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35556">
      <w:bodyDiv w:val="1"/>
      <w:marLeft w:val="0"/>
      <w:marRight w:val="0"/>
      <w:marTop w:val="0"/>
      <w:marBottom w:val="0"/>
      <w:divBdr>
        <w:top w:val="none" w:sz="0" w:space="0" w:color="auto"/>
        <w:left w:val="none" w:sz="0" w:space="0" w:color="auto"/>
        <w:bottom w:val="none" w:sz="0" w:space="0" w:color="auto"/>
        <w:right w:val="none" w:sz="0" w:space="0" w:color="auto"/>
      </w:divBdr>
    </w:div>
    <w:div w:id="589627437">
      <w:bodyDiv w:val="1"/>
      <w:marLeft w:val="0"/>
      <w:marRight w:val="0"/>
      <w:marTop w:val="0"/>
      <w:marBottom w:val="0"/>
      <w:divBdr>
        <w:top w:val="none" w:sz="0" w:space="0" w:color="auto"/>
        <w:left w:val="none" w:sz="0" w:space="0" w:color="auto"/>
        <w:bottom w:val="none" w:sz="0" w:space="0" w:color="auto"/>
        <w:right w:val="none" w:sz="0" w:space="0" w:color="auto"/>
      </w:divBdr>
    </w:div>
    <w:div w:id="1123422210">
      <w:bodyDiv w:val="1"/>
      <w:marLeft w:val="0"/>
      <w:marRight w:val="0"/>
      <w:marTop w:val="0"/>
      <w:marBottom w:val="0"/>
      <w:divBdr>
        <w:top w:val="none" w:sz="0" w:space="0" w:color="auto"/>
        <w:left w:val="none" w:sz="0" w:space="0" w:color="auto"/>
        <w:bottom w:val="none" w:sz="0" w:space="0" w:color="auto"/>
        <w:right w:val="none" w:sz="0" w:space="0" w:color="auto"/>
      </w:divBdr>
    </w:div>
    <w:div w:id="1427071024">
      <w:bodyDiv w:val="1"/>
      <w:marLeft w:val="0"/>
      <w:marRight w:val="0"/>
      <w:marTop w:val="0"/>
      <w:marBottom w:val="0"/>
      <w:divBdr>
        <w:top w:val="none" w:sz="0" w:space="0" w:color="auto"/>
        <w:left w:val="none" w:sz="0" w:space="0" w:color="auto"/>
        <w:bottom w:val="none" w:sz="0" w:space="0" w:color="auto"/>
        <w:right w:val="none" w:sz="0" w:space="0" w:color="auto"/>
      </w:divBdr>
    </w:div>
    <w:div w:id="1718241238">
      <w:bodyDiv w:val="1"/>
      <w:marLeft w:val="0"/>
      <w:marRight w:val="0"/>
      <w:marTop w:val="0"/>
      <w:marBottom w:val="0"/>
      <w:divBdr>
        <w:top w:val="none" w:sz="0" w:space="0" w:color="auto"/>
        <w:left w:val="none" w:sz="0" w:space="0" w:color="auto"/>
        <w:bottom w:val="none" w:sz="0" w:space="0" w:color="auto"/>
        <w:right w:val="none" w:sz="0" w:space="0" w:color="auto"/>
      </w:divBdr>
    </w:div>
    <w:div w:id="1812791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404</Words>
  <Characters>2286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2019-02-19T06:33:00Z</dcterms:created>
  <dcterms:modified xsi:type="dcterms:W3CDTF">2019-02-19T06:36:00Z</dcterms:modified>
</cp:coreProperties>
</file>