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4AB8" w:rsidRPr="00932043" w:rsidRDefault="005A3F77" w:rsidP="0080737A">
      <w:pPr>
        <w:pStyle w:val="Subtitle"/>
      </w:pPr>
      <w:r>
        <w:rPr>
          <w:noProof/>
          <w:lang w:eastAsia="en-ZA"/>
        </w:rPr>
        <w:drawing>
          <wp:inline distT="0" distB="0" distL="0" distR="0">
            <wp:extent cx="1148487" cy="82867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8487" cy="82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4AB8" w:rsidRPr="00932043" w:rsidRDefault="00784AB8" w:rsidP="00784AB8">
      <w:pPr>
        <w:jc w:val="center"/>
      </w:pPr>
    </w:p>
    <w:p w:rsidR="00784AB8" w:rsidRPr="00932043" w:rsidRDefault="00784AB8" w:rsidP="00784AB8">
      <w:pPr>
        <w:jc w:val="center"/>
        <w:rPr>
          <w:b/>
        </w:rPr>
      </w:pPr>
      <w:r w:rsidRPr="00932043">
        <w:rPr>
          <w:b/>
        </w:rPr>
        <w:t>CONSTITUTIONAL COURT OF SOUTH AFRICA</w:t>
      </w:r>
    </w:p>
    <w:p w:rsidR="00784AB8" w:rsidRPr="00932043" w:rsidRDefault="00784AB8" w:rsidP="00784AB8"/>
    <w:p w:rsidR="00784AB8" w:rsidRPr="003A1C2A" w:rsidRDefault="006E599E" w:rsidP="00784AB8">
      <w:pPr>
        <w:jc w:val="center"/>
        <w:rPr>
          <w:b/>
        </w:rPr>
      </w:pPr>
      <w:r>
        <w:rPr>
          <w:b/>
        </w:rPr>
        <w:t xml:space="preserve">Allan </w:t>
      </w:r>
      <w:r w:rsidR="003A1C2A" w:rsidRPr="003A1C2A">
        <w:rPr>
          <w:b/>
        </w:rPr>
        <w:t>Long v South African Breweries (Pty) Ltd and Others</w:t>
      </w:r>
    </w:p>
    <w:p w:rsidR="00784AB8" w:rsidRDefault="008376CD" w:rsidP="00784AB8">
      <w:pPr>
        <w:jc w:val="right"/>
        <w:rPr>
          <w:b/>
        </w:rPr>
      </w:pPr>
      <w:r>
        <w:rPr>
          <w:b/>
        </w:rPr>
        <w:t xml:space="preserve">CCT </w:t>
      </w:r>
      <w:r w:rsidR="003A1C2A">
        <w:rPr>
          <w:b/>
        </w:rPr>
        <w:t>61</w:t>
      </w:r>
      <w:r>
        <w:rPr>
          <w:b/>
        </w:rPr>
        <w:t>/18</w:t>
      </w:r>
    </w:p>
    <w:p w:rsidR="00784AB8" w:rsidRPr="00932043" w:rsidRDefault="00784AB8" w:rsidP="00784AB8">
      <w:pPr>
        <w:jc w:val="right"/>
        <w:rPr>
          <w:b/>
        </w:rPr>
      </w:pPr>
    </w:p>
    <w:p w:rsidR="00784AB8" w:rsidRPr="00932043" w:rsidRDefault="00784AB8" w:rsidP="00784AB8">
      <w:pPr>
        <w:jc w:val="right"/>
        <w:rPr>
          <w:b/>
        </w:rPr>
      </w:pPr>
      <w:r w:rsidRPr="00932043">
        <w:rPr>
          <w:b/>
        </w:rPr>
        <w:t xml:space="preserve">Date of judgment: </w:t>
      </w:r>
      <w:r w:rsidR="00B40FDA" w:rsidRPr="00190078">
        <w:rPr>
          <w:b/>
        </w:rPr>
        <w:t>19</w:t>
      </w:r>
      <w:r w:rsidRPr="00190078">
        <w:rPr>
          <w:b/>
        </w:rPr>
        <w:t xml:space="preserve"> </w:t>
      </w:r>
      <w:r w:rsidR="00B40FDA" w:rsidRPr="00190078">
        <w:rPr>
          <w:b/>
        </w:rPr>
        <w:t>February 2019</w:t>
      </w:r>
    </w:p>
    <w:p w:rsidR="00784AB8" w:rsidRPr="00932043" w:rsidRDefault="00784AB8" w:rsidP="00784AB8"/>
    <w:p w:rsidR="00784AB8" w:rsidRPr="00932043" w:rsidRDefault="00784AB8" w:rsidP="00784AB8">
      <w:r w:rsidRPr="00932043">
        <w:t>________________________________________________________________________</w:t>
      </w:r>
    </w:p>
    <w:p w:rsidR="00784AB8" w:rsidRPr="00932043" w:rsidRDefault="00784AB8" w:rsidP="00784AB8">
      <w:pPr>
        <w:jc w:val="center"/>
        <w:rPr>
          <w:b/>
        </w:rPr>
      </w:pPr>
    </w:p>
    <w:p w:rsidR="00784AB8" w:rsidRPr="00932043" w:rsidRDefault="00784AB8" w:rsidP="00784AB8">
      <w:pPr>
        <w:jc w:val="center"/>
        <w:rPr>
          <w:b/>
        </w:rPr>
      </w:pPr>
      <w:r w:rsidRPr="00932043">
        <w:rPr>
          <w:b/>
        </w:rPr>
        <w:t>MEDIA SUMMARY</w:t>
      </w:r>
    </w:p>
    <w:p w:rsidR="00784AB8" w:rsidRPr="00932043" w:rsidRDefault="00784AB8" w:rsidP="00784AB8">
      <w:pPr>
        <w:jc w:val="center"/>
      </w:pPr>
      <w:r w:rsidRPr="00932043">
        <w:t>_____________________________</w:t>
      </w:r>
      <w:bookmarkStart w:id="0" w:name="_GoBack"/>
      <w:bookmarkEnd w:id="0"/>
      <w:r w:rsidRPr="00932043">
        <w:t>___________________________________________</w:t>
      </w:r>
    </w:p>
    <w:p w:rsidR="00784AB8" w:rsidRPr="00932043" w:rsidRDefault="00784AB8" w:rsidP="00784AB8">
      <w:pPr>
        <w:spacing w:line="360" w:lineRule="auto"/>
        <w:jc w:val="left"/>
      </w:pPr>
    </w:p>
    <w:p w:rsidR="00784AB8" w:rsidRPr="00932043" w:rsidRDefault="00784AB8" w:rsidP="00784AB8">
      <w:pPr>
        <w:rPr>
          <w:i/>
        </w:rPr>
      </w:pPr>
      <w:r w:rsidRPr="00932043">
        <w:rPr>
          <w:i/>
        </w:rPr>
        <w:t>The following explanatory note is provided to assist the media in reporting this case and is not binding on the Constitutional Court or any member of the Court.</w:t>
      </w:r>
    </w:p>
    <w:p w:rsidR="00784AB8" w:rsidRPr="00932043" w:rsidRDefault="00784AB8" w:rsidP="00784AB8"/>
    <w:p w:rsidR="008376CD" w:rsidRDefault="00784AB8" w:rsidP="00784AB8">
      <w:r w:rsidRPr="00932043">
        <w:t xml:space="preserve">On </w:t>
      </w:r>
      <w:r w:rsidR="00F16A81" w:rsidRPr="00190078">
        <w:t xml:space="preserve">Tuesday, </w:t>
      </w:r>
      <w:r w:rsidR="00B40FDA" w:rsidRPr="00190078">
        <w:t>19</w:t>
      </w:r>
      <w:r w:rsidRPr="00190078">
        <w:t xml:space="preserve"> </w:t>
      </w:r>
      <w:r w:rsidR="00B40FDA" w:rsidRPr="00190078">
        <w:t>February 2019</w:t>
      </w:r>
      <w:r w:rsidR="00F16A81" w:rsidRPr="001D1C24">
        <w:t>,</w:t>
      </w:r>
      <w:r w:rsidR="00F16A81">
        <w:t xml:space="preserve"> at 10h00,</w:t>
      </w:r>
      <w:r w:rsidRPr="00932043">
        <w:t xml:space="preserve"> the Constitutional Court handed down judgment in </w:t>
      </w:r>
      <w:r w:rsidR="003A1C2A">
        <w:t>an</w:t>
      </w:r>
      <w:r w:rsidR="008376CD">
        <w:t xml:space="preserve"> application see</w:t>
      </w:r>
      <w:r w:rsidR="00190078">
        <w:t>king leave to appeal against a</w:t>
      </w:r>
      <w:r w:rsidR="008376CD">
        <w:t xml:space="preserve"> judgment </w:t>
      </w:r>
      <w:r w:rsidR="00190078">
        <w:t xml:space="preserve">of </w:t>
      </w:r>
      <w:r w:rsidR="00D80D42">
        <w:t>the Labour Court relating to two review applications, one concerning Mr Long’s dismissal and the other his suspension prior to dismissal.</w:t>
      </w:r>
    </w:p>
    <w:p w:rsidR="008376CD" w:rsidRDefault="008376CD" w:rsidP="00784AB8"/>
    <w:p w:rsidR="00D80D42" w:rsidRDefault="00D80D42" w:rsidP="00A76CE9">
      <w:r>
        <w:t xml:space="preserve">Mr Long was previously employed by South African Breweries (Pty) Limited (SAB) as its district manager for the Border District.  </w:t>
      </w:r>
      <w:r w:rsidR="00030D96">
        <w:t>He was responsible for</w:t>
      </w:r>
      <w:r>
        <w:t xml:space="preserve"> legal compliance in respect of </w:t>
      </w:r>
      <w:r w:rsidR="00030D96">
        <w:t xml:space="preserve">SAB’s </w:t>
      </w:r>
      <w:r>
        <w:t xml:space="preserve">operations in the Border District, including the requirements </w:t>
      </w:r>
      <w:r w:rsidR="00030D96">
        <w:t>pertaining to</w:t>
      </w:r>
      <w:r>
        <w:t xml:space="preserve"> a fleet of vehicles.  On 10 May 2013, a trailer </w:t>
      </w:r>
      <w:r w:rsidR="00CC4149">
        <w:t xml:space="preserve">owned by SAB </w:t>
      </w:r>
      <w:r>
        <w:t>was involved in a fatal accident.</w:t>
      </w:r>
      <w:r w:rsidR="001D1C24">
        <w:t xml:space="preserve"> </w:t>
      </w:r>
      <w:r>
        <w:t xml:space="preserve"> The vehicle, before the accident, was in a state of disrepair and unlicensed.  This accident prompted an investigation by SAB</w:t>
      </w:r>
      <w:r w:rsidR="00030D96">
        <w:t xml:space="preserve"> into the vehicle fleet.  It turned out that many of the vehicles for which Mr Long was responsible were not roadworthy and had invalid licence discs.</w:t>
      </w:r>
      <w:r>
        <w:t xml:space="preserve">  After further investigation and a disciplinary hearing</w:t>
      </w:r>
      <w:r w:rsidR="00CC338E">
        <w:t xml:space="preserve"> Mr Long </w:t>
      </w:r>
      <w:r>
        <w:t xml:space="preserve">was found guilty </w:t>
      </w:r>
      <w:r w:rsidR="00030D96">
        <w:t>of dereliction of duties, gross negligence and bringing the company name into disrepute.  He was dismissed on 14 October 2013.</w:t>
      </w:r>
      <w:r w:rsidR="00CC338E">
        <w:t xml:space="preserve">  Mr Long had </w:t>
      </w:r>
      <w:r w:rsidR="005739F0">
        <w:t>also been suspended from work</w:t>
      </w:r>
      <w:r w:rsidR="00CC338E">
        <w:t xml:space="preserve"> from the time the investigations began until he was dismissed.</w:t>
      </w:r>
    </w:p>
    <w:p w:rsidR="00D80D42" w:rsidRDefault="00D80D42" w:rsidP="00A76CE9"/>
    <w:p w:rsidR="00784AB8" w:rsidRDefault="00032CA0" w:rsidP="00784AB8">
      <w:r>
        <w:t>Two arbitrations followed in the Commission for Conciliation, Mediation and Arbitration (CCMA).  The first related to Mr Long’s suspension prior to dismissal.  The arbitrator held that Mr Long’s dismissal constituted</w:t>
      </w:r>
      <w:r w:rsidR="005739F0">
        <w:t xml:space="preserve"> an</w:t>
      </w:r>
      <w:r>
        <w:t xml:space="preserve"> unfair labour practice because Mr Long had not been given a hearing before his suspension and the suspension was unreasonably long.</w:t>
      </w:r>
      <w:r w:rsidR="00453A93">
        <w:t xml:space="preserve">  The arbitrator awarded compensation equivalent to two months’ remuneration.</w:t>
      </w:r>
      <w:r>
        <w:t xml:space="preserve">  </w:t>
      </w:r>
      <w:r w:rsidR="009C4483">
        <w:t xml:space="preserve">The second </w:t>
      </w:r>
      <w:r w:rsidR="00453A93">
        <w:t xml:space="preserve">arbitration </w:t>
      </w:r>
      <w:r w:rsidR="009C4483">
        <w:t xml:space="preserve">related to Mr Long’s dismissal.  The arbitrator held that Mr Long had been unfairly dismissed because the </w:t>
      </w:r>
      <w:r w:rsidR="00453A93">
        <w:t xml:space="preserve">illegalities regarding the vehicles </w:t>
      </w:r>
      <w:r w:rsidR="009C4483">
        <w:t>did not fall within his responsibility</w:t>
      </w:r>
      <w:r w:rsidR="00453A93">
        <w:t>.  The arbitrator ordered that SAB reinstate Mr Long</w:t>
      </w:r>
      <w:r w:rsidR="00777739">
        <w:t>.</w:t>
      </w:r>
    </w:p>
    <w:p w:rsidR="00777739" w:rsidRDefault="00777739" w:rsidP="00784AB8">
      <w:r>
        <w:lastRenderedPageBreak/>
        <w:t>SAB reviewed both arbitration awards before the Labour Court.  Regarding the first arbitration, the Labour Court held that where a suspension is precautionary,</w:t>
      </w:r>
      <w:r w:rsidR="005739F0">
        <w:t xml:space="preserve"> and with full salary,</w:t>
      </w:r>
      <w:r>
        <w:t xml:space="preserve"> as in this case, there is no requirement that an employee be given an opportunity to make representations.  </w:t>
      </w:r>
      <w:r w:rsidR="0029330A">
        <w:t xml:space="preserve">The </w:t>
      </w:r>
      <w:r>
        <w:t xml:space="preserve">Labour Court set aside the arbitrator’s finding that the suspension was </w:t>
      </w:r>
      <w:r w:rsidR="0029330A">
        <w:t xml:space="preserve">an </w:t>
      </w:r>
      <w:r>
        <w:t xml:space="preserve">unfair labour practice.  As for the second arbitration, the Labour Court held that Mr Long had been guilty of dereliction of duty.  </w:t>
      </w:r>
      <w:r w:rsidR="00AF1294">
        <w:t>It held that t</w:t>
      </w:r>
      <w:r>
        <w:t xml:space="preserve">he arbitrator had come to the contrary conclusion by irrationally and improperly evaluating </w:t>
      </w:r>
      <w:r w:rsidR="0038211B">
        <w:t xml:space="preserve">the </w:t>
      </w:r>
      <w:r>
        <w:t>evidence.  The arbitrator’s award was set aside and substituted with an order declaring Mr Long’s dismissal to be fair.</w:t>
      </w:r>
      <w:r w:rsidR="007C5E3E">
        <w:t xml:space="preserve">  The Labour Court ordered that Mr Long pay SAB’s costs in both review applications.</w:t>
      </w:r>
    </w:p>
    <w:p w:rsidR="007C5E3E" w:rsidRDefault="007C5E3E" w:rsidP="00784AB8"/>
    <w:p w:rsidR="007C5E3E" w:rsidRDefault="007C5E3E" w:rsidP="00784AB8">
      <w:r>
        <w:t>The Labour Appeal Court refused Mr Long</w:t>
      </w:r>
      <w:r w:rsidR="002524D8">
        <w:t>’s application for leave to appeal</w:t>
      </w:r>
      <w:r>
        <w:t>.</w:t>
      </w:r>
    </w:p>
    <w:p w:rsidR="007B4B82" w:rsidRDefault="007B4B82" w:rsidP="007B4B82"/>
    <w:p w:rsidR="00467359" w:rsidRDefault="00784AB8" w:rsidP="00A51966">
      <w:r w:rsidRPr="00EE34BD">
        <w:t xml:space="preserve">In a unanimous judgment written by Theron J, </w:t>
      </w:r>
      <w:r w:rsidR="00A51966">
        <w:t>the Constitutional</w:t>
      </w:r>
      <w:r w:rsidR="00A51966" w:rsidRPr="00EE34BD">
        <w:t xml:space="preserve"> </w:t>
      </w:r>
      <w:r w:rsidRPr="00EE34BD">
        <w:t xml:space="preserve">Court </w:t>
      </w:r>
      <w:r w:rsidR="007C5E3E">
        <w:t>partially upheld the application</w:t>
      </w:r>
      <w:r w:rsidR="007B4B82">
        <w:t xml:space="preserve"> for </w:t>
      </w:r>
      <w:r w:rsidR="00190078">
        <w:t xml:space="preserve">leave to </w:t>
      </w:r>
      <w:r w:rsidR="007B4B82">
        <w:t xml:space="preserve">appeal.  </w:t>
      </w:r>
      <w:r w:rsidR="00190078">
        <w:t>The Constitutional</w:t>
      </w:r>
      <w:r w:rsidR="007C5E3E">
        <w:t xml:space="preserve"> Court refused leave to app</w:t>
      </w:r>
      <w:r w:rsidR="00973E40">
        <w:t>eal on the merits of the review, holding that the</w:t>
      </w:r>
      <w:r w:rsidR="007C5E3E">
        <w:t xml:space="preserve"> Labour Court had correctly held that an employer is not required to give an employee an opportuni</w:t>
      </w:r>
      <w:r w:rsidR="00190078">
        <w:t>ty to make representations before</w:t>
      </w:r>
      <w:r w:rsidR="007C5E3E">
        <w:t xml:space="preserve"> a precautionary </w:t>
      </w:r>
      <w:r w:rsidR="00190078">
        <w:t>suspension.  The Constitutional</w:t>
      </w:r>
      <w:r w:rsidR="00694529">
        <w:t xml:space="preserve"> Court further held that the</w:t>
      </w:r>
      <w:r w:rsidR="00190078">
        <w:t xml:space="preserve"> Labour Court was</w:t>
      </w:r>
      <w:r w:rsidR="007C5E3E">
        <w:t xml:space="preserve"> correct in holding that </w:t>
      </w:r>
      <w:r w:rsidR="00B8324E">
        <w:t xml:space="preserve">the dismissal had been fair and that Mr Long should not be reinstated.  However, this </w:t>
      </w:r>
      <w:r w:rsidR="00190078">
        <w:t xml:space="preserve">Constitutional </w:t>
      </w:r>
      <w:r w:rsidR="00B8324E">
        <w:t>Court granted leave to appeal against the Labour Court’s costs order.  In labour matters costs do not ordinarily follow the result.  The Labour Court failed to justify i</w:t>
      </w:r>
      <w:r w:rsidR="00190078">
        <w:t>ts adverse costs order, and the Constitutional</w:t>
      </w:r>
      <w:r w:rsidR="00B8324E">
        <w:t xml:space="preserve"> Court found </w:t>
      </w:r>
      <w:r w:rsidR="007C1BD3">
        <w:t xml:space="preserve">that </w:t>
      </w:r>
      <w:r w:rsidR="00B8324E">
        <w:t xml:space="preserve">there </w:t>
      </w:r>
      <w:r w:rsidR="00730D39">
        <w:t>were</w:t>
      </w:r>
      <w:r w:rsidR="00B8324E">
        <w:t xml:space="preserve"> no reasons for awarding costs against Mr Long.  The Labour Court’s costs order was therefore </w:t>
      </w:r>
      <w:r w:rsidR="004B7137">
        <w:t>set aside</w:t>
      </w:r>
      <w:r w:rsidR="00B8324E">
        <w:t>.</w:t>
      </w:r>
    </w:p>
    <w:sectPr w:rsidR="00467359" w:rsidSect="00883D6C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4EA1" w:rsidRDefault="00494EA1" w:rsidP="00A9738B">
      <w:r>
        <w:separator/>
      </w:r>
    </w:p>
  </w:endnote>
  <w:endnote w:type="continuationSeparator" w:id="0">
    <w:p w:rsidR="00494EA1" w:rsidRDefault="00494EA1" w:rsidP="00A973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4EA1" w:rsidRDefault="00494EA1" w:rsidP="00A9738B">
      <w:r>
        <w:separator/>
      </w:r>
    </w:p>
  </w:footnote>
  <w:footnote w:type="continuationSeparator" w:id="0">
    <w:p w:rsidR="00494EA1" w:rsidRDefault="00494EA1" w:rsidP="00A9738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4AB8"/>
    <w:rsid w:val="00030D96"/>
    <w:rsid w:val="00032CA0"/>
    <w:rsid w:val="00097933"/>
    <w:rsid w:val="00115D0D"/>
    <w:rsid w:val="00137C14"/>
    <w:rsid w:val="00190078"/>
    <w:rsid w:val="00194776"/>
    <w:rsid w:val="001A155A"/>
    <w:rsid w:val="001A48AD"/>
    <w:rsid w:val="001D1C24"/>
    <w:rsid w:val="002524D8"/>
    <w:rsid w:val="0029330A"/>
    <w:rsid w:val="002D72AC"/>
    <w:rsid w:val="0038211B"/>
    <w:rsid w:val="003A1C2A"/>
    <w:rsid w:val="003B62AA"/>
    <w:rsid w:val="00453A93"/>
    <w:rsid w:val="00455D67"/>
    <w:rsid w:val="00467359"/>
    <w:rsid w:val="0047608D"/>
    <w:rsid w:val="00494EA1"/>
    <w:rsid w:val="00495F3B"/>
    <w:rsid w:val="004B7137"/>
    <w:rsid w:val="004F023E"/>
    <w:rsid w:val="005123B9"/>
    <w:rsid w:val="00524839"/>
    <w:rsid w:val="005541D3"/>
    <w:rsid w:val="005739F0"/>
    <w:rsid w:val="005A3F77"/>
    <w:rsid w:val="005C0A52"/>
    <w:rsid w:val="005E4062"/>
    <w:rsid w:val="0063609A"/>
    <w:rsid w:val="00694529"/>
    <w:rsid w:val="00696B20"/>
    <w:rsid w:val="006E599E"/>
    <w:rsid w:val="00716B52"/>
    <w:rsid w:val="00730D39"/>
    <w:rsid w:val="00777739"/>
    <w:rsid w:val="00784AB8"/>
    <w:rsid w:val="007A37EF"/>
    <w:rsid w:val="007B4B82"/>
    <w:rsid w:val="007C1BD3"/>
    <w:rsid w:val="007C5E3E"/>
    <w:rsid w:val="0080737A"/>
    <w:rsid w:val="0083209D"/>
    <w:rsid w:val="008376CD"/>
    <w:rsid w:val="00840776"/>
    <w:rsid w:val="00845D41"/>
    <w:rsid w:val="00882A01"/>
    <w:rsid w:val="00883D6C"/>
    <w:rsid w:val="008C4591"/>
    <w:rsid w:val="00925078"/>
    <w:rsid w:val="00932043"/>
    <w:rsid w:val="00970903"/>
    <w:rsid w:val="00973E40"/>
    <w:rsid w:val="009B15E8"/>
    <w:rsid w:val="009C4483"/>
    <w:rsid w:val="009E6B58"/>
    <w:rsid w:val="00A51966"/>
    <w:rsid w:val="00A76CE9"/>
    <w:rsid w:val="00A9738B"/>
    <w:rsid w:val="00AF1294"/>
    <w:rsid w:val="00B40FDA"/>
    <w:rsid w:val="00B8324E"/>
    <w:rsid w:val="00C84032"/>
    <w:rsid w:val="00C92951"/>
    <w:rsid w:val="00CA1B88"/>
    <w:rsid w:val="00CC338E"/>
    <w:rsid w:val="00CC3A42"/>
    <w:rsid w:val="00CC4149"/>
    <w:rsid w:val="00CF13C0"/>
    <w:rsid w:val="00D80D42"/>
    <w:rsid w:val="00D90A15"/>
    <w:rsid w:val="00E7793C"/>
    <w:rsid w:val="00EE34BD"/>
    <w:rsid w:val="00EE486C"/>
    <w:rsid w:val="00F15FF1"/>
    <w:rsid w:val="00F16A81"/>
    <w:rsid w:val="00F252DD"/>
    <w:rsid w:val="00FB251B"/>
    <w:rsid w:val="00FD6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footnote reference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84AB8"/>
    <w:pPr>
      <w:spacing w:after="0" w:line="240" w:lineRule="auto"/>
      <w:jc w:val="both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84AB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84AB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A9738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A9738B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9738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A9738B"/>
    <w:rPr>
      <w:rFonts w:ascii="Times New Roman" w:hAnsi="Times New Roman" w:cs="Times New Roman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rsid w:val="007B4B82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7B4B82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aliases w:val="Footnote Reference + Superscript,Footnotes refss,Appel note de bas de page,Ref,de nota al pie,註腳內容,(NECG) Footnote Reference,fr,Footnote symbol,Footnote,Style 4,-E Fußnotenzeichen,16 Point,Superscript 6 Point,Heading 6 Char1"/>
    <w:basedOn w:val="DefaultParagraphFont"/>
    <w:uiPriority w:val="99"/>
    <w:unhideWhenUsed/>
    <w:qFormat/>
    <w:rsid w:val="007B4B82"/>
    <w:rPr>
      <w:vertAlign w:val="superscript"/>
    </w:rPr>
  </w:style>
  <w:style w:type="paragraph" w:styleId="Subtitle">
    <w:name w:val="Subtitle"/>
    <w:basedOn w:val="Normal"/>
    <w:next w:val="Normal"/>
    <w:link w:val="SubtitleChar"/>
    <w:uiPriority w:val="11"/>
    <w:qFormat/>
    <w:rsid w:val="0080737A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80737A"/>
    <w:rPr>
      <w:rFonts w:eastAsiaTheme="minorEastAsia" w:cstheme="minorBidi"/>
      <w:color w:val="5A5A5A" w:themeColor="text1" w:themeTint="A5"/>
      <w:spacing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43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2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42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24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79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627</Words>
  <Characters>3580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2019-02-18T16:53:00Z</dcterms:created>
  <dcterms:modified xsi:type="dcterms:W3CDTF">2019-02-19T06:43:00Z</dcterms:modified>
</cp:coreProperties>
</file>