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3F" w:rsidRDefault="005956C2" w:rsidP="003D3951">
      <w:pPr>
        <w:tabs>
          <w:tab w:val="left" w:pos="2552"/>
        </w:tabs>
        <w:jc w:val="center"/>
      </w:pPr>
      <w:r w:rsidRPr="005956C2">
        <w:rPr>
          <w:noProof/>
          <w:lang w:eastAsia="en-ZA"/>
        </w:rPr>
        <w:drawing>
          <wp:inline distT="0" distB="0" distL="0" distR="0">
            <wp:extent cx="809625" cy="828675"/>
            <wp:effectExtent l="19050" t="0" r="9525" b="0"/>
            <wp:docPr id="3"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7C137E" w:rsidP="00587A53">
      <w:pPr>
        <w:jc w:val="center"/>
      </w:pPr>
      <w:r>
        <w:rPr>
          <w:b/>
        </w:rPr>
        <w:t>S</w:t>
      </w:r>
      <w:r w:rsidR="00CF65F5">
        <w:rPr>
          <w:b/>
        </w:rPr>
        <w:t xml:space="preserve"> v </w:t>
      </w:r>
      <w:r>
        <w:rPr>
          <w:b/>
        </w:rPr>
        <w:t>S and Another</w:t>
      </w:r>
    </w:p>
    <w:p w:rsidR="006966FC" w:rsidRDefault="006966FC" w:rsidP="006966FC">
      <w:pPr>
        <w:tabs>
          <w:tab w:val="right" w:pos="9360"/>
        </w:tabs>
        <w:ind w:right="284"/>
        <w:rPr>
          <w:bCs/>
          <w:sz w:val="26"/>
          <w:szCs w:val="26"/>
          <w:lang w:val="en-GB"/>
        </w:rPr>
      </w:pPr>
    </w:p>
    <w:p w:rsidR="00E07942" w:rsidRPr="00100894" w:rsidRDefault="00D40819" w:rsidP="00720ACA">
      <w:pPr>
        <w:jc w:val="right"/>
        <w:rPr>
          <w:b/>
        </w:rPr>
      </w:pPr>
      <w:r w:rsidRPr="00100894">
        <w:rPr>
          <w:b/>
        </w:rPr>
        <w:t>CCT</w:t>
      </w:r>
      <w:r w:rsidR="00720ACA" w:rsidRPr="00100894">
        <w:rPr>
          <w:b/>
        </w:rPr>
        <w:t xml:space="preserve"> </w:t>
      </w:r>
      <w:r w:rsidR="007C137E">
        <w:rPr>
          <w:b/>
        </w:rPr>
        <w:t>147/18</w:t>
      </w:r>
    </w:p>
    <w:p w:rsidR="00D40819" w:rsidRDefault="00D40819" w:rsidP="00720ACA">
      <w:pPr>
        <w:jc w:val="right"/>
        <w:rPr>
          <w:b/>
        </w:rPr>
      </w:pPr>
    </w:p>
    <w:p w:rsidR="003061C5" w:rsidRPr="00100894" w:rsidRDefault="00E80B87" w:rsidP="00720ACA">
      <w:pPr>
        <w:jc w:val="right"/>
        <w:rPr>
          <w:b/>
        </w:rPr>
      </w:pPr>
      <w:r>
        <w:rPr>
          <w:b/>
        </w:rPr>
        <w:t>Date of h</w:t>
      </w:r>
      <w:r w:rsidR="003061C5">
        <w:rPr>
          <w:b/>
        </w:rPr>
        <w:t>earing: 12 March 2019</w:t>
      </w:r>
    </w:p>
    <w:p w:rsidR="00E07942" w:rsidRDefault="00E07942" w:rsidP="00720ACA">
      <w:pPr>
        <w:jc w:val="right"/>
        <w:rPr>
          <w:b/>
        </w:rPr>
      </w:pPr>
      <w:r w:rsidRPr="00100894">
        <w:rPr>
          <w:b/>
        </w:rPr>
        <w:t xml:space="preserve">Date of </w:t>
      </w:r>
      <w:r w:rsidR="00CF65F5">
        <w:rPr>
          <w:b/>
        </w:rPr>
        <w:t>judgment</w:t>
      </w:r>
      <w:r w:rsidRPr="00100894">
        <w:rPr>
          <w:b/>
        </w:rPr>
        <w:t xml:space="preserve">: </w:t>
      </w:r>
      <w:r w:rsidR="00931163">
        <w:rPr>
          <w:b/>
        </w:rPr>
        <w:t>2</w:t>
      </w:r>
      <w:r w:rsidR="00252CEF">
        <w:rPr>
          <w:b/>
        </w:rPr>
        <w:t>7</w:t>
      </w:r>
      <w:r w:rsidR="004D75BD">
        <w:rPr>
          <w:b/>
        </w:rPr>
        <w:t xml:space="preserve"> </w:t>
      </w:r>
      <w:r w:rsidR="00CF65F5">
        <w:rPr>
          <w:b/>
        </w:rPr>
        <w:t>June 2019</w:t>
      </w:r>
    </w:p>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552DAC" w:rsidRDefault="00953A07" w:rsidP="007C137E">
      <w:r>
        <w:t xml:space="preserve">On </w:t>
      </w:r>
      <w:r w:rsidR="00E80B87">
        <w:t>T</w:t>
      </w:r>
      <w:r w:rsidR="00252CEF">
        <w:t>hursday</w:t>
      </w:r>
      <w:r w:rsidR="00E80B87">
        <w:t xml:space="preserve">, </w:t>
      </w:r>
      <w:r w:rsidR="00931163">
        <w:t>2</w:t>
      </w:r>
      <w:r w:rsidR="00252CEF">
        <w:t>7</w:t>
      </w:r>
      <w:r w:rsidR="004D75BD">
        <w:t xml:space="preserve"> </w:t>
      </w:r>
      <w:r w:rsidR="00CF65F5">
        <w:t>June</w:t>
      </w:r>
      <w:r w:rsidR="00030FCB">
        <w:t xml:space="preserve"> 2019</w:t>
      </w:r>
      <w:r>
        <w:t xml:space="preserve"> at </w:t>
      </w:r>
      <w:r w:rsidRPr="000D3166">
        <w:t>10h00</w:t>
      </w:r>
      <w:r w:rsidR="00E80B87">
        <w:t>,</w:t>
      </w:r>
      <w:r>
        <w:t xml:space="preserve"> </w:t>
      </w:r>
      <w:r w:rsidRPr="00100894">
        <w:t xml:space="preserve">the Constitutional Court </w:t>
      </w:r>
      <w:r w:rsidR="00CF65F5">
        <w:t>handed down judgment</w:t>
      </w:r>
      <w:r w:rsidR="007C137E">
        <w:t xml:space="preserve"> in a matter concerning the constitutional</w:t>
      </w:r>
      <w:r w:rsidR="00F378FB">
        <w:t xml:space="preserve"> validity</w:t>
      </w:r>
      <w:r w:rsidR="007C137E">
        <w:t xml:space="preserve"> of </w:t>
      </w:r>
      <w:r w:rsidR="00E80B87">
        <w:t xml:space="preserve">rule 43 of the </w:t>
      </w:r>
      <w:r w:rsidR="007C137E">
        <w:t>Uniform Rule of Court</w:t>
      </w:r>
      <w:r w:rsidR="00E80B87">
        <w:t xml:space="preserve"> (Uniform Rules)</w:t>
      </w:r>
      <w:r w:rsidR="007C137E">
        <w:t xml:space="preserve"> read with section 16(3) of the Superior Court</w:t>
      </w:r>
      <w:r w:rsidR="00E80B87">
        <w:t>s</w:t>
      </w:r>
      <w:r w:rsidR="007C137E">
        <w:t xml:space="preserve"> Act</w:t>
      </w:r>
      <w:r w:rsidR="00D33C51">
        <w:t xml:space="preserve"> </w:t>
      </w:r>
      <w:r w:rsidR="007C137E">
        <w:t>10 of 2013</w:t>
      </w:r>
      <w:r w:rsidR="005547DB">
        <w:t xml:space="preserve"> (Act)</w:t>
      </w:r>
      <w:r w:rsidR="007C137E">
        <w:t>.</w:t>
      </w:r>
    </w:p>
    <w:p w:rsidR="007C137E" w:rsidRDefault="007C137E" w:rsidP="007C137E"/>
    <w:p w:rsidR="001856FA" w:rsidRDefault="007C137E" w:rsidP="007C137E">
      <w:r>
        <w:lastRenderedPageBreak/>
        <w:t xml:space="preserve">Mr </w:t>
      </w:r>
      <w:r w:rsidR="00021222">
        <w:t>S</w:t>
      </w:r>
      <w:r>
        <w:t>, the applicant</w:t>
      </w:r>
      <w:r w:rsidR="00AA6700">
        <w:t>,</w:t>
      </w:r>
      <w:r>
        <w:t xml:space="preserve"> and Mrs </w:t>
      </w:r>
      <w:r w:rsidR="00021222">
        <w:t>S</w:t>
      </w:r>
      <w:r>
        <w:t xml:space="preserve">, the </w:t>
      </w:r>
      <w:r w:rsidR="00FF11B7">
        <w:t xml:space="preserve">first </w:t>
      </w:r>
      <w:r>
        <w:t>respondent</w:t>
      </w:r>
      <w:r w:rsidR="00AA6700">
        <w:t>,</w:t>
      </w:r>
      <w:r>
        <w:t xml:space="preserve"> are married out of community of property excluding accrual</w:t>
      </w:r>
      <w:r w:rsidR="00F378FB">
        <w:t xml:space="preserve"> and </w:t>
      </w:r>
      <w:r w:rsidR="00F378FB">
        <w:t>entered into divorce proceedings on 2 September 2016</w:t>
      </w:r>
      <w:r>
        <w:t xml:space="preserve">.  Three </w:t>
      </w:r>
      <w:r w:rsidR="00E80B87">
        <w:t xml:space="preserve">minor </w:t>
      </w:r>
      <w:r>
        <w:t>children were born of the marriage</w:t>
      </w:r>
      <w:r w:rsidR="00F378FB">
        <w:t xml:space="preserve">.  </w:t>
      </w:r>
      <w:r w:rsidR="00EA4422">
        <w:t>On 1</w:t>
      </w:r>
      <w:r w:rsidR="00931163">
        <w:t>5</w:t>
      </w:r>
      <w:r>
        <w:t xml:space="preserve"> March 2017, </w:t>
      </w:r>
      <w:r w:rsidR="00E80B87">
        <w:t>Mr S</w:t>
      </w:r>
      <w:r>
        <w:t xml:space="preserve"> instituted </w:t>
      </w:r>
      <w:r w:rsidR="00E80B87">
        <w:t>r</w:t>
      </w:r>
      <w:r w:rsidR="005547DB">
        <w:t>ule </w:t>
      </w:r>
      <w:r>
        <w:t>43 proceedings in the High Court</w:t>
      </w:r>
      <w:r w:rsidR="009B7360">
        <w:t xml:space="preserve"> of South Africa, Gauteng Division, Pretoria (High Court)</w:t>
      </w:r>
      <w:r>
        <w:t xml:space="preserve">, </w:t>
      </w:r>
      <w:r w:rsidR="00E80B87">
        <w:t>s</w:t>
      </w:r>
      <w:r w:rsidR="00E80B87">
        <w:t>eeking to confirm interim arrangements for maintenance payments and the primary care and custody of the minor children</w:t>
      </w:r>
      <w:r w:rsidR="00E80B87">
        <w:t xml:space="preserve"> until the finalisation of the divorce proceedings</w:t>
      </w:r>
      <w:r>
        <w:t>.</w:t>
      </w:r>
      <w:r w:rsidR="00E80B87">
        <w:t xml:space="preserve">  </w:t>
      </w:r>
      <w:r w:rsidR="00E80B87">
        <w:t>He proposed that he pay Mrs S an amount of R12 000 per month as</w:t>
      </w:r>
      <w:r w:rsidR="00E80B87">
        <w:t xml:space="preserve"> interim maintenance.</w:t>
      </w:r>
      <w:r w:rsidR="0029412B">
        <w:t xml:space="preserve">  </w:t>
      </w:r>
      <w:r w:rsidR="005547DB">
        <w:t xml:space="preserve">On </w:t>
      </w:r>
      <w:r w:rsidR="005547DB" w:rsidRPr="005547DB">
        <w:t>12</w:t>
      </w:r>
      <w:r w:rsidR="005547DB">
        <w:t> </w:t>
      </w:r>
      <w:r w:rsidRPr="005547DB">
        <w:t>May</w:t>
      </w:r>
      <w:r w:rsidR="005547DB">
        <w:t> </w:t>
      </w:r>
      <w:r>
        <w:t>2017, the High</w:t>
      </w:r>
      <w:r w:rsidR="004D75BD">
        <w:t> </w:t>
      </w:r>
      <w:r>
        <w:t xml:space="preserve">Court </w:t>
      </w:r>
      <w:r w:rsidR="0029412B">
        <w:t xml:space="preserve">ordered </w:t>
      </w:r>
      <w:r w:rsidR="00E80B87">
        <w:t>Mr S</w:t>
      </w:r>
      <w:r>
        <w:t xml:space="preserve"> to pay an amount of R40 000 per month </w:t>
      </w:r>
      <w:r w:rsidR="00E80B87">
        <w:t>as maintenance to Mrs S</w:t>
      </w:r>
      <w:r w:rsidR="0029412B">
        <w:t xml:space="preserve">.  </w:t>
      </w:r>
      <w:r>
        <w:t xml:space="preserve">Upon receipt of the order, </w:t>
      </w:r>
      <w:r w:rsidR="00E80B87">
        <w:t>Mr S</w:t>
      </w:r>
      <w:r>
        <w:t xml:space="preserve"> requested reasons </w:t>
      </w:r>
      <w:r w:rsidR="00E80B87">
        <w:t xml:space="preserve">for the </w:t>
      </w:r>
      <w:r w:rsidR="005547DB">
        <w:t>rule </w:t>
      </w:r>
      <w:r w:rsidR="00E80B87">
        <w:t xml:space="preserve">43 order </w:t>
      </w:r>
      <w:r>
        <w:t>in accordance with rule 49(1)(b) of the Uniform Rules</w:t>
      </w:r>
      <w:r w:rsidR="001856FA">
        <w:t>,</w:t>
      </w:r>
      <w:r w:rsidR="001856FA" w:rsidRPr="001856FA">
        <w:t xml:space="preserve"> </w:t>
      </w:r>
      <w:r w:rsidR="001856FA">
        <w:t xml:space="preserve">as he considered the ordered amount </w:t>
      </w:r>
      <w:r w:rsidR="005547DB">
        <w:t>to be</w:t>
      </w:r>
      <w:r w:rsidR="00F378FB">
        <w:t xml:space="preserve"> financially unsustainable</w:t>
      </w:r>
      <w:r w:rsidR="001856FA">
        <w:t xml:space="preserve"> and </w:t>
      </w:r>
      <w:r w:rsidR="00F378FB">
        <w:t>not supported by</w:t>
      </w:r>
      <w:r w:rsidR="001856FA">
        <w:t xml:space="preserve"> evidence</w:t>
      </w:r>
      <w:r>
        <w:t xml:space="preserve">. </w:t>
      </w:r>
      <w:r w:rsidR="00AA6700">
        <w:t xml:space="preserve"> </w:t>
      </w:r>
      <w:r w:rsidR="001856FA">
        <w:t>The High Court gave brief reasons to the effect that rule 43 orders are interlocutory, are not appealable, are susceptible to variation per rule 43(6), and do not generally require that reasons be given.</w:t>
      </w:r>
      <w:r w:rsidR="001856FA">
        <w:t xml:space="preserve"> </w:t>
      </w:r>
    </w:p>
    <w:p w:rsidR="001856FA" w:rsidRDefault="001856FA" w:rsidP="007C137E"/>
    <w:p w:rsidR="001856FA" w:rsidRDefault="001856FA" w:rsidP="007C137E">
      <w:r>
        <w:t>Mr S</w:t>
      </w:r>
      <w:r w:rsidR="007C137E">
        <w:t xml:space="preserve"> launched an application for leave to appeal </w:t>
      </w:r>
      <w:r>
        <w:t xml:space="preserve">in the High Court </w:t>
      </w:r>
      <w:r w:rsidR="007C137E">
        <w:t>on 23 June 2017.</w:t>
      </w:r>
      <w:r w:rsidR="0029412B">
        <w:t xml:space="preserve">  </w:t>
      </w:r>
      <w:r>
        <w:t xml:space="preserve">The High Court dismissed the application, again finding that rule 43 proceedings are not appealable due to section 16(3) of the Act, and dismissing Mr S’s challenge to the constitutionality of section 16(3).  Mr S’s further applications for leave to appeal to the Supreme Court of Appeal and its President were </w:t>
      </w:r>
      <w:r w:rsidR="00252CEF">
        <w:t>also</w:t>
      </w:r>
      <w:r>
        <w:t xml:space="preserve"> dismissed.</w:t>
      </w:r>
      <w:r>
        <w:t xml:space="preserve"> </w:t>
      </w:r>
    </w:p>
    <w:p w:rsidR="007C137E" w:rsidRDefault="007C137E" w:rsidP="007C137E"/>
    <w:p w:rsidR="001856FA" w:rsidRDefault="002E5E17" w:rsidP="001856FA">
      <w:r>
        <w:t xml:space="preserve">In this Court, </w:t>
      </w:r>
      <w:r w:rsidR="001856FA">
        <w:t>Mr S</w:t>
      </w:r>
      <w:r>
        <w:t xml:space="preserve"> </w:t>
      </w:r>
      <w:r w:rsidR="00AA6700">
        <w:t>argue</w:t>
      </w:r>
      <w:r w:rsidR="00AA1398">
        <w:t xml:space="preserve">d </w:t>
      </w:r>
      <w:r w:rsidR="00252CEF">
        <w:t xml:space="preserve">that </w:t>
      </w:r>
      <w:r w:rsidR="00F378FB">
        <w:t>t</w:t>
      </w:r>
      <w:r w:rsidR="00AA1398">
        <w:t>his matter raise</w:t>
      </w:r>
      <w:r w:rsidR="00252CEF">
        <w:t>d</w:t>
      </w:r>
      <w:r w:rsidR="00AA1398">
        <w:t xml:space="preserve"> an arguable point of law and a constitutional issue</w:t>
      </w:r>
      <w:r w:rsidR="00D03146">
        <w:t xml:space="preserve">.  </w:t>
      </w:r>
      <w:r w:rsidR="001856FA">
        <w:t>He contended that section 16(3) of the Act was unconstitutional as it created a blanket rule</w:t>
      </w:r>
      <w:r w:rsidR="005547DB">
        <w:t>,</w:t>
      </w:r>
      <w:r w:rsidR="001856FA">
        <w:t xml:space="preserve"> that rule 43 orders are not appealable.  This, he submitted, created an infringement of the best interests of the child, the right to equality for litigants and the right of access to courts.  The Centre for Child Law,</w:t>
      </w:r>
      <w:r w:rsidR="00252CEF">
        <w:t xml:space="preserve"> which</w:t>
      </w:r>
      <w:r w:rsidR="001856FA">
        <w:t xml:space="preserve"> was admitted as amicus curiae</w:t>
      </w:r>
      <w:r w:rsidR="009B7360">
        <w:t xml:space="preserve"> (friend of the court)</w:t>
      </w:r>
      <w:r w:rsidR="001856FA">
        <w:t>, supported Mr S’s case, and argued that allowing appeals from rule 43 orders</w:t>
      </w:r>
      <w:r w:rsidR="001856FA" w:rsidRPr="00D03146">
        <w:t xml:space="preserve"> would be in the interests of justice</w:t>
      </w:r>
      <w:r w:rsidR="001856FA">
        <w:t xml:space="preserve"> and would favour the best interests of the child.</w:t>
      </w:r>
    </w:p>
    <w:p w:rsidR="00AA1398" w:rsidRDefault="00AA1398" w:rsidP="007C137E"/>
    <w:p w:rsidR="00F1110F" w:rsidRDefault="00D03146" w:rsidP="007C137E">
      <w:r>
        <w:t xml:space="preserve">In a unanimous judgment penned by Nicholls AJ, </w:t>
      </w:r>
      <w:r w:rsidR="009B7360">
        <w:t xml:space="preserve">the Constitutional Court </w:t>
      </w:r>
      <w:r w:rsidR="005F6C7E">
        <w:t>held</w:t>
      </w:r>
      <w:r w:rsidR="008B74E7">
        <w:t xml:space="preserve"> </w:t>
      </w:r>
      <w:r w:rsidR="00AA1398">
        <w:t xml:space="preserve">that </w:t>
      </w:r>
      <w:r w:rsidR="004D75BD">
        <w:t xml:space="preserve">in terms of section 167(3)(b)(ii) of the </w:t>
      </w:r>
      <w:r w:rsidR="00A44DA9">
        <w:t>C</w:t>
      </w:r>
      <w:r w:rsidR="004D75BD">
        <w:t xml:space="preserve">onstitution, the matter </w:t>
      </w:r>
      <w:r w:rsidR="00A44DA9">
        <w:t xml:space="preserve">raised an issue of general public </w:t>
      </w:r>
      <w:r w:rsidR="00A44DA9">
        <w:lastRenderedPageBreak/>
        <w:t xml:space="preserve">importance </w:t>
      </w:r>
      <w:r w:rsidR="004D75BD">
        <w:t xml:space="preserve">and </w:t>
      </w:r>
      <w:r w:rsidR="00AA1398">
        <w:t xml:space="preserve">it was in the interests of justice </w:t>
      </w:r>
      <w:r w:rsidR="00A44DA9">
        <w:t xml:space="preserve">to </w:t>
      </w:r>
      <w:r w:rsidR="004D75BD">
        <w:t xml:space="preserve">grant leave to appeal. </w:t>
      </w:r>
      <w:r w:rsidR="00AA1398">
        <w:t xml:space="preserve"> On the constitutional challenge, </w:t>
      </w:r>
      <w:r w:rsidR="00A44DA9">
        <w:t>the Court</w:t>
      </w:r>
      <w:r w:rsidR="00AA1398">
        <w:t xml:space="preserve"> held that</w:t>
      </w:r>
      <w:r w:rsidR="008D61BF">
        <w:t xml:space="preserve"> an appeal process is expensive and would create delays in finalising matters</w:t>
      </w:r>
      <w:r w:rsidR="00B9736C">
        <w:t xml:space="preserve">, which </w:t>
      </w:r>
      <w:r w:rsidR="00032C1F">
        <w:t>infringe</w:t>
      </w:r>
      <w:r w:rsidR="00B9736C">
        <w:t>s</w:t>
      </w:r>
      <w:r w:rsidR="00032C1F">
        <w:t xml:space="preserve"> the best interests of the child</w:t>
      </w:r>
      <w:r w:rsidR="00AF285E">
        <w:t xml:space="preserve">.  </w:t>
      </w:r>
      <w:r w:rsidR="008D61BF">
        <w:t xml:space="preserve">The Court also found that there is a rational connection between section 16(3) and </w:t>
      </w:r>
      <w:r w:rsidR="00F378FB">
        <w:t>the</w:t>
      </w:r>
      <w:r w:rsidR="008D61BF">
        <w:t xml:space="preserve"> legitimate government purpose to deal with the issue speedily and </w:t>
      </w:r>
      <w:r w:rsidR="004D75BD">
        <w:t>prevent incurrence of costs</w:t>
      </w:r>
      <w:r w:rsidR="00EE3883">
        <w:t>.  T</w:t>
      </w:r>
      <w:r w:rsidR="008D61BF">
        <w:t xml:space="preserve">he Court </w:t>
      </w:r>
      <w:r w:rsidR="00EE3883">
        <w:t xml:space="preserve">further </w:t>
      </w:r>
      <w:bookmarkStart w:id="0" w:name="_GoBack"/>
      <w:bookmarkEnd w:id="0"/>
      <w:r w:rsidR="008D61BF">
        <w:t>found that rule 43(6)</w:t>
      </w:r>
      <w:r w:rsidR="003061C5">
        <w:t>,</w:t>
      </w:r>
      <w:r w:rsidR="008D61BF">
        <w:t xml:space="preserve"> which provides litigants with an opportunity to approach a court for </w:t>
      </w:r>
      <w:r w:rsidR="00032C1F">
        <w:t>variation</w:t>
      </w:r>
      <w:r w:rsidR="002466B0">
        <w:t xml:space="preserve"> of a previous</w:t>
      </w:r>
      <w:r w:rsidR="008D61BF">
        <w:t xml:space="preserve"> </w:t>
      </w:r>
      <w:r w:rsidR="001856FA">
        <w:t xml:space="preserve">rule 43 </w:t>
      </w:r>
      <w:r w:rsidR="008D61BF">
        <w:t xml:space="preserve">order, </w:t>
      </w:r>
      <w:r w:rsidR="00AF285E">
        <w:t xml:space="preserve">provides access to courts and </w:t>
      </w:r>
      <w:r w:rsidR="001856FA">
        <w:t xml:space="preserve">sufficiently enables </w:t>
      </w:r>
      <w:r w:rsidR="00AF285E">
        <w:t>the right</w:t>
      </w:r>
      <w:r w:rsidR="008D61BF">
        <w:t>.</w:t>
      </w:r>
    </w:p>
    <w:p w:rsidR="00F1110F" w:rsidRDefault="00F1110F" w:rsidP="007C137E"/>
    <w:p w:rsidR="00AA1398" w:rsidRPr="00AE3E6D" w:rsidRDefault="00F1110F" w:rsidP="007C137E">
      <w:r>
        <w:t xml:space="preserve">The Court concluded that the real issue in this matter </w:t>
      </w:r>
      <w:r w:rsidR="00F378FB">
        <w:t xml:space="preserve">was </w:t>
      </w:r>
      <w:r>
        <w:t xml:space="preserve">the interpretation and operation of rule 43, rather than section 16(3) of the Act.  However, the constitutionality of rule 43 had not been in issue before the Court.  As such, the Court found that the unconstitutionality of section 16(3) of the Act had not been established, but provided guidance to </w:t>
      </w:r>
      <w:r w:rsidR="00F378FB" w:rsidRPr="00062D12">
        <w:t>High</w:t>
      </w:r>
      <w:r w:rsidR="00F378FB">
        <w:t> </w:t>
      </w:r>
      <w:r w:rsidRPr="00062D12">
        <w:t>Courts</w:t>
      </w:r>
      <w:r>
        <w:t xml:space="preserve"> on interpreting rule 43(6) expansively</w:t>
      </w:r>
      <w:r w:rsidR="00252CEF">
        <w:t>.  Accordingly, the</w:t>
      </w:r>
      <w:r>
        <w:t xml:space="preserve"> Court </w:t>
      </w:r>
      <w:r>
        <w:t xml:space="preserve">granted leave to appeal and </w:t>
      </w:r>
      <w:r>
        <w:t>dismissed the appeal</w:t>
      </w:r>
      <w:r>
        <w:t xml:space="preserve"> with costs</w:t>
      </w:r>
      <w:r>
        <w:t>.</w:t>
      </w:r>
    </w:p>
    <w:sectPr w:rsidR="00AA1398" w:rsidRPr="00AE3E6D" w:rsidSect="00FF2ED7">
      <w:pgSz w:w="12240" w:h="15840"/>
      <w:pgMar w:top="1440" w:right="1797" w:bottom="1440" w:left="179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3148" w:rsidRDefault="002A3148" w:rsidP="00781D25">
      <w:r>
        <w:separator/>
      </w:r>
    </w:p>
  </w:endnote>
  <w:endnote w:type="continuationSeparator" w:id="0">
    <w:p w:rsidR="002A3148" w:rsidRDefault="002A3148" w:rsidP="00781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3148" w:rsidRDefault="002A3148" w:rsidP="00781D25">
      <w:r>
        <w:separator/>
      </w:r>
    </w:p>
  </w:footnote>
  <w:footnote w:type="continuationSeparator" w:id="0">
    <w:p w:rsidR="002A3148" w:rsidRDefault="002A3148" w:rsidP="00781D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772"/>
    <w:rsid w:val="00017302"/>
    <w:rsid w:val="00021222"/>
    <w:rsid w:val="00023FA7"/>
    <w:rsid w:val="0002520D"/>
    <w:rsid w:val="00030FCB"/>
    <w:rsid w:val="00032C1F"/>
    <w:rsid w:val="0003383F"/>
    <w:rsid w:val="00044771"/>
    <w:rsid w:val="000548D7"/>
    <w:rsid w:val="00055B29"/>
    <w:rsid w:val="00062D12"/>
    <w:rsid w:val="000654B1"/>
    <w:rsid w:val="00066E38"/>
    <w:rsid w:val="0007028D"/>
    <w:rsid w:val="00070E99"/>
    <w:rsid w:val="000806AE"/>
    <w:rsid w:val="00091F8C"/>
    <w:rsid w:val="00093E39"/>
    <w:rsid w:val="00094E7C"/>
    <w:rsid w:val="000A36D1"/>
    <w:rsid w:val="000A36F3"/>
    <w:rsid w:val="000C6ECA"/>
    <w:rsid w:val="000D09EA"/>
    <w:rsid w:val="000D35AE"/>
    <w:rsid w:val="00100894"/>
    <w:rsid w:val="00101A9E"/>
    <w:rsid w:val="00113454"/>
    <w:rsid w:val="00117D6B"/>
    <w:rsid w:val="00122E3D"/>
    <w:rsid w:val="00125BE8"/>
    <w:rsid w:val="0015307D"/>
    <w:rsid w:val="00172A2C"/>
    <w:rsid w:val="001856FA"/>
    <w:rsid w:val="0019654E"/>
    <w:rsid w:val="001A24C8"/>
    <w:rsid w:val="001B1AB2"/>
    <w:rsid w:val="001B412C"/>
    <w:rsid w:val="001C2631"/>
    <w:rsid w:val="001E31D8"/>
    <w:rsid w:val="001E57F4"/>
    <w:rsid w:val="001E5F5A"/>
    <w:rsid w:val="001E7604"/>
    <w:rsid w:val="00200AB8"/>
    <w:rsid w:val="00215823"/>
    <w:rsid w:val="002348C0"/>
    <w:rsid w:val="002435AB"/>
    <w:rsid w:val="002466B0"/>
    <w:rsid w:val="00250C27"/>
    <w:rsid w:val="00252CEF"/>
    <w:rsid w:val="00253986"/>
    <w:rsid w:val="00256C3D"/>
    <w:rsid w:val="002705A8"/>
    <w:rsid w:val="0027251B"/>
    <w:rsid w:val="0029412B"/>
    <w:rsid w:val="002A3148"/>
    <w:rsid w:val="002D184B"/>
    <w:rsid w:val="002D7582"/>
    <w:rsid w:val="002E5E17"/>
    <w:rsid w:val="00305423"/>
    <w:rsid w:val="003061C5"/>
    <w:rsid w:val="0031086C"/>
    <w:rsid w:val="0031792A"/>
    <w:rsid w:val="00323149"/>
    <w:rsid w:val="003255EA"/>
    <w:rsid w:val="0032682A"/>
    <w:rsid w:val="00334E0F"/>
    <w:rsid w:val="00357788"/>
    <w:rsid w:val="0037720A"/>
    <w:rsid w:val="003807A5"/>
    <w:rsid w:val="003845A8"/>
    <w:rsid w:val="003850ED"/>
    <w:rsid w:val="00386254"/>
    <w:rsid w:val="003B4484"/>
    <w:rsid w:val="003C40ED"/>
    <w:rsid w:val="003D1CF1"/>
    <w:rsid w:val="003D3951"/>
    <w:rsid w:val="003F0347"/>
    <w:rsid w:val="003F1959"/>
    <w:rsid w:val="003F3E2F"/>
    <w:rsid w:val="004036FB"/>
    <w:rsid w:val="004065B7"/>
    <w:rsid w:val="00410075"/>
    <w:rsid w:val="004302FD"/>
    <w:rsid w:val="00430C6F"/>
    <w:rsid w:val="004426F8"/>
    <w:rsid w:val="004503C6"/>
    <w:rsid w:val="00490F2C"/>
    <w:rsid w:val="00491601"/>
    <w:rsid w:val="004A1AEE"/>
    <w:rsid w:val="004C13F8"/>
    <w:rsid w:val="004C5AD8"/>
    <w:rsid w:val="004C7EF7"/>
    <w:rsid w:val="004D716D"/>
    <w:rsid w:val="004D75BD"/>
    <w:rsid w:val="005034DD"/>
    <w:rsid w:val="005038A1"/>
    <w:rsid w:val="00524F3A"/>
    <w:rsid w:val="005257B9"/>
    <w:rsid w:val="00526226"/>
    <w:rsid w:val="005307A5"/>
    <w:rsid w:val="0053527E"/>
    <w:rsid w:val="00552DAC"/>
    <w:rsid w:val="005547DB"/>
    <w:rsid w:val="00564F7E"/>
    <w:rsid w:val="00573AEA"/>
    <w:rsid w:val="00577976"/>
    <w:rsid w:val="00587A53"/>
    <w:rsid w:val="00594B56"/>
    <w:rsid w:val="005956C2"/>
    <w:rsid w:val="005A0764"/>
    <w:rsid w:val="005A460F"/>
    <w:rsid w:val="005B2F2F"/>
    <w:rsid w:val="005B51EB"/>
    <w:rsid w:val="005C0D41"/>
    <w:rsid w:val="005E52AC"/>
    <w:rsid w:val="005E557D"/>
    <w:rsid w:val="005F22CC"/>
    <w:rsid w:val="005F322E"/>
    <w:rsid w:val="005F6C7E"/>
    <w:rsid w:val="005F705A"/>
    <w:rsid w:val="00601153"/>
    <w:rsid w:val="00606CD7"/>
    <w:rsid w:val="00616848"/>
    <w:rsid w:val="00624FFE"/>
    <w:rsid w:val="00630AA9"/>
    <w:rsid w:val="006407C1"/>
    <w:rsid w:val="00642528"/>
    <w:rsid w:val="006474CE"/>
    <w:rsid w:val="006524D4"/>
    <w:rsid w:val="006543E3"/>
    <w:rsid w:val="006735C9"/>
    <w:rsid w:val="00674452"/>
    <w:rsid w:val="006749D6"/>
    <w:rsid w:val="00676CFE"/>
    <w:rsid w:val="00685C91"/>
    <w:rsid w:val="00686F61"/>
    <w:rsid w:val="006879F3"/>
    <w:rsid w:val="00694175"/>
    <w:rsid w:val="006966FC"/>
    <w:rsid w:val="006D45D0"/>
    <w:rsid w:val="006E4406"/>
    <w:rsid w:val="006E6A2F"/>
    <w:rsid w:val="007106E2"/>
    <w:rsid w:val="00712458"/>
    <w:rsid w:val="00716FAA"/>
    <w:rsid w:val="00720ACA"/>
    <w:rsid w:val="007328EC"/>
    <w:rsid w:val="00734D30"/>
    <w:rsid w:val="00742650"/>
    <w:rsid w:val="00750F83"/>
    <w:rsid w:val="00750FD8"/>
    <w:rsid w:val="00752C8F"/>
    <w:rsid w:val="00762738"/>
    <w:rsid w:val="007659FF"/>
    <w:rsid w:val="007746CE"/>
    <w:rsid w:val="00775169"/>
    <w:rsid w:val="00780874"/>
    <w:rsid w:val="00781D25"/>
    <w:rsid w:val="00783F00"/>
    <w:rsid w:val="0078535D"/>
    <w:rsid w:val="00791995"/>
    <w:rsid w:val="007B418E"/>
    <w:rsid w:val="007C137E"/>
    <w:rsid w:val="007C65D9"/>
    <w:rsid w:val="007D6DF5"/>
    <w:rsid w:val="007F0EF4"/>
    <w:rsid w:val="007F3C29"/>
    <w:rsid w:val="007F7DCD"/>
    <w:rsid w:val="00801124"/>
    <w:rsid w:val="0081741F"/>
    <w:rsid w:val="00823B02"/>
    <w:rsid w:val="0083215D"/>
    <w:rsid w:val="00834D25"/>
    <w:rsid w:val="008351C8"/>
    <w:rsid w:val="00846471"/>
    <w:rsid w:val="0086048D"/>
    <w:rsid w:val="008644ED"/>
    <w:rsid w:val="008651CB"/>
    <w:rsid w:val="00866508"/>
    <w:rsid w:val="00867767"/>
    <w:rsid w:val="0087005B"/>
    <w:rsid w:val="00881D33"/>
    <w:rsid w:val="00882096"/>
    <w:rsid w:val="00883D6C"/>
    <w:rsid w:val="00890490"/>
    <w:rsid w:val="00890F7D"/>
    <w:rsid w:val="008943E7"/>
    <w:rsid w:val="008A5FDC"/>
    <w:rsid w:val="008B1777"/>
    <w:rsid w:val="008B532D"/>
    <w:rsid w:val="008B74E7"/>
    <w:rsid w:val="008C3682"/>
    <w:rsid w:val="008D24BC"/>
    <w:rsid w:val="008D3D39"/>
    <w:rsid w:val="008D61BF"/>
    <w:rsid w:val="008D765D"/>
    <w:rsid w:val="008E54C8"/>
    <w:rsid w:val="008F0D86"/>
    <w:rsid w:val="008F4B8F"/>
    <w:rsid w:val="0090690C"/>
    <w:rsid w:val="00910F26"/>
    <w:rsid w:val="00911DB9"/>
    <w:rsid w:val="00931163"/>
    <w:rsid w:val="00936C3D"/>
    <w:rsid w:val="00953A07"/>
    <w:rsid w:val="0096072E"/>
    <w:rsid w:val="009642D7"/>
    <w:rsid w:val="009661C1"/>
    <w:rsid w:val="009743CD"/>
    <w:rsid w:val="00992CAE"/>
    <w:rsid w:val="009A7202"/>
    <w:rsid w:val="009B7360"/>
    <w:rsid w:val="009B7D1B"/>
    <w:rsid w:val="009C0AD0"/>
    <w:rsid w:val="009D77A7"/>
    <w:rsid w:val="009E7D9D"/>
    <w:rsid w:val="009F1165"/>
    <w:rsid w:val="00A0140F"/>
    <w:rsid w:val="00A13025"/>
    <w:rsid w:val="00A142B7"/>
    <w:rsid w:val="00A17858"/>
    <w:rsid w:val="00A20B94"/>
    <w:rsid w:val="00A21F1F"/>
    <w:rsid w:val="00A31E58"/>
    <w:rsid w:val="00A37027"/>
    <w:rsid w:val="00A44DA9"/>
    <w:rsid w:val="00A47D4A"/>
    <w:rsid w:val="00A51C04"/>
    <w:rsid w:val="00A55B9B"/>
    <w:rsid w:val="00A6434D"/>
    <w:rsid w:val="00A84CC9"/>
    <w:rsid w:val="00AA1398"/>
    <w:rsid w:val="00AA17C0"/>
    <w:rsid w:val="00AA3378"/>
    <w:rsid w:val="00AA4F15"/>
    <w:rsid w:val="00AA6700"/>
    <w:rsid w:val="00AB6D80"/>
    <w:rsid w:val="00AC799A"/>
    <w:rsid w:val="00AD14A5"/>
    <w:rsid w:val="00AE3E6D"/>
    <w:rsid w:val="00AE4640"/>
    <w:rsid w:val="00AF0A36"/>
    <w:rsid w:val="00AF285E"/>
    <w:rsid w:val="00AF67D4"/>
    <w:rsid w:val="00B3177F"/>
    <w:rsid w:val="00B31B92"/>
    <w:rsid w:val="00B36F54"/>
    <w:rsid w:val="00B428BE"/>
    <w:rsid w:val="00B45267"/>
    <w:rsid w:val="00B4658E"/>
    <w:rsid w:val="00B630F2"/>
    <w:rsid w:val="00B80F33"/>
    <w:rsid w:val="00B9736C"/>
    <w:rsid w:val="00BA74B0"/>
    <w:rsid w:val="00BB3E82"/>
    <w:rsid w:val="00BE3874"/>
    <w:rsid w:val="00BE6FBD"/>
    <w:rsid w:val="00C12128"/>
    <w:rsid w:val="00C14E9E"/>
    <w:rsid w:val="00C15790"/>
    <w:rsid w:val="00C27611"/>
    <w:rsid w:val="00C43D8A"/>
    <w:rsid w:val="00C44D82"/>
    <w:rsid w:val="00C45F8A"/>
    <w:rsid w:val="00C47F29"/>
    <w:rsid w:val="00C51AFC"/>
    <w:rsid w:val="00C536E8"/>
    <w:rsid w:val="00C55A66"/>
    <w:rsid w:val="00C616DF"/>
    <w:rsid w:val="00C7054B"/>
    <w:rsid w:val="00C70B69"/>
    <w:rsid w:val="00C81C52"/>
    <w:rsid w:val="00C85429"/>
    <w:rsid w:val="00C96321"/>
    <w:rsid w:val="00CA1D93"/>
    <w:rsid w:val="00CA21ED"/>
    <w:rsid w:val="00CB182E"/>
    <w:rsid w:val="00CB2E3D"/>
    <w:rsid w:val="00CB4688"/>
    <w:rsid w:val="00CB676F"/>
    <w:rsid w:val="00CE10A5"/>
    <w:rsid w:val="00CE51A0"/>
    <w:rsid w:val="00CF65F5"/>
    <w:rsid w:val="00D00963"/>
    <w:rsid w:val="00D03146"/>
    <w:rsid w:val="00D12501"/>
    <w:rsid w:val="00D200E8"/>
    <w:rsid w:val="00D3343D"/>
    <w:rsid w:val="00D33C51"/>
    <w:rsid w:val="00D356A3"/>
    <w:rsid w:val="00D40819"/>
    <w:rsid w:val="00D43D03"/>
    <w:rsid w:val="00D64E65"/>
    <w:rsid w:val="00D659C5"/>
    <w:rsid w:val="00D81F8F"/>
    <w:rsid w:val="00D86239"/>
    <w:rsid w:val="00DB12FA"/>
    <w:rsid w:val="00DB1A44"/>
    <w:rsid w:val="00DD5682"/>
    <w:rsid w:val="00DE2675"/>
    <w:rsid w:val="00DE5133"/>
    <w:rsid w:val="00DE7B41"/>
    <w:rsid w:val="00DF0CD7"/>
    <w:rsid w:val="00E07942"/>
    <w:rsid w:val="00E27310"/>
    <w:rsid w:val="00E37B51"/>
    <w:rsid w:val="00E545EA"/>
    <w:rsid w:val="00E636E4"/>
    <w:rsid w:val="00E661EE"/>
    <w:rsid w:val="00E736CB"/>
    <w:rsid w:val="00E77908"/>
    <w:rsid w:val="00E80B87"/>
    <w:rsid w:val="00E8342B"/>
    <w:rsid w:val="00E93F86"/>
    <w:rsid w:val="00EA113C"/>
    <w:rsid w:val="00EA1851"/>
    <w:rsid w:val="00EA4422"/>
    <w:rsid w:val="00EC30F9"/>
    <w:rsid w:val="00EC3DF4"/>
    <w:rsid w:val="00ED5B69"/>
    <w:rsid w:val="00EE10EC"/>
    <w:rsid w:val="00EE3883"/>
    <w:rsid w:val="00EE4673"/>
    <w:rsid w:val="00EE7337"/>
    <w:rsid w:val="00EE7EF0"/>
    <w:rsid w:val="00F04568"/>
    <w:rsid w:val="00F1110F"/>
    <w:rsid w:val="00F258A6"/>
    <w:rsid w:val="00F26BD3"/>
    <w:rsid w:val="00F378FB"/>
    <w:rsid w:val="00F43565"/>
    <w:rsid w:val="00F43ADD"/>
    <w:rsid w:val="00F50679"/>
    <w:rsid w:val="00F5283F"/>
    <w:rsid w:val="00F70E31"/>
    <w:rsid w:val="00F74A3C"/>
    <w:rsid w:val="00F77A10"/>
    <w:rsid w:val="00F91C22"/>
    <w:rsid w:val="00F958E6"/>
    <w:rsid w:val="00F96A85"/>
    <w:rsid w:val="00FA5772"/>
    <w:rsid w:val="00FB2AFF"/>
    <w:rsid w:val="00FB43E0"/>
    <w:rsid w:val="00FC2754"/>
    <w:rsid w:val="00FD2D52"/>
    <w:rsid w:val="00FE00A5"/>
    <w:rsid w:val="00FF11B7"/>
    <w:rsid w:val="00FF2ED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50D0CB8-AE3C-4A5B-AA0A-78B46158E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semiHidden/>
    <w:unhideWhenUsed/>
    <w:rsid w:val="00781D25"/>
    <w:rPr>
      <w:sz w:val="20"/>
      <w:szCs w:val="20"/>
    </w:rPr>
  </w:style>
  <w:style w:type="character" w:customStyle="1" w:styleId="FootnoteTextChar">
    <w:name w:val="Footnote Text Char"/>
    <w:basedOn w:val="DefaultParagraphFont"/>
    <w:link w:val="FootnoteText"/>
    <w:semiHidden/>
    <w:rsid w:val="00781D25"/>
    <w:rPr>
      <w:lang w:eastAsia="en-US"/>
    </w:rPr>
  </w:style>
  <w:style w:type="character" w:styleId="FootnoteReference">
    <w:name w:val="footnote reference"/>
    <w:basedOn w:val="DefaultParagraphFont"/>
    <w:unhideWhenUsed/>
    <w:rsid w:val="00781D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68716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JUDGMENT%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D8F32B-496E-4269-82A1-E51EB53E9811}">
  <ds:schemaRefs>
    <ds:schemaRef ds:uri="http://schemas.openxmlformats.org/officeDocument/2006/bibliography"/>
  </ds:schemaRefs>
</ds:datastoreItem>
</file>

<file path=customXml/itemProps2.xml><?xml version="1.0" encoding="utf-8"?>
<ds:datastoreItem xmlns:ds="http://schemas.openxmlformats.org/officeDocument/2006/customXml" ds:itemID="{BE56CE23-CFC8-476F-9EC1-D6FC0EC64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MEDIA SUMMARY TEMPLATE</Template>
  <TotalTime>7</TotalTime>
  <Pages>2</Pages>
  <Words>693</Words>
  <Characters>3560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4245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cp:lastModifiedBy>Aubrey Mazibuko</cp:lastModifiedBy>
  <cp:revision>4</cp:revision>
  <cp:lastPrinted>2019-06-25T09:43:00Z</cp:lastPrinted>
  <dcterms:created xsi:type="dcterms:W3CDTF">2019-06-25T09:43:00Z</dcterms:created>
  <dcterms:modified xsi:type="dcterms:W3CDTF">2019-06-25T09:49:00Z</dcterms:modified>
</cp:coreProperties>
</file>