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283F" w:rsidRDefault="005956C2" w:rsidP="00720ACA">
      <w:pPr>
        <w:jc w:val="center"/>
      </w:pPr>
      <w:r w:rsidRPr="005956C2">
        <w:rPr>
          <w:noProof/>
          <w:lang w:eastAsia="en-ZA"/>
        </w:rPr>
        <w:drawing>
          <wp:inline distT="0" distB="0" distL="0" distR="0" wp14:anchorId="5995B208" wp14:editId="5EDBCF8C">
            <wp:extent cx="809625" cy="828675"/>
            <wp:effectExtent l="19050" t="0" r="9525" b="0"/>
            <wp:docPr id="3" name="Picture 1" descr="cid:image001.png@01CB1DF1.85740C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1.png@01CB1DF1.85740C50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/>
                    <a:srcRect l="6632" r="128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5283F" w:rsidRDefault="00F5283F" w:rsidP="00720ACA">
      <w:pPr>
        <w:jc w:val="center"/>
      </w:pPr>
    </w:p>
    <w:p w:rsidR="001E5F5A" w:rsidRPr="00100894" w:rsidRDefault="001E5F5A" w:rsidP="00720ACA">
      <w:pPr>
        <w:jc w:val="center"/>
        <w:rPr>
          <w:b/>
        </w:rPr>
      </w:pPr>
      <w:r w:rsidRPr="00100894">
        <w:rPr>
          <w:b/>
        </w:rPr>
        <w:t>CONSTIT</w:t>
      </w:r>
      <w:r w:rsidR="00676CFE" w:rsidRPr="00100894">
        <w:rPr>
          <w:b/>
        </w:rPr>
        <w:t>UT</w:t>
      </w:r>
      <w:r w:rsidRPr="00100894">
        <w:rPr>
          <w:b/>
        </w:rPr>
        <w:t>IONAL COURT OF SOUTH AFRICA</w:t>
      </w:r>
    </w:p>
    <w:p w:rsidR="001E5F5A" w:rsidRPr="00100894" w:rsidRDefault="001E5F5A" w:rsidP="00AE4640"/>
    <w:p w:rsidR="00303DA0" w:rsidRDefault="003B4CC7" w:rsidP="00743735">
      <w:pPr>
        <w:tabs>
          <w:tab w:val="right" w:pos="9360"/>
        </w:tabs>
        <w:ind w:right="284"/>
        <w:jc w:val="center"/>
        <w:rPr>
          <w:b/>
        </w:rPr>
      </w:pPr>
      <w:proofErr w:type="spellStart"/>
      <w:r w:rsidRPr="003B4CC7">
        <w:rPr>
          <w:b/>
        </w:rPr>
        <w:t>Moyo</w:t>
      </w:r>
      <w:proofErr w:type="spellEnd"/>
      <w:r w:rsidRPr="003B4CC7">
        <w:rPr>
          <w:b/>
        </w:rPr>
        <w:t xml:space="preserve"> and Another v Minister of Police</w:t>
      </w:r>
      <w:r w:rsidR="00411AF5">
        <w:rPr>
          <w:b/>
        </w:rPr>
        <w:t xml:space="preserve"> and Others</w:t>
      </w:r>
      <w:r w:rsidR="00303DA0">
        <w:rPr>
          <w:b/>
        </w:rPr>
        <w:t>;</w:t>
      </w:r>
    </w:p>
    <w:p w:rsidR="006966FC" w:rsidRDefault="003B4CC7" w:rsidP="00743735">
      <w:pPr>
        <w:tabs>
          <w:tab w:val="right" w:pos="9360"/>
        </w:tabs>
        <w:ind w:right="284"/>
        <w:jc w:val="center"/>
        <w:rPr>
          <w:b/>
        </w:rPr>
      </w:pPr>
      <w:proofErr w:type="spellStart"/>
      <w:r w:rsidRPr="003B4CC7">
        <w:rPr>
          <w:b/>
        </w:rPr>
        <w:t>Sonti</w:t>
      </w:r>
      <w:proofErr w:type="spellEnd"/>
      <w:r w:rsidRPr="003B4CC7">
        <w:rPr>
          <w:b/>
        </w:rPr>
        <w:t xml:space="preserve"> </w:t>
      </w:r>
      <w:r w:rsidR="00411AF5">
        <w:rPr>
          <w:b/>
        </w:rPr>
        <w:t>and Another v</w:t>
      </w:r>
      <w:r w:rsidRPr="003B4CC7">
        <w:rPr>
          <w:b/>
        </w:rPr>
        <w:t xml:space="preserve"> Minister of Police </w:t>
      </w:r>
      <w:r w:rsidR="00411AF5">
        <w:rPr>
          <w:b/>
        </w:rPr>
        <w:t>and Others</w:t>
      </w:r>
    </w:p>
    <w:p w:rsidR="00AA3BE6" w:rsidRPr="003B4CC7" w:rsidRDefault="00AA3BE6" w:rsidP="00743735">
      <w:pPr>
        <w:tabs>
          <w:tab w:val="right" w:pos="9360"/>
        </w:tabs>
        <w:ind w:right="284"/>
        <w:jc w:val="center"/>
        <w:rPr>
          <w:b/>
          <w:bCs/>
          <w:sz w:val="26"/>
          <w:szCs w:val="26"/>
          <w:lang w:val="en-GB"/>
        </w:rPr>
      </w:pPr>
    </w:p>
    <w:p w:rsidR="00E07942" w:rsidRDefault="00D40819" w:rsidP="003B4CC7">
      <w:pPr>
        <w:jc w:val="right"/>
        <w:rPr>
          <w:b/>
        </w:rPr>
      </w:pPr>
      <w:r w:rsidRPr="001A4C99">
        <w:rPr>
          <w:b/>
        </w:rPr>
        <w:t>CCT</w:t>
      </w:r>
      <w:r w:rsidR="00720ACA" w:rsidRPr="001A4C99">
        <w:rPr>
          <w:b/>
        </w:rPr>
        <w:t xml:space="preserve"> </w:t>
      </w:r>
      <w:r w:rsidR="00411AF5">
        <w:rPr>
          <w:b/>
        </w:rPr>
        <w:t>174</w:t>
      </w:r>
      <w:r w:rsidR="0007028D" w:rsidRPr="001A4C99">
        <w:rPr>
          <w:b/>
        </w:rPr>
        <w:t>/</w:t>
      </w:r>
      <w:r w:rsidR="001A4C99" w:rsidRPr="001A4C99">
        <w:rPr>
          <w:b/>
        </w:rPr>
        <w:t>1</w:t>
      </w:r>
      <w:r w:rsidR="000300F6">
        <w:rPr>
          <w:b/>
        </w:rPr>
        <w:t>8</w:t>
      </w:r>
      <w:r w:rsidR="00411AF5">
        <w:rPr>
          <w:b/>
        </w:rPr>
        <w:t xml:space="preserve"> and CCT 178/18</w:t>
      </w:r>
    </w:p>
    <w:p w:rsidR="002716F4" w:rsidRPr="00100894" w:rsidRDefault="002716F4" w:rsidP="00720ACA">
      <w:pPr>
        <w:jc w:val="right"/>
        <w:rPr>
          <w:b/>
        </w:rPr>
      </w:pPr>
    </w:p>
    <w:p w:rsidR="00F730A2" w:rsidRDefault="00411AF5" w:rsidP="00720ACA">
      <w:pPr>
        <w:jc w:val="right"/>
        <w:rPr>
          <w:b/>
        </w:rPr>
      </w:pPr>
      <w:r>
        <w:rPr>
          <w:b/>
        </w:rPr>
        <w:t xml:space="preserve">Date of Hearing: 19 </w:t>
      </w:r>
      <w:r w:rsidR="00AD706A">
        <w:rPr>
          <w:b/>
        </w:rPr>
        <w:t>February 2019</w:t>
      </w:r>
    </w:p>
    <w:p w:rsidR="00823B02" w:rsidRPr="00411AF5" w:rsidRDefault="00411AF5" w:rsidP="00411AF5">
      <w:pPr>
        <w:tabs>
          <w:tab w:val="left" w:pos="5812"/>
          <w:tab w:val="left" w:pos="6521"/>
        </w:tabs>
        <w:ind w:right="-7"/>
        <w:jc w:val="right"/>
        <w:rPr>
          <w:b/>
        </w:rPr>
      </w:pPr>
      <w:r>
        <w:rPr>
          <w:b/>
        </w:rPr>
        <w:t>Date of Judgment:</w:t>
      </w:r>
      <w:r w:rsidR="00743735">
        <w:rPr>
          <w:b/>
        </w:rPr>
        <w:t xml:space="preserve"> 22 October 2019</w:t>
      </w:r>
      <w:r>
        <w:rPr>
          <w:b/>
        </w:rPr>
        <w:t xml:space="preserve"> </w:t>
      </w:r>
    </w:p>
    <w:p w:rsidR="001E5F5A" w:rsidRPr="00100894" w:rsidRDefault="00526226" w:rsidP="00AE4640">
      <w:r w:rsidRPr="00100894">
        <w:t>________________________________________________________________________</w:t>
      </w:r>
    </w:p>
    <w:p w:rsidR="00526226" w:rsidRPr="00100894" w:rsidRDefault="00526226" w:rsidP="00526226">
      <w:pPr>
        <w:jc w:val="center"/>
        <w:rPr>
          <w:b/>
        </w:rPr>
      </w:pPr>
    </w:p>
    <w:p w:rsidR="00526226" w:rsidRPr="00100894" w:rsidRDefault="001E5F5A" w:rsidP="00526226">
      <w:pPr>
        <w:jc w:val="center"/>
        <w:rPr>
          <w:b/>
        </w:rPr>
      </w:pPr>
      <w:r w:rsidRPr="00100894">
        <w:rPr>
          <w:b/>
        </w:rPr>
        <w:t>MEDIA SUMMARY</w:t>
      </w:r>
    </w:p>
    <w:p w:rsidR="00526226" w:rsidRPr="00100894" w:rsidRDefault="00526226" w:rsidP="00526226">
      <w:pPr>
        <w:jc w:val="center"/>
      </w:pPr>
      <w:r w:rsidRPr="00100894">
        <w:t>________________________________________________________________________</w:t>
      </w:r>
    </w:p>
    <w:p w:rsidR="001E5F5A" w:rsidRPr="00100894" w:rsidRDefault="001E5F5A" w:rsidP="008B532D">
      <w:pPr>
        <w:spacing w:line="360" w:lineRule="auto"/>
        <w:jc w:val="left"/>
      </w:pPr>
    </w:p>
    <w:p w:rsidR="001E5F5A" w:rsidRPr="00100894" w:rsidRDefault="001E5F5A" w:rsidP="006474CE">
      <w:pPr>
        <w:rPr>
          <w:i/>
        </w:rPr>
      </w:pPr>
      <w:r w:rsidRPr="00100894">
        <w:rPr>
          <w:i/>
        </w:rPr>
        <w:t xml:space="preserve">The following </w:t>
      </w:r>
      <w:r w:rsidR="008C3682" w:rsidRPr="00100894">
        <w:rPr>
          <w:i/>
        </w:rPr>
        <w:t xml:space="preserve">explanatory note </w:t>
      </w:r>
      <w:r w:rsidRPr="00100894">
        <w:rPr>
          <w:i/>
        </w:rPr>
        <w:t>is provided to assist the media in reporting this case and is not binding on the Constitutional Court or any member of the Court.</w:t>
      </w:r>
    </w:p>
    <w:p w:rsidR="001E5F5A" w:rsidRPr="00100894" w:rsidRDefault="001E5F5A" w:rsidP="006474CE">
      <w:pPr>
        <w:rPr>
          <w:sz w:val="28"/>
          <w:szCs w:val="28"/>
        </w:rPr>
      </w:pPr>
    </w:p>
    <w:p w:rsidR="00680D3B" w:rsidRDefault="00FB0932" w:rsidP="00DE5133">
      <w:r w:rsidRPr="00AD706A">
        <w:t xml:space="preserve">On </w:t>
      </w:r>
      <w:r w:rsidR="00743735">
        <w:t>Tuesday, 22</w:t>
      </w:r>
      <w:r w:rsidR="007C6358">
        <w:t xml:space="preserve"> </w:t>
      </w:r>
      <w:r w:rsidR="003B4CC7">
        <w:t>October</w:t>
      </w:r>
      <w:r w:rsidR="000300F6" w:rsidRPr="00AD706A">
        <w:t xml:space="preserve"> </w:t>
      </w:r>
      <w:r w:rsidRPr="00AD706A">
        <w:t>201</w:t>
      </w:r>
      <w:r w:rsidR="000300F6" w:rsidRPr="00AD706A">
        <w:t>9</w:t>
      </w:r>
      <w:r>
        <w:t xml:space="preserve"> at 10h00</w:t>
      </w:r>
      <w:r w:rsidR="00A77094">
        <w:t>,</w:t>
      </w:r>
      <w:r>
        <w:t xml:space="preserve"> </w:t>
      </w:r>
      <w:r w:rsidR="000D35AE" w:rsidRPr="00100894">
        <w:t xml:space="preserve">the </w:t>
      </w:r>
      <w:r w:rsidR="00606CD7">
        <w:t>Constitutional Court</w:t>
      </w:r>
      <w:r>
        <w:t xml:space="preserve"> </w:t>
      </w:r>
      <w:r w:rsidR="00F730A2">
        <w:t>handed down judgment in a</w:t>
      </w:r>
      <w:r w:rsidR="00743735">
        <w:t xml:space="preserve"> consolidated</w:t>
      </w:r>
      <w:r>
        <w:t xml:space="preserve"> application</w:t>
      </w:r>
      <w:r w:rsidR="00901C3C">
        <w:t xml:space="preserve"> for leave to appeal</w:t>
      </w:r>
      <w:r>
        <w:t xml:space="preserve"> </w:t>
      </w:r>
      <w:r w:rsidR="000300F6">
        <w:t>against the</w:t>
      </w:r>
      <w:r w:rsidR="00A77094">
        <w:t xml:space="preserve"> judgment and</w:t>
      </w:r>
      <w:r w:rsidR="000300F6">
        <w:t xml:space="preserve"> </w:t>
      </w:r>
      <w:r w:rsidR="003B4CC7">
        <w:t xml:space="preserve">order </w:t>
      </w:r>
      <w:r w:rsidR="000300F6">
        <w:t xml:space="preserve">of the </w:t>
      </w:r>
      <w:r w:rsidR="003B4CC7">
        <w:t>Supreme Court of Appeal.  This consolidated application concerned the constitutionality of section 1(1</w:t>
      </w:r>
      <w:proofErr w:type="gramStart"/>
      <w:r w:rsidR="003B4CC7">
        <w:t>)(</w:t>
      </w:r>
      <w:proofErr w:type="gramEnd"/>
      <w:r w:rsidR="003B4CC7">
        <w:t>b) and section 1(2) of the Intimid</w:t>
      </w:r>
      <w:r w:rsidR="00210E91">
        <w:t>ation Act 72 of 1982 (Act).</w:t>
      </w:r>
    </w:p>
    <w:p w:rsidR="00680D3B" w:rsidRDefault="00680D3B" w:rsidP="00DE5133"/>
    <w:p w:rsidR="00461B54" w:rsidRDefault="008652D2" w:rsidP="002716F4">
      <w:r>
        <w:t xml:space="preserve">The applicant in the first application, General Alfred </w:t>
      </w:r>
      <w:proofErr w:type="spellStart"/>
      <w:r>
        <w:t>Moyo</w:t>
      </w:r>
      <w:proofErr w:type="spellEnd"/>
      <w:r>
        <w:t xml:space="preserve"> (Mr </w:t>
      </w:r>
      <w:proofErr w:type="spellStart"/>
      <w:r>
        <w:t>Moyo</w:t>
      </w:r>
      <w:proofErr w:type="spellEnd"/>
      <w:r>
        <w:t>), was charged under section</w:t>
      </w:r>
      <w:r w:rsidR="00303DA0">
        <w:t> </w:t>
      </w:r>
      <w:r>
        <w:t>1(1</w:t>
      </w:r>
      <w:proofErr w:type="gramStart"/>
      <w:r>
        <w:t>)(</w:t>
      </w:r>
      <w:proofErr w:type="gramEnd"/>
      <w:r>
        <w:t>b) of the Act</w:t>
      </w:r>
      <w:r w:rsidR="00A77094">
        <w:t xml:space="preserve">. </w:t>
      </w:r>
      <w:r>
        <w:t xml:space="preserve"> </w:t>
      </w:r>
      <w:r w:rsidR="00A77094">
        <w:t>This arose from an</w:t>
      </w:r>
      <w:r>
        <w:t xml:space="preserve"> incident that took place on 18</w:t>
      </w:r>
      <w:r w:rsidR="00743735">
        <w:t> </w:t>
      </w:r>
      <w:r>
        <w:t>October</w:t>
      </w:r>
      <w:r w:rsidR="00303DA0">
        <w:t> </w:t>
      </w:r>
      <w:r>
        <w:t>2012 at the Primrose Police Station, Germi</w:t>
      </w:r>
      <w:r w:rsidR="00A77094">
        <w:t>s</w:t>
      </w:r>
      <w:r w:rsidR="00303DA0">
        <w:t>t</w:t>
      </w:r>
      <w:r w:rsidR="00A77094">
        <w:t>on, where</w:t>
      </w:r>
      <w:r>
        <w:t xml:space="preserve"> Mr </w:t>
      </w:r>
      <w:proofErr w:type="spellStart"/>
      <w:r>
        <w:t>Moyo</w:t>
      </w:r>
      <w:proofErr w:type="spellEnd"/>
      <w:r>
        <w:t xml:space="preserve"> allegedly conducted himself in a violent and threatening manner towards </w:t>
      </w:r>
      <w:r w:rsidR="00A77094">
        <w:t>members of the police</w:t>
      </w:r>
      <w:r w:rsidR="00743735">
        <w:t xml:space="preserve"> at the</w:t>
      </w:r>
      <w:r w:rsidR="00A77094">
        <w:t xml:space="preserve"> station.</w:t>
      </w:r>
      <w:r>
        <w:t xml:space="preserve">  The applicant in the second application, Ms</w:t>
      </w:r>
      <w:r w:rsidR="00303DA0">
        <w:t> </w:t>
      </w:r>
      <w:proofErr w:type="spellStart"/>
      <w:r>
        <w:t>Nokulunga</w:t>
      </w:r>
      <w:proofErr w:type="spellEnd"/>
      <w:r>
        <w:t xml:space="preserve"> Primrose </w:t>
      </w:r>
      <w:proofErr w:type="spellStart"/>
      <w:r>
        <w:t>S</w:t>
      </w:r>
      <w:r w:rsidR="006C6C59">
        <w:t>onti</w:t>
      </w:r>
      <w:proofErr w:type="spellEnd"/>
      <w:r w:rsidR="006C6C59">
        <w:t>, was charged under section </w:t>
      </w:r>
      <w:r>
        <w:t>1(1</w:t>
      </w:r>
      <w:proofErr w:type="gramStart"/>
      <w:r>
        <w:t>)(</w:t>
      </w:r>
      <w:proofErr w:type="gramEnd"/>
      <w:r>
        <w:t>a)(ii) and 1(1)(b)(i) of the Act.  The charge arose from a number of text messages and telephone calls that were made to a complainant in a criminal matter</w:t>
      </w:r>
      <w:r w:rsidR="00743735">
        <w:t xml:space="preserve"> which </w:t>
      </w:r>
      <w:r>
        <w:t xml:space="preserve">were alleged to be of a </w:t>
      </w:r>
      <w:r w:rsidR="00210E91">
        <w:t>threatening nature.</w:t>
      </w:r>
    </w:p>
    <w:p w:rsidR="00CD7B40" w:rsidRDefault="00CD7B40" w:rsidP="002716F4"/>
    <w:p w:rsidR="00CD7B40" w:rsidRDefault="00CD7B40" w:rsidP="002716F4">
      <w:r>
        <w:t>B</w:t>
      </w:r>
      <w:r w:rsidR="00A77094">
        <w:t>efore going to trial, b</w:t>
      </w:r>
      <w:r>
        <w:t>oth applicants opted to challenge the constitutionality of se</w:t>
      </w:r>
      <w:r w:rsidR="006C6C59">
        <w:t>ctions </w:t>
      </w:r>
      <w:r w:rsidR="00A77094">
        <w:t>1(1</w:t>
      </w:r>
      <w:proofErr w:type="gramStart"/>
      <w:r w:rsidR="00A77094">
        <w:t>)(</w:t>
      </w:r>
      <w:proofErr w:type="gramEnd"/>
      <w:r w:rsidR="00A77094">
        <w:t>b) and section</w:t>
      </w:r>
      <w:r w:rsidR="00303DA0">
        <w:t> </w:t>
      </w:r>
      <w:r w:rsidR="00A77094">
        <w:t>1(2) </w:t>
      </w:r>
      <w:r>
        <w:t xml:space="preserve">of </w:t>
      </w:r>
      <w:r w:rsidR="00A77094">
        <w:t>the Act</w:t>
      </w:r>
      <w:r w:rsidR="00210E91">
        <w:t>.</w:t>
      </w:r>
      <w:r w:rsidR="000D74EE">
        <w:t xml:space="preserve">  In terms of section</w:t>
      </w:r>
      <w:r w:rsidR="00303DA0">
        <w:t> </w:t>
      </w:r>
      <w:r w:rsidR="000D74EE">
        <w:t>1(1</w:t>
      </w:r>
      <w:proofErr w:type="gramStart"/>
      <w:r w:rsidR="000D74EE">
        <w:t>)(</w:t>
      </w:r>
      <w:proofErr w:type="gramEnd"/>
      <w:r w:rsidR="000D74EE">
        <w:t>b), the applicants</w:t>
      </w:r>
      <w:r w:rsidR="00A77094">
        <w:t xml:space="preserve"> argued</w:t>
      </w:r>
      <w:r w:rsidR="000D74EE">
        <w:t xml:space="preserve"> that the section is overbroad and criminalises a vast array of constitutionally protected free speech.  This is because the section criminalises any conduct that has the effect of causing a person to fear for their own or another’s safety, the safety of their property, or the security of their livelihood.  In terms of section</w:t>
      </w:r>
      <w:r w:rsidR="00303DA0">
        <w:t> </w:t>
      </w:r>
      <w:r w:rsidR="000D74EE">
        <w:t xml:space="preserve">1(2), a </w:t>
      </w:r>
      <w:r w:rsidR="00A77094">
        <w:t>person charged under subsection </w:t>
      </w:r>
      <w:r w:rsidR="000D74EE">
        <w:t>(1) will have to prove that there existed a lawful reason for their conduct, unless they have already made a statement to that effect at the close of the prosecution’s case.  The applicants argue</w:t>
      </w:r>
      <w:r w:rsidR="00A77094">
        <w:t>d</w:t>
      </w:r>
      <w:r w:rsidR="000D74EE">
        <w:t xml:space="preserve"> that </w:t>
      </w:r>
      <w:r w:rsidR="00A77094">
        <w:t xml:space="preserve">section 1(2) is </w:t>
      </w:r>
      <w:r w:rsidR="00B41DDC">
        <w:t xml:space="preserve">a reverse onus provision, </w:t>
      </w:r>
      <w:r w:rsidR="00B41DDC">
        <w:lastRenderedPageBreak/>
        <w:t xml:space="preserve">which absolves the </w:t>
      </w:r>
      <w:r w:rsidR="00AA3BE6">
        <w:t xml:space="preserve">State </w:t>
      </w:r>
      <w:r w:rsidR="00B41DDC">
        <w:t>from proving an element of the crime, and violates an accused’s right to remain silent, be presumed innocent and not to be compelled to give self-incriminating evidence.</w:t>
      </w:r>
      <w:bookmarkStart w:id="0" w:name="_GoBack"/>
      <w:bookmarkEnd w:id="0"/>
    </w:p>
    <w:p w:rsidR="00210E91" w:rsidRDefault="00210E91" w:rsidP="002716F4"/>
    <w:p w:rsidR="00B41DDC" w:rsidRDefault="00210E91" w:rsidP="002716F4">
      <w:r>
        <w:t>The High Court of South Africa, Gauteng Division, Pretoria (High Court)</w:t>
      </w:r>
      <w:r w:rsidR="00B41DDC">
        <w:t xml:space="preserve"> dismissed both applications</w:t>
      </w:r>
      <w:r w:rsidR="008F6DBA">
        <w:t>.</w:t>
      </w:r>
      <w:r w:rsidR="00B41DDC">
        <w:t xml:space="preserve">  The </w:t>
      </w:r>
      <w:r w:rsidR="006C6C59">
        <w:t xml:space="preserve">High </w:t>
      </w:r>
      <w:r w:rsidR="00B41DDC">
        <w:t>Court fo</w:t>
      </w:r>
      <w:r w:rsidR="00A77094">
        <w:t>und that section </w:t>
      </w:r>
      <w:r w:rsidR="00B41DDC">
        <w:t>1(1</w:t>
      </w:r>
      <w:proofErr w:type="gramStart"/>
      <w:r w:rsidR="00B41DDC">
        <w:t>)(</w:t>
      </w:r>
      <w:proofErr w:type="gramEnd"/>
      <w:r w:rsidR="00B41DDC">
        <w:t>b) infringe</w:t>
      </w:r>
      <w:r w:rsidR="00A77094">
        <w:t>d</w:t>
      </w:r>
      <w:r w:rsidR="00B41DDC">
        <w:t xml:space="preserve"> the right to freedom of expression, but that this was reasonable and justifiable </w:t>
      </w:r>
      <w:r w:rsidR="007C6358">
        <w:t xml:space="preserve">due to the necessity of </w:t>
      </w:r>
      <w:proofErr w:type="spellStart"/>
      <w:r w:rsidR="007C6358">
        <w:t>intimidatory</w:t>
      </w:r>
      <w:proofErr w:type="spellEnd"/>
      <w:r w:rsidR="007C6358">
        <w:t xml:space="preserve"> conduct facing criminal sanction.</w:t>
      </w:r>
      <w:r w:rsidR="006C6C59">
        <w:t xml:space="preserve"> </w:t>
      </w:r>
      <w:r w:rsidR="00743735">
        <w:t xml:space="preserve"> </w:t>
      </w:r>
      <w:r w:rsidR="00B41DDC">
        <w:t>Section</w:t>
      </w:r>
      <w:r w:rsidR="00303DA0">
        <w:t> </w:t>
      </w:r>
      <w:r w:rsidR="00B41DDC">
        <w:t>1(2) was found to</w:t>
      </w:r>
      <w:r w:rsidR="00743735">
        <w:t xml:space="preserve"> have</w:t>
      </w:r>
      <w:r w:rsidR="00B41DDC">
        <w:t xml:space="preserve"> infringed a number of fair trial rights, but </w:t>
      </w:r>
      <w:r w:rsidR="00A77094">
        <w:t>again, justifiably so</w:t>
      </w:r>
      <w:r w:rsidR="00B41DDC">
        <w:t xml:space="preserve"> as the State would otherwise be </w:t>
      </w:r>
      <w:r w:rsidR="006C6C59">
        <w:t>un</w:t>
      </w:r>
      <w:r w:rsidR="00B41DDC">
        <w:t xml:space="preserve">able to secure a competent conviction.  The applicants, aggrieved by this decision, </w:t>
      </w:r>
      <w:r w:rsidR="00A77094">
        <w:t>sought leave to appeal before the Supreme Court of Appeal.</w:t>
      </w:r>
    </w:p>
    <w:p w:rsidR="00A77094" w:rsidRDefault="00A77094" w:rsidP="002716F4"/>
    <w:p w:rsidR="00B41DDC" w:rsidRDefault="00AA3BE6" w:rsidP="002716F4">
      <w:r>
        <w:t>T</w:t>
      </w:r>
      <w:r w:rsidR="00B41DDC">
        <w:t xml:space="preserve">he Supreme Court of Appeal </w:t>
      </w:r>
      <w:r w:rsidR="00A77094">
        <w:t>rejected</w:t>
      </w:r>
      <w:r w:rsidR="00B41DDC">
        <w:t xml:space="preserve"> the approach ta</w:t>
      </w:r>
      <w:r w:rsidR="00BE37F1">
        <w:t>ken by the High Court regarding section</w:t>
      </w:r>
      <w:r w:rsidR="00303DA0">
        <w:t> </w:t>
      </w:r>
      <w:r w:rsidR="00BE37F1">
        <w:t>1(1</w:t>
      </w:r>
      <w:proofErr w:type="gramStart"/>
      <w:r w:rsidR="00BE37F1">
        <w:t>)(</w:t>
      </w:r>
      <w:proofErr w:type="gramEnd"/>
      <w:r w:rsidR="00BE37F1">
        <w:t xml:space="preserve">b). </w:t>
      </w:r>
      <w:r w:rsidR="00A77094">
        <w:t xml:space="preserve"> </w:t>
      </w:r>
      <w:r w:rsidR="00BE37F1">
        <w:t>Instead, the Su</w:t>
      </w:r>
      <w:r w:rsidR="00A77094">
        <w:t xml:space="preserve">preme Court of Appeal held that the section must be </w:t>
      </w:r>
      <w:r w:rsidR="00BE37F1">
        <w:t xml:space="preserve">understood in light of </w:t>
      </w:r>
      <w:r w:rsidR="001A5536">
        <w:t xml:space="preserve">our principles of statutory </w:t>
      </w:r>
      <w:r w:rsidR="00BE37F1">
        <w:t>interpretation and the ordinary canons of construction of criminal statutes.  The Supreme Court of Appeal found that, in light of these interpretive aids, section</w:t>
      </w:r>
      <w:r w:rsidR="00303DA0">
        <w:t> </w:t>
      </w:r>
      <w:r w:rsidR="00BE37F1">
        <w:t>1(1</w:t>
      </w:r>
      <w:proofErr w:type="gramStart"/>
      <w:r w:rsidR="00BE37F1">
        <w:t>)(</w:t>
      </w:r>
      <w:proofErr w:type="gramEnd"/>
      <w:r w:rsidR="00BE37F1">
        <w:t>b) did not infringe the right to freedom of expression</w:t>
      </w:r>
      <w:r w:rsidR="001A5536">
        <w:t>.  The section</w:t>
      </w:r>
      <w:r w:rsidR="006C6C59">
        <w:t xml:space="preserve"> </w:t>
      </w:r>
      <w:r w:rsidR="001A5536">
        <w:t>criminalised</w:t>
      </w:r>
      <w:r w:rsidR="006C6C59">
        <w:t xml:space="preserve"> unlawful </w:t>
      </w:r>
      <w:r w:rsidR="001A5536">
        <w:t>conduct</w:t>
      </w:r>
      <w:r w:rsidR="006C6C59">
        <w:t xml:space="preserve"> intended to create a reasonable fear of imminent harm, which is already prohibited by section 16(2) of the Constitution.</w:t>
      </w:r>
      <w:r w:rsidR="001A5536">
        <w:t xml:space="preserve"> </w:t>
      </w:r>
      <w:r w:rsidR="006C6C59">
        <w:t xml:space="preserve"> </w:t>
      </w:r>
      <w:r w:rsidR="00743735">
        <w:t>With regard to</w:t>
      </w:r>
      <w:r w:rsidR="006C6C59">
        <w:t xml:space="preserve"> section </w:t>
      </w:r>
      <w:r w:rsidR="00EF63F9">
        <w:t xml:space="preserve">1(2), the Supreme Court of Appeal found that the provision </w:t>
      </w:r>
      <w:r w:rsidR="001A5536">
        <w:t>was</w:t>
      </w:r>
      <w:r w:rsidR="00EF63F9">
        <w:t xml:space="preserve"> consti</w:t>
      </w:r>
      <w:r w:rsidR="001A5536">
        <w:t>tutionally invalid as it created</w:t>
      </w:r>
      <w:r w:rsidR="00EF63F9">
        <w:t xml:space="preserve"> an evidentiary burden</w:t>
      </w:r>
      <w:r w:rsidR="001A5536">
        <w:t xml:space="preserve"> on the accused.  This violated both the right to remain silent and the right not to be compelled </w:t>
      </w:r>
      <w:r w:rsidR="006C6C59">
        <w:t>to give self-incriminating evidence</w:t>
      </w:r>
      <w:r w:rsidR="001A5536">
        <w:t>.</w:t>
      </w:r>
    </w:p>
    <w:p w:rsidR="00EF63F9" w:rsidRDefault="00EF63F9" w:rsidP="002716F4"/>
    <w:p w:rsidR="00A936AC" w:rsidRDefault="00DF2A1F" w:rsidP="002716F4">
      <w:r>
        <w:t xml:space="preserve">The applicants thereafter applied to the Constitutional Court for an order confirming the declaration of </w:t>
      </w:r>
      <w:r w:rsidR="002A6144">
        <w:t xml:space="preserve">invalidity </w:t>
      </w:r>
      <w:r w:rsidR="001A5536">
        <w:t>regarding section </w:t>
      </w:r>
      <w:r>
        <w:t xml:space="preserve">1(2).  The applicants </w:t>
      </w:r>
      <w:r w:rsidR="004E0C21">
        <w:t>further</w:t>
      </w:r>
      <w:r>
        <w:t xml:space="preserve"> sought leave to appeal a</w:t>
      </w:r>
      <w:r w:rsidR="001A5536">
        <w:t>gainst the order of the Supreme </w:t>
      </w:r>
      <w:r>
        <w:t>Court of App</w:t>
      </w:r>
      <w:r w:rsidR="00B90966">
        <w:t xml:space="preserve">eal </w:t>
      </w:r>
      <w:r w:rsidR="002A6144">
        <w:t xml:space="preserve">in respect of </w:t>
      </w:r>
      <w:r w:rsidR="00B90966">
        <w:t>section</w:t>
      </w:r>
      <w:r w:rsidR="00303DA0">
        <w:t> </w:t>
      </w:r>
      <w:r w:rsidR="00B90966">
        <w:t>1(1</w:t>
      </w:r>
      <w:proofErr w:type="gramStart"/>
      <w:r w:rsidR="00B90966">
        <w:t>)(</w:t>
      </w:r>
      <w:proofErr w:type="gramEnd"/>
      <w:r w:rsidR="00B90966">
        <w:t>b).</w:t>
      </w:r>
      <w:r w:rsidR="004E0C21">
        <w:t xml:space="preserve">  The applicants were joined in their constitutional challenge by Right2Know, a non-profit organisation that campaigns for the free flow of information, wh</w:t>
      </w:r>
      <w:r w:rsidR="002A6144">
        <w:t>ich was</w:t>
      </w:r>
      <w:r w:rsidR="004E0C21">
        <w:t xml:space="preserve"> admitted as amicus curiae.  The applicants </w:t>
      </w:r>
      <w:r w:rsidR="002A6144">
        <w:t xml:space="preserve">submitted that </w:t>
      </w:r>
      <w:r w:rsidR="004E0C21">
        <w:t>the interpretive approach by the Supreme</w:t>
      </w:r>
      <w:r w:rsidR="007C6358">
        <w:t> </w:t>
      </w:r>
      <w:r w:rsidR="004E0C21">
        <w:t>Court</w:t>
      </w:r>
      <w:r w:rsidR="007C6358">
        <w:t> </w:t>
      </w:r>
      <w:r w:rsidR="004E0C21">
        <w:t>of</w:t>
      </w:r>
      <w:r w:rsidR="007C6358">
        <w:t> </w:t>
      </w:r>
      <w:r w:rsidR="004E0C21">
        <w:t>Appeal</w:t>
      </w:r>
      <w:r w:rsidR="002A6144">
        <w:t xml:space="preserve"> </w:t>
      </w:r>
      <w:r w:rsidR="004E0C21">
        <w:t xml:space="preserve">amounted </w:t>
      </w:r>
      <w:r w:rsidR="001A5536">
        <w:t>to an impermissible reading-in</w:t>
      </w:r>
      <w:r w:rsidR="004E0C21">
        <w:t xml:space="preserve"> of numerous qualifications.  These qualifications strained the meaning of section 1(1)(b).  The amicus</w:t>
      </w:r>
      <w:r w:rsidR="004C0009">
        <w:t> </w:t>
      </w:r>
      <w:r w:rsidR="004E0C21">
        <w:t xml:space="preserve">curiae added that, given the </w:t>
      </w:r>
      <w:r w:rsidR="00303DA0">
        <w:t xml:space="preserve">complex </w:t>
      </w:r>
      <w:r w:rsidR="004E0C21">
        <w:t>wording of section 1(1</w:t>
      </w:r>
      <w:proofErr w:type="gramStart"/>
      <w:r w:rsidR="004E0C21">
        <w:t>)(</w:t>
      </w:r>
      <w:proofErr w:type="gramEnd"/>
      <w:r w:rsidR="004E0C21">
        <w:t xml:space="preserve">b), any interpretation would only exchange the problem of overbreadth for one of vagueness.  The Minister of Police </w:t>
      </w:r>
      <w:r w:rsidR="00A65337">
        <w:t xml:space="preserve">supported </w:t>
      </w:r>
      <w:r w:rsidR="004E0C21">
        <w:t xml:space="preserve">the approach taken by the Supreme Court of </w:t>
      </w:r>
      <w:r w:rsidR="00A936AC">
        <w:t>Appeal</w:t>
      </w:r>
      <w:r w:rsidR="00A65337">
        <w:t xml:space="preserve"> stating that</w:t>
      </w:r>
      <w:r w:rsidR="006C6C59">
        <w:t xml:space="preserve"> on a proper interpretation section</w:t>
      </w:r>
      <w:r w:rsidR="00303DA0">
        <w:t> </w:t>
      </w:r>
      <w:r w:rsidR="006C6C59">
        <w:t>1(1</w:t>
      </w:r>
      <w:proofErr w:type="gramStart"/>
      <w:r w:rsidR="006C6C59">
        <w:t>)(</w:t>
      </w:r>
      <w:proofErr w:type="gramEnd"/>
      <w:r w:rsidR="006C6C59">
        <w:t>b)</w:t>
      </w:r>
      <w:r w:rsidR="00303DA0">
        <w:t xml:space="preserve"> </w:t>
      </w:r>
      <w:r w:rsidR="00A936AC">
        <w:t>does not infringe the right to freedom of expression.</w:t>
      </w:r>
    </w:p>
    <w:p w:rsidR="00A936AC" w:rsidRDefault="00A936AC" w:rsidP="002716F4"/>
    <w:p w:rsidR="00EF63F9" w:rsidRDefault="00A936AC" w:rsidP="002716F4">
      <w:r>
        <w:t>In terms of section 1(2), the applicants and respondent agreed that the provision was unconstitutional.  The applicants disagreed with the Supreme Court of Appeal only insofar as section</w:t>
      </w:r>
      <w:r w:rsidR="00303DA0">
        <w:t> </w:t>
      </w:r>
      <w:r>
        <w:t>1(2) creates a reverse onus and not a mere evidentiary burden.</w:t>
      </w:r>
    </w:p>
    <w:p w:rsidR="00A936AC" w:rsidRDefault="00A936AC" w:rsidP="002716F4"/>
    <w:p w:rsidR="00A936AC" w:rsidRDefault="00A936AC" w:rsidP="002716F4">
      <w:r>
        <w:t xml:space="preserve">In a unanimous judgment penned by </w:t>
      </w:r>
      <w:proofErr w:type="spellStart"/>
      <w:r>
        <w:t>Ledwaba</w:t>
      </w:r>
      <w:proofErr w:type="spellEnd"/>
      <w:r w:rsidR="00303DA0">
        <w:t> </w:t>
      </w:r>
      <w:r>
        <w:t xml:space="preserve">AJ, </w:t>
      </w:r>
      <w:r w:rsidR="001A5536">
        <w:t xml:space="preserve">the </w:t>
      </w:r>
      <w:r w:rsidR="006C6C59">
        <w:t xml:space="preserve">Constitutional </w:t>
      </w:r>
      <w:r w:rsidR="001A5536">
        <w:t>Court found</w:t>
      </w:r>
      <w:r>
        <w:t xml:space="preserve"> that section</w:t>
      </w:r>
      <w:r w:rsidR="00303DA0">
        <w:t> </w:t>
      </w:r>
      <w:r>
        <w:t>1(1</w:t>
      </w:r>
      <w:proofErr w:type="gramStart"/>
      <w:r>
        <w:t>)(</w:t>
      </w:r>
      <w:proofErr w:type="gramEnd"/>
      <w:r>
        <w:t xml:space="preserve">b) </w:t>
      </w:r>
      <w:r w:rsidR="001A5536">
        <w:t xml:space="preserve">was </w:t>
      </w:r>
      <w:r>
        <w:t xml:space="preserve">unconstitutional as it </w:t>
      </w:r>
      <w:r w:rsidR="001A5536">
        <w:t>unjustifiably</w:t>
      </w:r>
      <w:r>
        <w:t xml:space="preserve"> </w:t>
      </w:r>
      <w:r w:rsidR="006C6C59">
        <w:t>limited</w:t>
      </w:r>
      <w:r w:rsidR="001A5536">
        <w:t xml:space="preserve"> </w:t>
      </w:r>
      <w:r>
        <w:t>the r</w:t>
      </w:r>
      <w:r w:rsidR="001A5536">
        <w:t xml:space="preserve">ight to freedom of expression.  </w:t>
      </w:r>
      <w:r w:rsidR="00411AF5">
        <w:t>The section could not</w:t>
      </w:r>
      <w:r w:rsidR="006C6C59">
        <w:t xml:space="preserve"> be save</w:t>
      </w:r>
      <w:r w:rsidR="00411AF5">
        <w:t>d</w:t>
      </w:r>
      <w:r w:rsidR="006C6C59">
        <w:t xml:space="preserve"> by the</w:t>
      </w:r>
      <w:r>
        <w:t xml:space="preserve"> interpretive approach undertaken by the Supreme Court</w:t>
      </w:r>
      <w:r w:rsidR="001A5536">
        <w:t xml:space="preserve"> of Appeal</w:t>
      </w:r>
      <w:r w:rsidR="00411AF5">
        <w:t>, which</w:t>
      </w:r>
      <w:r w:rsidR="001A5536">
        <w:t xml:space="preserve"> impermissibly strained</w:t>
      </w:r>
      <w:r>
        <w:t xml:space="preserve"> the meaning of </w:t>
      </w:r>
      <w:r>
        <w:lastRenderedPageBreak/>
        <w:t>section</w:t>
      </w:r>
      <w:r w:rsidR="00303DA0">
        <w:t> </w:t>
      </w:r>
      <w:r>
        <w:t>1(1</w:t>
      </w:r>
      <w:proofErr w:type="gramStart"/>
      <w:r>
        <w:t>)(</w:t>
      </w:r>
      <w:proofErr w:type="gramEnd"/>
      <w:r>
        <w:t>b).  It d</w:t>
      </w:r>
      <w:r w:rsidR="001A5536">
        <w:t>id</w:t>
      </w:r>
      <w:r>
        <w:t xml:space="preserve"> so by importing the qualification of “imminent harm” into the definition of </w:t>
      </w:r>
      <w:proofErr w:type="spellStart"/>
      <w:r>
        <w:t>intimidatory</w:t>
      </w:r>
      <w:proofErr w:type="spellEnd"/>
      <w:r>
        <w:t xml:space="preserve"> conduct.  This </w:t>
      </w:r>
      <w:r w:rsidR="001A5536">
        <w:t>qualification was not apparent in</w:t>
      </w:r>
      <w:r>
        <w:t xml:space="preserve"> the text, context or purpose of the Act.  </w:t>
      </w:r>
      <w:r w:rsidR="00303DA0">
        <w:t>In respect of section</w:t>
      </w:r>
      <w:r>
        <w:t xml:space="preserve"> 1(2), th</w:t>
      </w:r>
      <w:r w:rsidR="00303DA0">
        <w:t>e</w:t>
      </w:r>
      <w:r>
        <w:t xml:space="preserve"> Court confirmed the declaration of </w:t>
      </w:r>
      <w:r w:rsidR="00A65337">
        <w:t xml:space="preserve">invalidity </w:t>
      </w:r>
      <w:r>
        <w:t>made by the Supreme Court</w:t>
      </w:r>
      <w:r w:rsidR="001A5536">
        <w:t xml:space="preserve"> of Appeal. </w:t>
      </w:r>
      <w:r w:rsidR="00411AF5">
        <w:t xml:space="preserve"> </w:t>
      </w:r>
      <w:r>
        <w:t>However, th</w:t>
      </w:r>
      <w:r w:rsidR="00303DA0">
        <w:t>e Constitutional</w:t>
      </w:r>
      <w:r>
        <w:t xml:space="preserve"> Court held that the section </w:t>
      </w:r>
      <w:r w:rsidR="001A5536">
        <w:t>created a reverse onus</w:t>
      </w:r>
      <w:r w:rsidR="006C6C59">
        <w:t xml:space="preserve"> and not a mere evidentiary burden on the accused</w:t>
      </w:r>
      <w:r w:rsidR="001A5536">
        <w:t xml:space="preserve">.  </w:t>
      </w:r>
      <w:r w:rsidR="006C6C59">
        <w:t>This was because i</w:t>
      </w:r>
      <w:r w:rsidR="001A5536">
        <w:t xml:space="preserve">t </w:t>
      </w:r>
      <w:r>
        <w:t>absolved the State from proving an</w:t>
      </w:r>
      <w:r w:rsidR="006C6C59">
        <w:t xml:space="preserve"> element of the offence.</w:t>
      </w:r>
    </w:p>
    <w:p w:rsidR="000638AB" w:rsidRDefault="000638AB" w:rsidP="002716F4"/>
    <w:p w:rsidR="000638AB" w:rsidRDefault="009B7E9D" w:rsidP="002716F4">
      <w:r>
        <w:t>In the result, leave to appeal was granted and the appeal upheld.  The Constitutional</w:t>
      </w:r>
      <w:r w:rsidR="004C0009">
        <w:t> </w:t>
      </w:r>
      <w:r>
        <w:t>Court issued a</w:t>
      </w:r>
      <w:r w:rsidR="00481B9E">
        <w:t>n</w:t>
      </w:r>
      <w:r>
        <w:t xml:space="preserve"> order declaring </w:t>
      </w:r>
      <w:r w:rsidR="00A65337">
        <w:t xml:space="preserve">that </w:t>
      </w:r>
      <w:r>
        <w:t>section</w:t>
      </w:r>
      <w:r w:rsidR="00481B9E">
        <w:t> </w:t>
      </w:r>
      <w:r>
        <w:t>1(1</w:t>
      </w:r>
      <w:proofErr w:type="gramStart"/>
      <w:r>
        <w:t>)(</w:t>
      </w:r>
      <w:proofErr w:type="gramEnd"/>
      <w:r>
        <w:t>b)</w:t>
      </w:r>
      <w:r w:rsidR="00A65337">
        <w:t xml:space="preserve"> of the Intimidation Act was unconstitutional and therefore invalid. </w:t>
      </w:r>
      <w:r w:rsidR="002471D4">
        <w:t xml:space="preserve"> </w:t>
      </w:r>
      <w:r w:rsidR="00A65337">
        <w:t>It also</w:t>
      </w:r>
      <w:r>
        <w:t xml:space="preserve"> confirm</w:t>
      </w:r>
      <w:r w:rsidR="00A65337">
        <w:t xml:space="preserve">ed the order of invalidity that </w:t>
      </w:r>
      <w:r>
        <w:t>section</w:t>
      </w:r>
      <w:r w:rsidR="00481B9E">
        <w:t> </w:t>
      </w:r>
      <w:r>
        <w:t>1(2) of the Intimidation Act</w:t>
      </w:r>
      <w:r w:rsidR="00A65337">
        <w:t xml:space="preserve"> was unconstitutional.</w:t>
      </w:r>
    </w:p>
    <w:p w:rsidR="00CD7B40" w:rsidRDefault="00CD7B40" w:rsidP="002716F4"/>
    <w:p w:rsidR="00210E91" w:rsidRDefault="00210E91" w:rsidP="002716F4"/>
    <w:sectPr w:rsidR="00210E91" w:rsidSect="00883D6C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6D569F"/>
    <w:multiLevelType w:val="multilevel"/>
    <w:tmpl w:val="8C146660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680"/>
        </w:tabs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040"/>
        </w:tabs>
        <w:ind w:left="5040" w:hanging="1800"/>
      </w:pPr>
      <w:rPr>
        <w:rFonts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hlantlaJ">
    <w15:presenceInfo w15:providerId="None" w15:userId="MhlantlaJ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398E"/>
    <w:rsid w:val="00001492"/>
    <w:rsid w:val="00001ECA"/>
    <w:rsid w:val="0000735C"/>
    <w:rsid w:val="00015985"/>
    <w:rsid w:val="00017302"/>
    <w:rsid w:val="00023FA7"/>
    <w:rsid w:val="000300F6"/>
    <w:rsid w:val="00031149"/>
    <w:rsid w:val="0003383F"/>
    <w:rsid w:val="00034481"/>
    <w:rsid w:val="000379B4"/>
    <w:rsid w:val="0004439A"/>
    <w:rsid w:val="00044771"/>
    <w:rsid w:val="00045868"/>
    <w:rsid w:val="0005409E"/>
    <w:rsid w:val="000548D7"/>
    <w:rsid w:val="00055933"/>
    <w:rsid w:val="00055B29"/>
    <w:rsid w:val="00055BDF"/>
    <w:rsid w:val="000638AB"/>
    <w:rsid w:val="00065489"/>
    <w:rsid w:val="000654B1"/>
    <w:rsid w:val="000657CA"/>
    <w:rsid w:val="000679EC"/>
    <w:rsid w:val="0007028D"/>
    <w:rsid w:val="00070E99"/>
    <w:rsid w:val="000760D0"/>
    <w:rsid w:val="0007699E"/>
    <w:rsid w:val="000806AE"/>
    <w:rsid w:val="00086466"/>
    <w:rsid w:val="00091F8C"/>
    <w:rsid w:val="00093E39"/>
    <w:rsid w:val="000943B8"/>
    <w:rsid w:val="00094E7C"/>
    <w:rsid w:val="00096FA0"/>
    <w:rsid w:val="000A36D1"/>
    <w:rsid w:val="000A36F3"/>
    <w:rsid w:val="000A3B41"/>
    <w:rsid w:val="000C29BF"/>
    <w:rsid w:val="000C7D20"/>
    <w:rsid w:val="000D09EA"/>
    <w:rsid w:val="000D35AE"/>
    <w:rsid w:val="000D3C5C"/>
    <w:rsid w:val="000D466F"/>
    <w:rsid w:val="000D5E60"/>
    <w:rsid w:val="000D74EE"/>
    <w:rsid w:val="000E398E"/>
    <w:rsid w:val="000E475D"/>
    <w:rsid w:val="000F2780"/>
    <w:rsid w:val="000F5A15"/>
    <w:rsid w:val="00100894"/>
    <w:rsid w:val="00101A9E"/>
    <w:rsid w:val="00113454"/>
    <w:rsid w:val="00117D6B"/>
    <w:rsid w:val="001203CD"/>
    <w:rsid w:val="00122E3D"/>
    <w:rsid w:val="00125135"/>
    <w:rsid w:val="00125338"/>
    <w:rsid w:val="00125BE8"/>
    <w:rsid w:val="001360D7"/>
    <w:rsid w:val="00152829"/>
    <w:rsid w:val="0015307D"/>
    <w:rsid w:val="001564CF"/>
    <w:rsid w:val="0016610D"/>
    <w:rsid w:val="00166114"/>
    <w:rsid w:val="00171BBA"/>
    <w:rsid w:val="00172A2C"/>
    <w:rsid w:val="00174282"/>
    <w:rsid w:val="00181808"/>
    <w:rsid w:val="001A1689"/>
    <w:rsid w:val="001A1BC3"/>
    <w:rsid w:val="001A24C8"/>
    <w:rsid w:val="001A4C99"/>
    <w:rsid w:val="001A5536"/>
    <w:rsid w:val="001B0C8F"/>
    <w:rsid w:val="001D1403"/>
    <w:rsid w:val="001D480F"/>
    <w:rsid w:val="001E31D7"/>
    <w:rsid w:val="001E31D8"/>
    <w:rsid w:val="001E57F4"/>
    <w:rsid w:val="001E5B1D"/>
    <w:rsid w:val="001E5F5A"/>
    <w:rsid w:val="001E7604"/>
    <w:rsid w:val="001E7F3A"/>
    <w:rsid w:val="00200AB8"/>
    <w:rsid w:val="00203D7A"/>
    <w:rsid w:val="00205A97"/>
    <w:rsid w:val="002062FF"/>
    <w:rsid w:val="00206EFD"/>
    <w:rsid w:val="00210E91"/>
    <w:rsid w:val="00215823"/>
    <w:rsid w:val="0023107B"/>
    <w:rsid w:val="0023445B"/>
    <w:rsid w:val="002348C0"/>
    <w:rsid w:val="002435AB"/>
    <w:rsid w:val="002471D4"/>
    <w:rsid w:val="00250C27"/>
    <w:rsid w:val="00253986"/>
    <w:rsid w:val="00256C3D"/>
    <w:rsid w:val="002705A8"/>
    <w:rsid w:val="002716F4"/>
    <w:rsid w:val="0027251B"/>
    <w:rsid w:val="00275806"/>
    <w:rsid w:val="00285F4D"/>
    <w:rsid w:val="00287D44"/>
    <w:rsid w:val="002A120A"/>
    <w:rsid w:val="002A1AB9"/>
    <w:rsid w:val="002A1FED"/>
    <w:rsid w:val="002A6144"/>
    <w:rsid w:val="002B3BB4"/>
    <w:rsid w:val="002B7EFE"/>
    <w:rsid w:val="002C512D"/>
    <w:rsid w:val="002D184B"/>
    <w:rsid w:val="002D340A"/>
    <w:rsid w:val="002D624C"/>
    <w:rsid w:val="002D7582"/>
    <w:rsid w:val="002D7A57"/>
    <w:rsid w:val="0030116A"/>
    <w:rsid w:val="00303DA0"/>
    <w:rsid w:val="00305423"/>
    <w:rsid w:val="00310735"/>
    <w:rsid w:val="00316078"/>
    <w:rsid w:val="0031792A"/>
    <w:rsid w:val="00320B55"/>
    <w:rsid w:val="00323149"/>
    <w:rsid w:val="003255EA"/>
    <w:rsid w:val="00325988"/>
    <w:rsid w:val="0032682A"/>
    <w:rsid w:val="00330389"/>
    <w:rsid w:val="00332A1B"/>
    <w:rsid w:val="00334E0F"/>
    <w:rsid w:val="0034601F"/>
    <w:rsid w:val="00351BC8"/>
    <w:rsid w:val="00353120"/>
    <w:rsid w:val="00354734"/>
    <w:rsid w:val="00357758"/>
    <w:rsid w:val="00357788"/>
    <w:rsid w:val="00367A87"/>
    <w:rsid w:val="0037720A"/>
    <w:rsid w:val="003807A5"/>
    <w:rsid w:val="003820C9"/>
    <w:rsid w:val="003845A8"/>
    <w:rsid w:val="003850ED"/>
    <w:rsid w:val="00386254"/>
    <w:rsid w:val="003874A7"/>
    <w:rsid w:val="003A423D"/>
    <w:rsid w:val="003B4484"/>
    <w:rsid w:val="003B4CC7"/>
    <w:rsid w:val="003B7B39"/>
    <w:rsid w:val="003C2082"/>
    <w:rsid w:val="003C40ED"/>
    <w:rsid w:val="003C742E"/>
    <w:rsid w:val="003D1CF1"/>
    <w:rsid w:val="003D72FB"/>
    <w:rsid w:val="003E15CB"/>
    <w:rsid w:val="003E1B0A"/>
    <w:rsid w:val="003E7B0F"/>
    <w:rsid w:val="003F0347"/>
    <w:rsid w:val="003F1959"/>
    <w:rsid w:val="003F3E2F"/>
    <w:rsid w:val="00400FA5"/>
    <w:rsid w:val="004036FB"/>
    <w:rsid w:val="004065B7"/>
    <w:rsid w:val="00410075"/>
    <w:rsid w:val="00411AF5"/>
    <w:rsid w:val="004302FD"/>
    <w:rsid w:val="004304FC"/>
    <w:rsid w:val="00430C6F"/>
    <w:rsid w:val="00431C45"/>
    <w:rsid w:val="004426F8"/>
    <w:rsid w:val="00442AE9"/>
    <w:rsid w:val="00444661"/>
    <w:rsid w:val="00461B54"/>
    <w:rsid w:val="00465493"/>
    <w:rsid w:val="00472695"/>
    <w:rsid w:val="004734DE"/>
    <w:rsid w:val="00481B9E"/>
    <w:rsid w:val="00490BB9"/>
    <w:rsid w:val="00490F2C"/>
    <w:rsid w:val="0049467F"/>
    <w:rsid w:val="00496006"/>
    <w:rsid w:val="00496C24"/>
    <w:rsid w:val="004A1AEE"/>
    <w:rsid w:val="004B011A"/>
    <w:rsid w:val="004B36EA"/>
    <w:rsid w:val="004B44D4"/>
    <w:rsid w:val="004B5BD8"/>
    <w:rsid w:val="004C0009"/>
    <w:rsid w:val="004C132A"/>
    <w:rsid w:val="004C5AD8"/>
    <w:rsid w:val="004C7EF7"/>
    <w:rsid w:val="004D29C3"/>
    <w:rsid w:val="004D716D"/>
    <w:rsid w:val="004E0C21"/>
    <w:rsid w:val="004E20B0"/>
    <w:rsid w:val="004E3528"/>
    <w:rsid w:val="005004EF"/>
    <w:rsid w:val="005038A1"/>
    <w:rsid w:val="00503FDA"/>
    <w:rsid w:val="00524F3A"/>
    <w:rsid w:val="005257B9"/>
    <w:rsid w:val="00526226"/>
    <w:rsid w:val="005307A5"/>
    <w:rsid w:val="0053527E"/>
    <w:rsid w:val="00535FF4"/>
    <w:rsid w:val="00540E02"/>
    <w:rsid w:val="00543F08"/>
    <w:rsid w:val="00544154"/>
    <w:rsid w:val="00570B62"/>
    <w:rsid w:val="00573AEA"/>
    <w:rsid w:val="00573F09"/>
    <w:rsid w:val="00581588"/>
    <w:rsid w:val="005837F4"/>
    <w:rsid w:val="00584111"/>
    <w:rsid w:val="00587A53"/>
    <w:rsid w:val="00594B1C"/>
    <w:rsid w:val="00594B56"/>
    <w:rsid w:val="005956C2"/>
    <w:rsid w:val="005A21C7"/>
    <w:rsid w:val="005B2F2F"/>
    <w:rsid w:val="005B51EB"/>
    <w:rsid w:val="005D3D62"/>
    <w:rsid w:val="005E1311"/>
    <w:rsid w:val="005E4DD7"/>
    <w:rsid w:val="005E52AC"/>
    <w:rsid w:val="005E557D"/>
    <w:rsid w:val="005E72D7"/>
    <w:rsid w:val="005E7F2B"/>
    <w:rsid w:val="005F0E74"/>
    <w:rsid w:val="005F322E"/>
    <w:rsid w:val="00606CD7"/>
    <w:rsid w:val="00607CC8"/>
    <w:rsid w:val="006137EA"/>
    <w:rsid w:val="00613F6B"/>
    <w:rsid w:val="00615063"/>
    <w:rsid w:val="00616848"/>
    <w:rsid w:val="00624FFE"/>
    <w:rsid w:val="00626668"/>
    <w:rsid w:val="00627750"/>
    <w:rsid w:val="00630AA9"/>
    <w:rsid w:val="0063188E"/>
    <w:rsid w:val="00642528"/>
    <w:rsid w:val="006430AE"/>
    <w:rsid w:val="00646450"/>
    <w:rsid w:val="006474CE"/>
    <w:rsid w:val="006524D4"/>
    <w:rsid w:val="0065334D"/>
    <w:rsid w:val="006538D5"/>
    <w:rsid w:val="006543E3"/>
    <w:rsid w:val="006735C9"/>
    <w:rsid w:val="00674452"/>
    <w:rsid w:val="006749D6"/>
    <w:rsid w:val="00676CFE"/>
    <w:rsid w:val="00680D3B"/>
    <w:rsid w:val="00685C91"/>
    <w:rsid w:val="006879F3"/>
    <w:rsid w:val="00694175"/>
    <w:rsid w:val="006966C6"/>
    <w:rsid w:val="006966FC"/>
    <w:rsid w:val="006A52B6"/>
    <w:rsid w:val="006C17E2"/>
    <w:rsid w:val="006C6C59"/>
    <w:rsid w:val="006D0EF2"/>
    <w:rsid w:val="006D4079"/>
    <w:rsid w:val="006D7815"/>
    <w:rsid w:val="006E1528"/>
    <w:rsid w:val="006E6A2F"/>
    <w:rsid w:val="007044BA"/>
    <w:rsid w:val="007106E2"/>
    <w:rsid w:val="00712458"/>
    <w:rsid w:val="00716FAA"/>
    <w:rsid w:val="00720ACA"/>
    <w:rsid w:val="00725384"/>
    <w:rsid w:val="007328EC"/>
    <w:rsid w:val="00741F1B"/>
    <w:rsid w:val="00743735"/>
    <w:rsid w:val="00750F83"/>
    <w:rsid w:val="00752C8F"/>
    <w:rsid w:val="00762738"/>
    <w:rsid w:val="0076524E"/>
    <w:rsid w:val="007659FF"/>
    <w:rsid w:val="007746CE"/>
    <w:rsid w:val="00775169"/>
    <w:rsid w:val="00780874"/>
    <w:rsid w:val="00780BBF"/>
    <w:rsid w:val="00780FE7"/>
    <w:rsid w:val="007812D0"/>
    <w:rsid w:val="0078535D"/>
    <w:rsid w:val="0079484A"/>
    <w:rsid w:val="00794EDD"/>
    <w:rsid w:val="007A25BF"/>
    <w:rsid w:val="007C242F"/>
    <w:rsid w:val="007C6358"/>
    <w:rsid w:val="007C65D9"/>
    <w:rsid w:val="007D540D"/>
    <w:rsid w:val="007D6DF5"/>
    <w:rsid w:val="007D7495"/>
    <w:rsid w:val="007F0881"/>
    <w:rsid w:val="007F0EF4"/>
    <w:rsid w:val="007F3C29"/>
    <w:rsid w:val="007F64E1"/>
    <w:rsid w:val="007F7DCD"/>
    <w:rsid w:val="00801124"/>
    <w:rsid w:val="0080153B"/>
    <w:rsid w:val="00804CCE"/>
    <w:rsid w:val="00815994"/>
    <w:rsid w:val="0081741F"/>
    <w:rsid w:val="00823B02"/>
    <w:rsid w:val="0083215D"/>
    <w:rsid w:val="00834D25"/>
    <w:rsid w:val="008351C8"/>
    <w:rsid w:val="00835F7C"/>
    <w:rsid w:val="00851082"/>
    <w:rsid w:val="00851D46"/>
    <w:rsid w:val="0086048D"/>
    <w:rsid w:val="008652D2"/>
    <w:rsid w:val="00865979"/>
    <w:rsid w:val="00866508"/>
    <w:rsid w:val="00867767"/>
    <w:rsid w:val="0087005B"/>
    <w:rsid w:val="00881D33"/>
    <w:rsid w:val="00882096"/>
    <w:rsid w:val="00883D6C"/>
    <w:rsid w:val="0089034C"/>
    <w:rsid w:val="008943E7"/>
    <w:rsid w:val="008A4044"/>
    <w:rsid w:val="008A5FDC"/>
    <w:rsid w:val="008B1777"/>
    <w:rsid w:val="008B1DEF"/>
    <w:rsid w:val="008B532D"/>
    <w:rsid w:val="008C3682"/>
    <w:rsid w:val="008D0D0A"/>
    <w:rsid w:val="008D24BC"/>
    <w:rsid w:val="008D3D39"/>
    <w:rsid w:val="008D52B5"/>
    <w:rsid w:val="008E54C8"/>
    <w:rsid w:val="008E5B74"/>
    <w:rsid w:val="008F4B8F"/>
    <w:rsid w:val="008F55A9"/>
    <w:rsid w:val="008F6DBA"/>
    <w:rsid w:val="008F7733"/>
    <w:rsid w:val="00901C3C"/>
    <w:rsid w:val="00903D81"/>
    <w:rsid w:val="0090690C"/>
    <w:rsid w:val="009100A2"/>
    <w:rsid w:val="00910F26"/>
    <w:rsid w:val="00911DB9"/>
    <w:rsid w:val="0091467A"/>
    <w:rsid w:val="00934876"/>
    <w:rsid w:val="00943F22"/>
    <w:rsid w:val="00952C7A"/>
    <w:rsid w:val="0095394B"/>
    <w:rsid w:val="0095615D"/>
    <w:rsid w:val="0096072E"/>
    <w:rsid w:val="009642D7"/>
    <w:rsid w:val="009749AF"/>
    <w:rsid w:val="00977CFD"/>
    <w:rsid w:val="00980B73"/>
    <w:rsid w:val="00991F06"/>
    <w:rsid w:val="00992CAE"/>
    <w:rsid w:val="009957D5"/>
    <w:rsid w:val="009B7D1B"/>
    <w:rsid w:val="009B7E9D"/>
    <w:rsid w:val="009C61D7"/>
    <w:rsid w:val="009E1FD3"/>
    <w:rsid w:val="009E3AE6"/>
    <w:rsid w:val="009E3D99"/>
    <w:rsid w:val="009E6F8D"/>
    <w:rsid w:val="009E7D9D"/>
    <w:rsid w:val="009F23DE"/>
    <w:rsid w:val="009F631A"/>
    <w:rsid w:val="00A0140F"/>
    <w:rsid w:val="00A1304B"/>
    <w:rsid w:val="00A142B7"/>
    <w:rsid w:val="00A16288"/>
    <w:rsid w:val="00A17858"/>
    <w:rsid w:val="00A22242"/>
    <w:rsid w:val="00A354A9"/>
    <w:rsid w:val="00A36007"/>
    <w:rsid w:val="00A37027"/>
    <w:rsid w:val="00A47D4A"/>
    <w:rsid w:val="00A51C04"/>
    <w:rsid w:val="00A557C9"/>
    <w:rsid w:val="00A55B9B"/>
    <w:rsid w:val="00A56702"/>
    <w:rsid w:val="00A65337"/>
    <w:rsid w:val="00A66EEE"/>
    <w:rsid w:val="00A71B57"/>
    <w:rsid w:val="00A77094"/>
    <w:rsid w:val="00A83708"/>
    <w:rsid w:val="00A936AC"/>
    <w:rsid w:val="00A939DA"/>
    <w:rsid w:val="00A95534"/>
    <w:rsid w:val="00AA17C0"/>
    <w:rsid w:val="00AA3378"/>
    <w:rsid w:val="00AA3BE6"/>
    <w:rsid w:val="00AA5B03"/>
    <w:rsid w:val="00AC2894"/>
    <w:rsid w:val="00AC31F8"/>
    <w:rsid w:val="00AC799A"/>
    <w:rsid w:val="00AD14A5"/>
    <w:rsid w:val="00AD706A"/>
    <w:rsid w:val="00AE4640"/>
    <w:rsid w:val="00AE5416"/>
    <w:rsid w:val="00AF0A36"/>
    <w:rsid w:val="00AF1858"/>
    <w:rsid w:val="00AF206A"/>
    <w:rsid w:val="00AF2F4E"/>
    <w:rsid w:val="00AF67D4"/>
    <w:rsid w:val="00B03929"/>
    <w:rsid w:val="00B07F2D"/>
    <w:rsid w:val="00B2093E"/>
    <w:rsid w:val="00B25B7C"/>
    <w:rsid w:val="00B3011D"/>
    <w:rsid w:val="00B3177F"/>
    <w:rsid w:val="00B31B92"/>
    <w:rsid w:val="00B36F54"/>
    <w:rsid w:val="00B41DDC"/>
    <w:rsid w:val="00B428BE"/>
    <w:rsid w:val="00B4658E"/>
    <w:rsid w:val="00B4682A"/>
    <w:rsid w:val="00B468D3"/>
    <w:rsid w:val="00B630F2"/>
    <w:rsid w:val="00B72598"/>
    <w:rsid w:val="00B72E52"/>
    <w:rsid w:val="00B74AAB"/>
    <w:rsid w:val="00B80F33"/>
    <w:rsid w:val="00B82B8F"/>
    <w:rsid w:val="00B90966"/>
    <w:rsid w:val="00B95628"/>
    <w:rsid w:val="00B96343"/>
    <w:rsid w:val="00B97A07"/>
    <w:rsid w:val="00BA36DE"/>
    <w:rsid w:val="00BB2F45"/>
    <w:rsid w:val="00BB55AD"/>
    <w:rsid w:val="00BD11F9"/>
    <w:rsid w:val="00BE37F1"/>
    <w:rsid w:val="00BE6FBD"/>
    <w:rsid w:val="00BF2AD2"/>
    <w:rsid w:val="00C0694E"/>
    <w:rsid w:val="00C12601"/>
    <w:rsid w:val="00C14E9E"/>
    <w:rsid w:val="00C15658"/>
    <w:rsid w:val="00C15790"/>
    <w:rsid w:val="00C21AB9"/>
    <w:rsid w:val="00C2379D"/>
    <w:rsid w:val="00C34066"/>
    <w:rsid w:val="00C43944"/>
    <w:rsid w:val="00C43D8A"/>
    <w:rsid w:val="00C44D82"/>
    <w:rsid w:val="00C45F8A"/>
    <w:rsid w:val="00C47F29"/>
    <w:rsid w:val="00C51AFC"/>
    <w:rsid w:val="00C536E8"/>
    <w:rsid w:val="00C55A66"/>
    <w:rsid w:val="00C616DF"/>
    <w:rsid w:val="00C70B69"/>
    <w:rsid w:val="00C8099E"/>
    <w:rsid w:val="00C80CC9"/>
    <w:rsid w:val="00C81EDD"/>
    <w:rsid w:val="00C85429"/>
    <w:rsid w:val="00C91B0F"/>
    <w:rsid w:val="00C96321"/>
    <w:rsid w:val="00CA21ED"/>
    <w:rsid w:val="00CB2E3D"/>
    <w:rsid w:val="00CD7B40"/>
    <w:rsid w:val="00CE51A0"/>
    <w:rsid w:val="00CF0663"/>
    <w:rsid w:val="00CF2AD7"/>
    <w:rsid w:val="00CF4F61"/>
    <w:rsid w:val="00D00963"/>
    <w:rsid w:val="00D01BE9"/>
    <w:rsid w:val="00D07983"/>
    <w:rsid w:val="00D12501"/>
    <w:rsid w:val="00D200E8"/>
    <w:rsid w:val="00D2639D"/>
    <w:rsid w:val="00D27D39"/>
    <w:rsid w:val="00D3463F"/>
    <w:rsid w:val="00D34EB6"/>
    <w:rsid w:val="00D356A3"/>
    <w:rsid w:val="00D40819"/>
    <w:rsid w:val="00D41335"/>
    <w:rsid w:val="00D43D03"/>
    <w:rsid w:val="00D455B1"/>
    <w:rsid w:val="00D570FE"/>
    <w:rsid w:val="00D64E65"/>
    <w:rsid w:val="00D659C5"/>
    <w:rsid w:val="00D722A3"/>
    <w:rsid w:val="00D81F8F"/>
    <w:rsid w:val="00D86239"/>
    <w:rsid w:val="00DA4965"/>
    <w:rsid w:val="00DB12FA"/>
    <w:rsid w:val="00DB1A44"/>
    <w:rsid w:val="00DB5C0B"/>
    <w:rsid w:val="00DC75C1"/>
    <w:rsid w:val="00DD5682"/>
    <w:rsid w:val="00DE34EA"/>
    <w:rsid w:val="00DE5133"/>
    <w:rsid w:val="00DE7B41"/>
    <w:rsid w:val="00DF1329"/>
    <w:rsid w:val="00DF2A1F"/>
    <w:rsid w:val="00E07942"/>
    <w:rsid w:val="00E162DC"/>
    <w:rsid w:val="00E27147"/>
    <w:rsid w:val="00E27310"/>
    <w:rsid w:val="00E2785B"/>
    <w:rsid w:val="00E5434B"/>
    <w:rsid w:val="00E545EA"/>
    <w:rsid w:val="00E564CD"/>
    <w:rsid w:val="00E636E4"/>
    <w:rsid w:val="00E661EE"/>
    <w:rsid w:val="00E72687"/>
    <w:rsid w:val="00E736CB"/>
    <w:rsid w:val="00E76C8C"/>
    <w:rsid w:val="00E77183"/>
    <w:rsid w:val="00E8342B"/>
    <w:rsid w:val="00E93F86"/>
    <w:rsid w:val="00EA113C"/>
    <w:rsid w:val="00EB04CB"/>
    <w:rsid w:val="00EB3070"/>
    <w:rsid w:val="00EC30F9"/>
    <w:rsid w:val="00EC3DF4"/>
    <w:rsid w:val="00EC5946"/>
    <w:rsid w:val="00ED3082"/>
    <w:rsid w:val="00ED337C"/>
    <w:rsid w:val="00ED5B69"/>
    <w:rsid w:val="00EE10EC"/>
    <w:rsid w:val="00EE7EF0"/>
    <w:rsid w:val="00EF30E2"/>
    <w:rsid w:val="00EF63F9"/>
    <w:rsid w:val="00EF7F42"/>
    <w:rsid w:val="00F03D99"/>
    <w:rsid w:val="00F04545"/>
    <w:rsid w:val="00F04568"/>
    <w:rsid w:val="00F13512"/>
    <w:rsid w:val="00F15927"/>
    <w:rsid w:val="00F15B7D"/>
    <w:rsid w:val="00F21FBE"/>
    <w:rsid w:val="00F27100"/>
    <w:rsid w:val="00F43565"/>
    <w:rsid w:val="00F43ADD"/>
    <w:rsid w:val="00F4584F"/>
    <w:rsid w:val="00F478A5"/>
    <w:rsid w:val="00F50679"/>
    <w:rsid w:val="00F5283F"/>
    <w:rsid w:val="00F701D2"/>
    <w:rsid w:val="00F70E31"/>
    <w:rsid w:val="00F70F06"/>
    <w:rsid w:val="00F730A2"/>
    <w:rsid w:val="00F74950"/>
    <w:rsid w:val="00F74A3C"/>
    <w:rsid w:val="00F76304"/>
    <w:rsid w:val="00F77A10"/>
    <w:rsid w:val="00F77FD7"/>
    <w:rsid w:val="00F91C22"/>
    <w:rsid w:val="00F91E0D"/>
    <w:rsid w:val="00FA09D9"/>
    <w:rsid w:val="00FB04D6"/>
    <w:rsid w:val="00FB0932"/>
    <w:rsid w:val="00FB2AFF"/>
    <w:rsid w:val="00FB43E0"/>
    <w:rsid w:val="00FC2754"/>
    <w:rsid w:val="00FC3404"/>
    <w:rsid w:val="00FD2A16"/>
    <w:rsid w:val="00FD2D52"/>
    <w:rsid w:val="00FD4E6C"/>
    <w:rsid w:val="00FD52C7"/>
    <w:rsid w:val="00FE00A5"/>
    <w:rsid w:val="00FE35AE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ZA" w:eastAsia="en-Z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4640"/>
    <w:pPr>
      <w:jc w:val="both"/>
    </w:pPr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3383F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rsid w:val="006543E3"/>
    <w:rPr>
      <w:sz w:val="16"/>
      <w:szCs w:val="16"/>
    </w:rPr>
  </w:style>
  <w:style w:type="paragraph" w:styleId="CommentText">
    <w:name w:val="annotation text"/>
    <w:basedOn w:val="Normal"/>
    <w:link w:val="CommentTextChar"/>
    <w:rsid w:val="006543E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6543E3"/>
    <w:rPr>
      <w:lang w:val="en-ZA"/>
    </w:rPr>
  </w:style>
  <w:style w:type="paragraph" w:styleId="CommentSubject">
    <w:name w:val="annotation subject"/>
    <w:basedOn w:val="CommentText"/>
    <w:next w:val="CommentText"/>
    <w:link w:val="CommentSubjectChar"/>
    <w:rsid w:val="006543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6543E3"/>
    <w:rPr>
      <w:b/>
      <w:bCs/>
      <w:lang w:val="en-ZA"/>
    </w:rPr>
  </w:style>
  <w:style w:type="paragraph" w:customStyle="1" w:styleId="Default">
    <w:name w:val="Default"/>
    <w:rsid w:val="006543E3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  <w:lang w:eastAsia="en-US"/>
    </w:rPr>
  </w:style>
  <w:style w:type="character" w:customStyle="1" w:styleId="apple-converted-space">
    <w:name w:val="apple-converted-space"/>
    <w:basedOn w:val="DefaultParagraphFont"/>
    <w:rsid w:val="007C65D9"/>
  </w:style>
  <w:style w:type="paragraph" w:styleId="Revision">
    <w:name w:val="Revision"/>
    <w:hidden/>
    <w:uiPriority w:val="99"/>
    <w:semiHidden/>
    <w:rsid w:val="00AA3BE6"/>
    <w:rPr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ZA" w:eastAsia="en-Z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4640"/>
    <w:pPr>
      <w:jc w:val="both"/>
    </w:pPr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3383F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rsid w:val="006543E3"/>
    <w:rPr>
      <w:sz w:val="16"/>
      <w:szCs w:val="16"/>
    </w:rPr>
  </w:style>
  <w:style w:type="paragraph" w:styleId="CommentText">
    <w:name w:val="annotation text"/>
    <w:basedOn w:val="Normal"/>
    <w:link w:val="CommentTextChar"/>
    <w:rsid w:val="006543E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6543E3"/>
    <w:rPr>
      <w:lang w:val="en-ZA"/>
    </w:rPr>
  </w:style>
  <w:style w:type="paragraph" w:styleId="CommentSubject">
    <w:name w:val="annotation subject"/>
    <w:basedOn w:val="CommentText"/>
    <w:next w:val="CommentText"/>
    <w:link w:val="CommentSubjectChar"/>
    <w:rsid w:val="006543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6543E3"/>
    <w:rPr>
      <w:b/>
      <w:bCs/>
      <w:lang w:val="en-ZA"/>
    </w:rPr>
  </w:style>
  <w:style w:type="paragraph" w:customStyle="1" w:styleId="Default">
    <w:name w:val="Default"/>
    <w:rsid w:val="006543E3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  <w:lang w:eastAsia="en-US"/>
    </w:rPr>
  </w:style>
  <w:style w:type="character" w:customStyle="1" w:styleId="apple-converted-space">
    <w:name w:val="apple-converted-space"/>
    <w:basedOn w:val="DefaultParagraphFont"/>
    <w:rsid w:val="007C65D9"/>
  </w:style>
  <w:style w:type="paragraph" w:styleId="Revision">
    <w:name w:val="Revision"/>
    <w:hidden/>
    <w:uiPriority w:val="99"/>
    <w:semiHidden/>
    <w:rsid w:val="00AA3BE6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211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11/relationships/people" Target="people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cid:image001.png@01CF121A.2263A8C0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V:\Committees\Media%20Committee\JUDGMENT%20MEDIA%20SUMMARY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B5D2A1-A323-414E-A2CB-732C45E005C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19B26A8-3FBB-4D10-89FD-4271876D6B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JUDGMENT MEDIA SUMMARY TEMPLATE</Template>
  <TotalTime>1</TotalTime>
  <Pages>3</Pages>
  <Words>967</Words>
  <Characters>5518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CONSTITIONAL COURT OF SOUTH AFRICA</vt:lpstr>
    </vt:vector>
  </TitlesOfParts>
  <Company>Court</Company>
  <LinksUpToDate>false</LinksUpToDate>
  <CharactersWithSpaces>6473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CONSTITIONAL COURT OF SOUTH AFRICA</dc:title>
  <dc:creator>Sanya Samtani</dc:creator>
  <cp:lastModifiedBy>Lutho Jolobe</cp:lastModifiedBy>
  <cp:revision>3</cp:revision>
  <cp:lastPrinted>2018-08-14T13:16:00Z</cp:lastPrinted>
  <dcterms:created xsi:type="dcterms:W3CDTF">2019-10-22T07:15:00Z</dcterms:created>
  <dcterms:modified xsi:type="dcterms:W3CDTF">2019-10-22T07:15:00Z</dcterms:modified>
</cp:coreProperties>
</file>