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B7F558" w14:textId="77777777" w:rsidR="00F5283F" w:rsidRDefault="00CA458C" w:rsidP="00720ACA">
      <w:pPr>
        <w:jc w:val="center"/>
      </w:pPr>
      <w:bookmarkStart w:id="0" w:name="_GoBack"/>
      <w:bookmarkEnd w:id="0"/>
      <w:r w:rsidRPr="00CA458C">
        <w:rPr>
          <w:noProof/>
          <w:lang w:eastAsia="en-ZA"/>
        </w:rPr>
        <w:drawing>
          <wp:inline distT="0" distB="0" distL="0" distR="0" wp14:anchorId="4A7397AB" wp14:editId="4F8E5CFA">
            <wp:extent cx="809625" cy="828675"/>
            <wp:effectExtent l="19050" t="0" r="9525" b="0"/>
            <wp:docPr id="1" name="Picture 1" descr="cid:image001.png@01CB1DF1.85740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B1DF1.85740C50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/>
                    <a:srcRect l="6632" r="12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F4BDADB" w14:textId="77777777" w:rsidR="00F5283F" w:rsidRDefault="00F5283F" w:rsidP="00720ACA">
      <w:pPr>
        <w:jc w:val="center"/>
      </w:pPr>
    </w:p>
    <w:p w14:paraId="3C17CBA4" w14:textId="77777777" w:rsidR="001E5F5A" w:rsidRPr="00100894" w:rsidRDefault="001E5F5A" w:rsidP="00CD47B6">
      <w:pPr>
        <w:jc w:val="center"/>
        <w:rPr>
          <w:b/>
        </w:rPr>
      </w:pPr>
      <w:r w:rsidRPr="00100894">
        <w:rPr>
          <w:b/>
        </w:rPr>
        <w:t>CONSTIT</w:t>
      </w:r>
      <w:r w:rsidR="00676CFE" w:rsidRPr="00100894">
        <w:rPr>
          <w:b/>
        </w:rPr>
        <w:t>UT</w:t>
      </w:r>
      <w:r w:rsidRPr="00100894">
        <w:rPr>
          <w:b/>
        </w:rPr>
        <w:t>IONAL COURT OF SOUTH AFRICA</w:t>
      </w:r>
    </w:p>
    <w:p w14:paraId="77EC2260" w14:textId="77777777" w:rsidR="001E5F5A" w:rsidRPr="00100894" w:rsidRDefault="001E5F5A" w:rsidP="00342A9B">
      <w:pPr>
        <w:jc w:val="center"/>
      </w:pPr>
    </w:p>
    <w:p w14:paraId="38EFA7E0" w14:textId="77777777" w:rsidR="00A91D14" w:rsidRPr="00D84CB9" w:rsidRDefault="00D84CB9" w:rsidP="00D84CB9">
      <w:pPr>
        <w:jc w:val="center"/>
        <w:rPr>
          <w:b/>
        </w:rPr>
      </w:pPr>
      <w:proofErr w:type="spellStart"/>
      <w:r w:rsidRPr="00A91D14">
        <w:rPr>
          <w:b/>
          <w:lang w:val="en-GB"/>
        </w:rPr>
        <w:t>Tiekiedraai</w:t>
      </w:r>
      <w:proofErr w:type="spellEnd"/>
      <w:r w:rsidRPr="00A91D14">
        <w:rPr>
          <w:b/>
          <w:lang w:val="en-GB"/>
        </w:rPr>
        <w:t xml:space="preserve"> </w:t>
      </w:r>
      <w:proofErr w:type="spellStart"/>
      <w:r w:rsidRPr="00A91D14">
        <w:rPr>
          <w:b/>
          <w:lang w:val="en-GB"/>
        </w:rPr>
        <w:t>Eiendomme</w:t>
      </w:r>
      <w:proofErr w:type="spellEnd"/>
      <w:r>
        <w:rPr>
          <w:b/>
          <w:lang w:val="en-GB"/>
        </w:rPr>
        <w:t xml:space="preserve"> </w:t>
      </w:r>
      <w:r w:rsidRPr="00A91D14">
        <w:rPr>
          <w:b/>
          <w:lang w:val="en-GB"/>
        </w:rPr>
        <w:t>(Pty) Limited</w:t>
      </w:r>
      <w:r>
        <w:rPr>
          <w:b/>
        </w:rPr>
        <w:t xml:space="preserve"> v </w:t>
      </w:r>
      <w:r w:rsidRPr="00A91D14">
        <w:rPr>
          <w:b/>
          <w:lang w:val="en-GB"/>
        </w:rPr>
        <w:t>Shell South Africa Marketing</w:t>
      </w:r>
    </w:p>
    <w:p w14:paraId="5D07FE89" w14:textId="77777777" w:rsidR="006966FC" w:rsidRPr="0007028D" w:rsidRDefault="00D84CB9">
      <w:pPr>
        <w:jc w:val="center"/>
      </w:pPr>
      <w:r w:rsidRPr="00A91D14">
        <w:rPr>
          <w:b/>
          <w:lang w:val="en-GB"/>
        </w:rPr>
        <w:t>(Pty) Limited</w:t>
      </w:r>
      <w:r>
        <w:rPr>
          <w:b/>
          <w:lang w:val="en-GB"/>
        </w:rPr>
        <w:t xml:space="preserve"> and Another</w:t>
      </w:r>
    </w:p>
    <w:p w14:paraId="16BCB686" w14:textId="77777777" w:rsidR="006966FC" w:rsidRDefault="006966FC" w:rsidP="006966FC">
      <w:pPr>
        <w:tabs>
          <w:tab w:val="right" w:pos="9360"/>
        </w:tabs>
        <w:ind w:right="284"/>
        <w:rPr>
          <w:bCs/>
          <w:sz w:val="26"/>
          <w:szCs w:val="26"/>
          <w:lang w:val="en-GB"/>
        </w:rPr>
      </w:pPr>
    </w:p>
    <w:p w14:paraId="60B2E39B" w14:textId="77777777" w:rsidR="00E07942" w:rsidRPr="00100894" w:rsidRDefault="00D40819" w:rsidP="00720ACA">
      <w:pPr>
        <w:jc w:val="right"/>
        <w:rPr>
          <w:b/>
        </w:rPr>
      </w:pPr>
      <w:r w:rsidRPr="00100894">
        <w:rPr>
          <w:b/>
        </w:rPr>
        <w:t>CCT</w:t>
      </w:r>
      <w:r w:rsidR="00720ACA" w:rsidRPr="00100894">
        <w:rPr>
          <w:b/>
        </w:rPr>
        <w:t xml:space="preserve"> </w:t>
      </w:r>
      <w:r w:rsidR="00A91D14">
        <w:rPr>
          <w:b/>
        </w:rPr>
        <w:t>96/18</w:t>
      </w:r>
    </w:p>
    <w:p w14:paraId="49D2A29A" w14:textId="77777777" w:rsidR="00D40819" w:rsidRPr="00100894" w:rsidRDefault="00D40819" w:rsidP="00720ACA">
      <w:pPr>
        <w:jc w:val="right"/>
        <w:rPr>
          <w:b/>
        </w:rPr>
      </w:pPr>
      <w:r w:rsidRPr="00100894">
        <w:rPr>
          <w:b/>
        </w:rPr>
        <w:t xml:space="preserve"> </w:t>
      </w:r>
    </w:p>
    <w:p w14:paraId="30B4BA00" w14:textId="77777777" w:rsidR="00E07942" w:rsidRDefault="00E07942" w:rsidP="00720ACA">
      <w:pPr>
        <w:jc w:val="right"/>
        <w:rPr>
          <w:b/>
        </w:rPr>
      </w:pPr>
      <w:r w:rsidRPr="00100894">
        <w:rPr>
          <w:b/>
        </w:rPr>
        <w:t xml:space="preserve">Date of hearing: </w:t>
      </w:r>
      <w:r w:rsidR="00A91D14">
        <w:rPr>
          <w:b/>
        </w:rPr>
        <w:t>12 February 2019</w:t>
      </w:r>
    </w:p>
    <w:p w14:paraId="2050537D" w14:textId="77777777" w:rsidR="004F08EE" w:rsidRPr="00100894" w:rsidRDefault="004F08EE" w:rsidP="00720ACA">
      <w:pPr>
        <w:jc w:val="right"/>
        <w:rPr>
          <w:b/>
        </w:rPr>
      </w:pPr>
      <w:r>
        <w:rPr>
          <w:b/>
        </w:rPr>
        <w:t xml:space="preserve">Date of </w:t>
      </w:r>
      <w:r w:rsidR="009B6613">
        <w:rPr>
          <w:b/>
        </w:rPr>
        <w:t>judgment: 9 April</w:t>
      </w:r>
      <w:r>
        <w:rPr>
          <w:b/>
        </w:rPr>
        <w:t xml:space="preserve"> 2019</w:t>
      </w:r>
    </w:p>
    <w:p w14:paraId="449FB2CF" w14:textId="77777777" w:rsidR="00823B02" w:rsidRPr="00100894" w:rsidRDefault="00823B02" w:rsidP="00AE4640"/>
    <w:p w14:paraId="3D9B8538" w14:textId="77777777" w:rsidR="001E5F5A" w:rsidRPr="00100894" w:rsidRDefault="00526226" w:rsidP="00AE4640">
      <w:r w:rsidRPr="00100894">
        <w:t>________________________________________________________________________</w:t>
      </w:r>
    </w:p>
    <w:p w14:paraId="12527CE7" w14:textId="77777777" w:rsidR="00526226" w:rsidRPr="00100894" w:rsidRDefault="00526226" w:rsidP="00526226">
      <w:pPr>
        <w:jc w:val="center"/>
        <w:rPr>
          <w:b/>
        </w:rPr>
      </w:pPr>
    </w:p>
    <w:p w14:paraId="018E6F4E" w14:textId="77777777" w:rsidR="00526226" w:rsidRPr="00100894" w:rsidRDefault="001E5F5A" w:rsidP="00526226">
      <w:pPr>
        <w:jc w:val="center"/>
        <w:rPr>
          <w:b/>
        </w:rPr>
      </w:pPr>
      <w:r w:rsidRPr="00100894">
        <w:rPr>
          <w:b/>
        </w:rPr>
        <w:t>MEDIA SUMMARY</w:t>
      </w:r>
    </w:p>
    <w:p w14:paraId="5050BE74" w14:textId="77777777" w:rsidR="00526226" w:rsidRPr="00100894" w:rsidRDefault="00526226" w:rsidP="00526226">
      <w:pPr>
        <w:jc w:val="center"/>
      </w:pPr>
      <w:r w:rsidRPr="00100894">
        <w:t>________________________________________________________________________</w:t>
      </w:r>
    </w:p>
    <w:p w14:paraId="44A74E0B" w14:textId="77777777" w:rsidR="001E5F5A" w:rsidRPr="00100894" w:rsidRDefault="001E5F5A" w:rsidP="008B532D">
      <w:pPr>
        <w:spacing w:line="360" w:lineRule="auto"/>
        <w:jc w:val="left"/>
      </w:pPr>
    </w:p>
    <w:p w14:paraId="6169E27F" w14:textId="77777777" w:rsidR="001E5F5A" w:rsidRPr="00100894" w:rsidRDefault="001E5F5A" w:rsidP="006474CE">
      <w:pPr>
        <w:rPr>
          <w:i/>
        </w:rPr>
      </w:pPr>
      <w:r w:rsidRPr="00100894">
        <w:rPr>
          <w:i/>
        </w:rPr>
        <w:t xml:space="preserve">The following </w:t>
      </w:r>
      <w:r w:rsidR="008C3682" w:rsidRPr="00100894">
        <w:rPr>
          <w:i/>
        </w:rPr>
        <w:t xml:space="preserve">explanatory note </w:t>
      </w:r>
      <w:r w:rsidRPr="00100894">
        <w:rPr>
          <w:i/>
        </w:rPr>
        <w:t>is provided to assist the media in reporting this case and is not binding on the Constitutional Court or any member of the Court.</w:t>
      </w:r>
    </w:p>
    <w:p w14:paraId="36230E8F" w14:textId="77777777" w:rsidR="001E5F5A" w:rsidRPr="00100894" w:rsidRDefault="001E5F5A" w:rsidP="006474CE">
      <w:pPr>
        <w:rPr>
          <w:sz w:val="28"/>
          <w:szCs w:val="28"/>
        </w:rPr>
      </w:pPr>
    </w:p>
    <w:p w14:paraId="79F2576B" w14:textId="77777777" w:rsidR="004352CE" w:rsidRDefault="006474CE" w:rsidP="00DE5133">
      <w:r>
        <w:t>On</w:t>
      </w:r>
      <w:r w:rsidR="00137421">
        <w:t xml:space="preserve"> </w:t>
      </w:r>
      <w:r w:rsidR="00D84CB9">
        <w:t>Tuesday,</w:t>
      </w:r>
      <w:r w:rsidR="001F04CF">
        <w:t xml:space="preserve"> 9</w:t>
      </w:r>
      <w:r w:rsidR="000A5D10">
        <w:t xml:space="preserve"> April</w:t>
      </w:r>
      <w:r w:rsidR="004F08EE">
        <w:t xml:space="preserve"> 2019, the Constitutional Court handed down judgment in an application</w:t>
      </w:r>
      <w:r w:rsidR="0007028D" w:rsidRPr="00043625">
        <w:t xml:space="preserve"> for leave to appeal</w:t>
      </w:r>
      <w:r w:rsidR="004659C5" w:rsidRPr="00043625">
        <w:t xml:space="preserve"> </w:t>
      </w:r>
      <w:r w:rsidR="005875DF">
        <w:t>against a</w:t>
      </w:r>
      <w:r w:rsidR="00043625" w:rsidRPr="00043625">
        <w:t xml:space="preserve"> </w:t>
      </w:r>
      <w:r w:rsidR="004659C5" w:rsidRPr="00043625">
        <w:t>judgment of the Supreme Court of Appeal</w:t>
      </w:r>
      <w:r w:rsidR="00043625" w:rsidRPr="00043625">
        <w:t xml:space="preserve"> </w:t>
      </w:r>
      <w:r w:rsidR="00867E36">
        <w:t xml:space="preserve">that </w:t>
      </w:r>
      <w:r w:rsidR="00043625" w:rsidRPr="00043625">
        <w:t>dismiss</w:t>
      </w:r>
      <w:r w:rsidR="00867E36">
        <w:t>ed</w:t>
      </w:r>
      <w:r w:rsidR="00043625" w:rsidRPr="00043625">
        <w:t xml:space="preserve"> an </w:t>
      </w:r>
      <w:r w:rsidR="004659C5" w:rsidRPr="00043625">
        <w:t xml:space="preserve">application to </w:t>
      </w:r>
      <w:r w:rsidR="00970A06">
        <w:t xml:space="preserve">uphold </w:t>
      </w:r>
      <w:r w:rsidR="00043625" w:rsidRPr="00043625">
        <w:t>a</w:t>
      </w:r>
      <w:r w:rsidR="00867E36">
        <w:t xml:space="preserve">n agreement </w:t>
      </w:r>
      <w:r w:rsidR="00867E36" w:rsidRPr="00043625">
        <w:t>between the applicant (</w:t>
      </w:r>
      <w:proofErr w:type="spellStart"/>
      <w:r w:rsidR="00867E36" w:rsidRPr="00043625">
        <w:t>Tiekiedraai</w:t>
      </w:r>
      <w:proofErr w:type="spellEnd"/>
      <w:r w:rsidR="00867E36" w:rsidRPr="00043625">
        <w:t>) and the second respondent (Hall)</w:t>
      </w:r>
      <w:r w:rsidR="004352CE">
        <w:t xml:space="preserve"> </w:t>
      </w:r>
      <w:r w:rsidR="00970A06">
        <w:t xml:space="preserve">for </w:t>
      </w:r>
      <w:r w:rsidR="004352CE">
        <w:t>the sale of</w:t>
      </w:r>
      <w:r w:rsidR="00867E36">
        <w:t xml:space="preserve"> </w:t>
      </w:r>
      <w:r w:rsidR="00F62253">
        <w:t xml:space="preserve">property </w:t>
      </w:r>
      <w:r w:rsidR="00867E36">
        <w:t xml:space="preserve">on which </w:t>
      </w:r>
      <w:r w:rsidR="00D84CB9">
        <w:t>the first respondent (</w:t>
      </w:r>
      <w:r w:rsidR="00867E36">
        <w:t>Sh</w:t>
      </w:r>
      <w:r w:rsidR="004352CE">
        <w:t>ell</w:t>
      </w:r>
      <w:r w:rsidR="00D84CB9">
        <w:t>)</w:t>
      </w:r>
      <w:r w:rsidR="004352CE">
        <w:t xml:space="preserve"> had erected a filling station.</w:t>
      </w:r>
    </w:p>
    <w:p w14:paraId="61108B0C" w14:textId="77777777" w:rsidR="004352CE" w:rsidRDefault="004352CE" w:rsidP="00DE5133"/>
    <w:p w14:paraId="52B329D8" w14:textId="77777777" w:rsidR="00F77A10" w:rsidRDefault="00867E36" w:rsidP="00DE5133">
      <w:pPr>
        <w:rPr>
          <w:i/>
        </w:rPr>
      </w:pPr>
      <w:r>
        <w:t>In 1991, Shell and Hall concluded a written lease</w:t>
      </w:r>
      <w:r w:rsidR="004352CE">
        <w:t xml:space="preserve"> agreement</w:t>
      </w:r>
      <w:r>
        <w:t>.  In the lease</w:t>
      </w:r>
      <w:r w:rsidR="004352CE">
        <w:t xml:space="preserve"> agreement</w:t>
      </w:r>
      <w:r>
        <w:t xml:space="preserve">, Hall undertook that, if it ever wished to sell the land, it would first offer it to Shell on the identical terms on which it planned to sell </w:t>
      </w:r>
      <w:r w:rsidR="00D84CB9">
        <w:t xml:space="preserve">to a third party </w:t>
      </w:r>
      <w:r>
        <w:t>(</w:t>
      </w:r>
      <w:r w:rsidRPr="00CB0351">
        <w:rPr>
          <w:lang w:val="en-GB"/>
        </w:rPr>
        <w:t>a right of pre-emption</w:t>
      </w:r>
      <w:r>
        <w:rPr>
          <w:lang w:val="en-GB"/>
        </w:rPr>
        <w:t>)</w:t>
      </w:r>
      <w:r>
        <w:t>.</w:t>
      </w:r>
      <w:r w:rsidR="009D1221">
        <w:t xml:space="preserve">  </w:t>
      </w:r>
      <w:r w:rsidR="00612B72">
        <w:t xml:space="preserve">Once the offer had been made, </w:t>
      </w:r>
      <w:r w:rsidR="009D1221">
        <w:t xml:space="preserve">Shell would have 30 days within which to exercise </w:t>
      </w:r>
      <w:r w:rsidR="00612B72">
        <w:t xml:space="preserve">this </w:t>
      </w:r>
      <w:r w:rsidR="009D1221">
        <w:t>right.</w:t>
      </w:r>
    </w:p>
    <w:p w14:paraId="3E591F2E" w14:textId="77777777" w:rsidR="00CB0351" w:rsidRDefault="00CB0351" w:rsidP="00CB0351">
      <w:pPr>
        <w:rPr>
          <w:lang w:val="en-GB"/>
        </w:rPr>
      </w:pPr>
    </w:p>
    <w:p w14:paraId="7C0E0E22" w14:textId="77777777" w:rsidR="00CB0351" w:rsidRDefault="00CB0351" w:rsidP="00CB0351">
      <w:pPr>
        <w:rPr>
          <w:lang w:val="en-GB"/>
        </w:rPr>
      </w:pPr>
      <w:r w:rsidRPr="00CB0351">
        <w:rPr>
          <w:lang w:val="en-GB"/>
        </w:rPr>
        <w:t>On 28 October 2014</w:t>
      </w:r>
      <w:r w:rsidR="00D84CB9">
        <w:rPr>
          <w:lang w:val="en-GB"/>
        </w:rPr>
        <w:t>,</w:t>
      </w:r>
      <w:r w:rsidR="00D84CB9">
        <w:rPr>
          <w:lang w:val="en-US"/>
        </w:rPr>
        <w:t xml:space="preserve"> </w:t>
      </w:r>
      <w:proofErr w:type="spellStart"/>
      <w:r w:rsidR="00D84CB9">
        <w:rPr>
          <w:lang w:val="en-US"/>
        </w:rPr>
        <w:t>Tiekie</w:t>
      </w:r>
      <w:r w:rsidRPr="00CB0351">
        <w:rPr>
          <w:lang w:val="en-US"/>
        </w:rPr>
        <w:t>draai</w:t>
      </w:r>
      <w:proofErr w:type="spellEnd"/>
      <w:r w:rsidRPr="00CB0351">
        <w:rPr>
          <w:lang w:val="en-US"/>
        </w:rPr>
        <w:t xml:space="preserve"> sent an email to Hall in which it </w:t>
      </w:r>
      <w:r w:rsidR="00D84CB9">
        <w:rPr>
          <w:lang w:val="en-US"/>
        </w:rPr>
        <w:t>stated</w:t>
      </w:r>
      <w:r w:rsidRPr="00CB0351">
        <w:rPr>
          <w:lang w:val="en-US"/>
        </w:rPr>
        <w:t xml:space="preserve"> that it wished to purchase the leased </w:t>
      </w:r>
      <w:r w:rsidR="00F62253">
        <w:rPr>
          <w:lang w:val="en-US"/>
        </w:rPr>
        <w:t>land</w:t>
      </w:r>
      <w:r>
        <w:rPr>
          <w:lang w:val="en-US"/>
        </w:rPr>
        <w:t xml:space="preserve"> for </w:t>
      </w:r>
      <w:r w:rsidRPr="00CB0351">
        <w:rPr>
          <w:lang w:val="en-US"/>
        </w:rPr>
        <w:t>R17 million.  Its</w:t>
      </w:r>
      <w:r w:rsidR="00F62253">
        <w:rPr>
          <w:lang w:val="en-US"/>
        </w:rPr>
        <w:t xml:space="preserve"> email</w:t>
      </w:r>
      <w:r w:rsidR="00D84CB9">
        <w:rPr>
          <w:lang w:val="en-US"/>
        </w:rPr>
        <w:t>, which constituted an offer to purchase,</w:t>
      </w:r>
      <w:r w:rsidRPr="00CB0351">
        <w:rPr>
          <w:lang w:val="en-US"/>
        </w:rPr>
        <w:t xml:space="preserve"> stated that further terms and conditions would be agreed upon in due course. </w:t>
      </w:r>
      <w:r w:rsidR="005875DF">
        <w:rPr>
          <w:lang w:val="en-US"/>
        </w:rPr>
        <w:t xml:space="preserve"> </w:t>
      </w:r>
      <w:r>
        <w:rPr>
          <w:lang w:val="en-GB"/>
        </w:rPr>
        <w:t xml:space="preserve">On </w:t>
      </w:r>
      <w:r w:rsidRPr="00CB0351">
        <w:rPr>
          <w:lang w:val="en-GB"/>
        </w:rPr>
        <w:t xml:space="preserve">30 October 2014, Hall forwarded a copy of </w:t>
      </w:r>
      <w:proofErr w:type="spellStart"/>
      <w:r w:rsidRPr="00CB0351">
        <w:rPr>
          <w:lang w:val="en-GB"/>
        </w:rPr>
        <w:t>Tiekiedraai’s</w:t>
      </w:r>
      <w:proofErr w:type="spellEnd"/>
      <w:r w:rsidRPr="00CB0351">
        <w:rPr>
          <w:lang w:val="en-GB"/>
        </w:rPr>
        <w:t xml:space="preserve"> email</w:t>
      </w:r>
      <w:r w:rsidR="0068258D">
        <w:rPr>
          <w:lang w:val="en-GB"/>
        </w:rPr>
        <w:t xml:space="preserve"> </w:t>
      </w:r>
      <w:r w:rsidRPr="00CB0351">
        <w:rPr>
          <w:lang w:val="en-GB"/>
        </w:rPr>
        <w:t xml:space="preserve">to Shell.  </w:t>
      </w:r>
      <w:r w:rsidR="00D84CB9">
        <w:rPr>
          <w:lang w:val="en-GB"/>
        </w:rPr>
        <w:t>The email</w:t>
      </w:r>
      <w:r w:rsidR="00A55D99">
        <w:rPr>
          <w:lang w:val="en-GB"/>
        </w:rPr>
        <w:t xml:space="preserve"> accurately described the land to be sold. </w:t>
      </w:r>
      <w:r w:rsidR="000A5D10">
        <w:rPr>
          <w:lang w:val="en-GB"/>
        </w:rPr>
        <w:t xml:space="preserve"> </w:t>
      </w:r>
      <w:r w:rsidR="00A55D99">
        <w:rPr>
          <w:lang w:val="en-GB"/>
        </w:rPr>
        <w:t>However, the further terms and conditions of the agre</w:t>
      </w:r>
      <w:r w:rsidR="00D84CB9">
        <w:rPr>
          <w:lang w:val="en-GB"/>
        </w:rPr>
        <w:t>ement had not yet been decided.</w:t>
      </w:r>
    </w:p>
    <w:p w14:paraId="42413A2B" w14:textId="77777777" w:rsidR="00CB0351" w:rsidRPr="00CB0351" w:rsidRDefault="00CB0351" w:rsidP="00CB0351">
      <w:pPr>
        <w:rPr>
          <w:lang w:val="en-US"/>
        </w:rPr>
      </w:pPr>
    </w:p>
    <w:p w14:paraId="5B615B5C" w14:textId="2F0BF3F4" w:rsidR="00CB0351" w:rsidRPr="00CB0351" w:rsidRDefault="00612B72" w:rsidP="00CB0351">
      <w:pPr>
        <w:rPr>
          <w:lang w:val="en-US"/>
        </w:rPr>
      </w:pPr>
      <w:r>
        <w:rPr>
          <w:lang w:val="en-GB"/>
        </w:rPr>
        <w:t xml:space="preserve">Shell </w:t>
      </w:r>
      <w:r w:rsidR="00D84CB9">
        <w:rPr>
          <w:lang w:val="en-GB"/>
        </w:rPr>
        <w:t>immediately started the process to secure</w:t>
      </w:r>
      <w:r>
        <w:rPr>
          <w:lang w:val="en-GB"/>
        </w:rPr>
        <w:t xml:space="preserve"> board appro</w:t>
      </w:r>
      <w:r w:rsidR="00D84CB9">
        <w:rPr>
          <w:lang w:val="en-GB"/>
        </w:rPr>
        <w:t>val to purchase the leased land.</w:t>
      </w:r>
      <w:r>
        <w:rPr>
          <w:lang w:val="en-GB"/>
        </w:rPr>
        <w:t xml:space="preserve"> </w:t>
      </w:r>
      <w:r w:rsidR="00CB39E1">
        <w:rPr>
          <w:lang w:val="en-GB"/>
        </w:rPr>
        <w:t xml:space="preserve"> </w:t>
      </w:r>
      <w:r w:rsidR="009D1221">
        <w:rPr>
          <w:lang w:val="en-GB"/>
        </w:rPr>
        <w:t xml:space="preserve">Hall took the </w:t>
      </w:r>
      <w:r w:rsidR="00CB0351" w:rsidRPr="00CB0351">
        <w:rPr>
          <w:lang w:val="en-GB"/>
        </w:rPr>
        <w:t>view</w:t>
      </w:r>
      <w:r w:rsidR="009D1221">
        <w:rPr>
          <w:lang w:val="en-GB"/>
        </w:rPr>
        <w:t xml:space="preserve"> that</w:t>
      </w:r>
      <w:r w:rsidR="00CB0351" w:rsidRPr="00CB0351">
        <w:rPr>
          <w:lang w:val="en-GB"/>
        </w:rPr>
        <w:t xml:space="preserve"> Shell’s</w:t>
      </w:r>
      <w:r w:rsidR="00BE3144">
        <w:rPr>
          <w:lang w:val="en-GB"/>
        </w:rPr>
        <w:t xml:space="preserve"> 30-day period to exercise its</w:t>
      </w:r>
      <w:r w:rsidR="00CB0351" w:rsidRPr="00CB0351">
        <w:rPr>
          <w:lang w:val="en-GB"/>
        </w:rPr>
        <w:t xml:space="preserve"> rig</w:t>
      </w:r>
      <w:r>
        <w:rPr>
          <w:lang w:val="en-GB"/>
        </w:rPr>
        <w:t>ht of pre-emption</w:t>
      </w:r>
      <w:r w:rsidR="00D84CB9">
        <w:rPr>
          <w:lang w:val="en-GB"/>
        </w:rPr>
        <w:t xml:space="preserve"> started to run on 30 October 2014 and therefore that the right of pre-emption would lapse on 30 November 2014</w:t>
      </w:r>
      <w:r>
        <w:rPr>
          <w:lang w:val="en-GB"/>
        </w:rPr>
        <w:t>.  Accordingly, o</w:t>
      </w:r>
      <w:r w:rsidR="00CB0351" w:rsidRPr="00CB0351">
        <w:rPr>
          <w:lang w:val="en-GB"/>
        </w:rPr>
        <w:t xml:space="preserve">n 4 December 2014, Hall and </w:t>
      </w:r>
      <w:proofErr w:type="spellStart"/>
      <w:r w:rsidR="00CB0351" w:rsidRPr="00CB0351">
        <w:rPr>
          <w:lang w:val="en-GB"/>
        </w:rPr>
        <w:t>Tiekiedraai</w:t>
      </w:r>
      <w:proofErr w:type="spellEnd"/>
      <w:r w:rsidR="00CB0351" w:rsidRPr="00CB0351">
        <w:rPr>
          <w:lang w:val="en-GB"/>
        </w:rPr>
        <w:t xml:space="preserve"> </w:t>
      </w:r>
      <w:r w:rsidR="00CB0351" w:rsidRPr="00CB0351">
        <w:rPr>
          <w:lang w:val="en-GB"/>
        </w:rPr>
        <w:lastRenderedPageBreak/>
        <w:t xml:space="preserve">concluded </w:t>
      </w:r>
      <w:r w:rsidR="000A5D10">
        <w:rPr>
          <w:lang w:val="en-GB"/>
        </w:rPr>
        <w:t>a “Sale of Fixed Property Agreement”</w:t>
      </w:r>
      <w:r w:rsidR="005875DF">
        <w:rPr>
          <w:lang w:val="en-GB"/>
        </w:rPr>
        <w:t>.</w:t>
      </w:r>
      <w:r w:rsidR="000A5D10">
        <w:rPr>
          <w:lang w:val="en-GB"/>
        </w:rPr>
        <w:t xml:space="preserve">  In that agreement, Hall agreed to transfer title of th</w:t>
      </w:r>
      <w:r>
        <w:rPr>
          <w:lang w:val="en-GB"/>
        </w:rPr>
        <w:t xml:space="preserve">e leased land to </w:t>
      </w:r>
      <w:proofErr w:type="spellStart"/>
      <w:r>
        <w:rPr>
          <w:lang w:val="en-GB"/>
        </w:rPr>
        <w:t>Tiekiedraai</w:t>
      </w:r>
      <w:proofErr w:type="spellEnd"/>
      <w:r>
        <w:rPr>
          <w:lang w:val="en-GB"/>
        </w:rPr>
        <w:t xml:space="preserve">.  </w:t>
      </w:r>
      <w:r w:rsidR="00EC7C34">
        <w:rPr>
          <w:lang w:val="en-GB"/>
        </w:rPr>
        <w:t>On 5 December 2014, Hall sent the agreement, which included all the terms of the sale, to Shell.  Shell then attempted, unsuccessfully,</w:t>
      </w:r>
      <w:r>
        <w:rPr>
          <w:lang w:val="en-GB"/>
        </w:rPr>
        <w:t xml:space="preserve"> </w:t>
      </w:r>
      <w:r w:rsidR="00EC7C34">
        <w:rPr>
          <w:lang w:val="en-GB"/>
        </w:rPr>
        <w:t>to</w:t>
      </w:r>
      <w:r w:rsidR="000A5D10">
        <w:rPr>
          <w:lang w:val="en-GB"/>
        </w:rPr>
        <w:t xml:space="preserve"> </w:t>
      </w:r>
      <w:r w:rsidR="00EC7C34">
        <w:rPr>
          <w:lang w:val="en-GB"/>
        </w:rPr>
        <w:t>exercise</w:t>
      </w:r>
      <w:r w:rsidR="007A2E88">
        <w:rPr>
          <w:lang w:val="en-GB"/>
        </w:rPr>
        <w:t xml:space="preserve"> its right of pre-emption </w:t>
      </w:r>
      <w:r>
        <w:rPr>
          <w:lang w:val="en-GB"/>
        </w:rPr>
        <w:t xml:space="preserve">in an email to Hall </w:t>
      </w:r>
      <w:r w:rsidR="007A2E88">
        <w:rPr>
          <w:lang w:val="en-GB"/>
        </w:rPr>
        <w:t>on 9 December 2014.</w:t>
      </w:r>
    </w:p>
    <w:p w14:paraId="40FACD29" w14:textId="77777777" w:rsidR="00CB0351" w:rsidRDefault="00CB0351" w:rsidP="00B4658E"/>
    <w:p w14:paraId="279487B4" w14:textId="01287975" w:rsidR="00E961F9" w:rsidRPr="00996182" w:rsidRDefault="00EC7C34" w:rsidP="006474CE">
      <w:r>
        <w:rPr>
          <w:lang w:val="en-GB"/>
        </w:rPr>
        <w:t xml:space="preserve">Aggrieved, </w:t>
      </w:r>
      <w:r w:rsidR="00F56D2F" w:rsidRPr="00E961F9">
        <w:rPr>
          <w:lang w:val="en-GB"/>
        </w:rPr>
        <w:t xml:space="preserve">Shell lodged an application against Hall and </w:t>
      </w:r>
      <w:proofErr w:type="spellStart"/>
      <w:r w:rsidR="00F56D2F" w:rsidRPr="00E961F9">
        <w:rPr>
          <w:lang w:val="en-GB"/>
        </w:rPr>
        <w:t>Tiekiedraai</w:t>
      </w:r>
      <w:proofErr w:type="spellEnd"/>
      <w:r w:rsidR="00F56D2F" w:rsidRPr="00E961F9">
        <w:rPr>
          <w:lang w:val="en-GB"/>
        </w:rPr>
        <w:t xml:space="preserve"> in the High Court, Gauteng Division, Pretoria</w:t>
      </w:r>
      <w:r>
        <w:rPr>
          <w:lang w:val="en-GB"/>
        </w:rPr>
        <w:t xml:space="preserve"> (High Court)</w:t>
      </w:r>
      <w:r w:rsidR="00F56D2F" w:rsidRPr="00E961F9">
        <w:rPr>
          <w:lang w:val="en-GB"/>
        </w:rPr>
        <w:t>, seeking to enforce its right of pre-emption.</w:t>
      </w:r>
      <w:r>
        <w:t xml:space="preserve">  </w:t>
      </w:r>
      <w:r>
        <w:rPr>
          <w:lang w:val="en-GB"/>
        </w:rPr>
        <w:t xml:space="preserve">The High Court </w:t>
      </w:r>
      <w:r w:rsidR="00F56D2F" w:rsidRPr="00E961F9">
        <w:rPr>
          <w:lang w:val="en-GB"/>
        </w:rPr>
        <w:t xml:space="preserve">concluded that </w:t>
      </w:r>
      <w:r w:rsidR="001E2D13">
        <w:rPr>
          <w:lang w:val="en-GB"/>
        </w:rPr>
        <w:t xml:space="preserve">the </w:t>
      </w:r>
      <w:r w:rsidR="002127F6">
        <w:rPr>
          <w:lang w:val="en-GB"/>
        </w:rPr>
        <w:t>requirements for triggering the 30-day period for Shell</w:t>
      </w:r>
      <w:r w:rsidR="00967148">
        <w:rPr>
          <w:lang w:val="en-GB"/>
        </w:rPr>
        <w:t xml:space="preserve"> to exercise its</w:t>
      </w:r>
      <w:r w:rsidR="002127F6">
        <w:rPr>
          <w:lang w:val="en-GB"/>
        </w:rPr>
        <w:t xml:space="preserve"> right of pre-emp</w:t>
      </w:r>
      <w:r>
        <w:rPr>
          <w:lang w:val="en-GB"/>
        </w:rPr>
        <w:t xml:space="preserve">tion were detailed and explicit, and that </w:t>
      </w:r>
      <w:r w:rsidR="002127F6">
        <w:rPr>
          <w:lang w:val="en-GB"/>
        </w:rPr>
        <w:t xml:space="preserve">Hall’s email </w:t>
      </w:r>
      <w:r w:rsidR="00612B72">
        <w:rPr>
          <w:lang w:val="en-GB"/>
        </w:rPr>
        <w:t xml:space="preserve">of </w:t>
      </w:r>
      <w:r w:rsidR="002127F6">
        <w:rPr>
          <w:lang w:val="en-GB"/>
        </w:rPr>
        <w:t xml:space="preserve">30 October 2014 fell short of these requirements.  This meant that </w:t>
      </w:r>
      <w:r w:rsidR="00612B72">
        <w:rPr>
          <w:lang w:val="en-GB"/>
        </w:rPr>
        <w:t xml:space="preserve">Shell had </w:t>
      </w:r>
      <w:r w:rsidR="002127F6">
        <w:rPr>
          <w:lang w:val="en-GB"/>
        </w:rPr>
        <w:t xml:space="preserve">validly and timeously exercised its right of pre-emption, within 30 days of 5 December 2014, when Hall forwarded the full </w:t>
      </w:r>
      <w:proofErr w:type="spellStart"/>
      <w:r w:rsidR="002127F6">
        <w:rPr>
          <w:lang w:val="en-GB"/>
        </w:rPr>
        <w:t>Tiekiedraai</w:t>
      </w:r>
      <w:proofErr w:type="spellEnd"/>
      <w:r w:rsidR="002127F6">
        <w:rPr>
          <w:lang w:val="en-GB"/>
        </w:rPr>
        <w:t xml:space="preserve"> sale agreement to it.  The High Court</w:t>
      </w:r>
      <w:r w:rsidR="007A2E88">
        <w:rPr>
          <w:lang w:val="en-GB"/>
        </w:rPr>
        <w:t xml:space="preserve"> </w:t>
      </w:r>
      <w:r w:rsidR="00967148">
        <w:rPr>
          <w:lang w:val="en-GB"/>
        </w:rPr>
        <w:t xml:space="preserve">granted Shell </w:t>
      </w:r>
      <w:r w:rsidR="007A2E88">
        <w:rPr>
          <w:lang w:val="en-GB"/>
        </w:rPr>
        <w:t xml:space="preserve">an order in </w:t>
      </w:r>
      <w:r w:rsidR="00FF5B3E">
        <w:rPr>
          <w:lang w:val="en-GB"/>
        </w:rPr>
        <w:t xml:space="preserve">which Shell would step into the shoes of </w:t>
      </w:r>
      <w:proofErr w:type="spellStart"/>
      <w:r w:rsidR="00FF5B3E">
        <w:rPr>
          <w:lang w:val="en-GB"/>
        </w:rPr>
        <w:t>Tiekiedraai</w:t>
      </w:r>
      <w:proofErr w:type="spellEnd"/>
      <w:r w:rsidR="00C802A5">
        <w:rPr>
          <w:lang w:val="en-GB"/>
        </w:rPr>
        <w:t xml:space="preserve"> (</w:t>
      </w:r>
      <w:r w:rsidR="00612B72">
        <w:rPr>
          <w:lang w:val="en-GB"/>
        </w:rPr>
        <w:t>“</w:t>
      </w:r>
      <w:r w:rsidR="00C802A5">
        <w:rPr>
          <w:lang w:val="en-GB"/>
        </w:rPr>
        <w:t>stepping-in</w:t>
      </w:r>
      <w:r>
        <w:rPr>
          <w:lang w:val="en-GB"/>
        </w:rPr>
        <w:t>”</w:t>
      </w:r>
      <w:r w:rsidR="00C802A5">
        <w:rPr>
          <w:lang w:val="en-GB"/>
        </w:rPr>
        <w:t xml:space="preserve"> remedy)</w:t>
      </w:r>
      <w:r w:rsidR="00612B72">
        <w:rPr>
          <w:lang w:val="en-GB"/>
        </w:rPr>
        <w:t xml:space="preserve">. </w:t>
      </w:r>
      <w:r w:rsidR="00D6451F">
        <w:rPr>
          <w:lang w:val="en-GB"/>
        </w:rPr>
        <w:t xml:space="preserve"> </w:t>
      </w:r>
      <w:r w:rsidR="00612B72">
        <w:rPr>
          <w:lang w:val="en-GB"/>
        </w:rPr>
        <w:t>The effect of that order was that</w:t>
      </w:r>
      <w:r w:rsidR="007A2E88">
        <w:rPr>
          <w:lang w:val="en-GB"/>
        </w:rPr>
        <w:t xml:space="preserve"> the agreement </w:t>
      </w:r>
      <w:r w:rsidR="00612B72">
        <w:rPr>
          <w:lang w:val="en-GB"/>
        </w:rPr>
        <w:t xml:space="preserve">concluded between </w:t>
      </w:r>
      <w:proofErr w:type="spellStart"/>
      <w:r w:rsidR="00612B72">
        <w:rPr>
          <w:lang w:val="en-GB"/>
        </w:rPr>
        <w:t>Tiekiedraai</w:t>
      </w:r>
      <w:proofErr w:type="spellEnd"/>
      <w:r w:rsidR="00612B72">
        <w:rPr>
          <w:lang w:val="en-GB"/>
        </w:rPr>
        <w:t xml:space="preserve"> and Hall on 4 December 2014 was now </w:t>
      </w:r>
      <w:r w:rsidR="007A2E88">
        <w:rPr>
          <w:lang w:val="en-GB"/>
        </w:rPr>
        <w:t>“deemed to have</w:t>
      </w:r>
      <w:r>
        <w:rPr>
          <w:lang w:val="en-GB"/>
        </w:rPr>
        <w:t xml:space="preserve"> been concluded between Hall </w:t>
      </w:r>
      <w:r w:rsidR="007A2E88">
        <w:rPr>
          <w:lang w:val="en-GB"/>
        </w:rPr>
        <w:t>and Shell</w:t>
      </w:r>
      <w:r w:rsidR="00517BBC">
        <w:rPr>
          <w:lang w:val="en-GB"/>
        </w:rPr>
        <w:t>”</w:t>
      </w:r>
      <w:r w:rsidR="00C802A5">
        <w:rPr>
          <w:lang w:val="en-GB"/>
        </w:rPr>
        <w:t>.</w:t>
      </w:r>
      <w:r w:rsidR="00996182">
        <w:t xml:space="preserve">  </w:t>
      </w:r>
      <w:r w:rsidR="00E961F9">
        <w:rPr>
          <w:lang w:val="en-GB"/>
        </w:rPr>
        <w:t xml:space="preserve">The Supreme Court of Appeal confirmed the </w:t>
      </w:r>
      <w:r w:rsidR="00FD3AA0">
        <w:rPr>
          <w:lang w:val="en-GB"/>
        </w:rPr>
        <w:t xml:space="preserve">reasoning and </w:t>
      </w:r>
      <w:r w:rsidR="00E961F9">
        <w:rPr>
          <w:lang w:val="en-GB"/>
        </w:rPr>
        <w:t>order of the High Court</w:t>
      </w:r>
      <w:r w:rsidR="009D1221">
        <w:rPr>
          <w:lang w:val="en-GB"/>
        </w:rPr>
        <w:t>,</w:t>
      </w:r>
      <w:r w:rsidR="00E961F9">
        <w:rPr>
          <w:lang w:val="en-GB"/>
        </w:rPr>
        <w:t xml:space="preserve"> finding that </w:t>
      </w:r>
      <w:r w:rsidR="00E961F9" w:rsidRPr="00E961F9">
        <w:rPr>
          <w:lang w:val="en-GB"/>
        </w:rPr>
        <w:t xml:space="preserve">Shell </w:t>
      </w:r>
      <w:r w:rsidR="00E961F9">
        <w:rPr>
          <w:lang w:val="en-GB"/>
        </w:rPr>
        <w:t xml:space="preserve">had </w:t>
      </w:r>
      <w:r w:rsidR="00E961F9" w:rsidRPr="00E961F9">
        <w:rPr>
          <w:lang w:val="en-GB"/>
        </w:rPr>
        <w:t>validly exercised its right of pre-emption</w:t>
      </w:r>
      <w:r w:rsidR="00E961F9">
        <w:rPr>
          <w:lang w:val="en-GB"/>
        </w:rPr>
        <w:t>.</w:t>
      </w:r>
    </w:p>
    <w:p w14:paraId="0826D1DF" w14:textId="77777777" w:rsidR="00F56D2F" w:rsidRDefault="00F56D2F" w:rsidP="006474CE"/>
    <w:p w14:paraId="544E0471" w14:textId="35EFECE7" w:rsidR="00FC7FCC" w:rsidRPr="00EC7C34" w:rsidRDefault="00EC7C34" w:rsidP="006474CE">
      <w:r>
        <w:t>Before the Constitutional Court</w:t>
      </w:r>
      <w:r w:rsidR="002B53B7">
        <w:t>,</w:t>
      </w:r>
      <w:r w:rsidR="00E961F9">
        <w:t xml:space="preserve"> </w:t>
      </w:r>
      <w:proofErr w:type="spellStart"/>
      <w:r w:rsidR="00E961F9">
        <w:t>Tiekiedraai</w:t>
      </w:r>
      <w:proofErr w:type="spellEnd"/>
      <w:r w:rsidR="00E961F9">
        <w:t xml:space="preserve"> </w:t>
      </w:r>
      <w:r w:rsidR="00C802A5">
        <w:t xml:space="preserve">sought, for the first time, to challenge the “stepping-in” remedy the </w:t>
      </w:r>
      <w:r w:rsidR="00287F71">
        <w:t>High Court granted a</w:t>
      </w:r>
      <w:r w:rsidR="00D64FC3">
        <w:t>s well as</w:t>
      </w:r>
      <w:r w:rsidR="00287F71">
        <w:t xml:space="preserve"> the contractual doctrines underlying it</w:t>
      </w:r>
      <w:r w:rsidR="00D64FC3">
        <w:t>.</w:t>
      </w:r>
      <w:r w:rsidR="00287F71">
        <w:t xml:space="preserve"> </w:t>
      </w:r>
      <w:r w:rsidR="00020799">
        <w:t xml:space="preserve"> </w:t>
      </w:r>
      <w:proofErr w:type="spellStart"/>
      <w:r w:rsidR="00FC7FCC">
        <w:t>Tiekiedraai</w:t>
      </w:r>
      <w:proofErr w:type="spellEnd"/>
      <w:r w:rsidR="00FC7FCC">
        <w:t xml:space="preserve"> sought leave to appeal on the basis that </w:t>
      </w:r>
      <w:r w:rsidR="00D64FC3">
        <w:t xml:space="preserve">the interpretation of the disputed </w:t>
      </w:r>
      <w:r w:rsidR="00FC7FCC">
        <w:t>clause and the additional arguments it advanced raised arguable points of law of general public importance in terms of section 167(3)(b)(ii) of the Constitution.</w:t>
      </w:r>
    </w:p>
    <w:p w14:paraId="500D583D" w14:textId="77777777" w:rsidR="00DC1470" w:rsidRDefault="00DC1470" w:rsidP="006474CE">
      <w:pPr>
        <w:rPr>
          <w:lang w:val="en-GB"/>
        </w:rPr>
      </w:pPr>
    </w:p>
    <w:p w14:paraId="77FC7124" w14:textId="5C2907DA" w:rsidR="00996182" w:rsidRDefault="0036334E" w:rsidP="006474CE">
      <w:pPr>
        <w:rPr>
          <w:lang w:val="en-GB"/>
        </w:rPr>
      </w:pPr>
      <w:r>
        <w:rPr>
          <w:lang w:val="en-GB"/>
        </w:rPr>
        <w:t>In a unanimous judgmen</w:t>
      </w:r>
      <w:r w:rsidR="00FC7FCC">
        <w:rPr>
          <w:lang w:val="en-GB"/>
        </w:rPr>
        <w:t>t penned by Cameron J</w:t>
      </w:r>
      <w:r w:rsidR="00D64FC3">
        <w:rPr>
          <w:lang w:val="en-GB"/>
        </w:rPr>
        <w:t>,</w:t>
      </w:r>
      <w:r w:rsidR="00FC7FCC">
        <w:rPr>
          <w:lang w:val="en-GB"/>
        </w:rPr>
        <w:t xml:space="preserve"> the </w:t>
      </w:r>
      <w:r w:rsidR="00996A16">
        <w:rPr>
          <w:lang w:val="en-GB"/>
        </w:rPr>
        <w:t xml:space="preserve">Court </w:t>
      </w:r>
      <w:r w:rsidR="00FC7FCC">
        <w:rPr>
          <w:lang w:val="en-GB"/>
        </w:rPr>
        <w:t xml:space="preserve">held that </w:t>
      </w:r>
      <w:proofErr w:type="spellStart"/>
      <w:r w:rsidR="00FC7FCC">
        <w:rPr>
          <w:lang w:val="en-GB"/>
        </w:rPr>
        <w:t>Tiekiedraai’s</w:t>
      </w:r>
      <w:proofErr w:type="spellEnd"/>
      <w:r w:rsidR="00FC7FCC">
        <w:rPr>
          <w:lang w:val="en-GB"/>
        </w:rPr>
        <w:t xml:space="preserve"> arguments had to be cons</w:t>
      </w:r>
      <w:r w:rsidR="00EC7C34">
        <w:rPr>
          <w:lang w:val="en-GB"/>
        </w:rPr>
        <w:t>idered in light of the Constitutional</w:t>
      </w:r>
      <w:r w:rsidR="00FC7FCC">
        <w:rPr>
          <w:lang w:val="en-GB"/>
        </w:rPr>
        <w:t xml:space="preserve"> Court’s decision in </w:t>
      </w:r>
      <w:r w:rsidR="00FC7FCC" w:rsidRPr="00996A16">
        <w:rPr>
          <w:i/>
          <w:lang w:val="en-GB"/>
        </w:rPr>
        <w:t>Paulsen</w:t>
      </w:r>
      <w:r w:rsidR="00CD7007">
        <w:rPr>
          <w:i/>
          <w:lang w:val="en-GB"/>
        </w:rPr>
        <w:t xml:space="preserve"> v Slip Knot Investments 777 (Pty) Limited</w:t>
      </w:r>
      <w:r w:rsidR="00020799">
        <w:rPr>
          <w:lang w:val="en-GB"/>
        </w:rPr>
        <w:t>,</w:t>
      </w:r>
      <w:r w:rsidR="00FC7FCC">
        <w:rPr>
          <w:lang w:val="en-GB"/>
        </w:rPr>
        <w:t xml:space="preserve"> </w:t>
      </w:r>
      <w:r w:rsidR="00EC7C34">
        <w:rPr>
          <w:lang w:val="en-GB"/>
        </w:rPr>
        <w:t>which</w:t>
      </w:r>
      <w:r w:rsidR="00FC7FCC">
        <w:rPr>
          <w:lang w:val="en-GB"/>
        </w:rPr>
        <w:t xml:space="preserve"> </w:t>
      </w:r>
      <w:r w:rsidR="00F1284C">
        <w:rPr>
          <w:lang w:val="en-GB"/>
        </w:rPr>
        <w:t xml:space="preserve">introduced </w:t>
      </w:r>
      <w:r w:rsidR="00EC7C34">
        <w:rPr>
          <w:lang w:val="en-GB"/>
        </w:rPr>
        <w:t>the well-</w:t>
      </w:r>
      <w:r w:rsidR="00996A16">
        <w:rPr>
          <w:lang w:val="en-GB"/>
        </w:rPr>
        <w:t>established interest</w:t>
      </w:r>
      <w:r w:rsidR="00EC7C34">
        <w:rPr>
          <w:lang w:val="en-GB"/>
        </w:rPr>
        <w:t>s</w:t>
      </w:r>
      <w:r w:rsidR="00996A16">
        <w:rPr>
          <w:lang w:val="en-GB"/>
        </w:rPr>
        <w:t xml:space="preserve"> of justice criterion</w:t>
      </w:r>
      <w:r w:rsidR="00F1284C">
        <w:rPr>
          <w:lang w:val="en-GB"/>
        </w:rPr>
        <w:t xml:space="preserve"> for </w:t>
      </w:r>
      <w:r w:rsidR="00EC7C34">
        <w:rPr>
          <w:lang w:val="en-GB"/>
        </w:rPr>
        <w:t xml:space="preserve">deciding applications for </w:t>
      </w:r>
      <w:r w:rsidR="00F1284C">
        <w:rPr>
          <w:lang w:val="en-GB"/>
        </w:rPr>
        <w:t xml:space="preserve">leave to appeal points of law.  The criterion </w:t>
      </w:r>
      <w:r w:rsidR="00996A16">
        <w:rPr>
          <w:lang w:val="en-GB"/>
        </w:rPr>
        <w:t xml:space="preserve">seeks to ensure that the Court does not entertain any and every application for leave to appeal brought to it.  The </w:t>
      </w:r>
      <w:r w:rsidR="00FC7FCC">
        <w:rPr>
          <w:lang w:val="en-GB"/>
        </w:rPr>
        <w:t xml:space="preserve">Court </w:t>
      </w:r>
      <w:r>
        <w:rPr>
          <w:lang w:val="en-GB"/>
        </w:rPr>
        <w:t xml:space="preserve">found that the issues which </w:t>
      </w:r>
      <w:proofErr w:type="spellStart"/>
      <w:r>
        <w:rPr>
          <w:lang w:val="en-GB"/>
        </w:rPr>
        <w:t>Tiekiedraai</w:t>
      </w:r>
      <w:proofErr w:type="spellEnd"/>
      <w:r>
        <w:rPr>
          <w:lang w:val="en-GB"/>
        </w:rPr>
        <w:t xml:space="preserve"> sought to raise</w:t>
      </w:r>
      <w:r w:rsidR="00C620F0">
        <w:rPr>
          <w:lang w:val="en-GB"/>
        </w:rPr>
        <w:t xml:space="preserve"> regarding </w:t>
      </w:r>
      <w:r w:rsidR="00996182">
        <w:rPr>
          <w:lang w:val="en-GB"/>
        </w:rPr>
        <w:t xml:space="preserve">the “stepping-in” remedy </w:t>
      </w:r>
      <w:r w:rsidR="00C620F0" w:rsidRPr="00C620F0">
        <w:rPr>
          <w:lang w:val="en-GB"/>
        </w:rPr>
        <w:t xml:space="preserve">were </w:t>
      </w:r>
      <w:r w:rsidR="00C620F0">
        <w:rPr>
          <w:lang w:val="en-GB"/>
        </w:rPr>
        <w:t xml:space="preserve">indeed </w:t>
      </w:r>
      <w:r w:rsidR="00C620F0" w:rsidRPr="00C620F0">
        <w:rPr>
          <w:lang w:val="en-GB"/>
        </w:rPr>
        <w:t>arguable points of law of general public importance</w:t>
      </w:r>
      <w:r w:rsidR="00016381">
        <w:rPr>
          <w:lang w:val="en-GB"/>
        </w:rPr>
        <w:t>.</w:t>
      </w:r>
      <w:r w:rsidR="00996182">
        <w:rPr>
          <w:lang w:val="en-GB"/>
        </w:rPr>
        <w:t xml:space="preserve">  </w:t>
      </w:r>
      <w:r w:rsidR="00EC7C34">
        <w:rPr>
          <w:lang w:val="en-GB"/>
        </w:rPr>
        <w:t xml:space="preserve">Further, the Court found that </w:t>
      </w:r>
      <w:proofErr w:type="spellStart"/>
      <w:r>
        <w:rPr>
          <w:lang w:val="en-GB"/>
        </w:rPr>
        <w:t>T</w:t>
      </w:r>
      <w:r w:rsidR="00670416">
        <w:rPr>
          <w:lang w:val="en-GB"/>
        </w:rPr>
        <w:t>iekiedraai</w:t>
      </w:r>
      <w:proofErr w:type="spellEnd"/>
      <w:r w:rsidR="00670416">
        <w:rPr>
          <w:lang w:val="en-GB"/>
        </w:rPr>
        <w:t xml:space="preserve"> </w:t>
      </w:r>
      <w:r w:rsidR="00C620F0">
        <w:rPr>
          <w:lang w:val="en-GB"/>
        </w:rPr>
        <w:t xml:space="preserve">had </w:t>
      </w:r>
      <w:r w:rsidR="00670416">
        <w:rPr>
          <w:lang w:val="en-GB"/>
        </w:rPr>
        <w:t>persuasively pointed out that the common law in this area has long been unsettled</w:t>
      </w:r>
      <w:r w:rsidR="00F1284C">
        <w:rPr>
          <w:lang w:val="en-GB"/>
        </w:rPr>
        <w:t xml:space="preserve">.  This </w:t>
      </w:r>
      <w:r>
        <w:rPr>
          <w:lang w:val="en-GB"/>
        </w:rPr>
        <w:t>affords rich ground for this Court</w:t>
      </w:r>
      <w:r w:rsidR="00F1284C">
        <w:rPr>
          <w:lang w:val="en-GB"/>
        </w:rPr>
        <w:t>’</w:t>
      </w:r>
      <w:r>
        <w:rPr>
          <w:lang w:val="en-GB"/>
        </w:rPr>
        <w:t>s attention</w:t>
      </w:r>
      <w:r w:rsidR="005F739A">
        <w:rPr>
          <w:lang w:val="en-GB"/>
        </w:rPr>
        <w:t>.</w:t>
      </w:r>
    </w:p>
    <w:p w14:paraId="0E8B8FBC" w14:textId="77777777" w:rsidR="00996182" w:rsidRDefault="00996182" w:rsidP="006474CE">
      <w:pPr>
        <w:rPr>
          <w:lang w:val="en-GB"/>
        </w:rPr>
      </w:pPr>
    </w:p>
    <w:p w14:paraId="331A28EF" w14:textId="72166D96" w:rsidR="0063745A" w:rsidRDefault="004D0EB8" w:rsidP="0031672A">
      <w:pPr>
        <w:rPr>
          <w:lang w:val="en-GB"/>
        </w:rPr>
      </w:pPr>
      <w:r>
        <w:rPr>
          <w:lang w:val="en-GB"/>
        </w:rPr>
        <w:t>Nevertheless</w:t>
      </w:r>
      <w:r w:rsidR="0036334E">
        <w:rPr>
          <w:lang w:val="en-GB"/>
        </w:rPr>
        <w:t>, t</w:t>
      </w:r>
      <w:r w:rsidR="00977095">
        <w:rPr>
          <w:lang w:val="en-GB"/>
        </w:rPr>
        <w:t xml:space="preserve">hese questions were not </w:t>
      </w:r>
      <w:r>
        <w:rPr>
          <w:lang w:val="en-GB"/>
        </w:rPr>
        <w:t xml:space="preserve">argued at all </w:t>
      </w:r>
      <w:r w:rsidR="00977095">
        <w:rPr>
          <w:lang w:val="en-GB"/>
        </w:rPr>
        <w:t>before the High Court and the Supreme Court of Appeal.  The</w:t>
      </w:r>
      <w:r w:rsidR="0036334E">
        <w:rPr>
          <w:lang w:val="en-GB"/>
        </w:rPr>
        <w:t xml:space="preserve"> Court</w:t>
      </w:r>
      <w:r w:rsidR="00977095">
        <w:rPr>
          <w:lang w:val="en-GB"/>
        </w:rPr>
        <w:t xml:space="preserve"> </w:t>
      </w:r>
      <w:r>
        <w:rPr>
          <w:lang w:val="en-GB"/>
        </w:rPr>
        <w:t xml:space="preserve">noted </w:t>
      </w:r>
      <w:r w:rsidR="00977095">
        <w:rPr>
          <w:lang w:val="en-GB"/>
        </w:rPr>
        <w:t xml:space="preserve">that it is wary of deciding issues as a court of first and last </w:t>
      </w:r>
      <w:r w:rsidR="003C6EA1">
        <w:rPr>
          <w:lang w:val="en-GB"/>
        </w:rPr>
        <w:t>instance;</w:t>
      </w:r>
      <w:r w:rsidR="00977095">
        <w:rPr>
          <w:lang w:val="en-GB"/>
        </w:rPr>
        <w:t xml:space="preserve"> this is especially so on qu</w:t>
      </w:r>
      <w:r w:rsidR="00EC7C34">
        <w:rPr>
          <w:lang w:val="en-GB"/>
        </w:rPr>
        <w:t>estions of common law where the Constitutional</w:t>
      </w:r>
      <w:r w:rsidR="00977095">
        <w:rPr>
          <w:lang w:val="en-GB"/>
        </w:rPr>
        <w:t xml:space="preserve"> Court </w:t>
      </w:r>
      <w:r>
        <w:rPr>
          <w:lang w:val="en-GB"/>
        </w:rPr>
        <w:t xml:space="preserve">values </w:t>
      </w:r>
      <w:r w:rsidR="00977095">
        <w:rPr>
          <w:lang w:val="en-GB"/>
        </w:rPr>
        <w:t>the views and expertise of the Supreme Court of Appeal.</w:t>
      </w:r>
      <w:r w:rsidR="00996182">
        <w:rPr>
          <w:lang w:val="en-GB"/>
        </w:rPr>
        <w:t xml:space="preserve">  </w:t>
      </w:r>
      <w:r w:rsidR="003C6EA1">
        <w:rPr>
          <w:lang w:val="en-GB"/>
        </w:rPr>
        <w:t>T</w:t>
      </w:r>
      <w:r>
        <w:rPr>
          <w:lang w:val="en-GB"/>
        </w:rPr>
        <w:t xml:space="preserve">he Constitutional Court is </w:t>
      </w:r>
      <w:r w:rsidR="00020799">
        <w:rPr>
          <w:lang w:val="en-GB"/>
        </w:rPr>
        <w:t xml:space="preserve">not simply </w:t>
      </w:r>
      <w:r>
        <w:rPr>
          <w:lang w:val="en-GB"/>
        </w:rPr>
        <w:t>an additional appellate forum</w:t>
      </w:r>
      <w:r w:rsidR="00F73407">
        <w:rPr>
          <w:lang w:val="en-GB"/>
        </w:rPr>
        <w:t xml:space="preserve"> or “super-appeal court”</w:t>
      </w:r>
      <w:r>
        <w:rPr>
          <w:lang w:val="en-GB"/>
        </w:rPr>
        <w:t xml:space="preserve">. </w:t>
      </w:r>
      <w:r w:rsidR="00990383">
        <w:rPr>
          <w:lang w:val="en-GB"/>
        </w:rPr>
        <w:t xml:space="preserve"> </w:t>
      </w:r>
      <w:r w:rsidR="003C6EA1">
        <w:rPr>
          <w:lang w:val="en-GB"/>
        </w:rPr>
        <w:t xml:space="preserve">A super-appeal cannot be available to an ordinary litigant who has </w:t>
      </w:r>
      <w:r w:rsidR="0063745A">
        <w:rPr>
          <w:lang w:val="en-GB"/>
        </w:rPr>
        <w:t>who has simply not th</w:t>
      </w:r>
      <w:r w:rsidR="0036334E">
        <w:rPr>
          <w:lang w:val="en-GB"/>
        </w:rPr>
        <w:t>ought of a point before.</w:t>
      </w:r>
      <w:r w:rsidR="0031672A">
        <w:rPr>
          <w:lang w:val="en-GB"/>
        </w:rPr>
        <w:t xml:space="preserve"> </w:t>
      </w:r>
      <w:r w:rsidR="0063745A">
        <w:rPr>
          <w:lang w:val="en-GB"/>
        </w:rPr>
        <w:t xml:space="preserve"> The </w:t>
      </w:r>
      <w:r w:rsidR="00F73407">
        <w:rPr>
          <w:lang w:val="en-GB"/>
        </w:rPr>
        <w:t xml:space="preserve">Constitutional </w:t>
      </w:r>
      <w:r w:rsidR="0063745A">
        <w:rPr>
          <w:lang w:val="en-GB"/>
        </w:rPr>
        <w:t>Court</w:t>
      </w:r>
      <w:r w:rsidR="00F73407">
        <w:rPr>
          <w:lang w:val="en-GB"/>
        </w:rPr>
        <w:t>’</w:t>
      </w:r>
      <w:r w:rsidR="0063745A">
        <w:rPr>
          <w:lang w:val="en-GB"/>
        </w:rPr>
        <w:t>s appellate powers exist not to determine novel issues raised for the first time before it, but to intervene in and correct determinations by lower courts</w:t>
      </w:r>
      <w:r w:rsidR="00F73407">
        <w:rPr>
          <w:lang w:val="en-GB"/>
        </w:rPr>
        <w:t xml:space="preserve"> on points that they have heard and decided</w:t>
      </w:r>
      <w:r w:rsidR="0063745A">
        <w:rPr>
          <w:lang w:val="en-GB"/>
        </w:rPr>
        <w:t>.</w:t>
      </w:r>
    </w:p>
    <w:p w14:paraId="0DA132E4" w14:textId="77777777" w:rsidR="003C6EA1" w:rsidRDefault="003C6EA1" w:rsidP="006474CE">
      <w:pPr>
        <w:rPr>
          <w:lang w:val="en-GB"/>
        </w:rPr>
      </w:pPr>
    </w:p>
    <w:p w14:paraId="7C2A150A" w14:textId="7C68D63B" w:rsidR="00DC1470" w:rsidRDefault="00977095" w:rsidP="006474CE">
      <w:pPr>
        <w:rPr>
          <w:lang w:val="en-GB"/>
        </w:rPr>
      </w:pPr>
      <w:proofErr w:type="spellStart"/>
      <w:r>
        <w:rPr>
          <w:lang w:val="en-GB"/>
        </w:rPr>
        <w:lastRenderedPageBreak/>
        <w:t>Tiekiedraai</w:t>
      </w:r>
      <w:proofErr w:type="spellEnd"/>
      <w:r>
        <w:rPr>
          <w:lang w:val="en-GB"/>
        </w:rPr>
        <w:t xml:space="preserve"> </w:t>
      </w:r>
      <w:r w:rsidR="00F73407">
        <w:rPr>
          <w:lang w:val="en-GB"/>
        </w:rPr>
        <w:t xml:space="preserve">thus </w:t>
      </w:r>
      <w:r>
        <w:rPr>
          <w:lang w:val="en-GB"/>
        </w:rPr>
        <w:t xml:space="preserve">failed to show that the interests of justice required </w:t>
      </w:r>
      <w:r w:rsidR="00F73407">
        <w:rPr>
          <w:lang w:val="en-GB"/>
        </w:rPr>
        <w:t xml:space="preserve">that </w:t>
      </w:r>
      <w:r>
        <w:rPr>
          <w:lang w:val="en-GB"/>
        </w:rPr>
        <w:t>the questi</w:t>
      </w:r>
      <w:r w:rsidR="0031672A">
        <w:rPr>
          <w:lang w:val="en-GB"/>
        </w:rPr>
        <w:t xml:space="preserve">ons </w:t>
      </w:r>
      <w:r w:rsidR="00F73407">
        <w:rPr>
          <w:lang w:val="en-GB"/>
        </w:rPr>
        <w:t>it</w:t>
      </w:r>
      <w:r w:rsidR="00DB77EA">
        <w:rPr>
          <w:lang w:val="en-GB"/>
        </w:rPr>
        <w:t xml:space="preserve"> </w:t>
      </w:r>
      <w:r w:rsidR="00F73407">
        <w:rPr>
          <w:lang w:val="en-GB"/>
        </w:rPr>
        <w:t xml:space="preserve">now wished to raise should </w:t>
      </w:r>
      <w:r w:rsidR="00EC7C34">
        <w:rPr>
          <w:lang w:val="en-GB"/>
        </w:rPr>
        <w:t>to be decided by the Constitutional</w:t>
      </w:r>
      <w:r w:rsidR="0031672A">
        <w:rPr>
          <w:lang w:val="en-GB"/>
        </w:rPr>
        <w:t xml:space="preserve"> Court. </w:t>
      </w:r>
      <w:r w:rsidR="00020799">
        <w:rPr>
          <w:lang w:val="en-GB"/>
        </w:rPr>
        <w:t xml:space="preserve"> The </w:t>
      </w:r>
      <w:r>
        <w:rPr>
          <w:lang w:val="en-GB"/>
        </w:rPr>
        <w:t xml:space="preserve">common law arguments </w:t>
      </w:r>
      <w:r w:rsidR="00020799">
        <w:rPr>
          <w:lang w:val="en-GB"/>
        </w:rPr>
        <w:t>equally failed to meet the interests of justice criterion.</w:t>
      </w:r>
      <w:r w:rsidR="003C6EA1">
        <w:rPr>
          <w:lang w:val="en-GB"/>
        </w:rPr>
        <w:t xml:space="preserve"> </w:t>
      </w:r>
      <w:r w:rsidR="00020799">
        <w:rPr>
          <w:lang w:val="en-GB"/>
        </w:rPr>
        <w:t xml:space="preserve"> </w:t>
      </w:r>
      <w:r w:rsidR="0063745A">
        <w:rPr>
          <w:lang w:val="en-GB"/>
        </w:rPr>
        <w:t>Given these considerations</w:t>
      </w:r>
      <w:r w:rsidR="00D641BC">
        <w:rPr>
          <w:lang w:val="en-GB"/>
        </w:rPr>
        <w:t>,</w:t>
      </w:r>
      <w:r w:rsidR="0063745A">
        <w:rPr>
          <w:lang w:val="en-GB"/>
        </w:rPr>
        <w:t xml:space="preserve"> the Court found that </w:t>
      </w:r>
      <w:r w:rsidR="000E25A9">
        <w:rPr>
          <w:lang w:val="en-GB"/>
        </w:rPr>
        <w:t xml:space="preserve">it need not consider whether </w:t>
      </w:r>
      <w:r w:rsidR="0063745A">
        <w:rPr>
          <w:lang w:val="en-GB"/>
        </w:rPr>
        <w:t>the</w:t>
      </w:r>
      <w:r w:rsidR="000E25A9">
        <w:rPr>
          <w:lang w:val="en-GB"/>
        </w:rPr>
        <w:t>re were good</w:t>
      </w:r>
      <w:r w:rsidR="0063745A">
        <w:rPr>
          <w:lang w:val="en-GB"/>
        </w:rPr>
        <w:t xml:space="preserve"> prospects </w:t>
      </w:r>
      <w:r w:rsidR="000E25A9">
        <w:rPr>
          <w:lang w:val="en-GB"/>
        </w:rPr>
        <w:t xml:space="preserve">of success on </w:t>
      </w:r>
      <w:r w:rsidR="0063745A">
        <w:rPr>
          <w:lang w:val="en-GB"/>
        </w:rPr>
        <w:t xml:space="preserve">the points of law </w:t>
      </w:r>
      <w:proofErr w:type="spellStart"/>
      <w:r w:rsidR="0063745A">
        <w:rPr>
          <w:lang w:val="en-GB"/>
        </w:rPr>
        <w:t>Tiekiedraai</w:t>
      </w:r>
      <w:proofErr w:type="spellEnd"/>
      <w:r w:rsidR="0063745A">
        <w:rPr>
          <w:lang w:val="en-GB"/>
        </w:rPr>
        <w:t xml:space="preserve"> sought to </w:t>
      </w:r>
      <w:r w:rsidR="000E25A9">
        <w:rPr>
          <w:lang w:val="en-GB"/>
        </w:rPr>
        <w:t>raise</w:t>
      </w:r>
      <w:r w:rsidR="0063745A">
        <w:rPr>
          <w:lang w:val="en-GB"/>
        </w:rPr>
        <w:t>.  The Court accordingly refused leave to appeal with costs.</w:t>
      </w:r>
    </w:p>
    <w:p w14:paraId="75761405" w14:textId="77777777" w:rsidR="0063745A" w:rsidRDefault="0063745A" w:rsidP="006474CE">
      <w:pPr>
        <w:rPr>
          <w:lang w:val="en-GB"/>
        </w:rPr>
      </w:pPr>
    </w:p>
    <w:p w14:paraId="4DEAF987" w14:textId="5CEF836D" w:rsidR="0063745A" w:rsidRPr="00A54F5B" w:rsidRDefault="000E25A9" w:rsidP="006474CE">
      <w:pPr>
        <w:rPr>
          <w:lang w:val="en-GB"/>
        </w:rPr>
      </w:pPr>
      <w:r>
        <w:rPr>
          <w:lang w:val="en-GB"/>
        </w:rPr>
        <w:t xml:space="preserve">A </w:t>
      </w:r>
      <w:r w:rsidR="0063745A">
        <w:rPr>
          <w:lang w:val="en-GB"/>
        </w:rPr>
        <w:t xml:space="preserve">concurring judgment by </w:t>
      </w:r>
      <w:proofErr w:type="spellStart"/>
      <w:r w:rsidR="0063745A">
        <w:rPr>
          <w:lang w:val="en-GB"/>
        </w:rPr>
        <w:t>Jafta</w:t>
      </w:r>
      <w:proofErr w:type="spellEnd"/>
      <w:r w:rsidR="0063745A">
        <w:rPr>
          <w:lang w:val="en-GB"/>
        </w:rPr>
        <w:t xml:space="preserve"> J</w:t>
      </w:r>
      <w:r>
        <w:rPr>
          <w:lang w:val="en-GB"/>
        </w:rPr>
        <w:t xml:space="preserve"> </w:t>
      </w:r>
      <w:r w:rsidR="00020799">
        <w:rPr>
          <w:lang w:val="en-GB"/>
        </w:rPr>
        <w:t>recognised</w:t>
      </w:r>
      <w:r w:rsidR="009E444C">
        <w:t xml:space="preserve"> </w:t>
      </w:r>
      <w:r w:rsidR="009E444C" w:rsidRPr="009E444C">
        <w:t>that legal points may be raised for the first time on appeal on condition that proper notice is given and there would be no unfairness or prejudice to other parties</w:t>
      </w:r>
      <w:r w:rsidR="009E444C">
        <w:t>.  However,</w:t>
      </w:r>
      <w:r w:rsidR="009E444C" w:rsidRPr="009E444C">
        <w:t xml:space="preserve"> the difficulty </w:t>
      </w:r>
      <w:r w:rsidR="009E444C">
        <w:t>which confronted</w:t>
      </w:r>
      <w:r w:rsidR="009E444C" w:rsidRPr="009E444C">
        <w:t xml:space="preserve"> </w:t>
      </w:r>
      <w:proofErr w:type="spellStart"/>
      <w:r w:rsidR="009E444C" w:rsidRPr="009E444C">
        <w:t>Tiekiedraai</w:t>
      </w:r>
      <w:proofErr w:type="spellEnd"/>
      <w:r w:rsidR="009E444C" w:rsidRPr="009E444C">
        <w:t xml:space="preserve"> was that </w:t>
      </w:r>
      <w:r w:rsidR="009E444C" w:rsidRPr="009E444C">
        <w:rPr>
          <w:bCs/>
        </w:rPr>
        <w:t xml:space="preserve">for it to raise those points it had </w:t>
      </w:r>
      <w:r w:rsidR="00531909">
        <w:rPr>
          <w:bCs/>
        </w:rPr>
        <w:t>first to seek permission of the Constitutional</w:t>
      </w:r>
      <w:r w:rsidR="009E444C" w:rsidRPr="009E444C">
        <w:rPr>
          <w:bCs/>
        </w:rPr>
        <w:t xml:space="preserve"> Court</w:t>
      </w:r>
      <w:r w:rsidR="00D641BC">
        <w:rPr>
          <w:bCs/>
        </w:rPr>
        <w:t>,</w:t>
      </w:r>
      <w:r w:rsidR="009E444C" w:rsidRPr="009E444C">
        <w:rPr>
          <w:bCs/>
        </w:rPr>
        <w:t xml:space="preserve"> which could be granted only if this Court had jurisdiction to ente</w:t>
      </w:r>
      <w:r w:rsidR="00531909">
        <w:rPr>
          <w:bCs/>
        </w:rPr>
        <w:t>rtain the appeal</w:t>
      </w:r>
      <w:r w:rsidR="009E444C" w:rsidRPr="009E444C">
        <w:rPr>
          <w:bCs/>
        </w:rPr>
        <w:t xml:space="preserve"> in the first place</w:t>
      </w:r>
      <w:r w:rsidR="004352CE">
        <w:t>.</w:t>
      </w:r>
    </w:p>
    <w:sectPr w:rsidR="0063745A" w:rsidRPr="00A54F5B" w:rsidSect="00883D6C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B0B948" w14:textId="77777777" w:rsidR="00D156E0" w:rsidRDefault="00D156E0" w:rsidP="002B53B7">
      <w:r>
        <w:separator/>
      </w:r>
    </w:p>
  </w:endnote>
  <w:endnote w:type="continuationSeparator" w:id="0">
    <w:p w14:paraId="44B3E9F4" w14:textId="77777777" w:rsidR="00D156E0" w:rsidRDefault="00D156E0" w:rsidP="002B53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63284C" w14:textId="77777777" w:rsidR="00D156E0" w:rsidRDefault="00D156E0" w:rsidP="002B53B7">
      <w:r>
        <w:separator/>
      </w:r>
    </w:p>
  </w:footnote>
  <w:footnote w:type="continuationSeparator" w:id="0">
    <w:p w14:paraId="259F9507" w14:textId="77777777" w:rsidR="00D156E0" w:rsidRDefault="00D156E0" w:rsidP="002B53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5A7A26"/>
    <w:multiLevelType w:val="hybridMultilevel"/>
    <w:tmpl w:val="37BC87A4"/>
    <w:lvl w:ilvl="0" w:tplc="2FD43C7E">
      <w:start w:val="1"/>
      <w:numFmt w:val="decimal"/>
      <w:pStyle w:val="JUDGMENTNUMBERED"/>
      <w:lvlText w:val="[%1]"/>
      <w:lvlJc w:val="left"/>
      <w:pPr>
        <w:ind w:left="1134" w:hanging="113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 w:tplc="373A2A3A">
      <w:start w:val="1"/>
      <w:numFmt w:val="lowerLetter"/>
      <w:lvlText w:val="(%2)"/>
      <w:lvlJc w:val="left"/>
      <w:pPr>
        <w:ind w:left="1276" w:hanging="1134"/>
      </w:pPr>
      <w:rPr>
        <w:rFonts w:hint="default"/>
        <w:i w:val="0"/>
      </w:rPr>
    </w:lvl>
    <w:lvl w:ilvl="2" w:tplc="B1E8B122">
      <w:start w:val="1"/>
      <w:numFmt w:val="lowerLetter"/>
      <w:lvlText w:val="(%3)"/>
      <w:lvlJc w:val="left"/>
      <w:pPr>
        <w:ind w:left="2160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6D569F"/>
    <w:multiLevelType w:val="multilevel"/>
    <w:tmpl w:val="8C14666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25"/>
    <w:rsid w:val="00016381"/>
    <w:rsid w:val="00017302"/>
    <w:rsid w:val="00020799"/>
    <w:rsid w:val="00023FA7"/>
    <w:rsid w:val="0003383F"/>
    <w:rsid w:val="00043625"/>
    <w:rsid w:val="00044771"/>
    <w:rsid w:val="000548D7"/>
    <w:rsid w:val="00055B29"/>
    <w:rsid w:val="000654B1"/>
    <w:rsid w:val="0007028D"/>
    <w:rsid w:val="00070E99"/>
    <w:rsid w:val="000806AE"/>
    <w:rsid w:val="00091F8C"/>
    <w:rsid w:val="00093E39"/>
    <w:rsid w:val="00094E7C"/>
    <w:rsid w:val="000A36D1"/>
    <w:rsid w:val="000A36F3"/>
    <w:rsid w:val="000A5D10"/>
    <w:rsid w:val="000D09EA"/>
    <w:rsid w:val="000D35AE"/>
    <w:rsid w:val="000E25A9"/>
    <w:rsid w:val="00100894"/>
    <w:rsid w:val="00112272"/>
    <w:rsid w:val="00113454"/>
    <w:rsid w:val="00117D6B"/>
    <w:rsid w:val="00122E3D"/>
    <w:rsid w:val="00125BE8"/>
    <w:rsid w:val="00137421"/>
    <w:rsid w:val="0015307D"/>
    <w:rsid w:val="00172A2C"/>
    <w:rsid w:val="001A24C8"/>
    <w:rsid w:val="001D4D41"/>
    <w:rsid w:val="001E2D13"/>
    <w:rsid w:val="001E31D8"/>
    <w:rsid w:val="001E57F4"/>
    <w:rsid w:val="001E5F5A"/>
    <w:rsid w:val="001E7604"/>
    <w:rsid w:val="001F04CF"/>
    <w:rsid w:val="00200AB8"/>
    <w:rsid w:val="002127F6"/>
    <w:rsid w:val="00215823"/>
    <w:rsid w:val="002348C0"/>
    <w:rsid w:val="002435AB"/>
    <w:rsid w:val="00250C27"/>
    <w:rsid w:val="00253986"/>
    <w:rsid w:val="002565CB"/>
    <w:rsid w:val="002705A8"/>
    <w:rsid w:val="0027251B"/>
    <w:rsid w:val="00287F71"/>
    <w:rsid w:val="002B53B7"/>
    <w:rsid w:val="002D184B"/>
    <w:rsid w:val="002D7582"/>
    <w:rsid w:val="00305423"/>
    <w:rsid w:val="0031672A"/>
    <w:rsid w:val="0031792A"/>
    <w:rsid w:val="00323149"/>
    <w:rsid w:val="003255EA"/>
    <w:rsid w:val="0032682A"/>
    <w:rsid w:val="00334E0F"/>
    <w:rsid w:val="00342A9B"/>
    <w:rsid w:val="003574AA"/>
    <w:rsid w:val="00357788"/>
    <w:rsid w:val="0036334E"/>
    <w:rsid w:val="0037720A"/>
    <w:rsid w:val="003807A5"/>
    <w:rsid w:val="003845A8"/>
    <w:rsid w:val="003850ED"/>
    <w:rsid w:val="00386254"/>
    <w:rsid w:val="003901F5"/>
    <w:rsid w:val="003B4484"/>
    <w:rsid w:val="003C40ED"/>
    <w:rsid w:val="003C6EA1"/>
    <w:rsid w:val="003D1CF1"/>
    <w:rsid w:val="003F0347"/>
    <w:rsid w:val="003F1959"/>
    <w:rsid w:val="003F1E16"/>
    <w:rsid w:val="003F3E2F"/>
    <w:rsid w:val="004036FB"/>
    <w:rsid w:val="004065B7"/>
    <w:rsid w:val="00410075"/>
    <w:rsid w:val="0041213B"/>
    <w:rsid w:val="00421763"/>
    <w:rsid w:val="00427DD1"/>
    <w:rsid w:val="004302FD"/>
    <w:rsid w:val="00430C6F"/>
    <w:rsid w:val="004352CE"/>
    <w:rsid w:val="004426F8"/>
    <w:rsid w:val="004659C5"/>
    <w:rsid w:val="004818C9"/>
    <w:rsid w:val="00490F2C"/>
    <w:rsid w:val="00496AFB"/>
    <w:rsid w:val="004A1AEE"/>
    <w:rsid w:val="004C5AD8"/>
    <w:rsid w:val="004C7EF7"/>
    <w:rsid w:val="004D0EB8"/>
    <w:rsid w:val="004D716D"/>
    <w:rsid w:val="004F08EE"/>
    <w:rsid w:val="005038A1"/>
    <w:rsid w:val="00517BBC"/>
    <w:rsid w:val="00524F3A"/>
    <w:rsid w:val="005257B9"/>
    <w:rsid w:val="00526226"/>
    <w:rsid w:val="005307A5"/>
    <w:rsid w:val="00531909"/>
    <w:rsid w:val="005346B9"/>
    <w:rsid w:val="0053527E"/>
    <w:rsid w:val="00571CD9"/>
    <w:rsid w:val="00573AEA"/>
    <w:rsid w:val="005875DF"/>
    <w:rsid w:val="00587A53"/>
    <w:rsid w:val="00594B56"/>
    <w:rsid w:val="005A7BB6"/>
    <w:rsid w:val="005B2F2F"/>
    <w:rsid w:val="005B51EB"/>
    <w:rsid w:val="005B7F86"/>
    <w:rsid w:val="005E52AC"/>
    <w:rsid w:val="005E557D"/>
    <w:rsid w:val="005F322E"/>
    <w:rsid w:val="005F739A"/>
    <w:rsid w:val="00612B72"/>
    <w:rsid w:val="00616848"/>
    <w:rsid w:val="00624FFE"/>
    <w:rsid w:val="00630AA9"/>
    <w:rsid w:val="0063745A"/>
    <w:rsid w:val="00642528"/>
    <w:rsid w:val="006474CE"/>
    <w:rsid w:val="006524D4"/>
    <w:rsid w:val="006543E3"/>
    <w:rsid w:val="0066296D"/>
    <w:rsid w:val="00670416"/>
    <w:rsid w:val="006735C9"/>
    <w:rsid w:val="00674452"/>
    <w:rsid w:val="006749D6"/>
    <w:rsid w:val="00676CFE"/>
    <w:rsid w:val="0068258D"/>
    <w:rsid w:val="00685C91"/>
    <w:rsid w:val="006879F3"/>
    <w:rsid w:val="00694175"/>
    <w:rsid w:val="006966FC"/>
    <w:rsid w:val="006A3A69"/>
    <w:rsid w:val="006B79AA"/>
    <w:rsid w:val="006E6A2F"/>
    <w:rsid w:val="007106E2"/>
    <w:rsid w:val="0071084E"/>
    <w:rsid w:val="00712458"/>
    <w:rsid w:val="00716FAA"/>
    <w:rsid w:val="00720ACA"/>
    <w:rsid w:val="007233ED"/>
    <w:rsid w:val="00750F83"/>
    <w:rsid w:val="00752C8F"/>
    <w:rsid w:val="00762738"/>
    <w:rsid w:val="007659FF"/>
    <w:rsid w:val="007746CE"/>
    <w:rsid w:val="00775169"/>
    <w:rsid w:val="00780874"/>
    <w:rsid w:val="0078535D"/>
    <w:rsid w:val="007A2E88"/>
    <w:rsid w:val="007C4F15"/>
    <w:rsid w:val="007C65D9"/>
    <w:rsid w:val="007D6DF5"/>
    <w:rsid w:val="007E687E"/>
    <w:rsid w:val="007F0EF4"/>
    <w:rsid w:val="007F7DCD"/>
    <w:rsid w:val="00801124"/>
    <w:rsid w:val="00813F87"/>
    <w:rsid w:val="0081741F"/>
    <w:rsid w:val="00823B02"/>
    <w:rsid w:val="0083215D"/>
    <w:rsid w:val="00834D25"/>
    <w:rsid w:val="008351C8"/>
    <w:rsid w:val="0086048D"/>
    <w:rsid w:val="00866508"/>
    <w:rsid w:val="00867767"/>
    <w:rsid w:val="00867E36"/>
    <w:rsid w:val="0087005B"/>
    <w:rsid w:val="00881D33"/>
    <w:rsid w:val="00882096"/>
    <w:rsid w:val="00883D6C"/>
    <w:rsid w:val="008943E7"/>
    <w:rsid w:val="008A5FDC"/>
    <w:rsid w:val="008B1777"/>
    <w:rsid w:val="008B532D"/>
    <w:rsid w:val="008C3682"/>
    <w:rsid w:val="008D24BC"/>
    <w:rsid w:val="008D3D39"/>
    <w:rsid w:val="008E54C8"/>
    <w:rsid w:val="008F4B8F"/>
    <w:rsid w:val="0090690C"/>
    <w:rsid w:val="00910F26"/>
    <w:rsid w:val="00911DB9"/>
    <w:rsid w:val="0096072E"/>
    <w:rsid w:val="009642D7"/>
    <w:rsid w:val="00967148"/>
    <w:rsid w:val="009701DD"/>
    <w:rsid w:val="00970A06"/>
    <w:rsid w:val="00977095"/>
    <w:rsid w:val="00990383"/>
    <w:rsid w:val="00992CAE"/>
    <w:rsid w:val="00996182"/>
    <w:rsid w:val="00996A16"/>
    <w:rsid w:val="009B1F42"/>
    <w:rsid w:val="009B6613"/>
    <w:rsid w:val="009B7D1B"/>
    <w:rsid w:val="009D1221"/>
    <w:rsid w:val="009E444C"/>
    <w:rsid w:val="009E7D9D"/>
    <w:rsid w:val="00A0140F"/>
    <w:rsid w:val="00A142B7"/>
    <w:rsid w:val="00A37027"/>
    <w:rsid w:val="00A47D4A"/>
    <w:rsid w:val="00A51C04"/>
    <w:rsid w:val="00A54F5B"/>
    <w:rsid w:val="00A55B9B"/>
    <w:rsid w:val="00A55D99"/>
    <w:rsid w:val="00A67FFB"/>
    <w:rsid w:val="00A81378"/>
    <w:rsid w:val="00A91D14"/>
    <w:rsid w:val="00AA17C0"/>
    <w:rsid w:val="00AA3378"/>
    <w:rsid w:val="00AB1678"/>
    <w:rsid w:val="00AC5170"/>
    <w:rsid w:val="00AC799A"/>
    <w:rsid w:val="00AD14A5"/>
    <w:rsid w:val="00AE09B6"/>
    <w:rsid w:val="00AE4640"/>
    <w:rsid w:val="00AF0A36"/>
    <w:rsid w:val="00AF67D4"/>
    <w:rsid w:val="00B26C15"/>
    <w:rsid w:val="00B3177F"/>
    <w:rsid w:val="00B31B92"/>
    <w:rsid w:val="00B36F54"/>
    <w:rsid w:val="00B428BE"/>
    <w:rsid w:val="00B4658E"/>
    <w:rsid w:val="00B630F2"/>
    <w:rsid w:val="00B75813"/>
    <w:rsid w:val="00B80F33"/>
    <w:rsid w:val="00BD72CD"/>
    <w:rsid w:val="00BE3144"/>
    <w:rsid w:val="00BE6FBD"/>
    <w:rsid w:val="00C14E9E"/>
    <w:rsid w:val="00C15790"/>
    <w:rsid w:val="00C43D8A"/>
    <w:rsid w:val="00C44D82"/>
    <w:rsid w:val="00C45F8A"/>
    <w:rsid w:val="00C47F29"/>
    <w:rsid w:val="00C51AFC"/>
    <w:rsid w:val="00C520CA"/>
    <w:rsid w:val="00C536E8"/>
    <w:rsid w:val="00C55A66"/>
    <w:rsid w:val="00C616DF"/>
    <w:rsid w:val="00C620F0"/>
    <w:rsid w:val="00C70B69"/>
    <w:rsid w:val="00C77916"/>
    <w:rsid w:val="00C802A5"/>
    <w:rsid w:val="00C82D2A"/>
    <w:rsid w:val="00C85429"/>
    <w:rsid w:val="00C94579"/>
    <w:rsid w:val="00C96321"/>
    <w:rsid w:val="00CA21ED"/>
    <w:rsid w:val="00CA458C"/>
    <w:rsid w:val="00CB0351"/>
    <w:rsid w:val="00CB2E3D"/>
    <w:rsid w:val="00CB39E1"/>
    <w:rsid w:val="00CD47B6"/>
    <w:rsid w:val="00CD7007"/>
    <w:rsid w:val="00CE51A0"/>
    <w:rsid w:val="00D02886"/>
    <w:rsid w:val="00D10427"/>
    <w:rsid w:val="00D12501"/>
    <w:rsid w:val="00D156E0"/>
    <w:rsid w:val="00D200E8"/>
    <w:rsid w:val="00D356A3"/>
    <w:rsid w:val="00D40819"/>
    <w:rsid w:val="00D641BC"/>
    <w:rsid w:val="00D6451F"/>
    <w:rsid w:val="00D64E65"/>
    <w:rsid w:val="00D64FC3"/>
    <w:rsid w:val="00D659C5"/>
    <w:rsid w:val="00D81F8F"/>
    <w:rsid w:val="00D84CB9"/>
    <w:rsid w:val="00D86239"/>
    <w:rsid w:val="00D95614"/>
    <w:rsid w:val="00DA0523"/>
    <w:rsid w:val="00DB011F"/>
    <w:rsid w:val="00DB12FA"/>
    <w:rsid w:val="00DB1A44"/>
    <w:rsid w:val="00DB77EA"/>
    <w:rsid w:val="00DC1470"/>
    <w:rsid w:val="00DD5682"/>
    <w:rsid w:val="00DE5133"/>
    <w:rsid w:val="00DE7B41"/>
    <w:rsid w:val="00E07942"/>
    <w:rsid w:val="00E27310"/>
    <w:rsid w:val="00E27DDA"/>
    <w:rsid w:val="00E545EA"/>
    <w:rsid w:val="00E661EE"/>
    <w:rsid w:val="00E736CB"/>
    <w:rsid w:val="00E8342B"/>
    <w:rsid w:val="00E93F86"/>
    <w:rsid w:val="00E961F9"/>
    <w:rsid w:val="00EA113C"/>
    <w:rsid w:val="00EC30F9"/>
    <w:rsid w:val="00EC3DF4"/>
    <w:rsid w:val="00EC7C34"/>
    <w:rsid w:val="00ED5B69"/>
    <w:rsid w:val="00EE10EC"/>
    <w:rsid w:val="00EE7EF0"/>
    <w:rsid w:val="00F04568"/>
    <w:rsid w:val="00F1284C"/>
    <w:rsid w:val="00F14E26"/>
    <w:rsid w:val="00F21E4C"/>
    <w:rsid w:val="00F25855"/>
    <w:rsid w:val="00F43565"/>
    <w:rsid w:val="00F43ADD"/>
    <w:rsid w:val="00F50679"/>
    <w:rsid w:val="00F5283F"/>
    <w:rsid w:val="00F53BED"/>
    <w:rsid w:val="00F56D2F"/>
    <w:rsid w:val="00F62253"/>
    <w:rsid w:val="00F64559"/>
    <w:rsid w:val="00F655EB"/>
    <w:rsid w:val="00F70E31"/>
    <w:rsid w:val="00F73407"/>
    <w:rsid w:val="00F74A3C"/>
    <w:rsid w:val="00F77A10"/>
    <w:rsid w:val="00F91C22"/>
    <w:rsid w:val="00FB2AFF"/>
    <w:rsid w:val="00FB43E0"/>
    <w:rsid w:val="00FC2754"/>
    <w:rsid w:val="00FC7FCC"/>
    <w:rsid w:val="00FD2D52"/>
    <w:rsid w:val="00FD3AA0"/>
    <w:rsid w:val="00FE00A5"/>
    <w:rsid w:val="00FF5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637E81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640"/>
    <w:pPr>
      <w:jc w:val="both"/>
    </w:pPr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3383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6543E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43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543E3"/>
    <w:rPr>
      <w:lang w:val="en-ZA"/>
    </w:rPr>
  </w:style>
  <w:style w:type="paragraph" w:styleId="CommentSubject">
    <w:name w:val="annotation subject"/>
    <w:basedOn w:val="CommentText"/>
    <w:next w:val="CommentText"/>
    <w:link w:val="CommentSubjectChar"/>
    <w:rsid w:val="006543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43E3"/>
    <w:rPr>
      <w:b/>
      <w:bCs/>
      <w:lang w:val="en-ZA"/>
    </w:rPr>
  </w:style>
  <w:style w:type="paragraph" w:customStyle="1" w:styleId="Default">
    <w:name w:val="Default"/>
    <w:rsid w:val="006543E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basedOn w:val="DefaultParagraphFont"/>
    <w:rsid w:val="007C65D9"/>
  </w:style>
  <w:style w:type="paragraph" w:customStyle="1" w:styleId="JUDGMENTNUMBERED">
    <w:name w:val="JUDGMENT NUMBERED"/>
    <w:basedOn w:val="Normal"/>
    <w:next w:val="Normal"/>
    <w:qFormat/>
    <w:rsid w:val="00AB1678"/>
    <w:pPr>
      <w:numPr>
        <w:numId w:val="2"/>
      </w:numPr>
      <w:spacing w:line="360" w:lineRule="auto"/>
    </w:pPr>
    <w:rPr>
      <w:rFonts w:eastAsia="Calibri"/>
      <w:sz w:val="26"/>
      <w:szCs w:val="22"/>
      <w:lang w:val="en-GB"/>
    </w:rPr>
  </w:style>
  <w:style w:type="paragraph" w:styleId="Header">
    <w:name w:val="header"/>
    <w:basedOn w:val="Normal"/>
    <w:link w:val="HeaderChar"/>
    <w:rsid w:val="002B53B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2B53B7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rsid w:val="002B53B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2B53B7"/>
    <w:rPr>
      <w:sz w:val="24"/>
      <w:szCs w:val="24"/>
      <w:lang w:eastAsia="en-US"/>
    </w:rPr>
  </w:style>
  <w:style w:type="paragraph" w:styleId="FootnoteText">
    <w:name w:val="footnote text"/>
    <w:basedOn w:val="Normal"/>
    <w:link w:val="FootnoteTextChar"/>
    <w:rsid w:val="009E44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9E444C"/>
    <w:rPr>
      <w:lang w:eastAsia="en-US"/>
    </w:rPr>
  </w:style>
  <w:style w:type="character" w:styleId="FootnoteReference">
    <w:name w:val="footnote reference"/>
    <w:aliases w:val="Footnote Reference + Superscript,Footnotes refss,Appel note de bas de page,Ref,de nota al pie,註腳內容,(NECG) Footnote Reference"/>
    <w:basedOn w:val="DefaultParagraphFont"/>
    <w:uiPriority w:val="99"/>
    <w:unhideWhenUsed/>
    <w:rsid w:val="009E444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640"/>
    <w:pPr>
      <w:jc w:val="both"/>
    </w:pPr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3383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6543E3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43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6543E3"/>
    <w:rPr>
      <w:lang w:val="en-ZA"/>
    </w:rPr>
  </w:style>
  <w:style w:type="paragraph" w:styleId="CommentSubject">
    <w:name w:val="annotation subject"/>
    <w:basedOn w:val="CommentText"/>
    <w:next w:val="CommentText"/>
    <w:link w:val="CommentSubjectChar"/>
    <w:rsid w:val="006543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43E3"/>
    <w:rPr>
      <w:b/>
      <w:bCs/>
      <w:lang w:val="en-ZA"/>
    </w:rPr>
  </w:style>
  <w:style w:type="paragraph" w:customStyle="1" w:styleId="Default">
    <w:name w:val="Default"/>
    <w:rsid w:val="006543E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basedOn w:val="DefaultParagraphFont"/>
    <w:rsid w:val="007C65D9"/>
  </w:style>
  <w:style w:type="paragraph" w:customStyle="1" w:styleId="JUDGMENTNUMBERED">
    <w:name w:val="JUDGMENT NUMBERED"/>
    <w:basedOn w:val="Normal"/>
    <w:next w:val="Normal"/>
    <w:qFormat/>
    <w:rsid w:val="00AB1678"/>
    <w:pPr>
      <w:numPr>
        <w:numId w:val="2"/>
      </w:numPr>
      <w:spacing w:line="360" w:lineRule="auto"/>
    </w:pPr>
    <w:rPr>
      <w:rFonts w:eastAsia="Calibri"/>
      <w:sz w:val="26"/>
      <w:szCs w:val="22"/>
      <w:lang w:val="en-GB"/>
    </w:rPr>
  </w:style>
  <w:style w:type="paragraph" w:styleId="Header">
    <w:name w:val="header"/>
    <w:basedOn w:val="Normal"/>
    <w:link w:val="HeaderChar"/>
    <w:rsid w:val="002B53B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2B53B7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rsid w:val="002B53B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2B53B7"/>
    <w:rPr>
      <w:sz w:val="24"/>
      <w:szCs w:val="24"/>
      <w:lang w:eastAsia="en-US"/>
    </w:rPr>
  </w:style>
  <w:style w:type="paragraph" w:styleId="FootnoteText">
    <w:name w:val="footnote text"/>
    <w:basedOn w:val="Normal"/>
    <w:link w:val="FootnoteTextChar"/>
    <w:rsid w:val="009E44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9E444C"/>
    <w:rPr>
      <w:lang w:eastAsia="en-US"/>
    </w:rPr>
  </w:style>
  <w:style w:type="character" w:styleId="FootnoteReference">
    <w:name w:val="footnote reference"/>
    <w:aliases w:val="Footnote Reference + Superscript,Footnotes refss,Appel note de bas de page,Ref,de nota al pie,註腳內容,(NECG) Footnote Reference"/>
    <w:basedOn w:val="DefaultParagraphFont"/>
    <w:uiPriority w:val="99"/>
    <w:unhideWhenUsed/>
    <w:rsid w:val="009E444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0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cid:image001.png@01CF121A.2263A8C0" TargetMode="External"/><Relationship Id="rId5" Type="http://schemas.microsoft.com/office/2007/relationships/stylesWithEffects" Target="stylesWithEffects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illay\Documents\Tiekiedraai\PRE-HEARING%20MEDIA%20SUMMARY%20Tiekiedraai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6701D0-354F-47C9-8D15-9C90512DE0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0B4368-69BF-4439-8803-68E6BAB390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PRE-HEARING MEDIA SUMMARY Tiekiedraai</Template>
  <TotalTime>0</TotalTime>
  <Pages>3</Pages>
  <Words>962</Words>
  <Characters>5486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CONSTITIONAL COURT OF SOUTH AFRICA</vt:lpstr>
    </vt:vector>
  </TitlesOfParts>
  <Company>Court</Company>
  <LinksUpToDate>false</LinksUpToDate>
  <CharactersWithSpaces>6436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CONSTITIONAL COURT OF SOUTH AFRICA</dc:title>
  <dc:creator>Dasantha Pillay</dc:creator>
  <cp:lastModifiedBy>Dasantha Pillay</cp:lastModifiedBy>
  <cp:revision>2</cp:revision>
  <cp:lastPrinted>2012-11-28T14:40:00Z</cp:lastPrinted>
  <dcterms:created xsi:type="dcterms:W3CDTF">2019-04-09T08:43:00Z</dcterms:created>
  <dcterms:modified xsi:type="dcterms:W3CDTF">2019-04-09T08:43:00Z</dcterms:modified>
</cp:coreProperties>
</file>