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5593" w:rsidRPr="0088258A" w:rsidRDefault="00205593" w:rsidP="00205593">
      <w:pPr>
        <w:pStyle w:val="Parties"/>
        <w:jc w:val="center"/>
        <w:rPr>
          <w:sz w:val="28"/>
          <w:szCs w:val="28"/>
        </w:rPr>
      </w:pPr>
      <w:r w:rsidRPr="0088258A">
        <w:rPr>
          <w:b/>
          <w:sz w:val="28"/>
          <w:szCs w:val="28"/>
        </w:rPr>
        <w:t>IN THE CONSTITUTIONAL COURT OF SOUTH AFRICA</w:t>
      </w:r>
    </w:p>
    <w:p w:rsidR="00205593" w:rsidRPr="0088258A" w:rsidRDefault="00205593" w:rsidP="00205593">
      <w:pPr>
        <w:pStyle w:val="Parties"/>
        <w:jc w:val="center"/>
        <w:rPr>
          <w:sz w:val="28"/>
          <w:szCs w:val="28"/>
        </w:rPr>
      </w:pPr>
    </w:p>
    <w:p w:rsidR="00205593" w:rsidRPr="0088258A" w:rsidRDefault="00205593" w:rsidP="00205593">
      <w:pPr>
        <w:pStyle w:val="Parties"/>
        <w:rPr>
          <w:sz w:val="28"/>
          <w:szCs w:val="28"/>
        </w:rPr>
      </w:pPr>
    </w:p>
    <w:p w:rsidR="00205593" w:rsidRPr="0088258A" w:rsidRDefault="00205593" w:rsidP="00205593">
      <w:pPr>
        <w:pStyle w:val="Parties"/>
        <w:jc w:val="right"/>
        <w:rPr>
          <w:sz w:val="28"/>
          <w:szCs w:val="28"/>
        </w:rPr>
      </w:pPr>
      <w:r w:rsidRPr="0088258A">
        <w:rPr>
          <w:sz w:val="28"/>
          <w:szCs w:val="28"/>
        </w:rPr>
        <w:t>CCT No: 107/18</w:t>
      </w:r>
    </w:p>
    <w:p w:rsidR="00205593" w:rsidRPr="0088258A" w:rsidRDefault="00205593" w:rsidP="00205593">
      <w:pPr>
        <w:pStyle w:val="Parties"/>
        <w:jc w:val="right"/>
        <w:rPr>
          <w:sz w:val="28"/>
          <w:szCs w:val="28"/>
        </w:rPr>
      </w:pPr>
      <w:r w:rsidRPr="0088258A">
        <w:rPr>
          <w:sz w:val="28"/>
          <w:szCs w:val="28"/>
        </w:rPr>
        <w:t>High Court Case No: 52883/2017</w:t>
      </w:r>
    </w:p>
    <w:p w:rsidR="00205593" w:rsidRPr="0088258A" w:rsidRDefault="00205593" w:rsidP="00205593">
      <w:pPr>
        <w:pStyle w:val="Parties"/>
        <w:rPr>
          <w:sz w:val="28"/>
          <w:szCs w:val="28"/>
        </w:rPr>
      </w:pPr>
    </w:p>
    <w:p w:rsidR="00205593" w:rsidRPr="0088258A" w:rsidRDefault="00205593" w:rsidP="00205593">
      <w:pPr>
        <w:pStyle w:val="Parties"/>
        <w:rPr>
          <w:sz w:val="28"/>
          <w:szCs w:val="28"/>
        </w:rPr>
      </w:pPr>
      <w:r w:rsidRPr="0088258A">
        <w:rPr>
          <w:sz w:val="28"/>
          <w:szCs w:val="28"/>
        </w:rPr>
        <w:t xml:space="preserve">In the matter </w:t>
      </w:r>
      <w:proofErr w:type="gramStart"/>
      <w:r w:rsidRPr="0088258A">
        <w:rPr>
          <w:sz w:val="28"/>
          <w:szCs w:val="28"/>
        </w:rPr>
        <w:t>between :</w:t>
      </w:r>
      <w:proofErr w:type="gramEnd"/>
    </w:p>
    <w:p w:rsidR="00205593" w:rsidRPr="0088258A" w:rsidRDefault="00205593" w:rsidP="00205593">
      <w:pPr>
        <w:pStyle w:val="Parties"/>
        <w:rPr>
          <w:sz w:val="28"/>
          <w:szCs w:val="28"/>
        </w:rPr>
      </w:pPr>
    </w:p>
    <w:p w:rsidR="00205593" w:rsidRPr="0088258A" w:rsidRDefault="00205593" w:rsidP="00205593">
      <w:pPr>
        <w:pStyle w:val="Parties"/>
        <w:rPr>
          <w:sz w:val="28"/>
          <w:szCs w:val="28"/>
        </w:rPr>
      </w:pPr>
    </w:p>
    <w:p w:rsidR="00205593" w:rsidRPr="0088258A" w:rsidRDefault="00205593" w:rsidP="00205593">
      <w:pPr>
        <w:pStyle w:val="Parties"/>
        <w:rPr>
          <w:sz w:val="28"/>
          <w:szCs w:val="28"/>
        </w:rPr>
      </w:pPr>
      <w:r w:rsidRPr="0088258A">
        <w:rPr>
          <w:b/>
          <w:sz w:val="28"/>
          <w:szCs w:val="28"/>
        </w:rPr>
        <w:t>PUBLIC PROTECTOR</w:t>
      </w:r>
      <w:r w:rsidRPr="0088258A">
        <w:rPr>
          <w:sz w:val="28"/>
          <w:szCs w:val="28"/>
        </w:rPr>
        <w:tab/>
        <w:t>Applicant</w:t>
      </w:r>
    </w:p>
    <w:p w:rsidR="00205593" w:rsidRPr="0088258A" w:rsidRDefault="00205593" w:rsidP="00205593">
      <w:pPr>
        <w:pStyle w:val="Parties"/>
        <w:rPr>
          <w:sz w:val="28"/>
          <w:szCs w:val="28"/>
        </w:rPr>
      </w:pPr>
    </w:p>
    <w:p w:rsidR="00205593" w:rsidRPr="0088258A" w:rsidRDefault="00205593" w:rsidP="00205593">
      <w:pPr>
        <w:pStyle w:val="Parties"/>
        <w:rPr>
          <w:sz w:val="28"/>
          <w:szCs w:val="28"/>
        </w:rPr>
      </w:pPr>
    </w:p>
    <w:p w:rsidR="00205593" w:rsidRPr="0088258A" w:rsidRDefault="00205593" w:rsidP="00205593">
      <w:pPr>
        <w:pStyle w:val="Parties"/>
        <w:rPr>
          <w:sz w:val="28"/>
          <w:szCs w:val="28"/>
        </w:rPr>
      </w:pPr>
      <w:proofErr w:type="gramStart"/>
      <w:r w:rsidRPr="0088258A">
        <w:rPr>
          <w:sz w:val="28"/>
          <w:szCs w:val="28"/>
        </w:rPr>
        <w:t>and</w:t>
      </w:r>
      <w:proofErr w:type="gramEnd"/>
    </w:p>
    <w:p w:rsidR="00205593" w:rsidRPr="0088258A" w:rsidRDefault="00205593" w:rsidP="00205593">
      <w:pPr>
        <w:pStyle w:val="Parties"/>
        <w:rPr>
          <w:sz w:val="28"/>
          <w:szCs w:val="28"/>
        </w:rPr>
      </w:pPr>
    </w:p>
    <w:p w:rsidR="00205593" w:rsidRPr="0088258A" w:rsidRDefault="00205593" w:rsidP="00205593">
      <w:pPr>
        <w:pStyle w:val="Parties"/>
        <w:rPr>
          <w:sz w:val="28"/>
          <w:szCs w:val="28"/>
        </w:rPr>
      </w:pPr>
    </w:p>
    <w:p w:rsidR="00205593" w:rsidRPr="0088258A" w:rsidRDefault="00205593" w:rsidP="00205593">
      <w:pPr>
        <w:pStyle w:val="Parties"/>
        <w:rPr>
          <w:sz w:val="28"/>
          <w:szCs w:val="28"/>
        </w:rPr>
      </w:pPr>
      <w:r w:rsidRPr="0088258A">
        <w:rPr>
          <w:b/>
          <w:sz w:val="28"/>
          <w:szCs w:val="28"/>
        </w:rPr>
        <w:t>SOUTH AFRICAN RESERVE BANK</w:t>
      </w:r>
      <w:r w:rsidRPr="0088258A">
        <w:rPr>
          <w:sz w:val="28"/>
          <w:szCs w:val="28"/>
        </w:rPr>
        <w:tab/>
        <w:t>Respondent</w:t>
      </w:r>
    </w:p>
    <w:p w:rsidR="00205593" w:rsidRPr="0088258A" w:rsidRDefault="00205593" w:rsidP="00205593">
      <w:pPr>
        <w:pStyle w:val="Parties"/>
        <w:rPr>
          <w:sz w:val="28"/>
          <w:szCs w:val="28"/>
        </w:rPr>
      </w:pPr>
    </w:p>
    <w:p w:rsidR="00205593" w:rsidRPr="0088258A" w:rsidRDefault="00205593" w:rsidP="00205593">
      <w:pPr>
        <w:pStyle w:val="Parties"/>
        <w:rPr>
          <w:sz w:val="28"/>
          <w:szCs w:val="28"/>
        </w:rPr>
      </w:pPr>
    </w:p>
    <w:p w:rsidR="00205593" w:rsidRPr="0088258A" w:rsidRDefault="00205593" w:rsidP="00205593">
      <w:pPr>
        <w:pStyle w:val="TramLine"/>
        <w:jc w:val="center"/>
        <w:rPr>
          <w:sz w:val="28"/>
          <w:szCs w:val="28"/>
        </w:rPr>
      </w:pPr>
      <w:r w:rsidRPr="0088258A">
        <w:rPr>
          <w:sz w:val="28"/>
          <w:szCs w:val="28"/>
        </w:rPr>
        <w:t>SOUTH AFRICAN RESERVE BANK’S</w:t>
      </w:r>
    </w:p>
    <w:p w:rsidR="00205593" w:rsidRPr="0088258A" w:rsidRDefault="00205593" w:rsidP="00205593">
      <w:pPr>
        <w:pStyle w:val="TramLine"/>
        <w:jc w:val="center"/>
        <w:rPr>
          <w:sz w:val="28"/>
          <w:szCs w:val="28"/>
        </w:rPr>
      </w:pPr>
      <w:r w:rsidRPr="0088258A">
        <w:rPr>
          <w:sz w:val="28"/>
          <w:szCs w:val="28"/>
        </w:rPr>
        <w:t>WRITTEN SUBMISSIONS IN</w:t>
      </w:r>
    </w:p>
    <w:p w:rsidR="00205593" w:rsidRPr="0088258A" w:rsidRDefault="00205593" w:rsidP="00205593">
      <w:pPr>
        <w:pStyle w:val="TramLine"/>
        <w:jc w:val="center"/>
        <w:rPr>
          <w:sz w:val="28"/>
          <w:szCs w:val="28"/>
        </w:rPr>
      </w:pPr>
    </w:p>
    <w:p w:rsidR="00205593" w:rsidRPr="0088258A" w:rsidRDefault="00205593" w:rsidP="00205593">
      <w:pPr>
        <w:pStyle w:val="TramLine"/>
        <w:jc w:val="center"/>
        <w:rPr>
          <w:sz w:val="28"/>
          <w:szCs w:val="28"/>
        </w:rPr>
      </w:pPr>
      <w:r w:rsidRPr="0088258A">
        <w:rPr>
          <w:sz w:val="28"/>
          <w:szCs w:val="28"/>
        </w:rPr>
        <w:t xml:space="preserve">THE APPLICATION FOR LEAVE TO APPEAL </w:t>
      </w:r>
    </w:p>
    <w:p w:rsidR="00205593" w:rsidRPr="0088258A" w:rsidRDefault="00205593" w:rsidP="00205593">
      <w:pPr>
        <w:pStyle w:val="TramLine"/>
        <w:jc w:val="center"/>
        <w:rPr>
          <w:sz w:val="28"/>
          <w:szCs w:val="28"/>
        </w:rPr>
      </w:pPr>
      <w:r w:rsidRPr="0088258A">
        <w:rPr>
          <w:sz w:val="28"/>
          <w:szCs w:val="28"/>
        </w:rPr>
        <w:t xml:space="preserve">AND </w:t>
      </w:r>
    </w:p>
    <w:p w:rsidR="00205593" w:rsidRPr="0088258A" w:rsidRDefault="00205593" w:rsidP="00205593">
      <w:pPr>
        <w:pStyle w:val="TramLine"/>
        <w:jc w:val="center"/>
        <w:rPr>
          <w:sz w:val="28"/>
          <w:szCs w:val="28"/>
        </w:rPr>
      </w:pPr>
      <w:r w:rsidRPr="0088258A">
        <w:rPr>
          <w:sz w:val="28"/>
          <w:szCs w:val="28"/>
        </w:rPr>
        <w:t>THE CONDITIONAL CROSS APPEAL</w:t>
      </w:r>
    </w:p>
    <w:p w:rsidR="00205593" w:rsidRPr="0088258A" w:rsidRDefault="00205593" w:rsidP="00205593">
      <w:pPr>
        <w:rPr>
          <w:sz w:val="28"/>
          <w:szCs w:val="28"/>
        </w:rPr>
      </w:pPr>
    </w:p>
    <w:p w:rsidR="00125B0E" w:rsidRPr="0088258A" w:rsidRDefault="00125B0E" w:rsidP="0077130F">
      <w:pPr>
        <w:spacing w:line="480" w:lineRule="auto"/>
        <w:jc w:val="both"/>
        <w:rPr>
          <w:sz w:val="28"/>
          <w:szCs w:val="28"/>
          <w:u w:val="single"/>
        </w:rPr>
      </w:pPr>
    </w:p>
    <w:p w:rsidR="00205593" w:rsidRPr="0088258A" w:rsidRDefault="002F72A2" w:rsidP="0077130F">
      <w:pPr>
        <w:spacing w:line="480" w:lineRule="auto"/>
        <w:jc w:val="both"/>
        <w:rPr>
          <w:b/>
          <w:sz w:val="28"/>
          <w:szCs w:val="28"/>
        </w:rPr>
      </w:pPr>
      <w:r w:rsidRPr="0088258A">
        <w:rPr>
          <w:sz w:val="28"/>
          <w:szCs w:val="28"/>
          <w:u w:val="single"/>
        </w:rPr>
        <w:br w:type="page"/>
      </w:r>
      <w:r w:rsidR="00205593" w:rsidRPr="0088258A">
        <w:rPr>
          <w:b/>
          <w:sz w:val="28"/>
          <w:szCs w:val="28"/>
        </w:rPr>
        <w:lastRenderedPageBreak/>
        <w:t>TABLE OF CONTENTS</w:t>
      </w:r>
    </w:p>
    <w:p w:rsidR="00205593" w:rsidRPr="00F7675E" w:rsidRDefault="00205593" w:rsidP="00F7675E">
      <w:pPr>
        <w:spacing w:line="360" w:lineRule="auto"/>
        <w:jc w:val="both"/>
        <w:rPr>
          <w:sz w:val="28"/>
          <w:szCs w:val="28"/>
        </w:rPr>
      </w:pPr>
    </w:p>
    <w:p w:rsidR="00F7675E" w:rsidRPr="00FC6FA7" w:rsidRDefault="00F7675E" w:rsidP="00F7675E">
      <w:pPr>
        <w:pStyle w:val="TOC1"/>
        <w:tabs>
          <w:tab w:val="right" w:leader="dot" w:pos="9350"/>
        </w:tabs>
        <w:spacing w:line="360" w:lineRule="auto"/>
        <w:rPr>
          <w:rFonts w:ascii="Calibri" w:hAnsi="Calibri"/>
          <w:b w:val="0"/>
          <w:noProof/>
          <w:sz w:val="28"/>
          <w:szCs w:val="28"/>
          <w:lang w:val="en-US"/>
        </w:rPr>
      </w:pPr>
      <w:r w:rsidRPr="00F7675E">
        <w:rPr>
          <w:sz w:val="28"/>
          <w:szCs w:val="28"/>
        </w:rPr>
        <w:fldChar w:fldCharType="begin"/>
      </w:r>
      <w:r w:rsidRPr="00F7675E">
        <w:rPr>
          <w:sz w:val="28"/>
          <w:szCs w:val="28"/>
        </w:rPr>
        <w:instrText xml:space="preserve"> TOC \o "1-4" </w:instrText>
      </w:r>
      <w:r w:rsidRPr="00F7675E">
        <w:rPr>
          <w:sz w:val="28"/>
          <w:szCs w:val="28"/>
        </w:rPr>
        <w:fldChar w:fldCharType="separate"/>
      </w:r>
      <w:r w:rsidRPr="00F7675E">
        <w:rPr>
          <w:noProof/>
          <w:sz w:val="28"/>
          <w:szCs w:val="28"/>
        </w:rPr>
        <w:t>INTRODUCTION</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_Toc524934229 \h </w:instrText>
      </w:r>
      <w:r w:rsidRPr="00F7675E">
        <w:rPr>
          <w:noProof/>
          <w:sz w:val="28"/>
          <w:szCs w:val="28"/>
        </w:rPr>
      </w:r>
      <w:r w:rsidRPr="00F7675E">
        <w:rPr>
          <w:noProof/>
          <w:sz w:val="28"/>
          <w:szCs w:val="28"/>
        </w:rPr>
        <w:fldChar w:fldCharType="separate"/>
      </w:r>
      <w:r w:rsidR="00296242">
        <w:rPr>
          <w:noProof/>
          <w:sz w:val="28"/>
          <w:szCs w:val="28"/>
        </w:rPr>
        <w:t>3</w:t>
      </w:r>
      <w:r w:rsidRPr="00F7675E">
        <w:rPr>
          <w:noProof/>
          <w:sz w:val="28"/>
          <w:szCs w:val="28"/>
        </w:rPr>
        <w:fldChar w:fldCharType="end"/>
      </w:r>
    </w:p>
    <w:p w:rsidR="00F7675E" w:rsidRPr="00FC6FA7" w:rsidRDefault="00F7675E" w:rsidP="00F7675E">
      <w:pPr>
        <w:pStyle w:val="TOC1"/>
        <w:tabs>
          <w:tab w:val="right" w:leader="dot" w:pos="9350"/>
        </w:tabs>
        <w:spacing w:line="360" w:lineRule="auto"/>
        <w:rPr>
          <w:rFonts w:ascii="Calibri" w:hAnsi="Calibri"/>
          <w:b w:val="0"/>
          <w:noProof/>
          <w:sz w:val="28"/>
          <w:szCs w:val="28"/>
          <w:lang w:val="en-US"/>
        </w:rPr>
      </w:pPr>
      <w:r w:rsidRPr="00F7675E">
        <w:rPr>
          <w:noProof/>
          <w:sz w:val="28"/>
          <w:szCs w:val="28"/>
        </w:rPr>
        <w:t>THE PERSONAL COSTS ORDER</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_Toc524934230 \h </w:instrText>
      </w:r>
      <w:r w:rsidRPr="00F7675E">
        <w:rPr>
          <w:noProof/>
          <w:sz w:val="28"/>
          <w:szCs w:val="28"/>
        </w:rPr>
      </w:r>
      <w:r w:rsidRPr="00F7675E">
        <w:rPr>
          <w:noProof/>
          <w:sz w:val="28"/>
          <w:szCs w:val="28"/>
        </w:rPr>
        <w:fldChar w:fldCharType="separate"/>
      </w:r>
      <w:r w:rsidR="00296242">
        <w:rPr>
          <w:noProof/>
          <w:sz w:val="28"/>
          <w:szCs w:val="28"/>
        </w:rPr>
        <w:t>7</w:t>
      </w:r>
      <w:r w:rsidRPr="00F7675E">
        <w:rPr>
          <w:noProof/>
          <w:sz w:val="28"/>
          <w:szCs w:val="28"/>
        </w:rPr>
        <w:fldChar w:fldCharType="end"/>
      </w:r>
    </w:p>
    <w:p w:rsidR="00F7675E" w:rsidRPr="00FC6FA7" w:rsidRDefault="00F7675E" w:rsidP="00F7675E">
      <w:pPr>
        <w:pStyle w:val="TOC2"/>
        <w:tabs>
          <w:tab w:val="right" w:leader="dot" w:pos="9350"/>
        </w:tabs>
        <w:spacing w:line="360" w:lineRule="auto"/>
        <w:rPr>
          <w:rFonts w:ascii="Calibri" w:hAnsi="Calibri"/>
          <w:b w:val="0"/>
          <w:noProof/>
          <w:sz w:val="28"/>
          <w:szCs w:val="28"/>
          <w:lang w:val="en-US"/>
        </w:rPr>
      </w:pPr>
      <w:r w:rsidRPr="00F7675E">
        <w:rPr>
          <w:noProof/>
          <w:sz w:val="28"/>
          <w:szCs w:val="28"/>
        </w:rPr>
        <w:t>The Legal Principles</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_Toc524934231 \h </w:instrText>
      </w:r>
      <w:r w:rsidRPr="00F7675E">
        <w:rPr>
          <w:noProof/>
          <w:sz w:val="28"/>
          <w:szCs w:val="28"/>
        </w:rPr>
      </w:r>
      <w:r w:rsidRPr="00F7675E">
        <w:rPr>
          <w:noProof/>
          <w:sz w:val="28"/>
          <w:szCs w:val="28"/>
        </w:rPr>
        <w:fldChar w:fldCharType="separate"/>
      </w:r>
      <w:r w:rsidR="00296242">
        <w:rPr>
          <w:noProof/>
          <w:sz w:val="28"/>
          <w:szCs w:val="28"/>
        </w:rPr>
        <w:t>7</w:t>
      </w:r>
      <w:r w:rsidRPr="00F7675E">
        <w:rPr>
          <w:noProof/>
          <w:sz w:val="28"/>
          <w:szCs w:val="28"/>
        </w:rPr>
        <w:fldChar w:fldCharType="end"/>
      </w:r>
    </w:p>
    <w:p w:rsidR="00F7675E" w:rsidRPr="00FC6FA7" w:rsidRDefault="00F7675E" w:rsidP="00F7675E">
      <w:pPr>
        <w:pStyle w:val="TOC2"/>
        <w:tabs>
          <w:tab w:val="right" w:leader="dot" w:pos="9350"/>
        </w:tabs>
        <w:spacing w:line="360" w:lineRule="auto"/>
        <w:rPr>
          <w:rFonts w:ascii="Calibri" w:hAnsi="Calibri"/>
          <w:b w:val="0"/>
          <w:noProof/>
          <w:sz w:val="28"/>
          <w:szCs w:val="28"/>
          <w:lang w:val="en-US"/>
        </w:rPr>
      </w:pPr>
      <w:r w:rsidRPr="00F7675E">
        <w:rPr>
          <w:noProof/>
          <w:sz w:val="28"/>
          <w:szCs w:val="28"/>
          <w:lang w:val="en-US"/>
        </w:rPr>
        <w:t>The Public Protector’s conduct</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_Toc524934232 \h </w:instrText>
      </w:r>
      <w:r w:rsidRPr="00F7675E">
        <w:rPr>
          <w:noProof/>
          <w:sz w:val="28"/>
          <w:szCs w:val="28"/>
        </w:rPr>
      </w:r>
      <w:r w:rsidRPr="00F7675E">
        <w:rPr>
          <w:noProof/>
          <w:sz w:val="28"/>
          <w:szCs w:val="28"/>
        </w:rPr>
        <w:fldChar w:fldCharType="separate"/>
      </w:r>
      <w:r w:rsidR="00296242">
        <w:rPr>
          <w:noProof/>
          <w:sz w:val="28"/>
          <w:szCs w:val="28"/>
        </w:rPr>
        <w:t>13</w:t>
      </w:r>
      <w:r w:rsidRPr="00F7675E">
        <w:rPr>
          <w:noProof/>
          <w:sz w:val="28"/>
          <w:szCs w:val="28"/>
        </w:rPr>
        <w:fldChar w:fldCharType="end"/>
      </w:r>
    </w:p>
    <w:p w:rsidR="00F7675E" w:rsidRPr="00FC6FA7" w:rsidRDefault="00F7675E" w:rsidP="00F7675E">
      <w:pPr>
        <w:pStyle w:val="TOC3"/>
        <w:tabs>
          <w:tab w:val="right" w:leader="dot" w:pos="9350"/>
        </w:tabs>
        <w:spacing w:line="360" w:lineRule="auto"/>
        <w:rPr>
          <w:rFonts w:ascii="Calibri" w:hAnsi="Calibri"/>
          <w:i w:val="0"/>
          <w:noProof/>
          <w:sz w:val="28"/>
          <w:szCs w:val="28"/>
          <w:lang w:val="en-US"/>
        </w:rPr>
      </w:pPr>
      <w:r w:rsidRPr="00F7675E">
        <w:rPr>
          <w:noProof/>
          <w:sz w:val="28"/>
          <w:szCs w:val="28"/>
          <w:lang w:val="en-US"/>
        </w:rPr>
        <w:t>The first duty – the record</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_Toc524934233 \h </w:instrText>
      </w:r>
      <w:r w:rsidRPr="00F7675E">
        <w:rPr>
          <w:noProof/>
          <w:sz w:val="28"/>
          <w:szCs w:val="28"/>
        </w:rPr>
      </w:r>
      <w:r w:rsidRPr="00F7675E">
        <w:rPr>
          <w:noProof/>
          <w:sz w:val="28"/>
          <w:szCs w:val="28"/>
        </w:rPr>
        <w:fldChar w:fldCharType="separate"/>
      </w:r>
      <w:r w:rsidR="00296242">
        <w:rPr>
          <w:noProof/>
          <w:sz w:val="28"/>
          <w:szCs w:val="28"/>
        </w:rPr>
        <w:t>13</w:t>
      </w:r>
      <w:r w:rsidRPr="00F7675E">
        <w:rPr>
          <w:noProof/>
          <w:sz w:val="28"/>
          <w:szCs w:val="28"/>
        </w:rPr>
        <w:fldChar w:fldCharType="end"/>
      </w:r>
    </w:p>
    <w:p w:rsidR="00F7675E" w:rsidRPr="00FC6FA7" w:rsidRDefault="00F7675E" w:rsidP="00F7675E">
      <w:pPr>
        <w:pStyle w:val="TOC3"/>
        <w:tabs>
          <w:tab w:val="right" w:leader="dot" w:pos="9350"/>
        </w:tabs>
        <w:spacing w:line="360" w:lineRule="auto"/>
        <w:rPr>
          <w:rFonts w:ascii="Calibri" w:hAnsi="Calibri"/>
          <w:i w:val="0"/>
          <w:noProof/>
          <w:sz w:val="28"/>
          <w:szCs w:val="28"/>
          <w:lang w:val="en-US"/>
        </w:rPr>
      </w:pPr>
      <w:r w:rsidRPr="00F7675E">
        <w:rPr>
          <w:noProof/>
          <w:sz w:val="28"/>
          <w:szCs w:val="28"/>
          <w:lang w:val="en-US"/>
        </w:rPr>
        <w:t>The second duty – a frank and candid account of the impugned conduct</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_Toc524934234 \h </w:instrText>
      </w:r>
      <w:r w:rsidRPr="00F7675E">
        <w:rPr>
          <w:noProof/>
          <w:sz w:val="28"/>
          <w:szCs w:val="28"/>
        </w:rPr>
      </w:r>
      <w:r w:rsidRPr="00F7675E">
        <w:rPr>
          <w:noProof/>
          <w:sz w:val="28"/>
          <w:szCs w:val="28"/>
        </w:rPr>
        <w:fldChar w:fldCharType="separate"/>
      </w:r>
      <w:r w:rsidR="00296242">
        <w:rPr>
          <w:noProof/>
          <w:sz w:val="28"/>
          <w:szCs w:val="28"/>
        </w:rPr>
        <w:t>15</w:t>
      </w:r>
      <w:r w:rsidRPr="00F7675E">
        <w:rPr>
          <w:noProof/>
          <w:sz w:val="28"/>
          <w:szCs w:val="28"/>
        </w:rPr>
        <w:fldChar w:fldCharType="end"/>
      </w:r>
    </w:p>
    <w:p w:rsidR="00F7675E" w:rsidRPr="00FC6FA7" w:rsidRDefault="00F7675E" w:rsidP="00F7675E">
      <w:pPr>
        <w:pStyle w:val="TOC3"/>
        <w:tabs>
          <w:tab w:val="right" w:leader="dot" w:pos="9350"/>
        </w:tabs>
        <w:spacing w:line="360" w:lineRule="auto"/>
        <w:rPr>
          <w:rFonts w:ascii="Calibri" w:hAnsi="Calibri"/>
          <w:i w:val="0"/>
          <w:noProof/>
          <w:sz w:val="28"/>
          <w:szCs w:val="28"/>
          <w:lang w:val="en-US"/>
        </w:rPr>
      </w:pPr>
      <w:r w:rsidRPr="00F7675E">
        <w:rPr>
          <w:noProof/>
          <w:sz w:val="28"/>
          <w:szCs w:val="28"/>
          <w:lang w:val="en-US"/>
        </w:rPr>
        <w:t>The explanation in this Court</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_Toc524934235 \h </w:instrText>
      </w:r>
      <w:r w:rsidRPr="00F7675E">
        <w:rPr>
          <w:noProof/>
          <w:sz w:val="28"/>
          <w:szCs w:val="28"/>
        </w:rPr>
      </w:r>
      <w:r w:rsidRPr="00F7675E">
        <w:rPr>
          <w:noProof/>
          <w:sz w:val="28"/>
          <w:szCs w:val="28"/>
        </w:rPr>
        <w:fldChar w:fldCharType="separate"/>
      </w:r>
      <w:r w:rsidR="00296242">
        <w:rPr>
          <w:noProof/>
          <w:sz w:val="28"/>
          <w:szCs w:val="28"/>
        </w:rPr>
        <w:t>24</w:t>
      </w:r>
      <w:r w:rsidRPr="00F7675E">
        <w:rPr>
          <w:noProof/>
          <w:sz w:val="28"/>
          <w:szCs w:val="28"/>
        </w:rPr>
        <w:fldChar w:fldCharType="end"/>
      </w:r>
    </w:p>
    <w:p w:rsidR="00F7675E" w:rsidRPr="00FC6FA7" w:rsidRDefault="00F7675E" w:rsidP="00F7675E">
      <w:pPr>
        <w:pStyle w:val="TOC4"/>
        <w:tabs>
          <w:tab w:val="right" w:leader="dot" w:pos="9350"/>
        </w:tabs>
        <w:spacing w:line="360" w:lineRule="auto"/>
        <w:rPr>
          <w:rFonts w:ascii="Calibri" w:hAnsi="Calibri"/>
          <w:noProof/>
          <w:sz w:val="28"/>
          <w:szCs w:val="28"/>
          <w:lang w:val="en-US"/>
        </w:rPr>
      </w:pPr>
      <w:r w:rsidRPr="00F7675E">
        <w:rPr>
          <w:noProof/>
          <w:sz w:val="28"/>
          <w:szCs w:val="28"/>
          <w:lang w:val="en-US"/>
        </w:rPr>
        <w:t>The meetings with the Presidency and the State Security Agency</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_Toc524934236 \h </w:instrText>
      </w:r>
      <w:r w:rsidRPr="00F7675E">
        <w:rPr>
          <w:noProof/>
          <w:sz w:val="28"/>
          <w:szCs w:val="28"/>
        </w:rPr>
      </w:r>
      <w:r w:rsidRPr="00F7675E">
        <w:rPr>
          <w:noProof/>
          <w:sz w:val="28"/>
          <w:szCs w:val="28"/>
        </w:rPr>
        <w:fldChar w:fldCharType="separate"/>
      </w:r>
      <w:r w:rsidR="00296242">
        <w:rPr>
          <w:noProof/>
          <w:sz w:val="28"/>
          <w:szCs w:val="28"/>
        </w:rPr>
        <w:t>25</w:t>
      </w:r>
      <w:r w:rsidRPr="00F7675E">
        <w:rPr>
          <w:noProof/>
          <w:sz w:val="28"/>
          <w:szCs w:val="28"/>
        </w:rPr>
        <w:fldChar w:fldCharType="end"/>
      </w:r>
    </w:p>
    <w:p w:rsidR="00F7675E" w:rsidRPr="00FC6FA7" w:rsidRDefault="00F7675E" w:rsidP="00F7675E">
      <w:pPr>
        <w:pStyle w:val="TOC4"/>
        <w:tabs>
          <w:tab w:val="right" w:leader="dot" w:pos="9350"/>
        </w:tabs>
        <w:spacing w:line="360" w:lineRule="auto"/>
        <w:rPr>
          <w:rFonts w:ascii="Calibri" w:hAnsi="Calibri"/>
          <w:noProof/>
          <w:sz w:val="28"/>
          <w:szCs w:val="28"/>
          <w:lang w:val="en-US"/>
        </w:rPr>
      </w:pPr>
      <w:r w:rsidRPr="00F7675E">
        <w:rPr>
          <w:noProof/>
          <w:sz w:val="28"/>
          <w:szCs w:val="28"/>
        </w:rPr>
        <w:t>Dr Mokoka’s involvement</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_Toc524934237 \h </w:instrText>
      </w:r>
      <w:r w:rsidRPr="00F7675E">
        <w:rPr>
          <w:noProof/>
          <w:sz w:val="28"/>
          <w:szCs w:val="28"/>
        </w:rPr>
      </w:r>
      <w:r w:rsidRPr="00F7675E">
        <w:rPr>
          <w:noProof/>
          <w:sz w:val="28"/>
          <w:szCs w:val="28"/>
        </w:rPr>
        <w:fldChar w:fldCharType="separate"/>
      </w:r>
      <w:r w:rsidR="00296242">
        <w:rPr>
          <w:noProof/>
          <w:sz w:val="28"/>
          <w:szCs w:val="28"/>
        </w:rPr>
        <w:t>34</w:t>
      </w:r>
      <w:r w:rsidRPr="00F7675E">
        <w:rPr>
          <w:noProof/>
          <w:sz w:val="28"/>
          <w:szCs w:val="28"/>
        </w:rPr>
        <w:fldChar w:fldCharType="end"/>
      </w:r>
    </w:p>
    <w:p w:rsidR="00F7675E" w:rsidRPr="00FC6FA7" w:rsidRDefault="00F7675E" w:rsidP="00F7675E">
      <w:pPr>
        <w:pStyle w:val="TOC3"/>
        <w:tabs>
          <w:tab w:val="right" w:leader="dot" w:pos="9350"/>
        </w:tabs>
        <w:spacing w:line="360" w:lineRule="auto"/>
        <w:rPr>
          <w:rFonts w:ascii="Calibri" w:hAnsi="Calibri"/>
          <w:i w:val="0"/>
          <w:noProof/>
          <w:sz w:val="28"/>
          <w:szCs w:val="28"/>
          <w:lang w:val="en-US"/>
        </w:rPr>
      </w:pPr>
      <w:r w:rsidRPr="00F7675E">
        <w:rPr>
          <w:noProof/>
          <w:sz w:val="28"/>
          <w:szCs w:val="28"/>
        </w:rPr>
        <w:t>The third duty – not to pursue a meritless appeal</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_Toc524934238 \h </w:instrText>
      </w:r>
      <w:r w:rsidRPr="00F7675E">
        <w:rPr>
          <w:noProof/>
          <w:sz w:val="28"/>
          <w:szCs w:val="28"/>
        </w:rPr>
      </w:r>
      <w:r w:rsidRPr="00F7675E">
        <w:rPr>
          <w:noProof/>
          <w:sz w:val="28"/>
          <w:szCs w:val="28"/>
        </w:rPr>
        <w:fldChar w:fldCharType="separate"/>
      </w:r>
      <w:r w:rsidR="00296242">
        <w:rPr>
          <w:noProof/>
          <w:sz w:val="28"/>
          <w:szCs w:val="28"/>
        </w:rPr>
        <w:t>36</w:t>
      </w:r>
      <w:r w:rsidRPr="00F7675E">
        <w:rPr>
          <w:noProof/>
          <w:sz w:val="28"/>
          <w:szCs w:val="28"/>
        </w:rPr>
        <w:fldChar w:fldCharType="end"/>
      </w:r>
    </w:p>
    <w:p w:rsidR="00F7675E" w:rsidRPr="00FC6FA7" w:rsidRDefault="00F7675E" w:rsidP="00F7675E">
      <w:pPr>
        <w:pStyle w:val="TOC2"/>
        <w:tabs>
          <w:tab w:val="right" w:leader="dot" w:pos="9350"/>
        </w:tabs>
        <w:spacing w:line="360" w:lineRule="auto"/>
        <w:rPr>
          <w:rFonts w:ascii="Calibri" w:hAnsi="Calibri"/>
          <w:b w:val="0"/>
          <w:noProof/>
          <w:sz w:val="28"/>
          <w:szCs w:val="28"/>
          <w:lang w:val="en-US"/>
        </w:rPr>
      </w:pPr>
      <w:r w:rsidRPr="00F7675E">
        <w:rPr>
          <w:noProof/>
          <w:sz w:val="28"/>
          <w:szCs w:val="28"/>
        </w:rPr>
        <w:t>Conclusion</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_Toc524934239 \h </w:instrText>
      </w:r>
      <w:r w:rsidRPr="00F7675E">
        <w:rPr>
          <w:noProof/>
          <w:sz w:val="28"/>
          <w:szCs w:val="28"/>
        </w:rPr>
      </w:r>
      <w:r w:rsidRPr="00F7675E">
        <w:rPr>
          <w:noProof/>
          <w:sz w:val="28"/>
          <w:szCs w:val="28"/>
        </w:rPr>
        <w:fldChar w:fldCharType="separate"/>
      </w:r>
      <w:r w:rsidR="00296242">
        <w:rPr>
          <w:noProof/>
          <w:sz w:val="28"/>
          <w:szCs w:val="28"/>
        </w:rPr>
        <w:t>38</w:t>
      </w:r>
      <w:r w:rsidRPr="00F7675E">
        <w:rPr>
          <w:noProof/>
          <w:sz w:val="28"/>
          <w:szCs w:val="28"/>
        </w:rPr>
        <w:fldChar w:fldCharType="end"/>
      </w:r>
    </w:p>
    <w:p w:rsidR="00F7675E" w:rsidRPr="00FC6FA7" w:rsidRDefault="00F7675E" w:rsidP="00F7675E">
      <w:pPr>
        <w:pStyle w:val="TOC1"/>
        <w:tabs>
          <w:tab w:val="right" w:leader="dot" w:pos="9350"/>
        </w:tabs>
        <w:spacing w:line="360" w:lineRule="auto"/>
        <w:rPr>
          <w:rFonts w:ascii="Calibri" w:hAnsi="Calibri"/>
          <w:b w:val="0"/>
          <w:noProof/>
          <w:sz w:val="28"/>
          <w:szCs w:val="28"/>
          <w:lang w:val="en-US"/>
        </w:rPr>
      </w:pPr>
      <w:r w:rsidRPr="00F7675E">
        <w:rPr>
          <w:noProof/>
          <w:sz w:val="28"/>
          <w:szCs w:val="28"/>
        </w:rPr>
        <w:t>THE CROSS APPEAL</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_Toc524934240 \h </w:instrText>
      </w:r>
      <w:r w:rsidRPr="00F7675E">
        <w:rPr>
          <w:noProof/>
          <w:sz w:val="28"/>
          <w:szCs w:val="28"/>
        </w:rPr>
      </w:r>
      <w:r w:rsidRPr="00F7675E">
        <w:rPr>
          <w:noProof/>
          <w:sz w:val="28"/>
          <w:szCs w:val="28"/>
        </w:rPr>
        <w:fldChar w:fldCharType="separate"/>
      </w:r>
      <w:r w:rsidR="00296242">
        <w:rPr>
          <w:noProof/>
          <w:sz w:val="28"/>
          <w:szCs w:val="28"/>
        </w:rPr>
        <w:t>40</w:t>
      </w:r>
      <w:r w:rsidRPr="00F7675E">
        <w:rPr>
          <w:noProof/>
          <w:sz w:val="28"/>
          <w:szCs w:val="28"/>
        </w:rPr>
        <w:fldChar w:fldCharType="end"/>
      </w:r>
    </w:p>
    <w:p w:rsidR="00F7675E" w:rsidRPr="00FC6FA7" w:rsidRDefault="00F7675E" w:rsidP="00F7675E">
      <w:pPr>
        <w:pStyle w:val="TOC2"/>
        <w:tabs>
          <w:tab w:val="right" w:leader="dot" w:pos="9350"/>
        </w:tabs>
        <w:spacing w:line="360" w:lineRule="auto"/>
        <w:rPr>
          <w:rFonts w:ascii="Calibri" w:hAnsi="Calibri"/>
          <w:b w:val="0"/>
          <w:noProof/>
          <w:sz w:val="28"/>
          <w:szCs w:val="28"/>
          <w:lang w:val="en-US"/>
        </w:rPr>
      </w:pPr>
      <w:r w:rsidRPr="00F7675E">
        <w:rPr>
          <w:noProof/>
          <w:sz w:val="28"/>
          <w:szCs w:val="28"/>
        </w:rPr>
        <w:t>The procedural point</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_Toc524934241 \h </w:instrText>
      </w:r>
      <w:r w:rsidRPr="00F7675E">
        <w:rPr>
          <w:noProof/>
          <w:sz w:val="28"/>
          <w:szCs w:val="28"/>
        </w:rPr>
      </w:r>
      <w:r w:rsidRPr="00F7675E">
        <w:rPr>
          <w:noProof/>
          <w:sz w:val="28"/>
          <w:szCs w:val="28"/>
        </w:rPr>
        <w:fldChar w:fldCharType="separate"/>
      </w:r>
      <w:r w:rsidR="00296242">
        <w:rPr>
          <w:noProof/>
          <w:sz w:val="28"/>
          <w:szCs w:val="28"/>
        </w:rPr>
        <w:t>41</w:t>
      </w:r>
      <w:r w:rsidRPr="00F7675E">
        <w:rPr>
          <w:noProof/>
          <w:sz w:val="28"/>
          <w:szCs w:val="28"/>
        </w:rPr>
        <w:fldChar w:fldCharType="end"/>
      </w:r>
    </w:p>
    <w:p w:rsidR="00F7675E" w:rsidRPr="00FC6FA7" w:rsidRDefault="00F7675E" w:rsidP="00F7675E">
      <w:pPr>
        <w:pStyle w:val="TOC2"/>
        <w:tabs>
          <w:tab w:val="right" w:leader="dot" w:pos="9350"/>
        </w:tabs>
        <w:spacing w:line="360" w:lineRule="auto"/>
        <w:rPr>
          <w:rFonts w:ascii="Calibri" w:hAnsi="Calibri"/>
          <w:b w:val="0"/>
          <w:noProof/>
          <w:sz w:val="28"/>
          <w:szCs w:val="28"/>
          <w:lang w:val="en-US"/>
        </w:rPr>
      </w:pPr>
      <w:r w:rsidRPr="00F7675E">
        <w:rPr>
          <w:noProof/>
          <w:sz w:val="28"/>
          <w:szCs w:val="28"/>
        </w:rPr>
        <w:t>The merits</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_Toc524934242 \h </w:instrText>
      </w:r>
      <w:r w:rsidRPr="00F7675E">
        <w:rPr>
          <w:noProof/>
          <w:sz w:val="28"/>
          <w:szCs w:val="28"/>
        </w:rPr>
      </w:r>
      <w:r w:rsidRPr="00F7675E">
        <w:rPr>
          <w:noProof/>
          <w:sz w:val="28"/>
          <w:szCs w:val="28"/>
        </w:rPr>
        <w:fldChar w:fldCharType="separate"/>
      </w:r>
      <w:r w:rsidR="00296242">
        <w:rPr>
          <w:noProof/>
          <w:sz w:val="28"/>
          <w:szCs w:val="28"/>
        </w:rPr>
        <w:t>43</w:t>
      </w:r>
      <w:r w:rsidRPr="00F7675E">
        <w:rPr>
          <w:noProof/>
          <w:sz w:val="28"/>
          <w:szCs w:val="28"/>
        </w:rPr>
        <w:fldChar w:fldCharType="end"/>
      </w:r>
    </w:p>
    <w:p w:rsidR="00F7675E" w:rsidRPr="00FC6FA7" w:rsidRDefault="00F7675E" w:rsidP="00F7675E">
      <w:pPr>
        <w:pStyle w:val="TOC1"/>
        <w:tabs>
          <w:tab w:val="right" w:leader="dot" w:pos="9350"/>
        </w:tabs>
        <w:spacing w:line="360" w:lineRule="auto"/>
        <w:rPr>
          <w:rFonts w:ascii="Calibri" w:hAnsi="Calibri"/>
          <w:b w:val="0"/>
          <w:noProof/>
          <w:sz w:val="28"/>
          <w:szCs w:val="28"/>
          <w:lang w:val="en-US"/>
        </w:rPr>
      </w:pPr>
      <w:r w:rsidRPr="00F7675E">
        <w:rPr>
          <w:noProof/>
          <w:sz w:val="28"/>
          <w:szCs w:val="28"/>
        </w:rPr>
        <w:t>REMEDY</w:t>
      </w:r>
      <w:r w:rsidRPr="00F7675E">
        <w:rPr>
          <w:noProof/>
          <w:sz w:val="28"/>
          <w:szCs w:val="28"/>
        </w:rPr>
        <w:tab/>
      </w:r>
      <w:r w:rsidRPr="00F7675E">
        <w:rPr>
          <w:noProof/>
          <w:sz w:val="28"/>
          <w:szCs w:val="28"/>
        </w:rPr>
        <w:fldChar w:fldCharType="begin"/>
      </w:r>
      <w:r w:rsidRPr="00F7675E">
        <w:rPr>
          <w:noProof/>
          <w:sz w:val="28"/>
          <w:szCs w:val="28"/>
        </w:rPr>
        <w:instrText xml:space="preserve"> PAGEREF _Toc524934243 \h </w:instrText>
      </w:r>
      <w:r w:rsidRPr="00F7675E">
        <w:rPr>
          <w:noProof/>
          <w:sz w:val="28"/>
          <w:szCs w:val="28"/>
        </w:rPr>
      </w:r>
      <w:r w:rsidRPr="00F7675E">
        <w:rPr>
          <w:noProof/>
          <w:sz w:val="28"/>
          <w:szCs w:val="28"/>
        </w:rPr>
        <w:fldChar w:fldCharType="separate"/>
      </w:r>
      <w:r w:rsidR="00296242">
        <w:rPr>
          <w:noProof/>
          <w:sz w:val="28"/>
          <w:szCs w:val="28"/>
        </w:rPr>
        <w:t>48</w:t>
      </w:r>
      <w:r w:rsidRPr="00F7675E">
        <w:rPr>
          <w:noProof/>
          <w:sz w:val="28"/>
          <w:szCs w:val="28"/>
        </w:rPr>
        <w:fldChar w:fldCharType="end"/>
      </w:r>
    </w:p>
    <w:p w:rsidR="00F7675E" w:rsidRPr="00F7675E" w:rsidRDefault="00F7675E" w:rsidP="00F7675E">
      <w:pPr>
        <w:spacing w:line="360" w:lineRule="auto"/>
        <w:jc w:val="both"/>
        <w:rPr>
          <w:sz w:val="28"/>
          <w:szCs w:val="28"/>
        </w:rPr>
      </w:pPr>
      <w:r w:rsidRPr="00F7675E">
        <w:rPr>
          <w:sz w:val="28"/>
          <w:szCs w:val="28"/>
        </w:rPr>
        <w:fldChar w:fldCharType="end"/>
      </w:r>
    </w:p>
    <w:p w:rsidR="00F7675E" w:rsidRDefault="00F7675E" w:rsidP="00205593">
      <w:pPr>
        <w:pStyle w:val="Heading1"/>
        <w:rPr>
          <w:sz w:val="28"/>
          <w:szCs w:val="28"/>
          <w:u w:val="single"/>
        </w:rPr>
      </w:pPr>
    </w:p>
    <w:p w:rsidR="00125B0E" w:rsidRPr="0088258A" w:rsidRDefault="002F72A2" w:rsidP="00205593">
      <w:pPr>
        <w:pStyle w:val="Heading1"/>
        <w:rPr>
          <w:sz w:val="28"/>
          <w:szCs w:val="28"/>
        </w:rPr>
      </w:pPr>
      <w:r w:rsidRPr="0088258A">
        <w:rPr>
          <w:sz w:val="28"/>
          <w:szCs w:val="28"/>
          <w:u w:val="single"/>
        </w:rPr>
        <w:br w:type="page"/>
      </w:r>
      <w:bookmarkStart w:id="0" w:name="_Toc524862299"/>
      <w:bookmarkStart w:id="1" w:name="_Toc524934229"/>
      <w:r w:rsidR="00125B0E" w:rsidRPr="0088258A">
        <w:rPr>
          <w:sz w:val="28"/>
          <w:szCs w:val="28"/>
        </w:rPr>
        <w:lastRenderedPageBreak/>
        <w:t>INTRODUCTION</w:t>
      </w:r>
      <w:bookmarkEnd w:id="0"/>
      <w:bookmarkEnd w:id="1"/>
    </w:p>
    <w:p w:rsidR="00C4753B" w:rsidRPr="0088258A" w:rsidRDefault="0014007F" w:rsidP="006178AD">
      <w:pPr>
        <w:pStyle w:val="1"/>
        <w:rPr>
          <w:sz w:val="28"/>
          <w:szCs w:val="28"/>
        </w:rPr>
      </w:pPr>
      <w:bookmarkStart w:id="2" w:name="_Ref260729559"/>
      <w:r w:rsidRPr="0088258A">
        <w:rPr>
          <w:sz w:val="28"/>
          <w:szCs w:val="28"/>
        </w:rPr>
        <w:t>On 19</w:t>
      </w:r>
      <w:r w:rsidR="00C4753B" w:rsidRPr="0088258A">
        <w:rPr>
          <w:sz w:val="28"/>
          <w:szCs w:val="28"/>
        </w:rPr>
        <w:t xml:space="preserve"> June 2017, the Public Protector issued a </w:t>
      </w:r>
      <w:r w:rsidR="005F18FA">
        <w:rPr>
          <w:sz w:val="28"/>
          <w:szCs w:val="28"/>
        </w:rPr>
        <w:t xml:space="preserve">final </w:t>
      </w:r>
      <w:r w:rsidR="00C4753B" w:rsidRPr="0088258A">
        <w:rPr>
          <w:sz w:val="28"/>
          <w:szCs w:val="28"/>
        </w:rPr>
        <w:t xml:space="preserve">report in </w:t>
      </w:r>
      <w:r w:rsidR="00D80564" w:rsidRPr="0088258A">
        <w:rPr>
          <w:sz w:val="28"/>
          <w:szCs w:val="28"/>
        </w:rPr>
        <w:t xml:space="preserve">the </w:t>
      </w:r>
      <w:r w:rsidRPr="0088258A">
        <w:rPr>
          <w:sz w:val="28"/>
          <w:szCs w:val="28"/>
        </w:rPr>
        <w:t>investigation</w:t>
      </w:r>
      <w:r w:rsidR="00D80564" w:rsidRPr="0088258A">
        <w:rPr>
          <w:sz w:val="28"/>
          <w:szCs w:val="28"/>
        </w:rPr>
        <w:t xml:space="preserve"> into </w:t>
      </w:r>
      <w:r w:rsidRPr="0088258A">
        <w:rPr>
          <w:sz w:val="28"/>
          <w:szCs w:val="28"/>
        </w:rPr>
        <w:t>“allegations of maladministration, corruption, misappropriation of public funds and failure by the South African Government to implement the CIEX Report and to recover public funds from ABSA Bank” (</w:t>
      </w:r>
      <w:r w:rsidRPr="0088258A">
        <w:rPr>
          <w:i/>
          <w:sz w:val="28"/>
          <w:szCs w:val="28"/>
        </w:rPr>
        <w:t>the Report</w:t>
      </w:r>
      <w:r w:rsidRPr="0088258A">
        <w:rPr>
          <w:sz w:val="28"/>
          <w:szCs w:val="28"/>
        </w:rPr>
        <w:t>).</w:t>
      </w:r>
    </w:p>
    <w:p w:rsidR="0014007F" w:rsidRPr="0088258A" w:rsidRDefault="0014007F" w:rsidP="006178AD">
      <w:pPr>
        <w:pStyle w:val="1"/>
        <w:rPr>
          <w:sz w:val="28"/>
          <w:szCs w:val="28"/>
        </w:rPr>
      </w:pPr>
      <w:r w:rsidRPr="0088258A">
        <w:rPr>
          <w:sz w:val="28"/>
          <w:szCs w:val="28"/>
        </w:rPr>
        <w:t xml:space="preserve">The remedial action directed Parliament to amend section 224 of the Constitution in order to strip the Reserve Bank of its primary object </w:t>
      </w:r>
      <w:r w:rsidR="005F18FA">
        <w:rPr>
          <w:sz w:val="28"/>
          <w:szCs w:val="28"/>
        </w:rPr>
        <w:t>as the country’s central bank</w:t>
      </w:r>
      <w:r w:rsidRPr="0088258A">
        <w:rPr>
          <w:sz w:val="28"/>
          <w:szCs w:val="28"/>
        </w:rPr>
        <w:t>. The Report had immediate and drastic consequences for the economy.</w:t>
      </w:r>
      <w:r w:rsidRPr="0088258A">
        <w:rPr>
          <w:rStyle w:val="FootnoteReference"/>
          <w:sz w:val="28"/>
          <w:szCs w:val="28"/>
        </w:rPr>
        <w:footnoteReference w:id="1"/>
      </w:r>
      <w:r w:rsidRPr="0088258A">
        <w:rPr>
          <w:sz w:val="28"/>
          <w:szCs w:val="28"/>
        </w:rPr>
        <w:t xml:space="preserve"> The Reserve Bank therefore approached the courts urgently to review and set aside that part of the remedial action that directed Parliament to amend the Constitution. The Public Protector did not oppose the urgent application. </w:t>
      </w:r>
    </w:p>
    <w:p w:rsidR="0014007F" w:rsidRPr="0088258A" w:rsidRDefault="0014007F" w:rsidP="006178AD">
      <w:pPr>
        <w:pStyle w:val="1"/>
        <w:rPr>
          <w:sz w:val="28"/>
          <w:szCs w:val="28"/>
        </w:rPr>
      </w:pPr>
      <w:r w:rsidRPr="0088258A">
        <w:rPr>
          <w:sz w:val="28"/>
          <w:szCs w:val="28"/>
        </w:rPr>
        <w:t xml:space="preserve">In addition to the urgent application, the Reserve Bank brought a second review application, in the ordinary course, to set aside the other aspects of the Public Protector’s remedial action. This remedial action </w:t>
      </w:r>
      <w:r w:rsidRPr="0088258A">
        <w:rPr>
          <w:sz w:val="28"/>
          <w:szCs w:val="28"/>
        </w:rPr>
        <w:lastRenderedPageBreak/>
        <w:t>required the Special Investigating Unit, amongst other things, to approach the President to re-open and amend a 1998 proclamation in order to recover misappropriated funds unlawfully given to ABSA Bank in the amount of R1</w:t>
      </w:r>
      <w:proofErr w:type="gramStart"/>
      <w:r w:rsidRPr="0088258A">
        <w:rPr>
          <w:sz w:val="28"/>
          <w:szCs w:val="28"/>
        </w:rPr>
        <w:t>,125</w:t>
      </w:r>
      <w:proofErr w:type="gramEnd"/>
      <w:r w:rsidRPr="0088258A">
        <w:rPr>
          <w:sz w:val="28"/>
          <w:szCs w:val="28"/>
        </w:rPr>
        <w:t xml:space="preserve"> billion.</w:t>
      </w:r>
    </w:p>
    <w:p w:rsidR="003554F3" w:rsidRPr="0088258A" w:rsidRDefault="003554F3" w:rsidP="006178AD">
      <w:pPr>
        <w:pStyle w:val="1"/>
        <w:rPr>
          <w:sz w:val="28"/>
          <w:szCs w:val="28"/>
        </w:rPr>
      </w:pPr>
      <w:r w:rsidRPr="0088258A">
        <w:rPr>
          <w:sz w:val="28"/>
          <w:szCs w:val="28"/>
        </w:rPr>
        <w:t xml:space="preserve">The Public Protector opposed the second review. </w:t>
      </w:r>
    </w:p>
    <w:p w:rsidR="003554F3" w:rsidRPr="0088258A" w:rsidRDefault="003554F3" w:rsidP="006178AD">
      <w:pPr>
        <w:pStyle w:val="1"/>
        <w:rPr>
          <w:sz w:val="28"/>
          <w:szCs w:val="28"/>
        </w:rPr>
      </w:pPr>
      <w:r w:rsidRPr="0088258A">
        <w:rPr>
          <w:sz w:val="28"/>
          <w:szCs w:val="28"/>
        </w:rPr>
        <w:t>The High Court upheld the review, set aside the remaining remedial action in the Report</w:t>
      </w:r>
      <w:r w:rsidR="00903C0D" w:rsidRPr="0088258A">
        <w:rPr>
          <w:sz w:val="28"/>
          <w:szCs w:val="28"/>
        </w:rPr>
        <w:t>,</w:t>
      </w:r>
      <w:r w:rsidRPr="0088258A">
        <w:rPr>
          <w:sz w:val="28"/>
          <w:szCs w:val="28"/>
        </w:rPr>
        <w:t xml:space="preserve"> and ordered the Public Protector to pay 15% of the Reserve Bank’s costs in her personal capacity.</w:t>
      </w:r>
    </w:p>
    <w:p w:rsidR="003554F3" w:rsidRPr="0088258A" w:rsidRDefault="003554F3" w:rsidP="006178AD">
      <w:pPr>
        <w:pStyle w:val="1"/>
        <w:rPr>
          <w:sz w:val="28"/>
          <w:szCs w:val="28"/>
        </w:rPr>
      </w:pPr>
      <w:r w:rsidRPr="0088258A">
        <w:rPr>
          <w:sz w:val="28"/>
          <w:szCs w:val="28"/>
        </w:rPr>
        <w:t xml:space="preserve">The Public Protector seeks leave to appeal to this Court (alternatively direct access) against the </w:t>
      </w:r>
      <w:r w:rsidR="009D1359">
        <w:rPr>
          <w:sz w:val="28"/>
          <w:szCs w:val="28"/>
        </w:rPr>
        <w:t xml:space="preserve">personal costs </w:t>
      </w:r>
      <w:r w:rsidRPr="0088258A">
        <w:rPr>
          <w:sz w:val="28"/>
          <w:szCs w:val="28"/>
        </w:rPr>
        <w:t>order and those parts of the High Court judgment that found that there was a reasonable apprehension that she was biased in her investigation and that she did not fully understand her constitutional duty to be impartial and to perform her functions without fear, favour or prejudice.</w:t>
      </w:r>
      <w:r w:rsidRPr="0088258A">
        <w:rPr>
          <w:rStyle w:val="FootnoteReference"/>
          <w:sz w:val="28"/>
          <w:szCs w:val="28"/>
        </w:rPr>
        <w:footnoteReference w:id="2"/>
      </w:r>
    </w:p>
    <w:p w:rsidR="00903C0D" w:rsidRPr="0088258A" w:rsidRDefault="003554F3" w:rsidP="006178AD">
      <w:pPr>
        <w:pStyle w:val="1"/>
        <w:rPr>
          <w:sz w:val="28"/>
          <w:szCs w:val="28"/>
        </w:rPr>
      </w:pPr>
      <w:r w:rsidRPr="0088258A">
        <w:rPr>
          <w:sz w:val="28"/>
          <w:szCs w:val="28"/>
        </w:rPr>
        <w:lastRenderedPageBreak/>
        <w:t xml:space="preserve">In the High Court, the Reserve Bank also sought a declaration that the Public Protector abused her office during the investigation that led to the Report. The High Court </w:t>
      </w:r>
      <w:r w:rsidR="00903C0D" w:rsidRPr="0088258A">
        <w:rPr>
          <w:sz w:val="28"/>
          <w:szCs w:val="28"/>
        </w:rPr>
        <w:t>found that:</w:t>
      </w:r>
    </w:p>
    <w:p w:rsidR="00903C0D" w:rsidRPr="0088258A" w:rsidRDefault="00903C0D" w:rsidP="00903C0D">
      <w:pPr>
        <w:pStyle w:val="1"/>
        <w:numPr>
          <w:ilvl w:val="0"/>
          <w:numId w:val="0"/>
        </w:numPr>
        <w:ind w:left="1440"/>
        <w:rPr>
          <w:sz w:val="28"/>
          <w:szCs w:val="28"/>
        </w:rPr>
      </w:pPr>
      <w:r w:rsidRPr="0088258A">
        <w:rPr>
          <w:sz w:val="28"/>
          <w:szCs w:val="28"/>
        </w:rPr>
        <w:t>“</w:t>
      </w:r>
      <w:r w:rsidR="0022016A">
        <w:rPr>
          <w:i/>
          <w:sz w:val="28"/>
          <w:szCs w:val="28"/>
        </w:rPr>
        <w:t>T</w:t>
      </w:r>
      <w:r w:rsidRPr="0088258A">
        <w:rPr>
          <w:i/>
          <w:sz w:val="28"/>
          <w:szCs w:val="28"/>
        </w:rPr>
        <w:t>he Public Protector did not conduct herself in a manner which should be expected from a person occupying the office of Public Protector … the Reserve Bank’s submissions in this regard are warranted. She did not have regard thereto that her office requires her to be objective, honest and to deal with matters according to the law and the high standard that is expected from her. She failed to explain her actions adequately. There may be a case to be made for a declaratory order</w:t>
      </w:r>
      <w:r w:rsidRPr="0088258A">
        <w:rPr>
          <w:sz w:val="28"/>
          <w:szCs w:val="28"/>
        </w:rPr>
        <w:t>”.</w:t>
      </w:r>
      <w:r w:rsidRPr="0088258A">
        <w:rPr>
          <w:rStyle w:val="FootnoteReference"/>
          <w:sz w:val="28"/>
          <w:szCs w:val="28"/>
        </w:rPr>
        <w:footnoteReference w:id="3"/>
      </w:r>
    </w:p>
    <w:p w:rsidR="0018028E" w:rsidRPr="0088258A" w:rsidRDefault="00903C0D" w:rsidP="006178AD">
      <w:pPr>
        <w:pStyle w:val="1"/>
        <w:rPr>
          <w:sz w:val="28"/>
          <w:szCs w:val="28"/>
        </w:rPr>
      </w:pPr>
      <w:r w:rsidRPr="0088258A">
        <w:rPr>
          <w:sz w:val="28"/>
          <w:szCs w:val="28"/>
        </w:rPr>
        <w:t xml:space="preserve">However, the High Court </w:t>
      </w:r>
      <w:r w:rsidR="003554F3" w:rsidRPr="0088258A">
        <w:rPr>
          <w:sz w:val="28"/>
          <w:szCs w:val="28"/>
        </w:rPr>
        <w:t xml:space="preserve">refused to grant the declarator because it held that the Reserve Bank </w:t>
      </w:r>
      <w:r w:rsidRPr="0088258A">
        <w:rPr>
          <w:sz w:val="28"/>
          <w:szCs w:val="28"/>
        </w:rPr>
        <w:t xml:space="preserve">only sought this relief in its replying affidavit and it </w:t>
      </w:r>
      <w:r w:rsidR="003554F3" w:rsidRPr="0088258A">
        <w:rPr>
          <w:sz w:val="28"/>
          <w:szCs w:val="28"/>
        </w:rPr>
        <w:t xml:space="preserve">ought to have filed a notice in terms of rule 28(1) to amend its </w:t>
      </w:r>
      <w:r w:rsidRPr="0088258A">
        <w:rPr>
          <w:sz w:val="28"/>
          <w:szCs w:val="28"/>
        </w:rPr>
        <w:t xml:space="preserve">notice of motion </w:t>
      </w:r>
      <w:r w:rsidR="003554F3" w:rsidRPr="0088258A">
        <w:rPr>
          <w:sz w:val="28"/>
          <w:szCs w:val="28"/>
        </w:rPr>
        <w:t xml:space="preserve">to include </w:t>
      </w:r>
      <w:r w:rsidRPr="0088258A">
        <w:rPr>
          <w:sz w:val="28"/>
          <w:szCs w:val="28"/>
        </w:rPr>
        <w:t xml:space="preserve">a prayer </w:t>
      </w:r>
      <w:r w:rsidR="003554F3" w:rsidRPr="0088258A">
        <w:rPr>
          <w:sz w:val="28"/>
          <w:szCs w:val="28"/>
        </w:rPr>
        <w:t xml:space="preserve">for this </w:t>
      </w:r>
      <w:r w:rsidRPr="0088258A">
        <w:rPr>
          <w:sz w:val="28"/>
          <w:szCs w:val="28"/>
        </w:rPr>
        <w:t>relief</w:t>
      </w:r>
      <w:r w:rsidR="003554F3" w:rsidRPr="0088258A">
        <w:rPr>
          <w:sz w:val="28"/>
          <w:szCs w:val="28"/>
        </w:rPr>
        <w:t>.</w:t>
      </w:r>
      <w:r w:rsidR="003705D7" w:rsidRPr="0088258A">
        <w:rPr>
          <w:rStyle w:val="FootnoteReference"/>
          <w:sz w:val="28"/>
          <w:szCs w:val="28"/>
        </w:rPr>
        <w:footnoteReference w:id="4"/>
      </w:r>
      <w:r w:rsidR="003554F3" w:rsidRPr="0088258A">
        <w:rPr>
          <w:sz w:val="28"/>
          <w:szCs w:val="28"/>
        </w:rPr>
        <w:t xml:space="preserve"> </w:t>
      </w:r>
    </w:p>
    <w:p w:rsidR="003705D7" w:rsidRPr="0088258A" w:rsidRDefault="003705D7" w:rsidP="003705D7">
      <w:pPr>
        <w:pStyle w:val="1"/>
        <w:rPr>
          <w:sz w:val="28"/>
          <w:szCs w:val="28"/>
        </w:rPr>
      </w:pPr>
      <w:r w:rsidRPr="0088258A">
        <w:rPr>
          <w:sz w:val="28"/>
          <w:szCs w:val="28"/>
        </w:rPr>
        <w:lastRenderedPageBreak/>
        <w:t>The Reserve Bank also seek</w:t>
      </w:r>
      <w:r w:rsidR="00980F26">
        <w:rPr>
          <w:sz w:val="28"/>
          <w:szCs w:val="28"/>
        </w:rPr>
        <w:t>s</w:t>
      </w:r>
      <w:r w:rsidRPr="0088258A">
        <w:rPr>
          <w:sz w:val="28"/>
          <w:szCs w:val="28"/>
        </w:rPr>
        <w:t xml:space="preserve"> conditional leave to cross appeal against the High Court’s dismissal of the application for the declarator.</w:t>
      </w:r>
    </w:p>
    <w:p w:rsidR="00D06144" w:rsidRPr="0088258A" w:rsidRDefault="00903C0D" w:rsidP="00903C0D">
      <w:pPr>
        <w:pStyle w:val="1"/>
        <w:rPr>
          <w:b/>
          <w:sz w:val="28"/>
          <w:szCs w:val="28"/>
        </w:rPr>
      </w:pPr>
      <w:r w:rsidRPr="0088258A">
        <w:rPr>
          <w:sz w:val="28"/>
          <w:szCs w:val="28"/>
        </w:rPr>
        <w:t>These written submissions are structured in two parts. They deal, first, with the Public Protector’s application f</w:t>
      </w:r>
      <w:r w:rsidR="00D06144" w:rsidRPr="0088258A">
        <w:rPr>
          <w:sz w:val="28"/>
          <w:szCs w:val="28"/>
        </w:rPr>
        <w:t xml:space="preserve">or leave to appeal and then </w:t>
      </w:r>
      <w:r w:rsidRPr="0088258A">
        <w:rPr>
          <w:sz w:val="28"/>
          <w:szCs w:val="28"/>
        </w:rPr>
        <w:t>the cross appeal.</w:t>
      </w:r>
    </w:p>
    <w:bookmarkEnd w:id="2"/>
    <w:p w:rsidR="00D06144" w:rsidRPr="0088258A" w:rsidRDefault="00D06144" w:rsidP="008353B7">
      <w:pPr>
        <w:pStyle w:val="1"/>
        <w:numPr>
          <w:ilvl w:val="0"/>
          <w:numId w:val="0"/>
        </w:numPr>
        <w:rPr>
          <w:b/>
          <w:sz w:val="28"/>
          <w:szCs w:val="28"/>
        </w:rPr>
      </w:pPr>
    </w:p>
    <w:p w:rsidR="00F229B3" w:rsidRPr="0088258A" w:rsidRDefault="00F229B3" w:rsidP="00F229B3">
      <w:pPr>
        <w:pStyle w:val="1"/>
        <w:numPr>
          <w:ilvl w:val="0"/>
          <w:numId w:val="0"/>
        </w:numPr>
        <w:rPr>
          <w:b/>
          <w:sz w:val="28"/>
          <w:szCs w:val="28"/>
          <w:u w:val="thick"/>
        </w:rPr>
      </w:pPr>
      <w:r w:rsidRPr="0088258A">
        <w:rPr>
          <w:sz w:val="28"/>
          <w:szCs w:val="28"/>
        </w:rPr>
        <w:br w:type="page"/>
      </w:r>
      <w:r w:rsidRPr="0088258A">
        <w:rPr>
          <w:b/>
          <w:sz w:val="28"/>
          <w:szCs w:val="28"/>
          <w:u w:val="thick"/>
        </w:rPr>
        <w:lastRenderedPageBreak/>
        <w:t>PART A</w:t>
      </w:r>
    </w:p>
    <w:p w:rsidR="000E3912" w:rsidRPr="0088258A" w:rsidRDefault="000E3912" w:rsidP="000E3912">
      <w:pPr>
        <w:pStyle w:val="Heading1"/>
        <w:rPr>
          <w:sz w:val="28"/>
          <w:szCs w:val="28"/>
        </w:rPr>
      </w:pPr>
      <w:bookmarkStart w:id="3" w:name="_Toc524862300"/>
      <w:bookmarkStart w:id="4" w:name="_Toc524934230"/>
      <w:r w:rsidRPr="0088258A">
        <w:rPr>
          <w:sz w:val="28"/>
          <w:szCs w:val="28"/>
        </w:rPr>
        <w:t>THE PERSONAL COSTS ORDER</w:t>
      </w:r>
      <w:bookmarkEnd w:id="3"/>
      <w:bookmarkEnd w:id="4"/>
    </w:p>
    <w:p w:rsidR="000E3912" w:rsidRPr="0088258A" w:rsidRDefault="00C01D9F" w:rsidP="00671073">
      <w:pPr>
        <w:pStyle w:val="Heading2"/>
        <w:rPr>
          <w:sz w:val="28"/>
          <w:szCs w:val="28"/>
        </w:rPr>
      </w:pPr>
      <w:bookmarkStart w:id="5" w:name="_Toc524862301"/>
      <w:bookmarkStart w:id="6" w:name="_Toc524934231"/>
      <w:r w:rsidRPr="0088258A">
        <w:rPr>
          <w:sz w:val="28"/>
          <w:szCs w:val="28"/>
        </w:rPr>
        <w:t>The Legal Principles</w:t>
      </w:r>
      <w:bookmarkEnd w:id="5"/>
      <w:bookmarkEnd w:id="6"/>
      <w:r w:rsidRPr="0088258A">
        <w:rPr>
          <w:sz w:val="28"/>
          <w:szCs w:val="28"/>
        </w:rPr>
        <w:t xml:space="preserve"> </w:t>
      </w:r>
    </w:p>
    <w:p w:rsidR="006927D8" w:rsidRPr="0088258A" w:rsidRDefault="006927D8" w:rsidP="007E6A9C">
      <w:pPr>
        <w:pStyle w:val="1"/>
        <w:rPr>
          <w:sz w:val="28"/>
          <w:szCs w:val="28"/>
        </w:rPr>
      </w:pPr>
      <w:r w:rsidRPr="0088258A">
        <w:rPr>
          <w:sz w:val="28"/>
          <w:szCs w:val="28"/>
        </w:rPr>
        <w:t xml:space="preserve">The first important principle in this appeal is that </w:t>
      </w:r>
      <w:r w:rsidR="00B659F2" w:rsidRPr="0088258A">
        <w:rPr>
          <w:sz w:val="28"/>
          <w:szCs w:val="28"/>
        </w:rPr>
        <w:t xml:space="preserve">the courts exercise a true discretion in relation to costs orders. This means that an appeal court will not lightly </w:t>
      </w:r>
      <w:r w:rsidR="00BE447C" w:rsidRPr="0088258A">
        <w:rPr>
          <w:sz w:val="28"/>
          <w:szCs w:val="28"/>
        </w:rPr>
        <w:t>interfere</w:t>
      </w:r>
      <w:r w:rsidR="00B659F2" w:rsidRPr="0088258A">
        <w:rPr>
          <w:sz w:val="28"/>
          <w:szCs w:val="28"/>
        </w:rPr>
        <w:t xml:space="preserve"> with the exercise of that discretion.</w:t>
      </w:r>
      <w:r w:rsidR="00BE447C" w:rsidRPr="0088258A">
        <w:rPr>
          <w:rStyle w:val="FootnoteReference"/>
          <w:sz w:val="28"/>
          <w:szCs w:val="28"/>
        </w:rPr>
        <w:footnoteReference w:id="5"/>
      </w:r>
      <w:r w:rsidR="00B659F2" w:rsidRPr="0088258A">
        <w:rPr>
          <w:sz w:val="28"/>
          <w:szCs w:val="28"/>
        </w:rPr>
        <w:t xml:space="preserve"> </w:t>
      </w:r>
      <w:r w:rsidR="00BE447C" w:rsidRPr="0088258A">
        <w:rPr>
          <w:sz w:val="28"/>
          <w:szCs w:val="28"/>
        </w:rPr>
        <w:t xml:space="preserve">There must be a material misdirection on the part of the High Court in order </w:t>
      </w:r>
      <w:r w:rsidR="005F18FA">
        <w:rPr>
          <w:sz w:val="28"/>
          <w:szCs w:val="28"/>
        </w:rPr>
        <w:t xml:space="preserve">for </w:t>
      </w:r>
      <w:r w:rsidR="00BE447C" w:rsidRPr="0088258A">
        <w:rPr>
          <w:sz w:val="28"/>
          <w:szCs w:val="28"/>
        </w:rPr>
        <w:t>an appeal court to interfere.</w:t>
      </w:r>
      <w:r w:rsidR="00BE447C" w:rsidRPr="0088258A">
        <w:rPr>
          <w:rStyle w:val="FootnoteReference"/>
          <w:sz w:val="28"/>
          <w:szCs w:val="28"/>
        </w:rPr>
        <w:footnoteReference w:id="6"/>
      </w:r>
      <w:r w:rsidR="00BE447C" w:rsidRPr="0088258A">
        <w:rPr>
          <w:sz w:val="28"/>
          <w:szCs w:val="28"/>
        </w:rPr>
        <w:t xml:space="preserve"> </w:t>
      </w:r>
    </w:p>
    <w:p w:rsidR="00BE447C" w:rsidRPr="0088258A" w:rsidRDefault="00BE447C" w:rsidP="007E6A9C">
      <w:pPr>
        <w:pStyle w:val="1"/>
        <w:rPr>
          <w:sz w:val="28"/>
          <w:szCs w:val="28"/>
        </w:rPr>
      </w:pPr>
      <w:r w:rsidRPr="0088258A">
        <w:rPr>
          <w:sz w:val="28"/>
          <w:szCs w:val="28"/>
        </w:rPr>
        <w:t xml:space="preserve">It is therefore not sufficient for an application for leave to appeal against a costs order simply to show that the High Court’s order was wrong. It must show that the High Court materially misdirected </w:t>
      </w:r>
      <w:r w:rsidR="0020080D" w:rsidRPr="0088258A">
        <w:rPr>
          <w:sz w:val="28"/>
          <w:szCs w:val="28"/>
        </w:rPr>
        <w:t xml:space="preserve">itself when it </w:t>
      </w:r>
      <w:r w:rsidRPr="0088258A">
        <w:rPr>
          <w:sz w:val="28"/>
          <w:szCs w:val="28"/>
        </w:rPr>
        <w:t>granted the costs.</w:t>
      </w:r>
      <w:r w:rsidRPr="0088258A">
        <w:rPr>
          <w:rStyle w:val="FootnoteReference"/>
          <w:sz w:val="28"/>
          <w:szCs w:val="28"/>
        </w:rPr>
        <w:footnoteReference w:id="7"/>
      </w:r>
      <w:r w:rsidRPr="0088258A">
        <w:rPr>
          <w:sz w:val="28"/>
          <w:szCs w:val="28"/>
        </w:rPr>
        <w:t xml:space="preserve"> </w:t>
      </w:r>
    </w:p>
    <w:p w:rsidR="0020080D" w:rsidRPr="0088258A" w:rsidRDefault="0020080D" w:rsidP="007E6A9C">
      <w:pPr>
        <w:pStyle w:val="1"/>
        <w:rPr>
          <w:sz w:val="28"/>
          <w:szCs w:val="28"/>
        </w:rPr>
      </w:pPr>
      <w:r w:rsidRPr="0088258A">
        <w:rPr>
          <w:sz w:val="28"/>
          <w:szCs w:val="28"/>
        </w:rPr>
        <w:lastRenderedPageBreak/>
        <w:t xml:space="preserve">Whether there has been a material misdirection in relation to the costs order in this case must take account of the guiding principles on </w:t>
      </w:r>
      <w:r w:rsidRPr="0088258A">
        <w:rPr>
          <w:i/>
          <w:sz w:val="28"/>
          <w:szCs w:val="28"/>
        </w:rPr>
        <w:t>de bonis propriis</w:t>
      </w:r>
      <w:r w:rsidRPr="0088258A">
        <w:rPr>
          <w:sz w:val="28"/>
          <w:szCs w:val="28"/>
        </w:rPr>
        <w:t xml:space="preserve"> costs against public officials. </w:t>
      </w:r>
    </w:p>
    <w:p w:rsidR="007E6A9C" w:rsidRPr="0088258A" w:rsidRDefault="007E6A9C" w:rsidP="007E6A9C">
      <w:pPr>
        <w:pStyle w:val="1"/>
        <w:rPr>
          <w:sz w:val="28"/>
          <w:szCs w:val="28"/>
        </w:rPr>
      </w:pPr>
      <w:r w:rsidRPr="0088258A">
        <w:rPr>
          <w:sz w:val="28"/>
          <w:szCs w:val="28"/>
        </w:rPr>
        <w:t xml:space="preserve">Costs </w:t>
      </w:r>
      <w:r w:rsidRPr="0088258A">
        <w:rPr>
          <w:i/>
          <w:sz w:val="28"/>
          <w:szCs w:val="28"/>
        </w:rPr>
        <w:t xml:space="preserve">de bonis propriis </w:t>
      </w:r>
      <w:r w:rsidRPr="0088258A">
        <w:rPr>
          <w:sz w:val="28"/>
          <w:szCs w:val="28"/>
        </w:rPr>
        <w:t>are costs which a party is ordered to pay out of her own pocket as a penalty for some improper conduct.</w:t>
      </w:r>
      <w:r w:rsidRPr="0088258A">
        <w:rPr>
          <w:sz w:val="28"/>
          <w:szCs w:val="28"/>
          <w:vertAlign w:val="superscript"/>
        </w:rPr>
        <w:footnoteReference w:id="8"/>
      </w:r>
      <w:r w:rsidRPr="0088258A">
        <w:rPr>
          <w:sz w:val="28"/>
          <w:szCs w:val="28"/>
        </w:rPr>
        <w:t xml:space="preserve"> </w:t>
      </w:r>
    </w:p>
    <w:p w:rsidR="007E6A9C" w:rsidRPr="0088258A" w:rsidRDefault="007E6A9C" w:rsidP="007E6A9C">
      <w:pPr>
        <w:pStyle w:val="1"/>
        <w:rPr>
          <w:sz w:val="28"/>
          <w:szCs w:val="28"/>
        </w:rPr>
      </w:pPr>
      <w:r w:rsidRPr="0088258A">
        <w:rPr>
          <w:sz w:val="28"/>
          <w:szCs w:val="28"/>
        </w:rPr>
        <w:t>Th</w:t>
      </w:r>
      <w:r w:rsidR="00AB23E4" w:rsidRPr="0088258A">
        <w:rPr>
          <w:sz w:val="28"/>
          <w:szCs w:val="28"/>
        </w:rPr>
        <w:t xml:space="preserve">is </w:t>
      </w:r>
      <w:r w:rsidR="00064DE2" w:rsidRPr="0088258A">
        <w:rPr>
          <w:sz w:val="28"/>
          <w:szCs w:val="28"/>
        </w:rPr>
        <w:t xml:space="preserve">Court </w:t>
      </w:r>
      <w:r w:rsidRPr="0088258A">
        <w:rPr>
          <w:sz w:val="28"/>
          <w:szCs w:val="28"/>
        </w:rPr>
        <w:t xml:space="preserve">has previously granted such costs against </w:t>
      </w:r>
      <w:r w:rsidR="00AB23E4" w:rsidRPr="0088258A">
        <w:rPr>
          <w:sz w:val="28"/>
          <w:szCs w:val="28"/>
        </w:rPr>
        <w:t xml:space="preserve">individuals in their personal capacities </w:t>
      </w:r>
      <w:r w:rsidRPr="0088258A">
        <w:rPr>
          <w:sz w:val="28"/>
          <w:szCs w:val="28"/>
        </w:rPr>
        <w:t xml:space="preserve">where </w:t>
      </w:r>
      <w:r w:rsidR="00AB23E4" w:rsidRPr="0088258A">
        <w:rPr>
          <w:sz w:val="28"/>
          <w:szCs w:val="28"/>
        </w:rPr>
        <w:t>their</w:t>
      </w:r>
      <w:r w:rsidRPr="0088258A">
        <w:rPr>
          <w:sz w:val="28"/>
          <w:szCs w:val="28"/>
        </w:rPr>
        <w:t xml:space="preserve"> conduct showed a gross disregard for </w:t>
      </w:r>
      <w:r w:rsidR="00AB23E4" w:rsidRPr="0088258A">
        <w:rPr>
          <w:sz w:val="28"/>
          <w:szCs w:val="28"/>
        </w:rPr>
        <w:t>their</w:t>
      </w:r>
      <w:r w:rsidRPr="0088258A">
        <w:rPr>
          <w:sz w:val="28"/>
          <w:szCs w:val="28"/>
        </w:rPr>
        <w:t xml:space="preserve"> professional responsibilities</w:t>
      </w:r>
      <w:r w:rsidRPr="0088258A">
        <w:rPr>
          <w:sz w:val="28"/>
          <w:szCs w:val="28"/>
          <w:vertAlign w:val="superscript"/>
        </w:rPr>
        <w:footnoteReference w:id="9"/>
      </w:r>
      <w:r w:rsidRPr="0088258A">
        <w:rPr>
          <w:sz w:val="28"/>
          <w:szCs w:val="28"/>
        </w:rPr>
        <w:t xml:space="preserve"> and where the</w:t>
      </w:r>
      <w:r w:rsidR="00AB23E4" w:rsidRPr="0088258A">
        <w:rPr>
          <w:sz w:val="28"/>
          <w:szCs w:val="28"/>
        </w:rPr>
        <w:t>y</w:t>
      </w:r>
      <w:r w:rsidRPr="0088258A">
        <w:rPr>
          <w:sz w:val="28"/>
          <w:szCs w:val="28"/>
        </w:rPr>
        <w:t xml:space="preserve"> acted inappropriately </w:t>
      </w:r>
      <w:r w:rsidR="00AB23E4" w:rsidRPr="0088258A">
        <w:rPr>
          <w:sz w:val="28"/>
          <w:szCs w:val="28"/>
        </w:rPr>
        <w:t xml:space="preserve">and </w:t>
      </w:r>
      <w:r w:rsidRPr="0088258A">
        <w:rPr>
          <w:sz w:val="28"/>
          <w:szCs w:val="28"/>
        </w:rPr>
        <w:t>in a reasonably egregious manner.</w:t>
      </w:r>
      <w:r w:rsidRPr="0088258A">
        <w:rPr>
          <w:sz w:val="28"/>
          <w:szCs w:val="28"/>
          <w:vertAlign w:val="superscript"/>
        </w:rPr>
        <w:footnoteReference w:id="10"/>
      </w:r>
      <w:r w:rsidRPr="0088258A">
        <w:rPr>
          <w:sz w:val="28"/>
          <w:szCs w:val="28"/>
        </w:rPr>
        <w:t xml:space="preserve"> The assessment of the gravity of the person’s conduct is objective </w:t>
      </w:r>
      <w:r w:rsidR="00B608F8">
        <w:rPr>
          <w:sz w:val="28"/>
          <w:szCs w:val="28"/>
        </w:rPr>
        <w:t xml:space="preserve">and </w:t>
      </w:r>
      <w:r w:rsidRPr="0088258A">
        <w:rPr>
          <w:sz w:val="28"/>
          <w:szCs w:val="28"/>
        </w:rPr>
        <w:t>lies in the discretion of the court.</w:t>
      </w:r>
      <w:r w:rsidRPr="0088258A">
        <w:rPr>
          <w:sz w:val="28"/>
          <w:szCs w:val="28"/>
          <w:vertAlign w:val="superscript"/>
        </w:rPr>
        <w:footnoteReference w:id="11"/>
      </w:r>
      <w:r w:rsidRPr="0088258A">
        <w:rPr>
          <w:sz w:val="28"/>
          <w:szCs w:val="28"/>
        </w:rPr>
        <w:t xml:space="preserve"> </w:t>
      </w:r>
    </w:p>
    <w:p w:rsidR="00BA798B" w:rsidRPr="0088258A" w:rsidRDefault="00064DE2" w:rsidP="00D27A84">
      <w:pPr>
        <w:pStyle w:val="1"/>
        <w:rPr>
          <w:sz w:val="28"/>
          <w:szCs w:val="28"/>
          <w:lang w:val="en-US"/>
        </w:rPr>
      </w:pPr>
      <w:r w:rsidRPr="0088258A">
        <w:rPr>
          <w:sz w:val="28"/>
          <w:szCs w:val="28"/>
        </w:rPr>
        <w:t>The</w:t>
      </w:r>
      <w:r w:rsidR="006D5934" w:rsidRPr="0088258A">
        <w:rPr>
          <w:sz w:val="28"/>
          <w:szCs w:val="28"/>
        </w:rPr>
        <w:t xml:space="preserve"> C</w:t>
      </w:r>
      <w:r w:rsidR="00BA798B" w:rsidRPr="0088258A">
        <w:rPr>
          <w:sz w:val="28"/>
          <w:szCs w:val="28"/>
        </w:rPr>
        <w:t xml:space="preserve">ourt has </w:t>
      </w:r>
      <w:r w:rsidRPr="0088258A">
        <w:rPr>
          <w:sz w:val="28"/>
          <w:szCs w:val="28"/>
        </w:rPr>
        <w:t xml:space="preserve">also </w:t>
      </w:r>
      <w:r w:rsidR="00BA798B" w:rsidRPr="0088258A">
        <w:rPr>
          <w:sz w:val="28"/>
          <w:szCs w:val="28"/>
        </w:rPr>
        <w:t xml:space="preserve">recently </w:t>
      </w:r>
      <w:r w:rsidR="006D5934" w:rsidRPr="0088258A">
        <w:rPr>
          <w:sz w:val="28"/>
          <w:szCs w:val="28"/>
        </w:rPr>
        <w:t xml:space="preserve">affirmed </w:t>
      </w:r>
      <w:r w:rsidR="00BA798B" w:rsidRPr="0088258A">
        <w:rPr>
          <w:sz w:val="28"/>
          <w:szCs w:val="28"/>
        </w:rPr>
        <w:t xml:space="preserve">the test for personal costs orders against public officials. It held in </w:t>
      </w:r>
      <w:r w:rsidR="00BA798B" w:rsidRPr="0088258A">
        <w:rPr>
          <w:i/>
          <w:sz w:val="28"/>
          <w:szCs w:val="28"/>
        </w:rPr>
        <w:t>SASSA</w:t>
      </w:r>
      <w:r w:rsidR="00BA798B" w:rsidRPr="0088258A">
        <w:rPr>
          <w:rStyle w:val="FootnoteReference"/>
          <w:sz w:val="28"/>
          <w:szCs w:val="28"/>
        </w:rPr>
        <w:footnoteReference w:id="12"/>
      </w:r>
      <w:r w:rsidR="00BA798B" w:rsidRPr="0088258A">
        <w:rPr>
          <w:sz w:val="28"/>
          <w:szCs w:val="28"/>
        </w:rPr>
        <w:t xml:space="preserve"> </w:t>
      </w:r>
      <w:r w:rsidR="00BA798B" w:rsidRPr="0088258A">
        <w:rPr>
          <w:sz w:val="28"/>
          <w:szCs w:val="28"/>
          <w:lang w:val="en-US"/>
        </w:rPr>
        <w:t>that</w:t>
      </w:r>
    </w:p>
    <w:p w:rsidR="003C5B5E" w:rsidRPr="0088258A" w:rsidRDefault="003C5B5E" w:rsidP="006D5934">
      <w:pPr>
        <w:pStyle w:val="1"/>
        <w:numPr>
          <w:ilvl w:val="0"/>
          <w:numId w:val="0"/>
        </w:numPr>
        <w:ind w:left="1440"/>
        <w:rPr>
          <w:sz w:val="28"/>
          <w:szCs w:val="28"/>
          <w:lang w:val="en-US"/>
        </w:rPr>
      </w:pPr>
      <w:r w:rsidRPr="0088258A">
        <w:rPr>
          <w:sz w:val="28"/>
          <w:szCs w:val="28"/>
          <w:lang w:val="en-US"/>
        </w:rPr>
        <w:lastRenderedPageBreak/>
        <w:t>“</w:t>
      </w:r>
      <w:r w:rsidRPr="0088258A">
        <w:rPr>
          <w:i/>
          <w:sz w:val="28"/>
          <w:szCs w:val="28"/>
          <w:lang w:val="en-US"/>
        </w:rPr>
        <w:t>It is now settled that public officials who are acting in a representative capacity may be ordered to pay costs out of their own pockets, under specified circumstances. Personal liability for costs would, for example, arise where a public official is guilty of bad faith or gross negligence in conducting litigation</w:t>
      </w:r>
      <w:r w:rsidRPr="0088258A">
        <w:rPr>
          <w:sz w:val="28"/>
          <w:szCs w:val="28"/>
          <w:lang w:val="en-US"/>
        </w:rPr>
        <w:t>.”</w:t>
      </w:r>
      <w:r w:rsidR="006D5934" w:rsidRPr="0088258A">
        <w:rPr>
          <w:rStyle w:val="FootnoteReference"/>
          <w:sz w:val="28"/>
          <w:szCs w:val="28"/>
          <w:lang w:val="en-US"/>
        </w:rPr>
        <w:footnoteReference w:id="13"/>
      </w:r>
    </w:p>
    <w:p w:rsidR="006D5934" w:rsidRPr="0088258A" w:rsidRDefault="006D5934" w:rsidP="00903C0D">
      <w:pPr>
        <w:pStyle w:val="1"/>
        <w:rPr>
          <w:sz w:val="28"/>
          <w:szCs w:val="28"/>
        </w:rPr>
      </w:pPr>
      <w:r w:rsidRPr="0088258A">
        <w:rPr>
          <w:sz w:val="28"/>
          <w:szCs w:val="28"/>
        </w:rPr>
        <w:t xml:space="preserve">In </w:t>
      </w:r>
      <w:r w:rsidRPr="0088258A">
        <w:rPr>
          <w:i/>
          <w:sz w:val="28"/>
          <w:szCs w:val="28"/>
        </w:rPr>
        <w:t>SASSA</w:t>
      </w:r>
      <w:r w:rsidRPr="0088258A">
        <w:rPr>
          <w:sz w:val="28"/>
          <w:szCs w:val="28"/>
        </w:rPr>
        <w:t>, the Minister of Social Development sought to argue that personal costs orders against public officials are unconstitutional because they would breach the separation of powers. The Court made short shrift of that argument. It held that the source of the power to impose personal costs orders against public officials is the Constitution itself.</w:t>
      </w:r>
      <w:r w:rsidRPr="0088258A">
        <w:rPr>
          <w:rStyle w:val="FootnoteReference"/>
          <w:sz w:val="28"/>
          <w:szCs w:val="28"/>
        </w:rPr>
        <w:footnoteReference w:id="14"/>
      </w:r>
    </w:p>
    <w:p w:rsidR="00064DE2" w:rsidRPr="0088258A" w:rsidRDefault="006D5934" w:rsidP="00064DE2">
      <w:pPr>
        <w:pStyle w:val="1"/>
        <w:rPr>
          <w:sz w:val="28"/>
          <w:szCs w:val="28"/>
        </w:rPr>
      </w:pPr>
      <w:r w:rsidRPr="0088258A">
        <w:rPr>
          <w:sz w:val="28"/>
          <w:szCs w:val="28"/>
        </w:rPr>
        <w:t xml:space="preserve">The Constitution requires public officials to be accountable and to observe heightened standards in litigation. They must be candid and frank. They must never mislead or obfuscate. They must do right and </w:t>
      </w:r>
      <w:r w:rsidRPr="0088258A">
        <w:rPr>
          <w:sz w:val="28"/>
          <w:szCs w:val="28"/>
        </w:rPr>
        <w:lastRenderedPageBreak/>
        <w:t>they must do it properly.</w:t>
      </w:r>
      <w:r w:rsidRPr="0088258A">
        <w:rPr>
          <w:rStyle w:val="FootnoteReference"/>
          <w:sz w:val="28"/>
          <w:szCs w:val="28"/>
        </w:rPr>
        <w:footnoteReference w:id="15"/>
      </w:r>
      <w:r w:rsidR="00064DE2" w:rsidRPr="0088258A">
        <w:rPr>
          <w:sz w:val="28"/>
          <w:szCs w:val="28"/>
        </w:rPr>
        <w:t xml:space="preserve"> They are required to be candid and place a full and fair account of the facts before the court.</w:t>
      </w:r>
      <w:r w:rsidR="00064DE2" w:rsidRPr="0088258A">
        <w:rPr>
          <w:sz w:val="28"/>
          <w:szCs w:val="28"/>
          <w:vertAlign w:val="superscript"/>
        </w:rPr>
        <w:footnoteReference w:id="16"/>
      </w:r>
    </w:p>
    <w:p w:rsidR="005110A4" w:rsidRPr="0088258A" w:rsidRDefault="006D5934" w:rsidP="00903C0D">
      <w:pPr>
        <w:pStyle w:val="1"/>
        <w:rPr>
          <w:sz w:val="28"/>
          <w:szCs w:val="28"/>
        </w:rPr>
      </w:pPr>
      <w:r w:rsidRPr="0088258A">
        <w:rPr>
          <w:sz w:val="28"/>
          <w:szCs w:val="28"/>
        </w:rPr>
        <w:t>The object of a personal costs order against a public official is to vindicate the Constitution.</w:t>
      </w:r>
      <w:r w:rsidR="005110A4" w:rsidRPr="0088258A">
        <w:rPr>
          <w:rStyle w:val="FootnoteReference"/>
          <w:sz w:val="28"/>
          <w:szCs w:val="28"/>
        </w:rPr>
        <w:footnoteReference w:id="17"/>
      </w:r>
      <w:r w:rsidRPr="0088258A">
        <w:rPr>
          <w:sz w:val="28"/>
          <w:szCs w:val="28"/>
        </w:rPr>
        <w:t xml:space="preserve"> </w:t>
      </w:r>
      <w:r w:rsidR="005110A4" w:rsidRPr="0088258A">
        <w:rPr>
          <w:sz w:val="28"/>
          <w:szCs w:val="28"/>
        </w:rPr>
        <w:t xml:space="preserve">These orders are not inconsistent with the Constitution; they are required for its protection because public officials who flout their constitutional obligations must be held to account. And when their </w:t>
      </w:r>
      <w:r w:rsidR="00676413" w:rsidRPr="0088258A">
        <w:rPr>
          <w:sz w:val="28"/>
          <w:szCs w:val="28"/>
        </w:rPr>
        <w:t>defiance</w:t>
      </w:r>
      <w:r w:rsidR="005110A4" w:rsidRPr="0088258A">
        <w:rPr>
          <w:sz w:val="28"/>
          <w:szCs w:val="28"/>
        </w:rPr>
        <w:t xml:space="preserve"> of their constitutional obligations is egregious, it is they </w:t>
      </w:r>
      <w:r w:rsidR="00676413" w:rsidRPr="0088258A">
        <w:rPr>
          <w:sz w:val="28"/>
          <w:szCs w:val="28"/>
        </w:rPr>
        <w:t xml:space="preserve">who </w:t>
      </w:r>
      <w:r w:rsidR="005110A4" w:rsidRPr="0088258A">
        <w:rPr>
          <w:sz w:val="28"/>
          <w:szCs w:val="28"/>
        </w:rPr>
        <w:t xml:space="preserve">should pay the costs of the litigation </w:t>
      </w:r>
      <w:r w:rsidR="00676413" w:rsidRPr="0088258A">
        <w:rPr>
          <w:sz w:val="28"/>
          <w:szCs w:val="28"/>
        </w:rPr>
        <w:t>brought</w:t>
      </w:r>
      <w:r w:rsidR="005110A4" w:rsidRPr="0088258A">
        <w:rPr>
          <w:sz w:val="28"/>
          <w:szCs w:val="28"/>
        </w:rPr>
        <w:t xml:space="preserve"> against them, and not the taxpayer.</w:t>
      </w:r>
      <w:r w:rsidR="00676413" w:rsidRPr="0088258A">
        <w:rPr>
          <w:rStyle w:val="FootnoteReference"/>
          <w:sz w:val="28"/>
          <w:szCs w:val="28"/>
        </w:rPr>
        <w:footnoteReference w:id="18"/>
      </w:r>
      <w:r w:rsidR="005110A4" w:rsidRPr="0088258A">
        <w:rPr>
          <w:sz w:val="28"/>
          <w:szCs w:val="28"/>
        </w:rPr>
        <w:t xml:space="preserve"> </w:t>
      </w:r>
    </w:p>
    <w:p w:rsidR="000E3912" w:rsidRPr="0088258A" w:rsidRDefault="00676413" w:rsidP="00903C0D">
      <w:pPr>
        <w:pStyle w:val="1"/>
        <w:rPr>
          <w:sz w:val="28"/>
          <w:szCs w:val="28"/>
        </w:rPr>
      </w:pPr>
      <w:r w:rsidRPr="0088258A">
        <w:rPr>
          <w:sz w:val="28"/>
          <w:szCs w:val="28"/>
        </w:rPr>
        <w:t>Despite this clear authority, the Public Protector argues for an exception in her case.</w:t>
      </w:r>
    </w:p>
    <w:p w:rsidR="00BD044A" w:rsidRPr="0088258A" w:rsidRDefault="00064DE2" w:rsidP="00903C0D">
      <w:pPr>
        <w:pStyle w:val="1"/>
        <w:rPr>
          <w:sz w:val="28"/>
          <w:szCs w:val="28"/>
        </w:rPr>
      </w:pPr>
      <w:r w:rsidRPr="0088258A">
        <w:rPr>
          <w:sz w:val="28"/>
          <w:szCs w:val="28"/>
        </w:rPr>
        <w:lastRenderedPageBreak/>
        <w:t xml:space="preserve">She </w:t>
      </w:r>
      <w:r w:rsidR="00E21C38" w:rsidRPr="0088258A">
        <w:rPr>
          <w:sz w:val="28"/>
          <w:szCs w:val="28"/>
        </w:rPr>
        <w:t xml:space="preserve">contends </w:t>
      </w:r>
      <w:r w:rsidR="00BD044A" w:rsidRPr="0088258A">
        <w:rPr>
          <w:sz w:val="28"/>
          <w:szCs w:val="28"/>
        </w:rPr>
        <w:t xml:space="preserve">that if such orders </w:t>
      </w:r>
      <w:r w:rsidR="00671073" w:rsidRPr="0088258A">
        <w:rPr>
          <w:sz w:val="28"/>
          <w:szCs w:val="28"/>
        </w:rPr>
        <w:t xml:space="preserve">are granted, </w:t>
      </w:r>
      <w:r w:rsidR="00BD044A" w:rsidRPr="0088258A">
        <w:rPr>
          <w:sz w:val="28"/>
          <w:szCs w:val="28"/>
        </w:rPr>
        <w:t>the Public Protector will always operate in fear of a personal adverse costs order and will thereby be hampered in the performance of her constitutional obligations.</w:t>
      </w:r>
      <w:r w:rsidR="00BD044A" w:rsidRPr="0088258A">
        <w:rPr>
          <w:rStyle w:val="FootnoteReference"/>
          <w:sz w:val="28"/>
          <w:szCs w:val="28"/>
        </w:rPr>
        <w:footnoteReference w:id="19"/>
      </w:r>
      <w:r w:rsidR="00BD044A" w:rsidRPr="0088258A">
        <w:rPr>
          <w:sz w:val="28"/>
          <w:szCs w:val="28"/>
        </w:rPr>
        <w:t xml:space="preserve"> </w:t>
      </w:r>
      <w:r w:rsidR="00671073" w:rsidRPr="0088258A">
        <w:rPr>
          <w:sz w:val="28"/>
          <w:szCs w:val="28"/>
        </w:rPr>
        <w:t xml:space="preserve">She </w:t>
      </w:r>
      <w:r w:rsidRPr="0088258A">
        <w:rPr>
          <w:sz w:val="28"/>
          <w:szCs w:val="28"/>
        </w:rPr>
        <w:t xml:space="preserve">contends </w:t>
      </w:r>
      <w:r w:rsidR="00FC4095" w:rsidRPr="0088258A">
        <w:rPr>
          <w:sz w:val="28"/>
          <w:szCs w:val="28"/>
        </w:rPr>
        <w:t>that a personal costs order against her will be a</w:t>
      </w:r>
      <w:r w:rsidR="00671073" w:rsidRPr="0088258A">
        <w:rPr>
          <w:sz w:val="28"/>
          <w:szCs w:val="28"/>
        </w:rPr>
        <w:t>n “</w:t>
      </w:r>
      <w:r w:rsidR="00FC4095" w:rsidRPr="0088258A">
        <w:rPr>
          <w:sz w:val="28"/>
          <w:szCs w:val="28"/>
        </w:rPr>
        <w:t>ever-present threat</w:t>
      </w:r>
      <w:r w:rsidR="00671073" w:rsidRPr="0088258A">
        <w:rPr>
          <w:sz w:val="28"/>
          <w:szCs w:val="28"/>
        </w:rPr>
        <w:t>”</w:t>
      </w:r>
      <w:r w:rsidR="00FC4095" w:rsidRPr="0088258A">
        <w:rPr>
          <w:sz w:val="28"/>
          <w:szCs w:val="28"/>
        </w:rPr>
        <w:t xml:space="preserve"> to the Public Protector’s </w:t>
      </w:r>
      <w:r w:rsidR="00BD044A" w:rsidRPr="0088258A">
        <w:rPr>
          <w:sz w:val="28"/>
          <w:szCs w:val="28"/>
        </w:rPr>
        <w:t>independence</w:t>
      </w:r>
      <w:r w:rsidR="00FC4095" w:rsidRPr="0088258A">
        <w:rPr>
          <w:sz w:val="28"/>
          <w:szCs w:val="28"/>
        </w:rPr>
        <w:t>, impartiality and ability to act without fear, favour or prejudice. She says that</w:t>
      </w:r>
      <w:r w:rsidR="00BD044A" w:rsidRPr="0088258A">
        <w:rPr>
          <w:sz w:val="28"/>
          <w:szCs w:val="28"/>
        </w:rPr>
        <w:t xml:space="preserve"> such order</w:t>
      </w:r>
      <w:r w:rsidR="00671073" w:rsidRPr="0088258A">
        <w:rPr>
          <w:sz w:val="28"/>
          <w:szCs w:val="28"/>
        </w:rPr>
        <w:t>s</w:t>
      </w:r>
      <w:r w:rsidR="00BD044A" w:rsidRPr="0088258A">
        <w:rPr>
          <w:sz w:val="28"/>
          <w:szCs w:val="28"/>
        </w:rPr>
        <w:t xml:space="preserve"> may open the floodgates for similar applications in other matters where her conduct is reviewed.</w:t>
      </w:r>
      <w:r w:rsidR="00BD044A" w:rsidRPr="0088258A">
        <w:rPr>
          <w:rStyle w:val="FootnoteReference"/>
          <w:sz w:val="28"/>
          <w:szCs w:val="28"/>
        </w:rPr>
        <w:footnoteReference w:id="20"/>
      </w:r>
      <w:r w:rsidR="00BD044A" w:rsidRPr="0088258A">
        <w:rPr>
          <w:sz w:val="28"/>
          <w:szCs w:val="28"/>
        </w:rPr>
        <w:t xml:space="preserve"> </w:t>
      </w:r>
    </w:p>
    <w:p w:rsidR="00A01B51" w:rsidRDefault="00E21C38" w:rsidP="00903C0D">
      <w:pPr>
        <w:pStyle w:val="1"/>
        <w:rPr>
          <w:sz w:val="28"/>
          <w:szCs w:val="28"/>
        </w:rPr>
      </w:pPr>
      <w:r w:rsidRPr="0088258A">
        <w:rPr>
          <w:sz w:val="28"/>
          <w:szCs w:val="28"/>
        </w:rPr>
        <w:t xml:space="preserve">In the written submissions filed on behalf of the Public Protector, a further technical objection is raised against the costs order. The </w:t>
      </w:r>
      <w:r w:rsidR="0003005F">
        <w:rPr>
          <w:sz w:val="28"/>
          <w:szCs w:val="28"/>
        </w:rPr>
        <w:t xml:space="preserve">Public Protector argues that </w:t>
      </w:r>
      <w:r w:rsidRPr="0088258A">
        <w:rPr>
          <w:sz w:val="28"/>
          <w:szCs w:val="28"/>
        </w:rPr>
        <w:t xml:space="preserve">the personal costs order </w:t>
      </w:r>
      <w:r w:rsidR="0003005F">
        <w:rPr>
          <w:sz w:val="28"/>
          <w:szCs w:val="28"/>
        </w:rPr>
        <w:t xml:space="preserve">sought against her </w:t>
      </w:r>
      <w:r w:rsidRPr="0088258A">
        <w:rPr>
          <w:sz w:val="28"/>
          <w:szCs w:val="28"/>
        </w:rPr>
        <w:t xml:space="preserve">ought to have been </w:t>
      </w:r>
      <w:r w:rsidR="0003005F">
        <w:rPr>
          <w:sz w:val="28"/>
          <w:szCs w:val="28"/>
        </w:rPr>
        <w:t>referred to in the notice of motion</w:t>
      </w:r>
      <w:r w:rsidRPr="0088258A">
        <w:rPr>
          <w:sz w:val="28"/>
          <w:szCs w:val="28"/>
        </w:rPr>
        <w:t>.</w:t>
      </w:r>
      <w:r w:rsidR="00E4550B" w:rsidRPr="0088258A">
        <w:rPr>
          <w:rStyle w:val="FootnoteReference"/>
          <w:sz w:val="28"/>
          <w:szCs w:val="28"/>
        </w:rPr>
        <w:footnoteReference w:id="21"/>
      </w:r>
      <w:r w:rsidR="00E4550B" w:rsidRPr="0088258A">
        <w:rPr>
          <w:sz w:val="28"/>
          <w:szCs w:val="28"/>
        </w:rPr>
        <w:t xml:space="preserve"> </w:t>
      </w:r>
    </w:p>
    <w:p w:rsidR="00A01B51" w:rsidRDefault="00A01B51" w:rsidP="00903C0D">
      <w:pPr>
        <w:pStyle w:val="1"/>
        <w:rPr>
          <w:sz w:val="28"/>
          <w:szCs w:val="28"/>
        </w:rPr>
      </w:pPr>
      <w:r>
        <w:rPr>
          <w:sz w:val="28"/>
          <w:szCs w:val="28"/>
        </w:rPr>
        <w:t xml:space="preserve">There are two </w:t>
      </w:r>
      <w:r w:rsidR="005210C7">
        <w:rPr>
          <w:sz w:val="28"/>
          <w:szCs w:val="28"/>
        </w:rPr>
        <w:t>problems</w:t>
      </w:r>
      <w:r>
        <w:rPr>
          <w:sz w:val="28"/>
          <w:szCs w:val="28"/>
        </w:rPr>
        <w:t xml:space="preserve"> with this contention.</w:t>
      </w:r>
    </w:p>
    <w:p w:rsidR="00A01B51" w:rsidRPr="005210C7" w:rsidRDefault="00A01B51" w:rsidP="00A01B51">
      <w:pPr>
        <w:pStyle w:val="2"/>
        <w:rPr>
          <w:sz w:val="28"/>
          <w:szCs w:val="28"/>
        </w:rPr>
      </w:pPr>
      <w:r w:rsidRPr="005210C7">
        <w:rPr>
          <w:sz w:val="28"/>
          <w:szCs w:val="28"/>
        </w:rPr>
        <w:t xml:space="preserve">The first is that it is settled law that it is not necessary that there be formal notice of a request for a special costs order. It is </w:t>
      </w:r>
      <w:r w:rsidRPr="005210C7">
        <w:rPr>
          <w:sz w:val="28"/>
          <w:szCs w:val="28"/>
        </w:rPr>
        <w:lastRenderedPageBreak/>
        <w:t xml:space="preserve">sufficient that the party against whom such an order is sought is informed that </w:t>
      </w:r>
      <w:r w:rsidR="00961F3B" w:rsidRPr="005210C7">
        <w:rPr>
          <w:sz w:val="28"/>
          <w:szCs w:val="28"/>
        </w:rPr>
        <w:t xml:space="preserve">the </w:t>
      </w:r>
      <w:r w:rsidRPr="005210C7">
        <w:rPr>
          <w:sz w:val="28"/>
          <w:szCs w:val="28"/>
        </w:rPr>
        <w:t xml:space="preserve">order will be </w:t>
      </w:r>
      <w:r w:rsidR="00961F3B" w:rsidRPr="005210C7">
        <w:rPr>
          <w:sz w:val="28"/>
          <w:szCs w:val="28"/>
        </w:rPr>
        <w:t>asked for</w:t>
      </w:r>
      <w:r w:rsidRPr="005210C7">
        <w:rPr>
          <w:sz w:val="28"/>
          <w:szCs w:val="28"/>
        </w:rPr>
        <w:t>.</w:t>
      </w:r>
      <w:r w:rsidRPr="005210C7">
        <w:rPr>
          <w:rStyle w:val="FootnoteReference"/>
          <w:sz w:val="28"/>
          <w:szCs w:val="28"/>
        </w:rPr>
        <w:footnoteReference w:id="22"/>
      </w:r>
      <w:r w:rsidRPr="005210C7">
        <w:rPr>
          <w:sz w:val="28"/>
          <w:szCs w:val="28"/>
        </w:rPr>
        <w:t xml:space="preserve"> </w:t>
      </w:r>
    </w:p>
    <w:p w:rsidR="00E21C38" w:rsidRPr="005210C7" w:rsidRDefault="005210C7" w:rsidP="00A01B51">
      <w:pPr>
        <w:pStyle w:val="2"/>
        <w:rPr>
          <w:sz w:val="28"/>
          <w:szCs w:val="28"/>
        </w:rPr>
      </w:pPr>
      <w:r w:rsidRPr="005210C7">
        <w:rPr>
          <w:sz w:val="28"/>
          <w:szCs w:val="28"/>
        </w:rPr>
        <w:t xml:space="preserve">The second is that the Public Protector’s written submissions concede that </w:t>
      </w:r>
      <w:r w:rsidR="00E4550B" w:rsidRPr="005210C7">
        <w:rPr>
          <w:sz w:val="28"/>
          <w:szCs w:val="28"/>
        </w:rPr>
        <w:t>all the facts underpinning the costs order sought</w:t>
      </w:r>
      <w:r w:rsidRPr="005210C7">
        <w:rPr>
          <w:sz w:val="28"/>
          <w:szCs w:val="28"/>
        </w:rPr>
        <w:t xml:space="preserve"> were set out in detail </w:t>
      </w:r>
      <w:r w:rsidR="00E4550B" w:rsidRPr="005210C7">
        <w:rPr>
          <w:sz w:val="28"/>
          <w:szCs w:val="28"/>
        </w:rPr>
        <w:t>in the Reserve Bank’s founding papers.</w:t>
      </w:r>
      <w:r w:rsidR="00D12B2B" w:rsidRPr="005210C7">
        <w:rPr>
          <w:rStyle w:val="FootnoteReference"/>
          <w:sz w:val="28"/>
          <w:szCs w:val="28"/>
        </w:rPr>
        <w:footnoteReference w:id="23"/>
      </w:r>
      <w:r w:rsidR="00E4550B" w:rsidRPr="005210C7">
        <w:rPr>
          <w:sz w:val="28"/>
          <w:szCs w:val="28"/>
        </w:rPr>
        <w:t xml:space="preserve"> </w:t>
      </w:r>
    </w:p>
    <w:p w:rsidR="00D12B2B" w:rsidRPr="0088258A" w:rsidRDefault="00D12B2B" w:rsidP="00903C0D">
      <w:pPr>
        <w:pStyle w:val="1"/>
        <w:rPr>
          <w:sz w:val="28"/>
          <w:szCs w:val="28"/>
        </w:rPr>
      </w:pPr>
      <w:r w:rsidRPr="005210C7">
        <w:rPr>
          <w:sz w:val="28"/>
          <w:szCs w:val="28"/>
        </w:rPr>
        <w:t>There is, accordingly, no merit</w:t>
      </w:r>
      <w:r w:rsidRPr="0088258A">
        <w:rPr>
          <w:sz w:val="28"/>
          <w:szCs w:val="28"/>
        </w:rPr>
        <w:t xml:space="preserve"> in this point. The Public Protector had ample opportunity to address all the facts which justify the personal costs order against her. </w:t>
      </w:r>
    </w:p>
    <w:p w:rsidR="00FC4095" w:rsidRPr="0088258A" w:rsidRDefault="00D12B2B" w:rsidP="00903C0D">
      <w:pPr>
        <w:pStyle w:val="1"/>
        <w:rPr>
          <w:sz w:val="28"/>
          <w:szCs w:val="28"/>
        </w:rPr>
      </w:pPr>
      <w:r w:rsidRPr="0088258A">
        <w:rPr>
          <w:sz w:val="28"/>
          <w:szCs w:val="28"/>
        </w:rPr>
        <w:t xml:space="preserve">The </w:t>
      </w:r>
      <w:r w:rsidR="00BD044A" w:rsidRPr="0088258A">
        <w:rPr>
          <w:sz w:val="28"/>
          <w:szCs w:val="28"/>
        </w:rPr>
        <w:t xml:space="preserve">fears </w:t>
      </w:r>
      <w:r w:rsidRPr="0088258A">
        <w:rPr>
          <w:sz w:val="28"/>
          <w:szCs w:val="28"/>
        </w:rPr>
        <w:t xml:space="preserve">that the Public Protector has about the impact of </w:t>
      </w:r>
      <w:r w:rsidR="0003005F">
        <w:rPr>
          <w:sz w:val="28"/>
          <w:szCs w:val="28"/>
        </w:rPr>
        <w:t xml:space="preserve">a </w:t>
      </w:r>
      <w:r w:rsidRPr="0088258A">
        <w:rPr>
          <w:sz w:val="28"/>
          <w:szCs w:val="28"/>
        </w:rPr>
        <w:t>personal costs order on the Institution of the Public Protector are also</w:t>
      </w:r>
      <w:r w:rsidR="00BD044A" w:rsidRPr="0088258A">
        <w:rPr>
          <w:sz w:val="28"/>
          <w:szCs w:val="28"/>
        </w:rPr>
        <w:t xml:space="preserve">, with respect, unwarranted. Personal costs orders are not granted against public officials </w:t>
      </w:r>
      <w:r w:rsidR="00671073" w:rsidRPr="0088258A">
        <w:rPr>
          <w:sz w:val="28"/>
          <w:szCs w:val="28"/>
        </w:rPr>
        <w:t xml:space="preserve">who </w:t>
      </w:r>
      <w:r w:rsidR="00BD044A" w:rsidRPr="0088258A">
        <w:rPr>
          <w:sz w:val="28"/>
          <w:szCs w:val="28"/>
        </w:rPr>
        <w:t xml:space="preserve">conduct themselves appropriately. They are not granted against officials who are frank and candid with the courts and who act reasonably and responsibly. </w:t>
      </w:r>
      <w:r w:rsidRPr="0088258A">
        <w:rPr>
          <w:sz w:val="28"/>
          <w:szCs w:val="28"/>
        </w:rPr>
        <w:t>They are granted when public officials fall egregiously short of what is required of them.</w:t>
      </w:r>
    </w:p>
    <w:p w:rsidR="00BD044A" w:rsidRPr="0088258A" w:rsidRDefault="00D12B2B" w:rsidP="00BD044A">
      <w:pPr>
        <w:pStyle w:val="1"/>
        <w:rPr>
          <w:sz w:val="28"/>
          <w:szCs w:val="28"/>
          <w:lang w:val="en-US"/>
        </w:rPr>
      </w:pPr>
      <w:r w:rsidRPr="0088258A">
        <w:rPr>
          <w:sz w:val="28"/>
          <w:szCs w:val="28"/>
        </w:rPr>
        <w:lastRenderedPageBreak/>
        <w:t>Furthermore, g</w:t>
      </w:r>
      <w:r w:rsidR="00BD044A" w:rsidRPr="0088258A">
        <w:rPr>
          <w:sz w:val="28"/>
          <w:szCs w:val="28"/>
        </w:rPr>
        <w:t xml:space="preserve">ranting a </w:t>
      </w:r>
      <w:r w:rsidR="00671073" w:rsidRPr="0088258A">
        <w:rPr>
          <w:sz w:val="28"/>
          <w:szCs w:val="28"/>
        </w:rPr>
        <w:t>personal</w:t>
      </w:r>
      <w:r w:rsidR="00BD044A" w:rsidRPr="0088258A">
        <w:rPr>
          <w:sz w:val="28"/>
          <w:szCs w:val="28"/>
        </w:rPr>
        <w:t xml:space="preserve"> costs order in a case where it is warranted, will not open the floodgates for further personal costs orders because, as this Court has emphasised, whether a personal costs order should be granted must be determined “</w:t>
      </w:r>
      <w:r w:rsidR="00BD044A" w:rsidRPr="0088258A">
        <w:rPr>
          <w:sz w:val="28"/>
          <w:szCs w:val="28"/>
          <w:lang w:val="en-US"/>
        </w:rPr>
        <w:t>in the light of the particular circumstances of each and every case</w:t>
      </w:r>
      <w:r w:rsidR="00671073" w:rsidRPr="0088258A">
        <w:rPr>
          <w:sz w:val="28"/>
          <w:szCs w:val="28"/>
          <w:lang w:val="en-US"/>
        </w:rPr>
        <w:t>”.</w:t>
      </w:r>
      <w:r w:rsidR="00671073" w:rsidRPr="0088258A">
        <w:rPr>
          <w:rStyle w:val="FootnoteReference"/>
          <w:sz w:val="28"/>
          <w:szCs w:val="28"/>
          <w:lang w:val="en-US"/>
        </w:rPr>
        <w:footnoteReference w:id="24"/>
      </w:r>
      <w:r w:rsidR="00671073" w:rsidRPr="0088258A">
        <w:rPr>
          <w:sz w:val="28"/>
          <w:szCs w:val="28"/>
          <w:lang w:val="en-US"/>
        </w:rPr>
        <w:t xml:space="preserve"> That a public official has acted recklessly and in conflict with her obligations in one piece of litigation does not mean that she will do so again in another matter.</w:t>
      </w:r>
    </w:p>
    <w:p w:rsidR="00B222F8" w:rsidRPr="0088258A" w:rsidRDefault="00B222F8" w:rsidP="00BD044A">
      <w:pPr>
        <w:pStyle w:val="1"/>
        <w:rPr>
          <w:sz w:val="28"/>
          <w:szCs w:val="28"/>
          <w:lang w:val="en-US"/>
        </w:rPr>
      </w:pPr>
      <w:r w:rsidRPr="0088258A">
        <w:rPr>
          <w:sz w:val="28"/>
          <w:szCs w:val="28"/>
          <w:lang w:val="en-US"/>
        </w:rPr>
        <w:t>The only relevant question therefore is whether</w:t>
      </w:r>
      <w:r w:rsidR="0020080D" w:rsidRPr="0088258A">
        <w:rPr>
          <w:sz w:val="28"/>
          <w:szCs w:val="28"/>
          <w:lang w:val="en-US"/>
        </w:rPr>
        <w:t xml:space="preserve"> the High Court misdirected itself in concluding that </w:t>
      </w:r>
      <w:r w:rsidRPr="0088258A">
        <w:rPr>
          <w:sz w:val="28"/>
          <w:szCs w:val="28"/>
          <w:lang w:val="en-US"/>
        </w:rPr>
        <w:t xml:space="preserve">the Public Protector </w:t>
      </w:r>
      <w:r w:rsidR="00CD246B" w:rsidRPr="0088258A">
        <w:rPr>
          <w:sz w:val="28"/>
          <w:szCs w:val="28"/>
          <w:lang w:val="en-US"/>
        </w:rPr>
        <w:t>did not act in good faith</w:t>
      </w:r>
      <w:r w:rsidR="00E17906" w:rsidRPr="0088258A">
        <w:rPr>
          <w:sz w:val="28"/>
          <w:szCs w:val="28"/>
          <w:lang w:val="en-US"/>
        </w:rPr>
        <w:t>,</w:t>
      </w:r>
      <w:r w:rsidR="00E17906" w:rsidRPr="0088258A">
        <w:rPr>
          <w:rStyle w:val="FootnoteReference"/>
          <w:sz w:val="28"/>
          <w:szCs w:val="28"/>
          <w:lang w:val="en-US"/>
        </w:rPr>
        <w:footnoteReference w:id="25"/>
      </w:r>
      <w:r w:rsidR="00E17906" w:rsidRPr="0088258A">
        <w:rPr>
          <w:sz w:val="28"/>
          <w:szCs w:val="28"/>
          <w:lang w:val="en-US"/>
        </w:rPr>
        <w:t xml:space="preserve"> and behaved in an unacceptable and secretive manner</w:t>
      </w:r>
      <w:r w:rsidRPr="0088258A">
        <w:rPr>
          <w:sz w:val="28"/>
          <w:szCs w:val="28"/>
          <w:lang w:val="en-US"/>
        </w:rPr>
        <w:t>.</w:t>
      </w:r>
      <w:r w:rsidRPr="0088258A">
        <w:rPr>
          <w:rStyle w:val="FootnoteReference"/>
          <w:sz w:val="28"/>
          <w:szCs w:val="28"/>
          <w:lang w:val="en-US"/>
        </w:rPr>
        <w:footnoteReference w:id="26"/>
      </w:r>
    </w:p>
    <w:p w:rsidR="00B222F8" w:rsidRPr="0088258A" w:rsidRDefault="00B222F8" w:rsidP="00B222F8">
      <w:pPr>
        <w:pStyle w:val="Heading2"/>
        <w:rPr>
          <w:sz w:val="28"/>
          <w:szCs w:val="28"/>
          <w:lang w:val="en-US"/>
        </w:rPr>
      </w:pPr>
      <w:bookmarkStart w:id="7" w:name="_Toc524862302"/>
      <w:bookmarkStart w:id="8" w:name="_Toc524934232"/>
      <w:r w:rsidRPr="0088258A">
        <w:rPr>
          <w:sz w:val="28"/>
          <w:szCs w:val="28"/>
          <w:lang w:val="en-US"/>
        </w:rPr>
        <w:t>The Public Protector’s conduct</w:t>
      </w:r>
      <w:bookmarkEnd w:id="7"/>
      <w:bookmarkEnd w:id="8"/>
    </w:p>
    <w:p w:rsidR="00BC52C8" w:rsidRPr="0088258A" w:rsidRDefault="00BC52C8" w:rsidP="00BC52C8">
      <w:pPr>
        <w:pStyle w:val="Heading3"/>
        <w:rPr>
          <w:sz w:val="28"/>
          <w:szCs w:val="28"/>
          <w:lang w:val="en-US"/>
        </w:rPr>
      </w:pPr>
      <w:bookmarkStart w:id="9" w:name="_Toc524862303"/>
      <w:bookmarkStart w:id="10" w:name="_Toc524934233"/>
      <w:r w:rsidRPr="0088258A">
        <w:rPr>
          <w:sz w:val="28"/>
          <w:szCs w:val="28"/>
          <w:lang w:val="en-US"/>
        </w:rPr>
        <w:t>The first duty – the record</w:t>
      </w:r>
      <w:bookmarkEnd w:id="9"/>
      <w:bookmarkEnd w:id="10"/>
    </w:p>
    <w:p w:rsidR="00DD3000" w:rsidRPr="0088258A" w:rsidRDefault="00B222F8" w:rsidP="00BD044A">
      <w:pPr>
        <w:pStyle w:val="1"/>
        <w:rPr>
          <w:sz w:val="28"/>
          <w:szCs w:val="28"/>
          <w:lang w:val="en-US"/>
        </w:rPr>
      </w:pPr>
      <w:r w:rsidRPr="0088258A">
        <w:rPr>
          <w:sz w:val="28"/>
          <w:szCs w:val="28"/>
          <w:lang w:val="en-US"/>
        </w:rPr>
        <w:t>The Public Protector’s</w:t>
      </w:r>
      <w:r w:rsidR="00DD3000" w:rsidRPr="0088258A">
        <w:rPr>
          <w:sz w:val="28"/>
          <w:szCs w:val="28"/>
          <w:lang w:val="en-US"/>
        </w:rPr>
        <w:t xml:space="preserve"> first duty in the review was to produce a full and complete record under Rule 53.</w:t>
      </w:r>
    </w:p>
    <w:p w:rsidR="00DD3000" w:rsidRPr="0088258A" w:rsidRDefault="00E17906" w:rsidP="00BD044A">
      <w:pPr>
        <w:pStyle w:val="1"/>
        <w:rPr>
          <w:sz w:val="28"/>
          <w:szCs w:val="28"/>
          <w:lang w:val="en-US"/>
        </w:rPr>
      </w:pPr>
      <w:r w:rsidRPr="0088258A">
        <w:rPr>
          <w:sz w:val="28"/>
          <w:szCs w:val="28"/>
          <w:lang w:val="en-US"/>
        </w:rPr>
        <w:lastRenderedPageBreak/>
        <w:t>The</w:t>
      </w:r>
      <w:r w:rsidR="00DD3000" w:rsidRPr="0088258A">
        <w:rPr>
          <w:sz w:val="28"/>
          <w:szCs w:val="28"/>
          <w:lang w:val="en-US"/>
        </w:rPr>
        <w:t xml:space="preserve"> record was essential to </w:t>
      </w:r>
      <w:r w:rsidRPr="0088258A">
        <w:rPr>
          <w:sz w:val="28"/>
          <w:szCs w:val="28"/>
          <w:lang w:val="en-US"/>
        </w:rPr>
        <w:t xml:space="preserve">enable </w:t>
      </w:r>
      <w:r w:rsidR="00DD3000" w:rsidRPr="0088258A">
        <w:rPr>
          <w:sz w:val="28"/>
          <w:szCs w:val="28"/>
          <w:lang w:val="en-US"/>
        </w:rPr>
        <w:t xml:space="preserve">the reviewing applicants to understand what occurred during the investigation that led to the impugned remedial action and to </w:t>
      </w:r>
      <w:r w:rsidRPr="0088258A">
        <w:rPr>
          <w:sz w:val="28"/>
          <w:szCs w:val="28"/>
          <w:lang w:val="en-US"/>
        </w:rPr>
        <w:t xml:space="preserve">equip </w:t>
      </w:r>
      <w:r w:rsidR="00DD3000" w:rsidRPr="0088258A">
        <w:rPr>
          <w:sz w:val="28"/>
          <w:szCs w:val="28"/>
          <w:lang w:val="en-US"/>
        </w:rPr>
        <w:t>the court to ensure the proper administration of justice in the case.</w:t>
      </w:r>
      <w:r w:rsidR="00DD3000" w:rsidRPr="0088258A">
        <w:rPr>
          <w:rStyle w:val="FootnoteReference"/>
          <w:sz w:val="28"/>
          <w:szCs w:val="28"/>
          <w:lang w:val="en-US"/>
        </w:rPr>
        <w:footnoteReference w:id="27"/>
      </w:r>
    </w:p>
    <w:p w:rsidR="00DD3000" w:rsidRPr="0088258A" w:rsidRDefault="00DD3000" w:rsidP="00BD044A">
      <w:pPr>
        <w:pStyle w:val="1"/>
        <w:rPr>
          <w:sz w:val="28"/>
          <w:szCs w:val="28"/>
          <w:lang w:val="en-US"/>
        </w:rPr>
      </w:pPr>
      <w:r w:rsidRPr="0088258A">
        <w:rPr>
          <w:sz w:val="28"/>
          <w:szCs w:val="28"/>
          <w:lang w:val="en-US"/>
        </w:rPr>
        <w:t>The record that was produced was thrown together,</w:t>
      </w:r>
      <w:r w:rsidR="00034E48" w:rsidRPr="0088258A">
        <w:rPr>
          <w:rStyle w:val="FootnoteReference"/>
          <w:sz w:val="28"/>
          <w:szCs w:val="28"/>
          <w:lang w:val="en-US"/>
        </w:rPr>
        <w:footnoteReference w:id="28"/>
      </w:r>
      <w:r w:rsidRPr="0088258A">
        <w:rPr>
          <w:sz w:val="28"/>
          <w:szCs w:val="28"/>
          <w:lang w:val="en-US"/>
        </w:rPr>
        <w:t xml:space="preserve"> with no discernible order</w:t>
      </w:r>
      <w:r w:rsidR="00C06F30" w:rsidRPr="0088258A">
        <w:rPr>
          <w:sz w:val="28"/>
          <w:szCs w:val="28"/>
          <w:lang w:val="en-US"/>
        </w:rPr>
        <w:t xml:space="preserve"> or index</w:t>
      </w:r>
      <w:r w:rsidRPr="0088258A">
        <w:rPr>
          <w:sz w:val="28"/>
          <w:szCs w:val="28"/>
          <w:lang w:val="en-US"/>
        </w:rPr>
        <w:t>,</w:t>
      </w:r>
      <w:r w:rsidR="00C06F30" w:rsidRPr="0088258A">
        <w:rPr>
          <w:rStyle w:val="FootnoteReference"/>
          <w:sz w:val="28"/>
          <w:szCs w:val="28"/>
          <w:lang w:val="en-US"/>
        </w:rPr>
        <w:footnoteReference w:id="29"/>
      </w:r>
      <w:r w:rsidRPr="0088258A">
        <w:rPr>
          <w:sz w:val="28"/>
          <w:szCs w:val="28"/>
          <w:lang w:val="en-US"/>
        </w:rPr>
        <w:t xml:space="preserve"> and excluded important documents.</w:t>
      </w:r>
      <w:r w:rsidRPr="0088258A">
        <w:rPr>
          <w:rStyle w:val="FootnoteReference"/>
          <w:sz w:val="28"/>
          <w:szCs w:val="28"/>
          <w:lang w:val="en-US"/>
        </w:rPr>
        <w:footnoteReference w:id="30"/>
      </w:r>
      <w:r w:rsidR="00B11ADD" w:rsidRPr="0088258A">
        <w:rPr>
          <w:sz w:val="28"/>
          <w:szCs w:val="28"/>
          <w:lang w:val="en-US"/>
        </w:rPr>
        <w:t xml:space="preserve"> The Public Protector is wrong when she claims that she “filed the entire record”.</w:t>
      </w:r>
      <w:r w:rsidR="00B11ADD" w:rsidRPr="0088258A">
        <w:rPr>
          <w:rStyle w:val="FootnoteReference"/>
          <w:sz w:val="28"/>
          <w:szCs w:val="28"/>
          <w:lang w:val="en-US"/>
        </w:rPr>
        <w:footnoteReference w:id="31"/>
      </w:r>
      <w:r w:rsidR="00B11ADD" w:rsidRPr="0088258A">
        <w:rPr>
          <w:sz w:val="28"/>
          <w:szCs w:val="28"/>
          <w:lang w:val="en-US"/>
        </w:rPr>
        <w:t xml:space="preserve"> She did not. She omitted from the record pertinent documents, some of which were only put up for the first time as annexures to her answering affidavit in the High Court</w:t>
      </w:r>
      <w:r w:rsidR="00E17906" w:rsidRPr="0088258A">
        <w:rPr>
          <w:sz w:val="28"/>
          <w:szCs w:val="28"/>
          <w:lang w:val="en-US"/>
        </w:rPr>
        <w:t>,</w:t>
      </w:r>
      <w:r w:rsidR="00B11ADD" w:rsidRPr="0088258A">
        <w:rPr>
          <w:rStyle w:val="FootnoteReference"/>
          <w:sz w:val="28"/>
          <w:szCs w:val="28"/>
          <w:lang w:val="en-US"/>
        </w:rPr>
        <w:footnoteReference w:id="32"/>
      </w:r>
      <w:r w:rsidR="00B11ADD" w:rsidRPr="0088258A">
        <w:rPr>
          <w:sz w:val="28"/>
          <w:szCs w:val="28"/>
          <w:lang w:val="en-US"/>
        </w:rPr>
        <w:t xml:space="preserve"> and others, which have only for the first time been disclosed in her affidavit before this Court.</w:t>
      </w:r>
      <w:r w:rsidR="00B11ADD" w:rsidRPr="0088258A">
        <w:rPr>
          <w:rStyle w:val="FootnoteReference"/>
          <w:sz w:val="28"/>
          <w:szCs w:val="28"/>
          <w:lang w:val="en-US"/>
        </w:rPr>
        <w:footnoteReference w:id="33"/>
      </w:r>
    </w:p>
    <w:p w:rsidR="00E17906" w:rsidRPr="0088258A" w:rsidRDefault="00E17906" w:rsidP="00E17906">
      <w:pPr>
        <w:pStyle w:val="1"/>
        <w:numPr>
          <w:ilvl w:val="0"/>
          <w:numId w:val="0"/>
        </w:numPr>
        <w:rPr>
          <w:sz w:val="28"/>
          <w:szCs w:val="28"/>
          <w:lang w:val="en-US"/>
        </w:rPr>
      </w:pPr>
    </w:p>
    <w:p w:rsidR="00BC52C8" w:rsidRPr="0088258A" w:rsidRDefault="00BC52C8" w:rsidP="00BC52C8">
      <w:pPr>
        <w:pStyle w:val="Heading3"/>
        <w:rPr>
          <w:sz w:val="28"/>
          <w:szCs w:val="28"/>
          <w:lang w:val="en-US"/>
        </w:rPr>
      </w:pPr>
      <w:bookmarkStart w:id="11" w:name="_Toc524862304"/>
      <w:bookmarkStart w:id="12" w:name="_Toc524934234"/>
      <w:r w:rsidRPr="0088258A">
        <w:rPr>
          <w:sz w:val="28"/>
          <w:szCs w:val="28"/>
          <w:lang w:val="en-US"/>
        </w:rPr>
        <w:t>The second duty – a frank and candid account of the impugned conduct</w:t>
      </w:r>
      <w:bookmarkEnd w:id="11"/>
      <w:bookmarkEnd w:id="12"/>
    </w:p>
    <w:p w:rsidR="00DD3000" w:rsidRPr="0088258A" w:rsidRDefault="00BC52C8" w:rsidP="00BD044A">
      <w:pPr>
        <w:pStyle w:val="1"/>
        <w:rPr>
          <w:sz w:val="28"/>
          <w:szCs w:val="28"/>
          <w:lang w:val="en-US"/>
        </w:rPr>
      </w:pPr>
      <w:r w:rsidRPr="0088258A">
        <w:rPr>
          <w:sz w:val="28"/>
          <w:szCs w:val="28"/>
          <w:lang w:val="en-US"/>
        </w:rPr>
        <w:t xml:space="preserve">The Public Protector’s second duty in the litigation was to </w:t>
      </w:r>
      <w:r w:rsidR="000B5A76" w:rsidRPr="0088258A">
        <w:rPr>
          <w:sz w:val="28"/>
          <w:szCs w:val="28"/>
          <w:lang w:val="en-US"/>
        </w:rPr>
        <w:t xml:space="preserve">provide </w:t>
      </w:r>
      <w:r w:rsidRPr="0088258A">
        <w:rPr>
          <w:sz w:val="28"/>
          <w:szCs w:val="28"/>
          <w:lang w:val="en-US"/>
        </w:rPr>
        <w:t>a full and frank account of the impugned conduct.</w:t>
      </w:r>
    </w:p>
    <w:p w:rsidR="00BC52C8" w:rsidRPr="0088258A" w:rsidRDefault="00BC52C8" w:rsidP="00BD044A">
      <w:pPr>
        <w:pStyle w:val="1"/>
        <w:rPr>
          <w:sz w:val="28"/>
          <w:szCs w:val="28"/>
          <w:lang w:val="en-US"/>
        </w:rPr>
      </w:pPr>
      <w:r w:rsidRPr="0088258A">
        <w:rPr>
          <w:sz w:val="28"/>
          <w:szCs w:val="28"/>
          <w:lang w:val="en-US"/>
        </w:rPr>
        <w:t>This required her to explain:</w:t>
      </w:r>
    </w:p>
    <w:p w:rsidR="00BC52C8" w:rsidRPr="0088258A" w:rsidRDefault="00BC52C8" w:rsidP="00BC52C8">
      <w:pPr>
        <w:pStyle w:val="2"/>
        <w:rPr>
          <w:sz w:val="28"/>
          <w:szCs w:val="28"/>
        </w:rPr>
      </w:pPr>
      <w:r w:rsidRPr="0088258A">
        <w:rPr>
          <w:sz w:val="28"/>
          <w:szCs w:val="28"/>
        </w:rPr>
        <w:t xml:space="preserve">Why </w:t>
      </w:r>
      <w:r w:rsidR="000B5A76" w:rsidRPr="0088258A">
        <w:rPr>
          <w:sz w:val="28"/>
          <w:szCs w:val="28"/>
        </w:rPr>
        <w:t>the</w:t>
      </w:r>
      <w:r w:rsidRPr="0088258A">
        <w:rPr>
          <w:sz w:val="28"/>
          <w:szCs w:val="28"/>
        </w:rPr>
        <w:t xml:space="preserve"> </w:t>
      </w:r>
      <w:r w:rsidR="00460CBC" w:rsidRPr="0088258A">
        <w:rPr>
          <w:sz w:val="28"/>
          <w:szCs w:val="28"/>
        </w:rPr>
        <w:t>Report did not disclose meeting</w:t>
      </w:r>
      <w:r w:rsidR="0049772A">
        <w:rPr>
          <w:sz w:val="28"/>
          <w:szCs w:val="28"/>
        </w:rPr>
        <w:t>s</w:t>
      </w:r>
      <w:r w:rsidRPr="0088258A">
        <w:rPr>
          <w:sz w:val="28"/>
          <w:szCs w:val="28"/>
        </w:rPr>
        <w:t xml:space="preserve"> that she had held with the Presidency </w:t>
      </w:r>
      <w:r w:rsidR="000B5A76" w:rsidRPr="0088258A">
        <w:rPr>
          <w:sz w:val="28"/>
          <w:szCs w:val="28"/>
        </w:rPr>
        <w:t>shortly before it was issued</w:t>
      </w:r>
      <w:r w:rsidR="00C744AC" w:rsidRPr="0088258A">
        <w:rPr>
          <w:sz w:val="28"/>
          <w:szCs w:val="28"/>
        </w:rPr>
        <w:t>?</w:t>
      </w:r>
      <w:r w:rsidR="00460CBC" w:rsidRPr="0088258A">
        <w:rPr>
          <w:rStyle w:val="FootnoteReference"/>
          <w:sz w:val="28"/>
          <w:szCs w:val="28"/>
        </w:rPr>
        <w:footnoteReference w:id="34"/>
      </w:r>
    </w:p>
    <w:p w:rsidR="00BC52C8" w:rsidRPr="0088258A" w:rsidRDefault="00BC52C8" w:rsidP="00BC52C8">
      <w:pPr>
        <w:pStyle w:val="2"/>
        <w:rPr>
          <w:sz w:val="28"/>
          <w:szCs w:val="28"/>
        </w:rPr>
      </w:pPr>
      <w:r w:rsidRPr="0088258A">
        <w:rPr>
          <w:sz w:val="28"/>
          <w:szCs w:val="28"/>
        </w:rPr>
        <w:t>Why she held meetings with the Presidency and the State Security Agency but not with the parties most affected by her new remedial action</w:t>
      </w:r>
      <w:r w:rsidR="00C744AC" w:rsidRPr="0088258A">
        <w:rPr>
          <w:sz w:val="28"/>
          <w:szCs w:val="28"/>
        </w:rPr>
        <w:t>?</w:t>
      </w:r>
      <w:r w:rsidR="00460CBC" w:rsidRPr="0088258A">
        <w:rPr>
          <w:rStyle w:val="FootnoteReference"/>
          <w:sz w:val="28"/>
          <w:szCs w:val="28"/>
        </w:rPr>
        <w:footnoteReference w:id="35"/>
      </w:r>
    </w:p>
    <w:p w:rsidR="00BC52C8" w:rsidRPr="0088258A" w:rsidRDefault="00BC52C8" w:rsidP="00BC52C8">
      <w:pPr>
        <w:pStyle w:val="2"/>
        <w:rPr>
          <w:sz w:val="28"/>
          <w:szCs w:val="28"/>
        </w:rPr>
      </w:pPr>
      <w:r w:rsidRPr="0088258A">
        <w:rPr>
          <w:sz w:val="28"/>
          <w:szCs w:val="28"/>
        </w:rPr>
        <w:t>Why she discussed amending the Constitution to take away the central function of the Reserve Bank with the Presidency</w:t>
      </w:r>
      <w:r w:rsidR="00C744AC" w:rsidRPr="0088258A">
        <w:rPr>
          <w:sz w:val="28"/>
          <w:szCs w:val="28"/>
        </w:rPr>
        <w:t>?</w:t>
      </w:r>
      <w:r w:rsidR="00460CBC" w:rsidRPr="0088258A">
        <w:rPr>
          <w:rStyle w:val="FootnoteReference"/>
          <w:sz w:val="28"/>
          <w:szCs w:val="28"/>
        </w:rPr>
        <w:footnoteReference w:id="36"/>
      </w:r>
    </w:p>
    <w:p w:rsidR="00BC52C8" w:rsidRPr="0088258A" w:rsidRDefault="00BC52C8" w:rsidP="00BC52C8">
      <w:pPr>
        <w:pStyle w:val="2"/>
        <w:rPr>
          <w:sz w:val="28"/>
          <w:szCs w:val="28"/>
        </w:rPr>
      </w:pPr>
      <w:r w:rsidRPr="0088258A">
        <w:rPr>
          <w:sz w:val="28"/>
          <w:szCs w:val="28"/>
        </w:rPr>
        <w:t>Why she discussed the vulnerability of the Reserve Bank with the State Security Agency</w:t>
      </w:r>
      <w:r w:rsidR="00C744AC" w:rsidRPr="0088258A">
        <w:rPr>
          <w:sz w:val="28"/>
          <w:szCs w:val="28"/>
        </w:rPr>
        <w:t>?</w:t>
      </w:r>
      <w:r w:rsidR="00460CBC" w:rsidRPr="0088258A">
        <w:rPr>
          <w:rStyle w:val="FootnoteReference"/>
          <w:sz w:val="28"/>
          <w:szCs w:val="28"/>
        </w:rPr>
        <w:footnoteReference w:id="37"/>
      </w:r>
    </w:p>
    <w:p w:rsidR="000B5A76" w:rsidRPr="0088258A" w:rsidRDefault="000B5A76" w:rsidP="00BC52C8">
      <w:pPr>
        <w:pStyle w:val="2"/>
        <w:rPr>
          <w:sz w:val="28"/>
          <w:szCs w:val="28"/>
        </w:rPr>
      </w:pPr>
      <w:r w:rsidRPr="0088258A">
        <w:rPr>
          <w:sz w:val="28"/>
          <w:szCs w:val="28"/>
        </w:rPr>
        <w:lastRenderedPageBreak/>
        <w:t>Why she recorded and transcribed other meetings held during the conduct of the investigation, but failed to record or transcribe the meetings with the Presidency and the State Security Agency</w:t>
      </w:r>
      <w:r w:rsidR="00C744AC" w:rsidRPr="0088258A">
        <w:rPr>
          <w:sz w:val="28"/>
          <w:szCs w:val="28"/>
        </w:rPr>
        <w:t>?</w:t>
      </w:r>
      <w:r w:rsidR="00460CBC" w:rsidRPr="0088258A">
        <w:rPr>
          <w:rStyle w:val="FootnoteReference"/>
          <w:sz w:val="28"/>
          <w:szCs w:val="28"/>
        </w:rPr>
        <w:footnoteReference w:id="38"/>
      </w:r>
    </w:p>
    <w:p w:rsidR="000B5A76" w:rsidRPr="0088258A" w:rsidRDefault="000B5A76" w:rsidP="00BD044A">
      <w:pPr>
        <w:pStyle w:val="1"/>
        <w:rPr>
          <w:sz w:val="28"/>
          <w:szCs w:val="28"/>
          <w:lang w:val="en-US"/>
        </w:rPr>
      </w:pPr>
      <w:r w:rsidRPr="0088258A">
        <w:rPr>
          <w:sz w:val="28"/>
          <w:szCs w:val="28"/>
          <w:lang w:val="en-US"/>
        </w:rPr>
        <w:t xml:space="preserve">These explanations were called for because, as the Reserve Bank made plain in its supplementary founding affidavit, the engagements with the Presidency and the State Security Agency </w:t>
      </w:r>
      <w:r w:rsidR="00BD5A91" w:rsidRPr="0088258A">
        <w:rPr>
          <w:sz w:val="28"/>
          <w:szCs w:val="28"/>
          <w:lang w:val="en-US"/>
        </w:rPr>
        <w:t>gave rise to a serious concern about whether the Public Protector had conducted the investigation independently and impartially.</w:t>
      </w:r>
      <w:r w:rsidR="00BD5A91" w:rsidRPr="0088258A">
        <w:rPr>
          <w:rStyle w:val="FootnoteReference"/>
          <w:sz w:val="28"/>
          <w:szCs w:val="28"/>
          <w:lang w:val="en-US"/>
        </w:rPr>
        <w:footnoteReference w:id="39"/>
      </w:r>
      <w:r w:rsidR="00BD5A91" w:rsidRPr="0088258A">
        <w:rPr>
          <w:sz w:val="28"/>
          <w:szCs w:val="28"/>
          <w:lang w:val="en-US"/>
        </w:rPr>
        <w:t xml:space="preserve"> </w:t>
      </w:r>
      <w:r w:rsidR="003341E3" w:rsidRPr="0088258A">
        <w:rPr>
          <w:sz w:val="28"/>
          <w:szCs w:val="28"/>
          <w:lang w:val="en-US"/>
        </w:rPr>
        <w:t>They also gave rise to a reasonable apprehension that the Public Protector was biased against the Reserve Bank.</w:t>
      </w:r>
      <w:r w:rsidR="003341E3" w:rsidRPr="0088258A">
        <w:rPr>
          <w:rStyle w:val="FootnoteReference"/>
          <w:sz w:val="28"/>
          <w:szCs w:val="28"/>
          <w:lang w:val="en-US"/>
        </w:rPr>
        <w:footnoteReference w:id="40"/>
      </w:r>
    </w:p>
    <w:p w:rsidR="00BD5A91" w:rsidRPr="0088258A" w:rsidRDefault="00BD5A91" w:rsidP="00BD044A">
      <w:pPr>
        <w:pStyle w:val="1"/>
        <w:rPr>
          <w:sz w:val="28"/>
          <w:szCs w:val="28"/>
          <w:lang w:val="en-US"/>
        </w:rPr>
      </w:pPr>
      <w:r w:rsidRPr="0088258A">
        <w:rPr>
          <w:sz w:val="28"/>
          <w:szCs w:val="28"/>
          <w:lang w:val="en-US"/>
        </w:rPr>
        <w:t>The Reserve Bank highlighted that the discussion with the State Security Agency about the vulnerability of the Bank was irregular. It said:</w:t>
      </w:r>
    </w:p>
    <w:p w:rsidR="00BD5A91" w:rsidRPr="0088258A" w:rsidRDefault="00BD5A91" w:rsidP="00BD5A91">
      <w:pPr>
        <w:pStyle w:val="1"/>
        <w:numPr>
          <w:ilvl w:val="0"/>
          <w:numId w:val="0"/>
        </w:numPr>
        <w:ind w:left="1440"/>
        <w:rPr>
          <w:sz w:val="28"/>
          <w:szCs w:val="28"/>
          <w:lang w:val="en-US"/>
        </w:rPr>
      </w:pPr>
      <w:r w:rsidRPr="0088258A">
        <w:rPr>
          <w:sz w:val="28"/>
          <w:szCs w:val="28"/>
          <w:lang w:val="en-US"/>
        </w:rPr>
        <w:lastRenderedPageBreak/>
        <w:t>“</w:t>
      </w:r>
      <w:r w:rsidRPr="0088258A">
        <w:rPr>
          <w:i/>
          <w:sz w:val="28"/>
          <w:szCs w:val="28"/>
          <w:lang w:val="en-US"/>
        </w:rPr>
        <w:t>It is unclear on what possible basis the vulnerability (and vulnerability to whom) of the Reserve Bank was relevant to the Public Protector’s investigation into the CIEX report</w:t>
      </w:r>
      <w:r w:rsidRPr="0088258A">
        <w:rPr>
          <w:sz w:val="28"/>
          <w:szCs w:val="28"/>
          <w:lang w:val="en-US"/>
        </w:rPr>
        <w:t>”.</w:t>
      </w:r>
      <w:r w:rsidRPr="0088258A">
        <w:rPr>
          <w:rStyle w:val="FootnoteReference"/>
          <w:sz w:val="28"/>
          <w:szCs w:val="28"/>
          <w:lang w:val="en-US"/>
        </w:rPr>
        <w:footnoteReference w:id="41"/>
      </w:r>
    </w:p>
    <w:p w:rsidR="000B5A76" w:rsidRPr="0088258A" w:rsidRDefault="00BD5A91" w:rsidP="00BD044A">
      <w:pPr>
        <w:pStyle w:val="1"/>
        <w:rPr>
          <w:sz w:val="28"/>
          <w:szCs w:val="28"/>
          <w:lang w:val="en-US"/>
        </w:rPr>
      </w:pPr>
      <w:r w:rsidRPr="0088258A">
        <w:rPr>
          <w:sz w:val="28"/>
          <w:szCs w:val="28"/>
          <w:lang w:val="en-US"/>
        </w:rPr>
        <w:t>The Reserve Bank expressed its concern that this discussion appeared to be aimed at undermining the Reserve Bank and that it appeared to indicate that by May 2017, the Public Protector’s investigation had turned from the question whether the government had implemented the CIEX report to an attack on the Reserve Bank.</w:t>
      </w:r>
      <w:r w:rsidRPr="0088258A">
        <w:rPr>
          <w:rStyle w:val="FootnoteReference"/>
          <w:sz w:val="28"/>
          <w:szCs w:val="28"/>
          <w:lang w:val="en-US"/>
        </w:rPr>
        <w:footnoteReference w:id="42"/>
      </w:r>
      <w:r w:rsidRPr="0088258A">
        <w:rPr>
          <w:sz w:val="28"/>
          <w:szCs w:val="28"/>
          <w:lang w:val="en-US"/>
        </w:rPr>
        <w:t xml:space="preserve"> </w:t>
      </w:r>
    </w:p>
    <w:p w:rsidR="00BD5A91" w:rsidRPr="0088258A" w:rsidRDefault="00BD5A91" w:rsidP="00BD044A">
      <w:pPr>
        <w:pStyle w:val="1"/>
        <w:rPr>
          <w:sz w:val="28"/>
          <w:szCs w:val="28"/>
          <w:lang w:val="en-US"/>
        </w:rPr>
      </w:pPr>
      <w:r w:rsidRPr="0088258A">
        <w:rPr>
          <w:sz w:val="28"/>
          <w:szCs w:val="28"/>
          <w:lang w:val="en-US"/>
        </w:rPr>
        <w:t>These matters were of grave concern to the Reserve Bank. They were also serious accusations to make against the Public Protector and the Reserve Bank explained that it did not make them lightly. It therefore called on the Public Protector “to deal with each and every averment set out above when she file</w:t>
      </w:r>
      <w:r w:rsidR="00442B23">
        <w:rPr>
          <w:sz w:val="28"/>
          <w:szCs w:val="28"/>
          <w:lang w:val="en-US"/>
        </w:rPr>
        <w:t>[d]</w:t>
      </w:r>
      <w:r w:rsidRPr="0088258A">
        <w:rPr>
          <w:sz w:val="28"/>
          <w:szCs w:val="28"/>
          <w:lang w:val="en-US"/>
        </w:rPr>
        <w:t xml:space="preserve"> her answering affidavit”.</w:t>
      </w:r>
      <w:r w:rsidRPr="0088258A">
        <w:rPr>
          <w:rStyle w:val="FootnoteReference"/>
          <w:sz w:val="28"/>
          <w:szCs w:val="28"/>
          <w:lang w:val="en-US"/>
        </w:rPr>
        <w:footnoteReference w:id="43"/>
      </w:r>
    </w:p>
    <w:p w:rsidR="00BD5A91" w:rsidRPr="0088258A" w:rsidRDefault="00B2175E" w:rsidP="00BD044A">
      <w:pPr>
        <w:pStyle w:val="1"/>
        <w:rPr>
          <w:sz w:val="28"/>
          <w:szCs w:val="28"/>
          <w:lang w:val="en-US"/>
        </w:rPr>
      </w:pPr>
      <w:r w:rsidRPr="0088258A">
        <w:rPr>
          <w:sz w:val="28"/>
          <w:szCs w:val="28"/>
          <w:lang w:val="en-US"/>
        </w:rPr>
        <w:t xml:space="preserve">The Public Protector failed to dispel these serious concerns about the independence of her investigation when she filed her answering </w:t>
      </w:r>
      <w:r w:rsidRPr="0088258A">
        <w:rPr>
          <w:sz w:val="28"/>
          <w:szCs w:val="28"/>
          <w:lang w:val="en-US"/>
        </w:rPr>
        <w:lastRenderedPageBreak/>
        <w:t xml:space="preserve">affidavit in the High Court. This is because she either failed entirely to deal with the </w:t>
      </w:r>
      <w:r w:rsidR="00442B23">
        <w:rPr>
          <w:sz w:val="28"/>
          <w:szCs w:val="28"/>
          <w:lang w:val="en-US"/>
        </w:rPr>
        <w:t xml:space="preserve">allegations or, when she did address them, offered </w:t>
      </w:r>
      <w:r w:rsidRPr="0088258A">
        <w:rPr>
          <w:sz w:val="28"/>
          <w:szCs w:val="28"/>
          <w:lang w:val="en-US"/>
        </w:rPr>
        <w:t>palpably false explanations. For example:</w:t>
      </w:r>
    </w:p>
    <w:p w:rsidR="00B2175E" w:rsidRPr="0088258A" w:rsidRDefault="009D7FB0" w:rsidP="00B2175E">
      <w:pPr>
        <w:pStyle w:val="2"/>
        <w:rPr>
          <w:sz w:val="28"/>
          <w:szCs w:val="28"/>
        </w:rPr>
      </w:pPr>
      <w:r w:rsidRPr="0088258A">
        <w:rPr>
          <w:sz w:val="28"/>
          <w:szCs w:val="28"/>
        </w:rPr>
        <w:t>No explanation was given for why there were no transcripts of the meetings with the Presidency and the State Security Agency.</w:t>
      </w:r>
    </w:p>
    <w:p w:rsidR="009D7FB0" w:rsidRPr="0088258A" w:rsidRDefault="00CF48DF" w:rsidP="00B2175E">
      <w:pPr>
        <w:pStyle w:val="2"/>
        <w:rPr>
          <w:sz w:val="28"/>
          <w:szCs w:val="28"/>
        </w:rPr>
      </w:pPr>
      <w:r w:rsidRPr="0088258A">
        <w:rPr>
          <w:sz w:val="28"/>
          <w:szCs w:val="28"/>
        </w:rPr>
        <w:t>No explanation was provi</w:t>
      </w:r>
      <w:r w:rsidR="00BD4948" w:rsidRPr="0088258A">
        <w:rPr>
          <w:sz w:val="28"/>
          <w:szCs w:val="28"/>
        </w:rPr>
        <w:t>ded for why the vulnerability of</w:t>
      </w:r>
      <w:r w:rsidRPr="0088258A">
        <w:rPr>
          <w:sz w:val="28"/>
          <w:szCs w:val="28"/>
        </w:rPr>
        <w:t xml:space="preserve"> the </w:t>
      </w:r>
      <w:r w:rsidR="00BD4948" w:rsidRPr="0088258A">
        <w:rPr>
          <w:sz w:val="28"/>
          <w:szCs w:val="28"/>
        </w:rPr>
        <w:t>Reserve</w:t>
      </w:r>
      <w:r w:rsidRPr="0088258A">
        <w:rPr>
          <w:sz w:val="28"/>
          <w:szCs w:val="28"/>
        </w:rPr>
        <w:t xml:space="preserve"> Bank was discussed with the State Security Agency.</w:t>
      </w:r>
    </w:p>
    <w:p w:rsidR="00BD4948" w:rsidRPr="0088258A" w:rsidRDefault="00BD4948" w:rsidP="00B2175E">
      <w:pPr>
        <w:pStyle w:val="2"/>
        <w:rPr>
          <w:sz w:val="28"/>
          <w:szCs w:val="28"/>
        </w:rPr>
      </w:pPr>
      <w:r w:rsidRPr="0088258A">
        <w:rPr>
          <w:sz w:val="28"/>
          <w:szCs w:val="28"/>
        </w:rPr>
        <w:t>No explanation was provided for the meeting with the Presidency on 7 June 2018. Instead, another meeting with the Presidency, held on 25 April 2018, was disclosed for the first time.</w:t>
      </w:r>
      <w:r w:rsidRPr="0088258A">
        <w:rPr>
          <w:rStyle w:val="FootnoteReference"/>
          <w:sz w:val="28"/>
          <w:szCs w:val="28"/>
        </w:rPr>
        <w:footnoteReference w:id="44"/>
      </w:r>
    </w:p>
    <w:p w:rsidR="00BD4948" w:rsidRPr="0088258A" w:rsidRDefault="00BD4948" w:rsidP="00B2175E">
      <w:pPr>
        <w:pStyle w:val="2"/>
        <w:rPr>
          <w:sz w:val="28"/>
          <w:szCs w:val="28"/>
        </w:rPr>
      </w:pPr>
      <w:r w:rsidRPr="0088258A">
        <w:rPr>
          <w:sz w:val="28"/>
          <w:szCs w:val="28"/>
        </w:rPr>
        <w:t xml:space="preserve">The Public Protector’s failure to address the meeting of 7 June 2018 with the Presidency was woefully inappropriate. The handwritten notes of that meeting indicated that the Public Protector had discussed amending the Constitution to strip the Reserve Bank of its central function with the </w:t>
      </w:r>
      <w:r w:rsidR="00980F26">
        <w:rPr>
          <w:sz w:val="28"/>
          <w:szCs w:val="28"/>
        </w:rPr>
        <w:t>Presidency</w:t>
      </w:r>
      <w:r w:rsidRPr="0088258A">
        <w:rPr>
          <w:sz w:val="28"/>
          <w:szCs w:val="28"/>
        </w:rPr>
        <w:t xml:space="preserve">. It also showed that the Public Protector had been discussing her new remedial action of amending the SIU proclamation with the </w:t>
      </w:r>
      <w:r w:rsidR="00980F26">
        <w:rPr>
          <w:sz w:val="28"/>
          <w:szCs w:val="28"/>
        </w:rPr>
        <w:lastRenderedPageBreak/>
        <w:t>Presidency</w:t>
      </w:r>
      <w:r w:rsidR="00980F26" w:rsidRPr="0088258A">
        <w:rPr>
          <w:sz w:val="28"/>
          <w:szCs w:val="28"/>
        </w:rPr>
        <w:t xml:space="preserve"> </w:t>
      </w:r>
      <w:r w:rsidRPr="0088258A">
        <w:rPr>
          <w:sz w:val="28"/>
          <w:szCs w:val="28"/>
        </w:rPr>
        <w:t>when no other party had been given an opportunity to comment on the new remedial action.</w:t>
      </w:r>
      <w:r w:rsidR="00C744AC" w:rsidRPr="0088258A">
        <w:rPr>
          <w:sz w:val="28"/>
          <w:szCs w:val="28"/>
        </w:rPr>
        <w:t xml:space="preserve"> And despite the seriousness of these matters, the Public Protector decided not to offer a word of explanation.</w:t>
      </w:r>
    </w:p>
    <w:p w:rsidR="00BD4948" w:rsidRPr="0088258A" w:rsidRDefault="00C744AC" w:rsidP="00B2175E">
      <w:pPr>
        <w:pStyle w:val="2"/>
        <w:rPr>
          <w:sz w:val="28"/>
          <w:szCs w:val="28"/>
        </w:rPr>
      </w:pPr>
      <w:r w:rsidRPr="0088258A">
        <w:rPr>
          <w:sz w:val="28"/>
          <w:szCs w:val="28"/>
        </w:rPr>
        <w:t xml:space="preserve">Where the </w:t>
      </w:r>
      <w:r w:rsidR="00BD4948" w:rsidRPr="0088258A">
        <w:rPr>
          <w:sz w:val="28"/>
          <w:szCs w:val="28"/>
        </w:rPr>
        <w:t>Public Protector</w:t>
      </w:r>
      <w:r w:rsidRPr="0088258A">
        <w:rPr>
          <w:sz w:val="28"/>
          <w:szCs w:val="28"/>
        </w:rPr>
        <w:t xml:space="preserve"> did provide an explanation of the </w:t>
      </w:r>
      <w:r w:rsidR="002D2AF0" w:rsidRPr="0088258A">
        <w:rPr>
          <w:sz w:val="28"/>
          <w:szCs w:val="28"/>
        </w:rPr>
        <w:t xml:space="preserve">meeting with the </w:t>
      </w:r>
      <w:r w:rsidR="00BD4948" w:rsidRPr="0088258A">
        <w:rPr>
          <w:sz w:val="28"/>
          <w:szCs w:val="28"/>
        </w:rPr>
        <w:t>Presidency on 25 April 2017</w:t>
      </w:r>
      <w:r w:rsidRPr="0088258A">
        <w:rPr>
          <w:sz w:val="28"/>
          <w:szCs w:val="28"/>
        </w:rPr>
        <w:t>, it</w:t>
      </w:r>
      <w:r w:rsidR="00BD4948" w:rsidRPr="0088258A">
        <w:rPr>
          <w:sz w:val="28"/>
          <w:szCs w:val="28"/>
        </w:rPr>
        <w:t xml:space="preserve"> was </w:t>
      </w:r>
      <w:r w:rsidR="002D2AF0" w:rsidRPr="0088258A">
        <w:rPr>
          <w:sz w:val="28"/>
          <w:szCs w:val="28"/>
        </w:rPr>
        <w:t xml:space="preserve">demonstrably </w:t>
      </w:r>
      <w:r w:rsidR="00BD4948" w:rsidRPr="0088258A">
        <w:rPr>
          <w:sz w:val="28"/>
          <w:szCs w:val="28"/>
        </w:rPr>
        <w:t>false.</w:t>
      </w:r>
    </w:p>
    <w:p w:rsidR="002D2AF0" w:rsidRPr="0088258A" w:rsidRDefault="002D2AF0" w:rsidP="002D2AF0">
      <w:pPr>
        <w:pStyle w:val="1"/>
        <w:numPr>
          <w:ilvl w:val="2"/>
          <w:numId w:val="2"/>
        </w:numPr>
        <w:rPr>
          <w:sz w:val="28"/>
          <w:szCs w:val="28"/>
        </w:rPr>
      </w:pPr>
      <w:r w:rsidRPr="0088258A">
        <w:rPr>
          <w:sz w:val="28"/>
          <w:szCs w:val="28"/>
        </w:rPr>
        <w:t xml:space="preserve">Ms Mkhwebane’s affidavit said that: </w:t>
      </w:r>
    </w:p>
    <w:p w:rsidR="002D2AF0" w:rsidRPr="0088258A" w:rsidRDefault="002D2AF0" w:rsidP="002D2AF0">
      <w:pPr>
        <w:pStyle w:val="1"/>
        <w:numPr>
          <w:ilvl w:val="0"/>
          <w:numId w:val="0"/>
        </w:numPr>
        <w:ind w:left="3119"/>
        <w:rPr>
          <w:sz w:val="28"/>
          <w:szCs w:val="28"/>
        </w:rPr>
      </w:pPr>
      <w:r w:rsidRPr="0088258A">
        <w:rPr>
          <w:sz w:val="28"/>
          <w:szCs w:val="28"/>
        </w:rPr>
        <w:t>“</w:t>
      </w:r>
      <w:r w:rsidRPr="0088258A">
        <w:rPr>
          <w:i/>
          <w:sz w:val="28"/>
          <w:szCs w:val="28"/>
        </w:rPr>
        <w:t>from the discussion during our meeting</w:t>
      </w:r>
      <w:r w:rsidRPr="0088258A">
        <w:rPr>
          <w:sz w:val="28"/>
          <w:szCs w:val="28"/>
        </w:rPr>
        <w:t>, I became concerned that my draft remedial action to direct the President to establish a Judicial Commission may face similar difficulties as currently faced in the State of Capture report” (emphasis added).</w:t>
      </w:r>
      <w:r w:rsidR="00C744AC" w:rsidRPr="0088258A">
        <w:rPr>
          <w:rStyle w:val="FootnoteReference"/>
          <w:sz w:val="28"/>
          <w:szCs w:val="28"/>
        </w:rPr>
        <w:footnoteReference w:id="45"/>
      </w:r>
      <w:r w:rsidRPr="0088258A">
        <w:rPr>
          <w:sz w:val="28"/>
          <w:szCs w:val="28"/>
        </w:rPr>
        <w:t xml:space="preserve"> </w:t>
      </w:r>
    </w:p>
    <w:p w:rsidR="002D2AF0" w:rsidRPr="0088258A" w:rsidRDefault="002D2AF0" w:rsidP="002D2AF0">
      <w:pPr>
        <w:pStyle w:val="1"/>
        <w:numPr>
          <w:ilvl w:val="2"/>
          <w:numId w:val="2"/>
        </w:numPr>
        <w:rPr>
          <w:sz w:val="28"/>
          <w:szCs w:val="28"/>
        </w:rPr>
      </w:pPr>
      <w:r w:rsidRPr="0088258A">
        <w:rPr>
          <w:sz w:val="28"/>
          <w:szCs w:val="28"/>
        </w:rPr>
        <w:t xml:space="preserve">But the Public Protector’s draft remedial action (which was </w:t>
      </w:r>
      <w:r w:rsidR="001E4C0C" w:rsidRPr="0088258A">
        <w:rPr>
          <w:sz w:val="28"/>
          <w:szCs w:val="28"/>
        </w:rPr>
        <w:t xml:space="preserve">already </w:t>
      </w:r>
      <w:r w:rsidRPr="0088258A">
        <w:rPr>
          <w:sz w:val="28"/>
          <w:szCs w:val="28"/>
        </w:rPr>
        <w:t xml:space="preserve">issued to the parties in December 2016) did not direct the President to establish a commission </w:t>
      </w:r>
      <w:r w:rsidRPr="0088258A">
        <w:rPr>
          <w:sz w:val="28"/>
          <w:szCs w:val="28"/>
        </w:rPr>
        <w:lastRenderedPageBreak/>
        <w:t xml:space="preserve">of inquiry. It did no more than require him to </w:t>
      </w:r>
      <w:r w:rsidRPr="0088258A">
        <w:rPr>
          <w:i/>
          <w:sz w:val="28"/>
          <w:szCs w:val="28"/>
        </w:rPr>
        <w:t>consider</w:t>
      </w:r>
      <w:r w:rsidRPr="0088258A">
        <w:rPr>
          <w:sz w:val="28"/>
          <w:szCs w:val="28"/>
        </w:rPr>
        <w:t xml:space="preserve"> whether to establish a commission of inquiry. The Public Protector had therefore already taken account of the litigation pending on the State of Capture report (or had independently come to appreciate this legal issue) when she issued her preliminary report for comment in December 2016. It therefore could not have been “</w:t>
      </w:r>
      <w:r w:rsidRPr="0088258A">
        <w:rPr>
          <w:i/>
          <w:sz w:val="28"/>
          <w:szCs w:val="28"/>
        </w:rPr>
        <w:t>from the discussion during a meeting</w:t>
      </w:r>
      <w:r w:rsidRPr="0088258A">
        <w:rPr>
          <w:sz w:val="28"/>
          <w:szCs w:val="28"/>
        </w:rPr>
        <w:t xml:space="preserve">” with the </w:t>
      </w:r>
      <w:r w:rsidR="00980F26">
        <w:rPr>
          <w:sz w:val="28"/>
          <w:szCs w:val="28"/>
        </w:rPr>
        <w:t>Presidency</w:t>
      </w:r>
      <w:r w:rsidR="00980F26" w:rsidRPr="0088258A">
        <w:rPr>
          <w:sz w:val="28"/>
          <w:szCs w:val="28"/>
        </w:rPr>
        <w:t xml:space="preserve"> </w:t>
      </w:r>
      <w:r w:rsidRPr="0088258A">
        <w:rPr>
          <w:sz w:val="28"/>
          <w:szCs w:val="28"/>
        </w:rPr>
        <w:t xml:space="preserve">on 25 April 2017 that she became concerned about directing the </w:t>
      </w:r>
      <w:r w:rsidR="00980F26">
        <w:rPr>
          <w:sz w:val="28"/>
          <w:szCs w:val="28"/>
        </w:rPr>
        <w:t>Presidency</w:t>
      </w:r>
      <w:r w:rsidR="00980F26" w:rsidRPr="0088258A">
        <w:rPr>
          <w:sz w:val="28"/>
          <w:szCs w:val="28"/>
        </w:rPr>
        <w:t xml:space="preserve"> </w:t>
      </w:r>
      <w:r w:rsidRPr="0088258A">
        <w:rPr>
          <w:sz w:val="28"/>
          <w:szCs w:val="28"/>
        </w:rPr>
        <w:t xml:space="preserve">to appoint a commission of inquiry. By the time she met with the President in April 2017, she had already ensured that her remedial action did not direct the </w:t>
      </w:r>
      <w:r w:rsidR="00980F26">
        <w:rPr>
          <w:sz w:val="28"/>
          <w:szCs w:val="28"/>
        </w:rPr>
        <w:t>Presidency</w:t>
      </w:r>
      <w:r w:rsidR="00980F26" w:rsidRPr="0088258A">
        <w:rPr>
          <w:sz w:val="28"/>
          <w:szCs w:val="28"/>
        </w:rPr>
        <w:t xml:space="preserve"> </w:t>
      </w:r>
      <w:r w:rsidRPr="0088258A">
        <w:rPr>
          <w:sz w:val="28"/>
          <w:szCs w:val="28"/>
        </w:rPr>
        <w:t xml:space="preserve">to appoint a commission of inquiry but rather to consider whether to do so. </w:t>
      </w:r>
    </w:p>
    <w:p w:rsidR="00C744AC" w:rsidRPr="0088258A" w:rsidRDefault="002D2AF0" w:rsidP="002D2AF0">
      <w:pPr>
        <w:pStyle w:val="2"/>
        <w:rPr>
          <w:sz w:val="28"/>
          <w:szCs w:val="28"/>
        </w:rPr>
      </w:pPr>
      <w:r w:rsidRPr="0088258A">
        <w:rPr>
          <w:sz w:val="28"/>
          <w:szCs w:val="28"/>
        </w:rPr>
        <w:t xml:space="preserve">The meeting of 25 April 2017 therefore remained shrouded in mystery. The Public Protector’s explanation of what was discussed </w:t>
      </w:r>
      <w:r w:rsidR="00C744AC" w:rsidRPr="0088258A">
        <w:rPr>
          <w:sz w:val="28"/>
          <w:szCs w:val="28"/>
        </w:rPr>
        <w:t xml:space="preserve">was highly improbable. </w:t>
      </w:r>
    </w:p>
    <w:p w:rsidR="002D2AF0" w:rsidRPr="0088258A" w:rsidRDefault="00C744AC" w:rsidP="002D2AF0">
      <w:pPr>
        <w:pStyle w:val="2"/>
        <w:rPr>
          <w:sz w:val="28"/>
          <w:szCs w:val="28"/>
        </w:rPr>
      </w:pPr>
      <w:r w:rsidRPr="0088258A">
        <w:rPr>
          <w:sz w:val="28"/>
          <w:szCs w:val="28"/>
        </w:rPr>
        <w:t xml:space="preserve">The Public Protector’s failure to deal pertinently and responsibly with the serious accusations made against her impartiality in the </w:t>
      </w:r>
      <w:r w:rsidRPr="0088258A">
        <w:rPr>
          <w:sz w:val="28"/>
          <w:szCs w:val="28"/>
        </w:rPr>
        <w:lastRenderedPageBreak/>
        <w:t xml:space="preserve">light of these meetings, meant that the High Court was left with </w:t>
      </w:r>
      <w:r w:rsidR="00724DFC" w:rsidRPr="0088258A">
        <w:rPr>
          <w:sz w:val="28"/>
          <w:szCs w:val="28"/>
        </w:rPr>
        <w:t>only the handwritten notes as evidence of what was discuss</w:t>
      </w:r>
      <w:r w:rsidR="00E17906" w:rsidRPr="0088258A">
        <w:rPr>
          <w:sz w:val="28"/>
          <w:szCs w:val="28"/>
        </w:rPr>
        <w:t>ed at the meetings and no</w:t>
      </w:r>
      <w:r w:rsidR="00724DFC" w:rsidRPr="0088258A">
        <w:rPr>
          <w:sz w:val="28"/>
          <w:szCs w:val="28"/>
        </w:rPr>
        <w:t xml:space="preserve"> countervailing account from the Public Protector.</w:t>
      </w:r>
    </w:p>
    <w:p w:rsidR="00EA6967" w:rsidRPr="0088258A" w:rsidRDefault="00EA6967" w:rsidP="002D2AF0">
      <w:pPr>
        <w:pStyle w:val="2"/>
        <w:rPr>
          <w:sz w:val="28"/>
          <w:szCs w:val="28"/>
        </w:rPr>
      </w:pPr>
      <w:r w:rsidRPr="0088258A">
        <w:rPr>
          <w:sz w:val="28"/>
          <w:szCs w:val="28"/>
        </w:rPr>
        <w:t xml:space="preserve">This led the High Court to conclude that </w:t>
      </w:r>
      <w:r w:rsidRPr="00C41E0D">
        <w:rPr>
          <w:i/>
          <w:sz w:val="28"/>
          <w:szCs w:val="28"/>
        </w:rPr>
        <w:t>“the question remains unanswered as to why [the Public Protector] acted in such a secretive manner and she does not give an explanation for doing so.”</w:t>
      </w:r>
      <w:r w:rsidR="003A61DB" w:rsidRPr="0088258A">
        <w:rPr>
          <w:rStyle w:val="FootnoteReference"/>
          <w:sz w:val="28"/>
          <w:szCs w:val="28"/>
        </w:rPr>
        <w:footnoteReference w:id="46"/>
      </w:r>
    </w:p>
    <w:p w:rsidR="00B2175E" w:rsidRPr="0088258A" w:rsidRDefault="003A61DB" w:rsidP="00BD044A">
      <w:pPr>
        <w:pStyle w:val="1"/>
        <w:rPr>
          <w:sz w:val="28"/>
          <w:szCs w:val="28"/>
          <w:lang w:val="en-US"/>
        </w:rPr>
      </w:pPr>
      <w:r w:rsidRPr="0088258A">
        <w:rPr>
          <w:sz w:val="28"/>
          <w:szCs w:val="28"/>
          <w:lang w:val="en-US"/>
        </w:rPr>
        <w:t>The Public Prot</w:t>
      </w:r>
      <w:r w:rsidR="00724DFC" w:rsidRPr="0088258A">
        <w:rPr>
          <w:sz w:val="28"/>
          <w:szCs w:val="28"/>
          <w:lang w:val="en-US"/>
        </w:rPr>
        <w:t xml:space="preserve">ector’s </w:t>
      </w:r>
      <w:r w:rsidRPr="0088258A">
        <w:rPr>
          <w:sz w:val="28"/>
          <w:szCs w:val="28"/>
          <w:lang w:val="en-US"/>
        </w:rPr>
        <w:t>answering affidavit also misrepresented her reliance on the evidence of Dr Mokoka.</w:t>
      </w:r>
    </w:p>
    <w:p w:rsidR="006A431E" w:rsidRPr="0088258A" w:rsidRDefault="0022048A" w:rsidP="007E10F4">
      <w:pPr>
        <w:pStyle w:val="1"/>
        <w:rPr>
          <w:sz w:val="28"/>
          <w:szCs w:val="28"/>
          <w:lang w:val="en-US"/>
        </w:rPr>
      </w:pPr>
      <w:r w:rsidRPr="0088258A">
        <w:rPr>
          <w:sz w:val="28"/>
          <w:szCs w:val="28"/>
          <w:lang w:val="en-US"/>
        </w:rPr>
        <w:t xml:space="preserve">At paragraph 2 of </w:t>
      </w:r>
      <w:r w:rsidR="007E10F4" w:rsidRPr="0088258A">
        <w:rPr>
          <w:sz w:val="28"/>
          <w:szCs w:val="28"/>
          <w:lang w:val="en-US"/>
        </w:rPr>
        <w:t>her answering affidavit, Ms Mkhwebane said</w:t>
      </w:r>
      <w:r w:rsidR="006A431E" w:rsidRPr="0088258A">
        <w:rPr>
          <w:sz w:val="28"/>
          <w:szCs w:val="28"/>
          <w:lang w:val="en-US"/>
        </w:rPr>
        <w:t xml:space="preserve"> the following:</w:t>
      </w:r>
    </w:p>
    <w:p w:rsidR="007E10F4" w:rsidRPr="0088258A" w:rsidRDefault="006A431E" w:rsidP="006A431E">
      <w:pPr>
        <w:pStyle w:val="1"/>
        <w:numPr>
          <w:ilvl w:val="0"/>
          <w:numId w:val="0"/>
        </w:numPr>
        <w:ind w:left="1400" w:firstLine="40"/>
        <w:rPr>
          <w:sz w:val="28"/>
          <w:szCs w:val="28"/>
          <w:lang w:val="en-US"/>
        </w:rPr>
      </w:pPr>
      <w:r w:rsidRPr="00C41E0D">
        <w:rPr>
          <w:i/>
          <w:sz w:val="28"/>
          <w:szCs w:val="28"/>
          <w:lang w:val="en-US"/>
        </w:rPr>
        <w:t>“</w:t>
      </w:r>
      <w:proofErr w:type="gramStart"/>
      <w:r w:rsidRPr="00C41E0D">
        <w:rPr>
          <w:i/>
          <w:sz w:val="28"/>
          <w:szCs w:val="28"/>
          <w:lang w:val="en-US"/>
        </w:rPr>
        <w:t>where</w:t>
      </w:r>
      <w:proofErr w:type="gramEnd"/>
      <w:r w:rsidRPr="00C41E0D">
        <w:rPr>
          <w:i/>
          <w:sz w:val="28"/>
          <w:szCs w:val="28"/>
          <w:lang w:val="en-US"/>
        </w:rPr>
        <w:t xml:space="preserve"> I make averments relating to economics, I do so on the basis of advice received from economic experts during the investigation of the complaint referred to below.”</w:t>
      </w:r>
      <w:r w:rsidRPr="0088258A">
        <w:rPr>
          <w:rStyle w:val="FootnoteReference"/>
          <w:sz w:val="28"/>
          <w:szCs w:val="28"/>
          <w:lang w:val="en-US"/>
        </w:rPr>
        <w:footnoteReference w:id="47"/>
      </w:r>
      <w:r w:rsidR="007E10F4" w:rsidRPr="0088258A">
        <w:rPr>
          <w:sz w:val="28"/>
          <w:szCs w:val="28"/>
          <w:lang w:val="en-US"/>
        </w:rPr>
        <w:t xml:space="preserve"> </w:t>
      </w:r>
    </w:p>
    <w:p w:rsidR="001B0EFC" w:rsidRPr="0088258A" w:rsidRDefault="0022048A" w:rsidP="00BD044A">
      <w:pPr>
        <w:pStyle w:val="1"/>
        <w:rPr>
          <w:sz w:val="28"/>
          <w:szCs w:val="28"/>
          <w:lang w:val="en-US"/>
        </w:rPr>
      </w:pPr>
      <w:r w:rsidRPr="0088258A">
        <w:rPr>
          <w:sz w:val="28"/>
          <w:szCs w:val="28"/>
          <w:lang w:val="en-US"/>
        </w:rPr>
        <w:lastRenderedPageBreak/>
        <w:t xml:space="preserve">This is not a statement without significance in the context of the Public Protector’s investigation because the economic rationale of the so-called </w:t>
      </w:r>
      <w:r w:rsidR="00E17906" w:rsidRPr="0088258A">
        <w:rPr>
          <w:sz w:val="28"/>
          <w:szCs w:val="28"/>
          <w:lang w:val="en-US"/>
        </w:rPr>
        <w:t>“</w:t>
      </w:r>
      <w:r w:rsidRPr="0088258A">
        <w:rPr>
          <w:sz w:val="28"/>
          <w:szCs w:val="28"/>
          <w:lang w:val="en-US"/>
        </w:rPr>
        <w:t>ABSA lifeboat</w:t>
      </w:r>
      <w:r w:rsidR="00E17906" w:rsidRPr="0088258A">
        <w:rPr>
          <w:sz w:val="28"/>
          <w:szCs w:val="28"/>
          <w:lang w:val="en-US"/>
        </w:rPr>
        <w:t>”</w:t>
      </w:r>
      <w:r w:rsidRPr="0088258A">
        <w:rPr>
          <w:sz w:val="28"/>
          <w:szCs w:val="28"/>
          <w:lang w:val="en-US"/>
        </w:rPr>
        <w:t xml:space="preserve"> was an important aspect of the investigation. </w:t>
      </w:r>
      <w:r w:rsidR="001B0EFC" w:rsidRPr="0088258A">
        <w:rPr>
          <w:sz w:val="28"/>
          <w:szCs w:val="28"/>
          <w:lang w:val="en-US"/>
        </w:rPr>
        <w:t xml:space="preserve">The reference to the engagement of economic experts was intended to bolster the findings in the Report relating to the nature of the lifeboat and its impact. </w:t>
      </w:r>
    </w:p>
    <w:p w:rsidR="00810CB2" w:rsidRPr="0088258A" w:rsidRDefault="0022048A" w:rsidP="00BD044A">
      <w:pPr>
        <w:pStyle w:val="1"/>
        <w:rPr>
          <w:sz w:val="28"/>
          <w:szCs w:val="28"/>
          <w:lang w:val="en-US"/>
        </w:rPr>
      </w:pPr>
      <w:r w:rsidRPr="0088258A">
        <w:rPr>
          <w:sz w:val="28"/>
          <w:szCs w:val="28"/>
          <w:lang w:val="en-US"/>
        </w:rPr>
        <w:t>What this introductory passage sought to convey</w:t>
      </w:r>
      <w:r w:rsidR="001B0EFC" w:rsidRPr="0088258A">
        <w:rPr>
          <w:sz w:val="28"/>
          <w:szCs w:val="28"/>
          <w:lang w:val="en-US"/>
        </w:rPr>
        <w:t>, therefore,</w:t>
      </w:r>
      <w:r w:rsidRPr="0088258A">
        <w:rPr>
          <w:sz w:val="28"/>
          <w:szCs w:val="28"/>
          <w:lang w:val="en-US"/>
        </w:rPr>
        <w:t xml:space="preserve"> was that the </w:t>
      </w:r>
      <w:r w:rsidR="00DE137A" w:rsidRPr="0088258A">
        <w:rPr>
          <w:sz w:val="28"/>
          <w:szCs w:val="28"/>
          <w:lang w:val="en-US"/>
        </w:rPr>
        <w:t>statements in the Public Protector’s affidavit about economics</w:t>
      </w:r>
      <w:r w:rsidRPr="0088258A">
        <w:rPr>
          <w:sz w:val="28"/>
          <w:szCs w:val="28"/>
          <w:lang w:val="en-US"/>
        </w:rPr>
        <w:t xml:space="preserve"> were </w:t>
      </w:r>
      <w:r w:rsidR="00DE137A" w:rsidRPr="0088258A">
        <w:rPr>
          <w:sz w:val="28"/>
          <w:szCs w:val="28"/>
          <w:lang w:val="en-US"/>
        </w:rPr>
        <w:t xml:space="preserve">based on the advice she received </w:t>
      </w:r>
      <w:r w:rsidR="00DE137A" w:rsidRPr="0088258A">
        <w:rPr>
          <w:i/>
          <w:sz w:val="28"/>
          <w:szCs w:val="28"/>
          <w:lang w:val="en-US"/>
        </w:rPr>
        <w:t>from economic experts during the investigation</w:t>
      </w:r>
      <w:r w:rsidR="00DE137A" w:rsidRPr="0088258A">
        <w:rPr>
          <w:sz w:val="28"/>
          <w:szCs w:val="28"/>
          <w:lang w:val="en-US"/>
        </w:rPr>
        <w:t>.</w:t>
      </w:r>
    </w:p>
    <w:p w:rsidR="001B0EFC" w:rsidRPr="0088258A" w:rsidRDefault="0022048A" w:rsidP="00E17906">
      <w:pPr>
        <w:pStyle w:val="1"/>
        <w:rPr>
          <w:sz w:val="28"/>
          <w:szCs w:val="28"/>
          <w:lang w:val="en-US"/>
        </w:rPr>
      </w:pPr>
      <w:r w:rsidRPr="0088258A">
        <w:rPr>
          <w:sz w:val="28"/>
          <w:szCs w:val="28"/>
          <w:lang w:val="en-US"/>
        </w:rPr>
        <w:t xml:space="preserve">At paragraph 126 of her affidavit, the Public Protector explained that </w:t>
      </w:r>
      <w:r w:rsidR="001B0EFC" w:rsidRPr="0088258A">
        <w:rPr>
          <w:sz w:val="28"/>
          <w:szCs w:val="28"/>
          <w:lang w:val="en-US"/>
        </w:rPr>
        <w:t xml:space="preserve">she had engaged the services of </w:t>
      </w:r>
      <w:r w:rsidRPr="0088258A">
        <w:rPr>
          <w:sz w:val="28"/>
          <w:szCs w:val="28"/>
          <w:lang w:val="en-US"/>
        </w:rPr>
        <w:t xml:space="preserve">Dr </w:t>
      </w:r>
      <w:r w:rsidR="001B0EFC" w:rsidRPr="0088258A">
        <w:rPr>
          <w:sz w:val="28"/>
          <w:szCs w:val="28"/>
          <w:lang w:val="en-US"/>
        </w:rPr>
        <w:t xml:space="preserve">Tshepo </w:t>
      </w:r>
      <w:r w:rsidRPr="0088258A">
        <w:rPr>
          <w:sz w:val="28"/>
          <w:szCs w:val="28"/>
          <w:lang w:val="en-US"/>
        </w:rPr>
        <w:t>Mokoka</w:t>
      </w:r>
      <w:r w:rsidR="001B0EFC" w:rsidRPr="0088258A">
        <w:rPr>
          <w:sz w:val="28"/>
          <w:szCs w:val="28"/>
          <w:lang w:val="en-US"/>
        </w:rPr>
        <w:t xml:space="preserve">, an economist and lecturer at Wits, </w:t>
      </w:r>
      <w:r w:rsidRPr="0088258A">
        <w:rPr>
          <w:sz w:val="28"/>
          <w:szCs w:val="28"/>
          <w:lang w:val="en-US"/>
        </w:rPr>
        <w:t>after the review applications had been received and, hence, after the investigation had been concluded.</w:t>
      </w:r>
      <w:r w:rsidR="001B0EFC" w:rsidRPr="0088258A">
        <w:rPr>
          <w:sz w:val="28"/>
          <w:szCs w:val="28"/>
          <w:lang w:val="en-US"/>
        </w:rPr>
        <w:t xml:space="preserve"> The paragraph then qualified Dr Mokoka as an expert on economics and on the issues traversed in his report.</w:t>
      </w:r>
      <w:r w:rsidR="001B0EFC" w:rsidRPr="0088258A">
        <w:rPr>
          <w:rStyle w:val="FootnoteReference"/>
          <w:sz w:val="28"/>
          <w:szCs w:val="28"/>
          <w:lang w:val="en-US"/>
        </w:rPr>
        <w:footnoteReference w:id="48"/>
      </w:r>
    </w:p>
    <w:p w:rsidR="0022048A" w:rsidRPr="0088258A" w:rsidRDefault="0022048A" w:rsidP="00BD044A">
      <w:pPr>
        <w:pStyle w:val="1"/>
        <w:rPr>
          <w:sz w:val="28"/>
          <w:szCs w:val="28"/>
          <w:lang w:val="en-US"/>
        </w:rPr>
      </w:pPr>
      <w:r w:rsidRPr="0088258A">
        <w:rPr>
          <w:sz w:val="28"/>
          <w:szCs w:val="28"/>
          <w:lang w:val="en-US"/>
        </w:rPr>
        <w:lastRenderedPageBreak/>
        <w:t xml:space="preserve">The statements in the affidavit relating to economics </w:t>
      </w:r>
      <w:r w:rsidR="001B0EFC" w:rsidRPr="0088258A">
        <w:rPr>
          <w:sz w:val="28"/>
          <w:szCs w:val="28"/>
          <w:lang w:val="en-US"/>
        </w:rPr>
        <w:t xml:space="preserve">ought </w:t>
      </w:r>
      <w:r w:rsidRPr="0088258A">
        <w:rPr>
          <w:sz w:val="28"/>
          <w:szCs w:val="28"/>
          <w:lang w:val="en-US"/>
        </w:rPr>
        <w:t xml:space="preserve">not, therefore, to have included the input from Dr Mokoka because he was not consulted </w:t>
      </w:r>
      <w:r w:rsidRPr="0088258A">
        <w:rPr>
          <w:i/>
          <w:sz w:val="28"/>
          <w:szCs w:val="28"/>
          <w:lang w:val="en-US"/>
        </w:rPr>
        <w:t>during the investigation</w:t>
      </w:r>
      <w:r w:rsidRPr="0088258A">
        <w:rPr>
          <w:sz w:val="28"/>
          <w:szCs w:val="28"/>
          <w:lang w:val="en-US"/>
        </w:rPr>
        <w:t>.</w:t>
      </w:r>
    </w:p>
    <w:p w:rsidR="00DE137A" w:rsidRPr="0088258A" w:rsidRDefault="0022048A" w:rsidP="00BD044A">
      <w:pPr>
        <w:pStyle w:val="1"/>
        <w:rPr>
          <w:sz w:val="28"/>
          <w:szCs w:val="28"/>
          <w:lang w:val="en-US"/>
        </w:rPr>
      </w:pPr>
      <w:r w:rsidRPr="0088258A">
        <w:rPr>
          <w:sz w:val="28"/>
          <w:szCs w:val="28"/>
          <w:lang w:val="en-US"/>
        </w:rPr>
        <w:t>However, there were numerous sections of the Public Protector’s answering affidavit that were direct copies of the statements in Dr Mokoka’s report.</w:t>
      </w:r>
      <w:r w:rsidRPr="0088258A">
        <w:rPr>
          <w:rStyle w:val="FootnoteReference"/>
          <w:sz w:val="28"/>
          <w:szCs w:val="28"/>
          <w:lang w:val="en-US"/>
        </w:rPr>
        <w:footnoteReference w:id="49"/>
      </w:r>
      <w:r w:rsidRPr="0088258A">
        <w:rPr>
          <w:sz w:val="28"/>
          <w:szCs w:val="28"/>
          <w:lang w:val="en-US"/>
        </w:rPr>
        <w:t xml:space="preserve"> </w:t>
      </w:r>
    </w:p>
    <w:p w:rsidR="00810CB2" w:rsidRPr="0088258A" w:rsidRDefault="007B0A83" w:rsidP="00BD044A">
      <w:pPr>
        <w:pStyle w:val="1"/>
        <w:rPr>
          <w:sz w:val="28"/>
          <w:szCs w:val="28"/>
          <w:lang w:val="en-US"/>
        </w:rPr>
      </w:pPr>
      <w:r w:rsidRPr="0088258A">
        <w:rPr>
          <w:sz w:val="28"/>
          <w:szCs w:val="28"/>
          <w:lang w:val="en-US"/>
        </w:rPr>
        <w:t>This led the High Court to conclude that Ms Mkhwebane had “failed to make a full disclosure when she pretended, in her answering affidavit, that she was acting on advice received with regard to averments relating to economics prior to finalizing her report”</w:t>
      </w:r>
      <w:r w:rsidR="00DE137A" w:rsidRPr="0088258A">
        <w:rPr>
          <w:sz w:val="28"/>
          <w:szCs w:val="28"/>
          <w:lang w:val="en-US"/>
        </w:rPr>
        <w:t>.</w:t>
      </w:r>
      <w:r w:rsidRPr="0088258A">
        <w:rPr>
          <w:rStyle w:val="FootnoteReference"/>
          <w:sz w:val="28"/>
          <w:szCs w:val="28"/>
          <w:lang w:val="en-US"/>
        </w:rPr>
        <w:footnoteReference w:id="50"/>
      </w:r>
    </w:p>
    <w:p w:rsidR="001B0EFC" w:rsidRPr="0088258A" w:rsidRDefault="007B0A83" w:rsidP="00BD044A">
      <w:pPr>
        <w:pStyle w:val="1"/>
        <w:rPr>
          <w:sz w:val="28"/>
          <w:szCs w:val="28"/>
          <w:lang w:val="en-US"/>
        </w:rPr>
      </w:pPr>
      <w:r w:rsidRPr="0088258A">
        <w:rPr>
          <w:sz w:val="28"/>
          <w:szCs w:val="28"/>
          <w:lang w:val="en-US"/>
        </w:rPr>
        <w:t xml:space="preserve">Ms Mkhwebane’s affidavit was neither candid nor frank about her engagement of economic experts. </w:t>
      </w:r>
      <w:r w:rsidR="001B0EFC" w:rsidRPr="0088258A">
        <w:rPr>
          <w:sz w:val="28"/>
          <w:szCs w:val="28"/>
          <w:lang w:val="en-US"/>
        </w:rPr>
        <w:t xml:space="preserve">She claimed that the statements in her affidavit relating to economics where based on the advice of economic experts she had consulted during the investigation but Dr </w:t>
      </w:r>
      <w:r w:rsidR="001B0EFC" w:rsidRPr="0088258A">
        <w:rPr>
          <w:sz w:val="28"/>
          <w:szCs w:val="28"/>
          <w:lang w:val="en-US"/>
        </w:rPr>
        <w:lastRenderedPageBreak/>
        <w:t>Mokoka was the only person identified as an economic expert and he had only been consulted after the investigation.</w:t>
      </w:r>
    </w:p>
    <w:p w:rsidR="001B0EFC" w:rsidRPr="0088258A" w:rsidRDefault="001B0EFC" w:rsidP="00BD044A">
      <w:pPr>
        <w:pStyle w:val="1"/>
        <w:rPr>
          <w:sz w:val="28"/>
          <w:szCs w:val="28"/>
          <w:lang w:val="en-US"/>
        </w:rPr>
      </w:pPr>
      <w:r w:rsidRPr="0088258A">
        <w:rPr>
          <w:sz w:val="28"/>
          <w:szCs w:val="28"/>
          <w:lang w:val="en-US"/>
        </w:rPr>
        <w:t xml:space="preserve">The reliance on Dr Mokoka’s advice was intended to bolster the economic </w:t>
      </w:r>
      <w:r w:rsidR="00154872" w:rsidRPr="0088258A">
        <w:rPr>
          <w:sz w:val="28"/>
          <w:szCs w:val="28"/>
          <w:lang w:val="en-US"/>
        </w:rPr>
        <w:t>conclusions</w:t>
      </w:r>
      <w:r w:rsidRPr="0088258A">
        <w:rPr>
          <w:sz w:val="28"/>
          <w:szCs w:val="28"/>
          <w:lang w:val="en-US"/>
        </w:rPr>
        <w:t xml:space="preserve"> of the Report. However, it was </w:t>
      </w:r>
      <w:r w:rsidR="00406E4A">
        <w:rPr>
          <w:sz w:val="28"/>
          <w:szCs w:val="28"/>
          <w:lang w:val="en-US"/>
        </w:rPr>
        <w:t xml:space="preserve">incorrect </w:t>
      </w:r>
      <w:r w:rsidRPr="0088258A">
        <w:rPr>
          <w:sz w:val="28"/>
          <w:szCs w:val="28"/>
          <w:lang w:val="en-US"/>
        </w:rPr>
        <w:t>to represent those views as having been procured during the investigation.</w:t>
      </w:r>
    </w:p>
    <w:p w:rsidR="00154872" w:rsidRPr="0088258A" w:rsidRDefault="00154872" w:rsidP="00154872">
      <w:pPr>
        <w:pStyle w:val="1"/>
        <w:numPr>
          <w:ilvl w:val="0"/>
          <w:numId w:val="0"/>
        </w:numPr>
        <w:rPr>
          <w:sz w:val="28"/>
          <w:szCs w:val="28"/>
          <w:lang w:val="en-US"/>
        </w:rPr>
      </w:pPr>
    </w:p>
    <w:p w:rsidR="00810CB2" w:rsidRPr="0088258A" w:rsidRDefault="00810CB2" w:rsidP="00810CB2">
      <w:pPr>
        <w:pStyle w:val="Heading3"/>
        <w:rPr>
          <w:sz w:val="28"/>
          <w:szCs w:val="28"/>
          <w:lang w:val="en-US"/>
        </w:rPr>
      </w:pPr>
      <w:bookmarkStart w:id="13" w:name="_Toc524862305"/>
      <w:bookmarkStart w:id="14" w:name="_Toc524934235"/>
      <w:r w:rsidRPr="0088258A">
        <w:rPr>
          <w:sz w:val="28"/>
          <w:szCs w:val="28"/>
          <w:lang w:val="en-US"/>
        </w:rPr>
        <w:t>The explanation in this Court</w:t>
      </w:r>
      <w:bookmarkEnd w:id="13"/>
      <w:bookmarkEnd w:id="14"/>
    </w:p>
    <w:p w:rsidR="00810CB2" w:rsidRPr="0088258A" w:rsidRDefault="00810CB2" w:rsidP="00BD044A">
      <w:pPr>
        <w:pStyle w:val="1"/>
        <w:rPr>
          <w:sz w:val="28"/>
          <w:szCs w:val="28"/>
          <w:lang w:val="en-US"/>
        </w:rPr>
      </w:pPr>
      <w:r w:rsidRPr="0088258A">
        <w:rPr>
          <w:sz w:val="28"/>
          <w:szCs w:val="28"/>
          <w:lang w:val="en-US"/>
        </w:rPr>
        <w:t xml:space="preserve">In her founding and replying affidavits before this Court, the Public Protector has endeavored to explain the inadequacies of </w:t>
      </w:r>
      <w:r w:rsidR="00406E4A">
        <w:rPr>
          <w:sz w:val="28"/>
          <w:szCs w:val="28"/>
          <w:lang w:val="en-US"/>
        </w:rPr>
        <w:t xml:space="preserve">her </w:t>
      </w:r>
      <w:r w:rsidRPr="0088258A">
        <w:rPr>
          <w:sz w:val="28"/>
          <w:szCs w:val="28"/>
          <w:lang w:val="en-US"/>
        </w:rPr>
        <w:t xml:space="preserve">answering affidavit before the High Court. </w:t>
      </w:r>
    </w:p>
    <w:p w:rsidR="00810CB2" w:rsidRPr="0088258A" w:rsidRDefault="00810CB2" w:rsidP="00BD044A">
      <w:pPr>
        <w:pStyle w:val="1"/>
        <w:rPr>
          <w:sz w:val="28"/>
          <w:szCs w:val="28"/>
          <w:lang w:val="en-US"/>
        </w:rPr>
      </w:pPr>
      <w:r w:rsidRPr="0088258A">
        <w:rPr>
          <w:sz w:val="28"/>
          <w:szCs w:val="28"/>
          <w:lang w:val="en-US"/>
        </w:rPr>
        <w:t>But this is too little too late. This Court is required to determine whether</w:t>
      </w:r>
      <w:r w:rsidR="00E17906" w:rsidRPr="0088258A">
        <w:rPr>
          <w:sz w:val="28"/>
          <w:szCs w:val="28"/>
          <w:lang w:val="en-US"/>
        </w:rPr>
        <w:t>, on the facts that were presented to the High Court (and not which have subsequently been volunteered),</w:t>
      </w:r>
      <w:r w:rsidRPr="0088258A">
        <w:rPr>
          <w:sz w:val="28"/>
          <w:szCs w:val="28"/>
          <w:lang w:val="en-US"/>
        </w:rPr>
        <w:t xml:space="preserve"> the High Court</w:t>
      </w:r>
      <w:r w:rsidR="00E17906" w:rsidRPr="0088258A">
        <w:rPr>
          <w:sz w:val="28"/>
          <w:szCs w:val="28"/>
          <w:lang w:val="en-US"/>
        </w:rPr>
        <w:t xml:space="preserve"> materially misdirected itself in granting personal costs against the </w:t>
      </w:r>
      <w:r w:rsidRPr="0088258A">
        <w:rPr>
          <w:sz w:val="28"/>
          <w:szCs w:val="28"/>
          <w:lang w:val="en-US"/>
        </w:rPr>
        <w:t>Public Protector.</w:t>
      </w:r>
      <w:r w:rsidRPr="0088258A">
        <w:rPr>
          <w:rStyle w:val="FootnoteReference"/>
          <w:sz w:val="28"/>
          <w:szCs w:val="28"/>
          <w:lang w:val="en-US"/>
        </w:rPr>
        <w:footnoteReference w:id="51"/>
      </w:r>
    </w:p>
    <w:p w:rsidR="00810CB2" w:rsidRPr="0088258A" w:rsidRDefault="00810CB2" w:rsidP="00BD044A">
      <w:pPr>
        <w:pStyle w:val="1"/>
        <w:rPr>
          <w:sz w:val="28"/>
          <w:szCs w:val="28"/>
          <w:lang w:val="en-US"/>
        </w:rPr>
      </w:pPr>
      <w:r w:rsidRPr="0088258A">
        <w:rPr>
          <w:sz w:val="28"/>
          <w:szCs w:val="28"/>
          <w:lang w:val="en-US"/>
        </w:rPr>
        <w:lastRenderedPageBreak/>
        <w:t>The subsequent explanations ought</w:t>
      </w:r>
      <w:r w:rsidR="001967FE" w:rsidRPr="0088258A">
        <w:rPr>
          <w:sz w:val="28"/>
          <w:szCs w:val="28"/>
          <w:lang w:val="en-US"/>
        </w:rPr>
        <w:t>,</w:t>
      </w:r>
      <w:r w:rsidRPr="0088258A">
        <w:rPr>
          <w:sz w:val="28"/>
          <w:szCs w:val="28"/>
          <w:lang w:val="en-US"/>
        </w:rPr>
        <w:t xml:space="preserve"> therefore</w:t>
      </w:r>
      <w:r w:rsidR="001967FE" w:rsidRPr="0088258A">
        <w:rPr>
          <w:sz w:val="28"/>
          <w:szCs w:val="28"/>
          <w:lang w:val="en-US"/>
        </w:rPr>
        <w:t>,</w:t>
      </w:r>
      <w:r w:rsidRPr="0088258A">
        <w:rPr>
          <w:sz w:val="28"/>
          <w:szCs w:val="28"/>
          <w:lang w:val="en-US"/>
        </w:rPr>
        <w:t xml:space="preserve"> not to have a bearing on this appeal. However, even if this Court were to take them into account, they do </w:t>
      </w:r>
      <w:r w:rsidR="001967FE" w:rsidRPr="0088258A">
        <w:rPr>
          <w:sz w:val="28"/>
          <w:szCs w:val="28"/>
          <w:lang w:val="en-US"/>
        </w:rPr>
        <w:t xml:space="preserve">not assist the Public Protector. In fact, they compound the case against her. </w:t>
      </w:r>
    </w:p>
    <w:p w:rsidR="001967FE" w:rsidRPr="0088258A" w:rsidRDefault="001967FE" w:rsidP="00BD044A">
      <w:pPr>
        <w:pStyle w:val="1"/>
        <w:rPr>
          <w:sz w:val="28"/>
          <w:szCs w:val="28"/>
          <w:lang w:val="en-US"/>
        </w:rPr>
      </w:pPr>
      <w:r w:rsidRPr="0088258A">
        <w:rPr>
          <w:sz w:val="28"/>
          <w:szCs w:val="28"/>
          <w:lang w:val="en-US"/>
        </w:rPr>
        <w:t>To explain why this is so, requires a careful and detailed analysis of the changing versions of Ms Mkhwebane over the course of this li</w:t>
      </w:r>
      <w:r w:rsidR="00154872" w:rsidRPr="0088258A">
        <w:rPr>
          <w:sz w:val="28"/>
          <w:szCs w:val="28"/>
          <w:lang w:val="en-US"/>
        </w:rPr>
        <w:t>tigation. We set that out below, first, in relation to the meetings with the Presidency and the State Security Agency and, secondly, in relation to Dr Mokoka.</w:t>
      </w:r>
    </w:p>
    <w:p w:rsidR="00154872" w:rsidRPr="0088258A" w:rsidRDefault="00154872" w:rsidP="00A04597">
      <w:pPr>
        <w:pStyle w:val="Heading4"/>
        <w:rPr>
          <w:sz w:val="28"/>
          <w:szCs w:val="28"/>
          <w:lang w:val="en-US"/>
        </w:rPr>
      </w:pPr>
      <w:bookmarkStart w:id="16" w:name="_Toc524934236"/>
      <w:r w:rsidRPr="0088258A">
        <w:rPr>
          <w:sz w:val="28"/>
          <w:szCs w:val="28"/>
          <w:lang w:val="en-US"/>
        </w:rPr>
        <w:t>The meetings with the Presidency and the State Security Agency</w:t>
      </w:r>
      <w:bookmarkEnd w:id="16"/>
    </w:p>
    <w:p w:rsidR="001967FE" w:rsidRPr="0088258A" w:rsidRDefault="001967FE" w:rsidP="00BD044A">
      <w:pPr>
        <w:pStyle w:val="1"/>
        <w:rPr>
          <w:sz w:val="28"/>
          <w:szCs w:val="28"/>
          <w:lang w:val="en-US"/>
        </w:rPr>
      </w:pPr>
      <w:r w:rsidRPr="0088258A">
        <w:rPr>
          <w:sz w:val="28"/>
          <w:szCs w:val="28"/>
          <w:lang w:val="en-US"/>
        </w:rPr>
        <w:t xml:space="preserve">The Reserve Bank’s founding affidavits required Ms Mkhwebane to explain meetings she had with the Presidency and the State Security Agency after her provisional report was issued in December 2016 and before her final Report was issued on 19 June 2017. The handwritten notes of these meetings indicated that her independence in the investigation had been compromised because she was discussing matters that </w:t>
      </w:r>
      <w:r w:rsidR="001513C1" w:rsidRPr="0088258A">
        <w:rPr>
          <w:sz w:val="28"/>
          <w:szCs w:val="28"/>
          <w:lang w:val="en-US"/>
        </w:rPr>
        <w:t xml:space="preserve">ought not to have been discussed with either of these institutions. They also indicated that her impartiality was </w:t>
      </w:r>
      <w:r w:rsidR="00CD0461" w:rsidRPr="0088258A">
        <w:rPr>
          <w:sz w:val="28"/>
          <w:szCs w:val="28"/>
          <w:lang w:val="en-US"/>
        </w:rPr>
        <w:t xml:space="preserve">imperiled </w:t>
      </w:r>
      <w:r w:rsidR="001513C1" w:rsidRPr="0088258A">
        <w:rPr>
          <w:sz w:val="28"/>
          <w:szCs w:val="28"/>
          <w:lang w:val="en-US"/>
        </w:rPr>
        <w:t>because she appeared to be intent on undermining the Reserve Bank.</w:t>
      </w:r>
    </w:p>
    <w:p w:rsidR="00A04597" w:rsidRPr="0088258A" w:rsidRDefault="00A04597" w:rsidP="00BD044A">
      <w:pPr>
        <w:pStyle w:val="1"/>
        <w:rPr>
          <w:sz w:val="28"/>
          <w:szCs w:val="28"/>
          <w:lang w:val="en-US"/>
        </w:rPr>
      </w:pPr>
      <w:r w:rsidRPr="0088258A">
        <w:rPr>
          <w:sz w:val="28"/>
          <w:szCs w:val="28"/>
          <w:lang w:val="en-US"/>
        </w:rPr>
        <w:lastRenderedPageBreak/>
        <w:t>In this Court, the Public Protector endeavours to overcome the deficiencies in her explanation in the High Court. She says that she confused two meetings that she had had with the Presidency.</w:t>
      </w:r>
    </w:p>
    <w:p w:rsidR="00A04597" w:rsidRPr="0088258A" w:rsidRDefault="00A04597" w:rsidP="00BD044A">
      <w:pPr>
        <w:pStyle w:val="1"/>
        <w:rPr>
          <w:sz w:val="28"/>
          <w:szCs w:val="28"/>
          <w:lang w:val="en-US"/>
        </w:rPr>
      </w:pPr>
      <w:r w:rsidRPr="0088258A">
        <w:rPr>
          <w:sz w:val="28"/>
          <w:szCs w:val="28"/>
          <w:lang w:val="en-US"/>
        </w:rPr>
        <w:t>The salient features of the new explanation are these.</w:t>
      </w:r>
    </w:p>
    <w:p w:rsidR="00A04597" w:rsidRPr="0088258A" w:rsidRDefault="005A11A3" w:rsidP="005A11A3">
      <w:pPr>
        <w:pStyle w:val="2"/>
        <w:rPr>
          <w:sz w:val="28"/>
          <w:szCs w:val="28"/>
        </w:rPr>
      </w:pPr>
      <w:r w:rsidRPr="0088258A">
        <w:rPr>
          <w:sz w:val="28"/>
          <w:szCs w:val="28"/>
        </w:rPr>
        <w:t xml:space="preserve">When the Public Protector referred to the April meeting in her answering affidavit in the High Court (at paragraphs 171 to 173), she meant to refer to the June 2017 meeting because the </w:t>
      </w:r>
      <w:r w:rsidR="00A04597" w:rsidRPr="0088258A">
        <w:rPr>
          <w:sz w:val="28"/>
          <w:szCs w:val="28"/>
        </w:rPr>
        <w:t xml:space="preserve">meeting on 25 April 2017 was </w:t>
      </w:r>
      <w:r w:rsidRPr="0088258A">
        <w:rPr>
          <w:sz w:val="28"/>
          <w:szCs w:val="28"/>
        </w:rPr>
        <w:t xml:space="preserve">only </w:t>
      </w:r>
      <w:r w:rsidR="00A04597" w:rsidRPr="0088258A">
        <w:rPr>
          <w:sz w:val="28"/>
          <w:szCs w:val="28"/>
        </w:rPr>
        <w:t>a meet and greet with the Presidency. It had nothing to do with the investigation.</w:t>
      </w:r>
      <w:r w:rsidR="00B35CAC" w:rsidRPr="0088258A">
        <w:rPr>
          <w:rStyle w:val="FootnoteReference"/>
          <w:sz w:val="28"/>
          <w:szCs w:val="28"/>
        </w:rPr>
        <w:footnoteReference w:id="52"/>
      </w:r>
      <w:r w:rsidR="00A04597" w:rsidRPr="0088258A">
        <w:rPr>
          <w:sz w:val="28"/>
          <w:szCs w:val="28"/>
        </w:rPr>
        <w:t xml:space="preserve"> </w:t>
      </w:r>
    </w:p>
    <w:p w:rsidR="00A04597" w:rsidRPr="0088258A" w:rsidRDefault="00A04597" w:rsidP="00A04597">
      <w:pPr>
        <w:pStyle w:val="2"/>
        <w:rPr>
          <w:sz w:val="28"/>
          <w:szCs w:val="28"/>
        </w:rPr>
      </w:pPr>
      <w:r w:rsidRPr="0088258A">
        <w:rPr>
          <w:sz w:val="28"/>
          <w:szCs w:val="28"/>
        </w:rPr>
        <w:t xml:space="preserve">The </w:t>
      </w:r>
      <w:r w:rsidR="00936362" w:rsidRPr="0088258A">
        <w:rPr>
          <w:sz w:val="28"/>
          <w:szCs w:val="28"/>
        </w:rPr>
        <w:t xml:space="preserve">7 June 2017 meeting did relate to the investigation. It had been requested by the Presidency </w:t>
      </w:r>
      <w:r w:rsidR="00E80971" w:rsidRPr="0088258A">
        <w:rPr>
          <w:sz w:val="28"/>
          <w:szCs w:val="28"/>
        </w:rPr>
        <w:t>in the</w:t>
      </w:r>
      <w:r w:rsidRPr="0088258A">
        <w:rPr>
          <w:sz w:val="28"/>
          <w:szCs w:val="28"/>
        </w:rPr>
        <w:t xml:space="preserve"> response to the provisional report </w:t>
      </w:r>
      <w:r w:rsidR="00936362" w:rsidRPr="0088258A">
        <w:rPr>
          <w:sz w:val="28"/>
          <w:szCs w:val="28"/>
        </w:rPr>
        <w:t xml:space="preserve">that was sent to the Public Protector </w:t>
      </w:r>
      <w:r w:rsidR="005A11A3" w:rsidRPr="0088258A">
        <w:rPr>
          <w:sz w:val="28"/>
          <w:szCs w:val="28"/>
        </w:rPr>
        <w:t>on 28 February 2017</w:t>
      </w:r>
      <w:r w:rsidR="00936362" w:rsidRPr="0088258A">
        <w:rPr>
          <w:sz w:val="28"/>
          <w:szCs w:val="28"/>
        </w:rPr>
        <w:t xml:space="preserve">. The request from the Presidency for the June 2017 meeting was in order to clarify the </w:t>
      </w:r>
      <w:r w:rsidR="00E80971" w:rsidRPr="0088258A">
        <w:rPr>
          <w:sz w:val="28"/>
          <w:szCs w:val="28"/>
        </w:rPr>
        <w:t>response</w:t>
      </w:r>
      <w:r w:rsidR="00936362" w:rsidRPr="0088258A">
        <w:rPr>
          <w:sz w:val="28"/>
          <w:szCs w:val="28"/>
        </w:rPr>
        <w:t xml:space="preserve"> to the provisional report</w:t>
      </w:r>
      <w:r w:rsidR="005A11A3" w:rsidRPr="0088258A">
        <w:rPr>
          <w:sz w:val="28"/>
          <w:szCs w:val="28"/>
        </w:rPr>
        <w:t>.</w:t>
      </w:r>
      <w:r w:rsidR="00B35CAC" w:rsidRPr="0088258A">
        <w:rPr>
          <w:rStyle w:val="FootnoteReference"/>
          <w:sz w:val="28"/>
          <w:szCs w:val="28"/>
        </w:rPr>
        <w:footnoteReference w:id="53"/>
      </w:r>
    </w:p>
    <w:p w:rsidR="00936362" w:rsidRPr="0088258A" w:rsidRDefault="005A11A3" w:rsidP="005A11A3">
      <w:pPr>
        <w:pStyle w:val="1"/>
        <w:rPr>
          <w:sz w:val="28"/>
          <w:szCs w:val="28"/>
        </w:rPr>
      </w:pPr>
      <w:r w:rsidRPr="0088258A">
        <w:rPr>
          <w:sz w:val="28"/>
          <w:szCs w:val="28"/>
        </w:rPr>
        <w:lastRenderedPageBreak/>
        <w:t>The latter claim is false. As the Reserve Bank pointed out in its answering affidavit before this Court, the President’s response to the provisional report made no request for a meeting.</w:t>
      </w:r>
      <w:r w:rsidR="00936362" w:rsidRPr="0088258A">
        <w:rPr>
          <w:rStyle w:val="FootnoteReference"/>
          <w:sz w:val="28"/>
          <w:szCs w:val="28"/>
        </w:rPr>
        <w:footnoteReference w:id="54"/>
      </w:r>
      <w:r w:rsidRPr="0088258A">
        <w:rPr>
          <w:sz w:val="28"/>
          <w:szCs w:val="28"/>
        </w:rPr>
        <w:t xml:space="preserve"> </w:t>
      </w:r>
    </w:p>
    <w:p w:rsidR="005A11A3" w:rsidRPr="0088258A" w:rsidRDefault="005A11A3" w:rsidP="005A11A3">
      <w:pPr>
        <w:pStyle w:val="1"/>
        <w:rPr>
          <w:sz w:val="28"/>
          <w:szCs w:val="28"/>
        </w:rPr>
      </w:pPr>
      <w:r w:rsidRPr="0088258A">
        <w:rPr>
          <w:sz w:val="28"/>
          <w:szCs w:val="28"/>
        </w:rPr>
        <w:t xml:space="preserve">This prompted the Public Protector to file a </w:t>
      </w:r>
      <w:r w:rsidR="00980F26">
        <w:rPr>
          <w:sz w:val="28"/>
          <w:szCs w:val="28"/>
        </w:rPr>
        <w:t>replying</w:t>
      </w:r>
      <w:r w:rsidR="00980F26" w:rsidRPr="0088258A">
        <w:rPr>
          <w:sz w:val="28"/>
          <w:szCs w:val="28"/>
        </w:rPr>
        <w:t xml:space="preserve"> </w:t>
      </w:r>
      <w:r w:rsidRPr="0088258A">
        <w:rPr>
          <w:sz w:val="28"/>
          <w:szCs w:val="28"/>
        </w:rPr>
        <w:t xml:space="preserve">affidavit in this Court, in order to explain, for a third time, what precisely was the origin and content of the meeting with the Presidency on 7 June 2017. </w:t>
      </w:r>
    </w:p>
    <w:p w:rsidR="00936362" w:rsidRPr="0088258A" w:rsidRDefault="005A11A3" w:rsidP="005A11A3">
      <w:pPr>
        <w:pStyle w:val="1"/>
        <w:rPr>
          <w:sz w:val="28"/>
          <w:szCs w:val="28"/>
        </w:rPr>
      </w:pPr>
      <w:r w:rsidRPr="0088258A">
        <w:rPr>
          <w:sz w:val="28"/>
          <w:szCs w:val="28"/>
        </w:rPr>
        <w:t xml:space="preserve">Her replying affidavit is, however, again false. Ms Mkhwebane </w:t>
      </w:r>
      <w:r w:rsidR="00E17906" w:rsidRPr="0088258A">
        <w:rPr>
          <w:sz w:val="28"/>
          <w:szCs w:val="28"/>
        </w:rPr>
        <w:t xml:space="preserve">now </w:t>
      </w:r>
      <w:r w:rsidRPr="0088258A">
        <w:rPr>
          <w:sz w:val="28"/>
          <w:szCs w:val="28"/>
        </w:rPr>
        <w:t>says that there was a</w:t>
      </w:r>
      <w:r w:rsidR="00E17906" w:rsidRPr="0088258A">
        <w:rPr>
          <w:sz w:val="28"/>
          <w:szCs w:val="28"/>
        </w:rPr>
        <w:t xml:space="preserve">n </w:t>
      </w:r>
      <w:r w:rsidRPr="0088258A">
        <w:rPr>
          <w:sz w:val="28"/>
          <w:szCs w:val="28"/>
        </w:rPr>
        <w:t xml:space="preserve">error in her founding affidavit before this </w:t>
      </w:r>
      <w:r w:rsidR="00936362" w:rsidRPr="0088258A">
        <w:rPr>
          <w:sz w:val="28"/>
          <w:szCs w:val="28"/>
        </w:rPr>
        <w:t>C</w:t>
      </w:r>
      <w:r w:rsidRPr="0088258A">
        <w:rPr>
          <w:sz w:val="28"/>
          <w:szCs w:val="28"/>
        </w:rPr>
        <w:t xml:space="preserve">ourt. She </w:t>
      </w:r>
      <w:r w:rsidR="00FE7B9C">
        <w:rPr>
          <w:sz w:val="28"/>
          <w:szCs w:val="28"/>
        </w:rPr>
        <w:t xml:space="preserve">concedes </w:t>
      </w:r>
      <w:r w:rsidRPr="0088258A">
        <w:rPr>
          <w:sz w:val="28"/>
          <w:szCs w:val="28"/>
        </w:rPr>
        <w:t>that the President’s response to the provisional report did not request a meeting.</w:t>
      </w:r>
      <w:r w:rsidR="00936362" w:rsidRPr="0088258A">
        <w:rPr>
          <w:rStyle w:val="FootnoteReference"/>
          <w:sz w:val="28"/>
          <w:szCs w:val="28"/>
        </w:rPr>
        <w:footnoteReference w:id="55"/>
      </w:r>
      <w:r w:rsidRPr="0088258A">
        <w:rPr>
          <w:sz w:val="28"/>
          <w:szCs w:val="28"/>
        </w:rPr>
        <w:t xml:space="preserve"> But she explains that she just mistakenly referred to this document as containing the request </w:t>
      </w:r>
      <w:r w:rsidR="00936362" w:rsidRPr="0088258A">
        <w:rPr>
          <w:sz w:val="28"/>
          <w:szCs w:val="28"/>
        </w:rPr>
        <w:t xml:space="preserve">for a meeting to clarify the Presidency’s response to the provisional report. She meant to refer to the next </w:t>
      </w:r>
      <w:r w:rsidR="00E17906" w:rsidRPr="0088258A">
        <w:rPr>
          <w:sz w:val="28"/>
          <w:szCs w:val="28"/>
        </w:rPr>
        <w:t>document in the High C</w:t>
      </w:r>
      <w:r w:rsidR="00936362" w:rsidRPr="0088258A">
        <w:rPr>
          <w:sz w:val="28"/>
          <w:szCs w:val="28"/>
        </w:rPr>
        <w:t>ourt papers.</w:t>
      </w:r>
      <w:r w:rsidR="00936362" w:rsidRPr="0088258A">
        <w:rPr>
          <w:rStyle w:val="FootnoteReference"/>
          <w:sz w:val="28"/>
          <w:szCs w:val="28"/>
        </w:rPr>
        <w:footnoteReference w:id="56"/>
      </w:r>
      <w:r w:rsidR="00936362" w:rsidRPr="0088258A">
        <w:rPr>
          <w:sz w:val="28"/>
          <w:szCs w:val="28"/>
        </w:rPr>
        <w:t xml:space="preserve"> But this</w:t>
      </w:r>
      <w:r w:rsidR="00E17906" w:rsidRPr="0088258A">
        <w:rPr>
          <w:sz w:val="28"/>
          <w:szCs w:val="28"/>
        </w:rPr>
        <w:t>,</w:t>
      </w:r>
      <w:r w:rsidR="00936362" w:rsidRPr="0088258A">
        <w:rPr>
          <w:sz w:val="28"/>
          <w:szCs w:val="28"/>
        </w:rPr>
        <w:t xml:space="preserve"> again</w:t>
      </w:r>
      <w:r w:rsidR="00E17906" w:rsidRPr="0088258A">
        <w:rPr>
          <w:sz w:val="28"/>
          <w:szCs w:val="28"/>
        </w:rPr>
        <w:t>,</w:t>
      </w:r>
      <w:r w:rsidR="00936362" w:rsidRPr="0088258A">
        <w:rPr>
          <w:sz w:val="28"/>
          <w:szCs w:val="28"/>
        </w:rPr>
        <w:t xml:space="preserve"> is false.</w:t>
      </w:r>
    </w:p>
    <w:p w:rsidR="00936362" w:rsidRPr="0088258A" w:rsidRDefault="00936362" w:rsidP="005A11A3">
      <w:pPr>
        <w:pStyle w:val="1"/>
        <w:rPr>
          <w:sz w:val="28"/>
          <w:szCs w:val="28"/>
        </w:rPr>
      </w:pPr>
      <w:r w:rsidRPr="0088258A">
        <w:rPr>
          <w:sz w:val="28"/>
          <w:szCs w:val="28"/>
        </w:rPr>
        <w:lastRenderedPageBreak/>
        <w:t>The document that the Public Protector, now in her replying affidavit in this Court, contends is the request for the meeting to clarify the Presidency’s response to the provisional report, is the request for the April 2017 meeting.</w:t>
      </w:r>
      <w:r w:rsidRPr="0088258A">
        <w:rPr>
          <w:rStyle w:val="FootnoteReference"/>
          <w:sz w:val="28"/>
          <w:szCs w:val="28"/>
        </w:rPr>
        <w:footnoteReference w:id="57"/>
      </w:r>
      <w:r w:rsidRPr="0088258A">
        <w:rPr>
          <w:sz w:val="28"/>
          <w:szCs w:val="28"/>
        </w:rPr>
        <w:t xml:space="preserve"> This is the meeting that the Public Protector has already explained to this Court had nothing at all to do with the investigation.</w:t>
      </w:r>
    </w:p>
    <w:p w:rsidR="006B6466" w:rsidRPr="0088258A" w:rsidRDefault="00936362" w:rsidP="005A11A3">
      <w:pPr>
        <w:pStyle w:val="1"/>
        <w:rPr>
          <w:sz w:val="28"/>
          <w:szCs w:val="28"/>
        </w:rPr>
      </w:pPr>
      <w:r w:rsidRPr="0088258A">
        <w:rPr>
          <w:sz w:val="28"/>
          <w:szCs w:val="28"/>
        </w:rPr>
        <w:t xml:space="preserve">Thus, </w:t>
      </w:r>
      <w:r w:rsidR="006B6466" w:rsidRPr="0088258A">
        <w:rPr>
          <w:sz w:val="28"/>
          <w:szCs w:val="28"/>
        </w:rPr>
        <w:t xml:space="preserve">despite </w:t>
      </w:r>
      <w:r w:rsidRPr="0088258A">
        <w:rPr>
          <w:sz w:val="28"/>
          <w:szCs w:val="28"/>
        </w:rPr>
        <w:t xml:space="preserve">three successive </w:t>
      </w:r>
      <w:r w:rsidR="006B6466" w:rsidRPr="0088258A">
        <w:rPr>
          <w:sz w:val="28"/>
          <w:szCs w:val="28"/>
        </w:rPr>
        <w:t>explanations for the 7 June 2017 meeting with the Presidency, the Public Protector still has not come clean and frankly explained why the meeting was called.</w:t>
      </w:r>
    </w:p>
    <w:p w:rsidR="00F43A25" w:rsidRPr="0088258A" w:rsidRDefault="006B6466" w:rsidP="005A11A3">
      <w:pPr>
        <w:pStyle w:val="1"/>
        <w:rPr>
          <w:sz w:val="28"/>
          <w:szCs w:val="28"/>
        </w:rPr>
      </w:pPr>
      <w:r w:rsidRPr="0088258A">
        <w:rPr>
          <w:sz w:val="28"/>
          <w:szCs w:val="28"/>
        </w:rPr>
        <w:t xml:space="preserve">The Public Protector has also been less than frank about what was discussed. As we set out above, the explanation in her High Court affidavit of what was discussed at the meeting, </w:t>
      </w:r>
      <w:r w:rsidR="00F43A25" w:rsidRPr="0088258A">
        <w:rPr>
          <w:sz w:val="28"/>
          <w:szCs w:val="28"/>
        </w:rPr>
        <w:t xml:space="preserve">cannot be correct </w:t>
      </w:r>
      <w:r w:rsidRPr="0088258A">
        <w:rPr>
          <w:sz w:val="28"/>
          <w:szCs w:val="28"/>
        </w:rPr>
        <w:t xml:space="preserve">because </w:t>
      </w:r>
      <w:r w:rsidR="00F43A25" w:rsidRPr="0088258A">
        <w:rPr>
          <w:sz w:val="28"/>
          <w:szCs w:val="28"/>
        </w:rPr>
        <w:t>the provisional report did not direct the President to appoint a commission of inquiry; it required him</w:t>
      </w:r>
      <w:r w:rsidR="00FC32B7" w:rsidRPr="0088258A">
        <w:rPr>
          <w:sz w:val="28"/>
          <w:szCs w:val="28"/>
        </w:rPr>
        <w:t xml:space="preserve"> only</w:t>
      </w:r>
      <w:r w:rsidR="00F43A25" w:rsidRPr="0088258A">
        <w:rPr>
          <w:sz w:val="28"/>
          <w:szCs w:val="28"/>
        </w:rPr>
        <w:t xml:space="preserve"> to consider doing so.</w:t>
      </w:r>
    </w:p>
    <w:p w:rsidR="00F43A25" w:rsidRPr="0088258A" w:rsidRDefault="00772CC8" w:rsidP="005A11A3">
      <w:pPr>
        <w:pStyle w:val="1"/>
        <w:rPr>
          <w:sz w:val="28"/>
          <w:szCs w:val="28"/>
        </w:rPr>
      </w:pPr>
      <w:r w:rsidRPr="0088258A">
        <w:rPr>
          <w:sz w:val="28"/>
          <w:szCs w:val="28"/>
        </w:rPr>
        <w:t>In this Court, the explanations are contradictory.</w:t>
      </w:r>
    </w:p>
    <w:p w:rsidR="00151AF9" w:rsidRPr="0088258A" w:rsidRDefault="00772CC8" w:rsidP="00772CC8">
      <w:pPr>
        <w:pStyle w:val="2"/>
        <w:rPr>
          <w:sz w:val="28"/>
          <w:szCs w:val="28"/>
        </w:rPr>
      </w:pPr>
      <w:r w:rsidRPr="0088258A">
        <w:rPr>
          <w:sz w:val="28"/>
          <w:szCs w:val="28"/>
        </w:rPr>
        <w:lastRenderedPageBreak/>
        <w:t>On the one hand, the Public Protector says that the meetings with the Presidency had “nothing to do with the substance of the content of [her] Report”</w:t>
      </w:r>
      <w:r w:rsidR="002877F5" w:rsidRPr="0088258A">
        <w:rPr>
          <w:rStyle w:val="FootnoteReference"/>
          <w:sz w:val="28"/>
          <w:szCs w:val="28"/>
        </w:rPr>
        <w:footnoteReference w:id="58"/>
      </w:r>
      <w:r w:rsidR="00151AF9" w:rsidRPr="0088258A">
        <w:rPr>
          <w:sz w:val="28"/>
          <w:szCs w:val="28"/>
        </w:rPr>
        <w:t xml:space="preserve"> and that they did not discuss the final remedial action.</w:t>
      </w:r>
      <w:r w:rsidR="002877F5" w:rsidRPr="0088258A">
        <w:rPr>
          <w:rStyle w:val="FootnoteReference"/>
          <w:sz w:val="28"/>
          <w:szCs w:val="28"/>
        </w:rPr>
        <w:footnoteReference w:id="59"/>
      </w:r>
      <w:r w:rsidR="00151AF9" w:rsidRPr="0088258A">
        <w:rPr>
          <w:sz w:val="28"/>
          <w:szCs w:val="28"/>
        </w:rPr>
        <w:t xml:space="preserve"> </w:t>
      </w:r>
    </w:p>
    <w:p w:rsidR="00772CC8" w:rsidRPr="0088258A" w:rsidRDefault="002877F5" w:rsidP="002877F5">
      <w:pPr>
        <w:pStyle w:val="2"/>
        <w:rPr>
          <w:sz w:val="28"/>
          <w:szCs w:val="28"/>
        </w:rPr>
      </w:pPr>
      <w:r w:rsidRPr="0088258A">
        <w:rPr>
          <w:sz w:val="28"/>
          <w:szCs w:val="28"/>
        </w:rPr>
        <w:t xml:space="preserve">But that is false </w:t>
      </w:r>
      <w:r w:rsidR="00772CC8" w:rsidRPr="0088258A">
        <w:rPr>
          <w:sz w:val="28"/>
          <w:szCs w:val="28"/>
        </w:rPr>
        <w:t xml:space="preserve">on her own version, because </w:t>
      </w:r>
      <w:r w:rsidRPr="0088258A">
        <w:rPr>
          <w:sz w:val="28"/>
          <w:szCs w:val="28"/>
        </w:rPr>
        <w:t>Ms Mkhwebane</w:t>
      </w:r>
      <w:r w:rsidR="00772CC8" w:rsidRPr="0088258A">
        <w:rPr>
          <w:sz w:val="28"/>
          <w:szCs w:val="28"/>
        </w:rPr>
        <w:t xml:space="preserve"> confirms that the handwritten notes of the meeting of </w:t>
      </w:r>
      <w:r w:rsidRPr="0088258A">
        <w:rPr>
          <w:sz w:val="28"/>
          <w:szCs w:val="28"/>
        </w:rPr>
        <w:t>7 June 2018 set out “what was discussed at the meeting”.</w:t>
      </w:r>
      <w:r w:rsidRPr="0088258A">
        <w:rPr>
          <w:rStyle w:val="FootnoteReference"/>
          <w:sz w:val="28"/>
          <w:szCs w:val="28"/>
        </w:rPr>
        <w:footnoteReference w:id="60"/>
      </w:r>
      <w:r w:rsidRPr="0088258A">
        <w:rPr>
          <w:sz w:val="28"/>
          <w:szCs w:val="28"/>
        </w:rPr>
        <w:t xml:space="preserve"> The handwritten notes of the meeting with the Presidency on 7 June 2018 record that the following was discussed:</w:t>
      </w:r>
    </w:p>
    <w:p w:rsidR="002877F5" w:rsidRPr="0088258A" w:rsidRDefault="002877F5" w:rsidP="002877F5">
      <w:pPr>
        <w:pStyle w:val="3"/>
        <w:rPr>
          <w:sz w:val="28"/>
          <w:szCs w:val="28"/>
        </w:rPr>
      </w:pPr>
      <w:r w:rsidRPr="0088258A">
        <w:rPr>
          <w:sz w:val="28"/>
          <w:szCs w:val="28"/>
        </w:rPr>
        <w:t xml:space="preserve">The Public Protector discussed the SIU proclamation, </w:t>
      </w:r>
      <w:proofErr w:type="gramStart"/>
      <w:r w:rsidRPr="0088258A">
        <w:rPr>
          <w:sz w:val="28"/>
          <w:szCs w:val="28"/>
        </w:rPr>
        <w:t>its</w:t>
      </w:r>
      <w:proofErr w:type="gramEnd"/>
      <w:r w:rsidRPr="0088258A">
        <w:rPr>
          <w:sz w:val="28"/>
          <w:szCs w:val="28"/>
        </w:rPr>
        <w:t xml:space="preserve"> re-opening through amendment and the inclusion of other matters such as those involving Nedbank in the new proclamation.</w:t>
      </w:r>
      <w:r w:rsidRPr="0088258A">
        <w:rPr>
          <w:rStyle w:val="FootnoteReference"/>
          <w:sz w:val="28"/>
          <w:szCs w:val="28"/>
        </w:rPr>
        <w:footnoteReference w:id="61"/>
      </w:r>
      <w:r w:rsidRPr="0088258A">
        <w:rPr>
          <w:sz w:val="28"/>
          <w:szCs w:val="28"/>
        </w:rPr>
        <w:t xml:space="preserve"> This was the new remedial action in the final Report. It is therefore clearly false that the </w:t>
      </w:r>
      <w:r w:rsidRPr="0088258A">
        <w:rPr>
          <w:sz w:val="28"/>
          <w:szCs w:val="28"/>
        </w:rPr>
        <w:lastRenderedPageBreak/>
        <w:t xml:space="preserve">new remedial action was not discussed with the Presidency. </w:t>
      </w:r>
    </w:p>
    <w:p w:rsidR="002877F5" w:rsidRPr="0088258A" w:rsidRDefault="002877F5" w:rsidP="002877F5">
      <w:pPr>
        <w:pStyle w:val="3"/>
        <w:rPr>
          <w:sz w:val="28"/>
          <w:szCs w:val="28"/>
        </w:rPr>
      </w:pPr>
      <w:r w:rsidRPr="0088258A">
        <w:rPr>
          <w:sz w:val="28"/>
          <w:szCs w:val="28"/>
        </w:rPr>
        <w:t xml:space="preserve">Extensive details about the </w:t>
      </w:r>
      <w:r w:rsidR="00C77A28" w:rsidRPr="0088258A">
        <w:rPr>
          <w:sz w:val="28"/>
          <w:szCs w:val="28"/>
        </w:rPr>
        <w:t>investigation</w:t>
      </w:r>
      <w:r w:rsidRPr="0088258A">
        <w:rPr>
          <w:sz w:val="28"/>
          <w:szCs w:val="28"/>
        </w:rPr>
        <w:t xml:space="preserve"> </w:t>
      </w:r>
      <w:r w:rsidR="00C77A28" w:rsidRPr="0088258A">
        <w:rPr>
          <w:sz w:val="28"/>
          <w:szCs w:val="28"/>
        </w:rPr>
        <w:t>into</w:t>
      </w:r>
      <w:r w:rsidRPr="0088258A">
        <w:rPr>
          <w:sz w:val="28"/>
          <w:szCs w:val="28"/>
        </w:rPr>
        <w:t xml:space="preserve"> the CIEX report were discussed</w:t>
      </w:r>
      <w:r w:rsidR="00E17906" w:rsidRPr="0088258A">
        <w:rPr>
          <w:sz w:val="28"/>
          <w:szCs w:val="28"/>
        </w:rPr>
        <w:t>,</w:t>
      </w:r>
      <w:r w:rsidR="00C77A28" w:rsidRPr="0088258A">
        <w:rPr>
          <w:sz w:val="28"/>
          <w:szCs w:val="28"/>
        </w:rPr>
        <w:t xml:space="preserve"> including the interview with Dr Stals.</w:t>
      </w:r>
      <w:r w:rsidR="00C77A28" w:rsidRPr="0088258A">
        <w:rPr>
          <w:rStyle w:val="FootnoteReference"/>
          <w:sz w:val="28"/>
          <w:szCs w:val="28"/>
        </w:rPr>
        <w:footnoteReference w:id="62"/>
      </w:r>
    </w:p>
    <w:p w:rsidR="00C77A28" w:rsidRPr="0088258A" w:rsidRDefault="00C77A28" w:rsidP="002877F5">
      <w:pPr>
        <w:pStyle w:val="3"/>
        <w:rPr>
          <w:sz w:val="28"/>
          <w:szCs w:val="28"/>
        </w:rPr>
      </w:pPr>
      <w:r w:rsidRPr="0088258A">
        <w:rPr>
          <w:sz w:val="28"/>
          <w:szCs w:val="28"/>
        </w:rPr>
        <w:t>The Public Protector’s engagements with Mr Goodson were discussed. This included remedial</w:t>
      </w:r>
      <w:r w:rsidR="00D11368" w:rsidRPr="0088258A">
        <w:rPr>
          <w:sz w:val="28"/>
          <w:szCs w:val="28"/>
        </w:rPr>
        <w:t xml:space="preserve"> action to </w:t>
      </w:r>
      <w:r w:rsidR="00FC32B7" w:rsidRPr="0088258A">
        <w:rPr>
          <w:sz w:val="28"/>
          <w:szCs w:val="28"/>
        </w:rPr>
        <w:t xml:space="preserve">change </w:t>
      </w:r>
      <w:r w:rsidR="00FE7B9C">
        <w:rPr>
          <w:sz w:val="28"/>
          <w:szCs w:val="28"/>
        </w:rPr>
        <w:t xml:space="preserve">the </w:t>
      </w:r>
      <w:r w:rsidR="00D11368" w:rsidRPr="0088258A">
        <w:rPr>
          <w:sz w:val="28"/>
          <w:szCs w:val="28"/>
        </w:rPr>
        <w:t>constitution around the central bank.</w:t>
      </w:r>
      <w:r w:rsidR="00FC32B7" w:rsidRPr="0088258A">
        <w:rPr>
          <w:rStyle w:val="FootnoteReference"/>
          <w:sz w:val="28"/>
          <w:szCs w:val="28"/>
        </w:rPr>
        <w:footnoteReference w:id="63"/>
      </w:r>
    </w:p>
    <w:p w:rsidR="00490D82" w:rsidRPr="0088258A" w:rsidRDefault="00490D82" w:rsidP="00810CB2">
      <w:pPr>
        <w:pStyle w:val="2"/>
        <w:rPr>
          <w:sz w:val="28"/>
          <w:szCs w:val="28"/>
        </w:rPr>
      </w:pPr>
      <w:r w:rsidRPr="0088258A">
        <w:rPr>
          <w:sz w:val="28"/>
          <w:szCs w:val="28"/>
        </w:rPr>
        <w:t xml:space="preserve">The Public Protector’s dogged insistence that the substance of her remedial action in the final Report was not discussed with the Presidency at the meeting on 7 June 2018 is flatly contradicted by her own confirmation that the handwritten notes of the 7 June 2017 meeting reflect what was discussed. The two people from her office who attended the meeting with her, have also confirmed </w:t>
      </w:r>
      <w:r w:rsidRPr="0088258A">
        <w:rPr>
          <w:sz w:val="28"/>
          <w:szCs w:val="28"/>
        </w:rPr>
        <w:lastRenderedPageBreak/>
        <w:t>under oath that the handwritten notes correctly reflect what was discussed at the meeting.</w:t>
      </w:r>
    </w:p>
    <w:p w:rsidR="00D617A9" w:rsidRPr="0088258A" w:rsidRDefault="00D617A9" w:rsidP="00810CB2">
      <w:pPr>
        <w:pStyle w:val="2"/>
        <w:rPr>
          <w:sz w:val="28"/>
          <w:szCs w:val="28"/>
        </w:rPr>
      </w:pPr>
      <w:r w:rsidRPr="0088258A">
        <w:rPr>
          <w:sz w:val="28"/>
          <w:szCs w:val="28"/>
        </w:rPr>
        <w:t xml:space="preserve">The Public Protector’s explanation of the meeting with the State Security Agency is </w:t>
      </w:r>
      <w:r w:rsidR="003412BA" w:rsidRPr="0088258A">
        <w:rPr>
          <w:sz w:val="28"/>
          <w:szCs w:val="28"/>
        </w:rPr>
        <w:t xml:space="preserve">not only woefully late but also </w:t>
      </w:r>
      <w:r w:rsidRPr="0088258A">
        <w:rPr>
          <w:sz w:val="28"/>
          <w:szCs w:val="28"/>
        </w:rPr>
        <w:t xml:space="preserve">unintelligible. As we highlighted above, before the High Court, the Public Protector simply ignored the serious concern raised by the Reserve Bank that she was discussing its vulnerability with the State Security Agency. In this Court, </w:t>
      </w:r>
      <w:r w:rsidR="00A5091E" w:rsidRPr="0088258A">
        <w:rPr>
          <w:sz w:val="28"/>
          <w:szCs w:val="28"/>
        </w:rPr>
        <w:t xml:space="preserve">no explanation was offered in her founding affidavit. In her replying affidavit, for the first time, </w:t>
      </w:r>
      <w:r w:rsidRPr="0088258A">
        <w:rPr>
          <w:sz w:val="28"/>
          <w:szCs w:val="28"/>
        </w:rPr>
        <w:t xml:space="preserve">she purports to explain this discussion. </w:t>
      </w:r>
      <w:r w:rsidR="00140027" w:rsidRPr="0088258A">
        <w:rPr>
          <w:sz w:val="28"/>
          <w:szCs w:val="28"/>
        </w:rPr>
        <w:t>In he</w:t>
      </w:r>
      <w:r w:rsidR="007840D7" w:rsidRPr="0088258A">
        <w:rPr>
          <w:sz w:val="28"/>
          <w:szCs w:val="28"/>
        </w:rPr>
        <w:t>r replying affidavit, she denies</w:t>
      </w:r>
      <w:r w:rsidR="00140027" w:rsidRPr="0088258A">
        <w:rPr>
          <w:sz w:val="28"/>
          <w:szCs w:val="28"/>
        </w:rPr>
        <w:t xml:space="preserve"> that the notes of the meeting with the SSA appeared to indicate that she had discussed the vulnerability of the SARB with the SSA. But then she goes on to say the following</w:t>
      </w:r>
      <w:r w:rsidRPr="0088258A">
        <w:rPr>
          <w:sz w:val="28"/>
          <w:szCs w:val="28"/>
        </w:rPr>
        <w:t>:</w:t>
      </w:r>
    </w:p>
    <w:p w:rsidR="00D617A9" w:rsidRPr="0088258A" w:rsidRDefault="00D617A9" w:rsidP="00D617A9">
      <w:pPr>
        <w:pStyle w:val="2"/>
        <w:numPr>
          <w:ilvl w:val="0"/>
          <w:numId w:val="0"/>
        </w:numPr>
        <w:ind w:left="2160"/>
        <w:rPr>
          <w:sz w:val="28"/>
          <w:szCs w:val="28"/>
        </w:rPr>
      </w:pPr>
      <w:r w:rsidRPr="0088258A">
        <w:rPr>
          <w:sz w:val="28"/>
          <w:szCs w:val="28"/>
        </w:rPr>
        <w:t>“</w:t>
      </w:r>
      <w:r w:rsidRPr="0088258A">
        <w:rPr>
          <w:i/>
          <w:sz w:val="28"/>
          <w:szCs w:val="28"/>
        </w:rPr>
        <w:t>The vulnerability aspect as entailed in the no</w:t>
      </w:r>
      <w:r w:rsidR="00DE0557" w:rsidRPr="0088258A">
        <w:rPr>
          <w:i/>
          <w:sz w:val="28"/>
          <w:szCs w:val="28"/>
        </w:rPr>
        <w:t>t</w:t>
      </w:r>
      <w:r w:rsidRPr="0088258A">
        <w:rPr>
          <w:i/>
          <w:sz w:val="28"/>
          <w:szCs w:val="28"/>
        </w:rPr>
        <w:t>es related to the meeting with SSA, wherein Judge Heath’s media statement relating to his fear of “run on the banks” was discussed to mean SARB’s vulnerability with regard to its mandate</w:t>
      </w:r>
      <w:r w:rsidRPr="0088258A">
        <w:rPr>
          <w:sz w:val="28"/>
          <w:szCs w:val="28"/>
        </w:rPr>
        <w:t>”.</w:t>
      </w:r>
      <w:r w:rsidRPr="0088258A">
        <w:rPr>
          <w:rStyle w:val="FootnoteReference"/>
          <w:sz w:val="28"/>
          <w:szCs w:val="28"/>
        </w:rPr>
        <w:footnoteReference w:id="64"/>
      </w:r>
    </w:p>
    <w:p w:rsidR="00140027" w:rsidRPr="0088258A" w:rsidRDefault="00A5091E" w:rsidP="00A5091E">
      <w:pPr>
        <w:pStyle w:val="2"/>
        <w:rPr>
          <w:sz w:val="28"/>
          <w:szCs w:val="28"/>
        </w:rPr>
      </w:pPr>
      <w:r w:rsidRPr="0088258A">
        <w:rPr>
          <w:sz w:val="28"/>
          <w:szCs w:val="28"/>
        </w:rPr>
        <w:lastRenderedPageBreak/>
        <w:t>With all due respect to the Public Protector, this makes no sense</w:t>
      </w:r>
      <w:r w:rsidR="00140027" w:rsidRPr="0088258A">
        <w:rPr>
          <w:sz w:val="28"/>
          <w:szCs w:val="28"/>
        </w:rPr>
        <w:t xml:space="preserve">. </w:t>
      </w:r>
    </w:p>
    <w:p w:rsidR="00A5091E" w:rsidRPr="0088258A" w:rsidRDefault="00140027" w:rsidP="00A5091E">
      <w:pPr>
        <w:pStyle w:val="2"/>
        <w:rPr>
          <w:sz w:val="28"/>
          <w:szCs w:val="28"/>
        </w:rPr>
      </w:pPr>
      <w:r w:rsidRPr="0088258A">
        <w:rPr>
          <w:sz w:val="28"/>
          <w:szCs w:val="28"/>
        </w:rPr>
        <w:t xml:space="preserve">This Court, like the High Court, is therefore left with no clarity on why </w:t>
      </w:r>
      <w:r w:rsidR="00890453" w:rsidRPr="0088258A">
        <w:rPr>
          <w:sz w:val="28"/>
          <w:szCs w:val="28"/>
        </w:rPr>
        <w:t xml:space="preserve">the vulnerability of the Reserve Bank was discussed with the State Security Agency during an investigation into government’s failure to implement the CIEX report. </w:t>
      </w:r>
    </w:p>
    <w:p w:rsidR="007A4DCB" w:rsidRPr="0088258A" w:rsidRDefault="007A4DCB" w:rsidP="007A4DCB">
      <w:pPr>
        <w:pStyle w:val="1"/>
        <w:rPr>
          <w:sz w:val="28"/>
          <w:szCs w:val="28"/>
        </w:rPr>
      </w:pPr>
      <w:r w:rsidRPr="0088258A">
        <w:rPr>
          <w:sz w:val="28"/>
          <w:szCs w:val="28"/>
        </w:rPr>
        <w:t xml:space="preserve">The Public Protector continues to shirk her duties as a public functionary in litigation. Her persistent falsehoods cannot be explained away on the basis of a mistake or error. There are simply too many of them to make this a credible explanation. The Public Protector’s conduct before the High Court warranted a </w:t>
      </w:r>
      <w:r w:rsidRPr="0088258A">
        <w:rPr>
          <w:i/>
          <w:sz w:val="28"/>
          <w:szCs w:val="28"/>
        </w:rPr>
        <w:t>de bonis propriis</w:t>
      </w:r>
      <w:r w:rsidRPr="0088258A">
        <w:rPr>
          <w:sz w:val="28"/>
          <w:szCs w:val="28"/>
        </w:rPr>
        <w:t xml:space="preserve"> costs order against her because she acted in a grossly unreasonable manner. </w:t>
      </w:r>
    </w:p>
    <w:p w:rsidR="00D617A9" w:rsidRPr="0088258A" w:rsidRDefault="007A4DCB" w:rsidP="007A4DCB">
      <w:pPr>
        <w:pStyle w:val="1"/>
        <w:rPr>
          <w:sz w:val="28"/>
          <w:szCs w:val="28"/>
        </w:rPr>
      </w:pPr>
      <w:r w:rsidRPr="0088258A">
        <w:rPr>
          <w:sz w:val="28"/>
          <w:szCs w:val="28"/>
        </w:rPr>
        <w:t>In this Court, the Public Protector has endeavoured to explain away the serious findings against her on the basis of innocent errors. But her own affidavits before this Court show that they are no</w:t>
      </w:r>
      <w:r w:rsidR="001F6381">
        <w:rPr>
          <w:sz w:val="28"/>
          <w:szCs w:val="28"/>
        </w:rPr>
        <w:t>t</w:t>
      </w:r>
      <w:r w:rsidRPr="0088258A">
        <w:rPr>
          <w:sz w:val="28"/>
          <w:szCs w:val="28"/>
        </w:rPr>
        <w:t xml:space="preserve"> mere errors. The Public Protector has still not come clean about the meetings she had with the Presidency </w:t>
      </w:r>
      <w:r w:rsidR="00101BED" w:rsidRPr="0088258A">
        <w:rPr>
          <w:sz w:val="28"/>
          <w:szCs w:val="28"/>
        </w:rPr>
        <w:t xml:space="preserve">and the State Security Agency </w:t>
      </w:r>
      <w:r w:rsidRPr="0088258A">
        <w:rPr>
          <w:sz w:val="28"/>
          <w:szCs w:val="28"/>
        </w:rPr>
        <w:t xml:space="preserve">before she finalised the Report. </w:t>
      </w:r>
    </w:p>
    <w:p w:rsidR="007A4DCB" w:rsidRDefault="00D617A9" w:rsidP="007A4DCB">
      <w:pPr>
        <w:pStyle w:val="1"/>
        <w:rPr>
          <w:sz w:val="28"/>
          <w:szCs w:val="28"/>
        </w:rPr>
      </w:pPr>
      <w:r w:rsidRPr="0088258A">
        <w:rPr>
          <w:sz w:val="28"/>
          <w:szCs w:val="28"/>
        </w:rPr>
        <w:lastRenderedPageBreak/>
        <w:t xml:space="preserve">The Reserve Bank, this Court, and the public are entitled to know why she was discussing the new remedial action with the Presidency when she discussed it with no other affected party. They also have a right to know why amending the Constitution’s provisions around the powers of the central bank was being discussed with the Presidency. </w:t>
      </w:r>
      <w:r w:rsidR="00101BED" w:rsidRPr="0088258A">
        <w:rPr>
          <w:sz w:val="28"/>
          <w:szCs w:val="28"/>
        </w:rPr>
        <w:t xml:space="preserve">Finally, they are entitled to a clear explanation of why the security arm of the state was being asked about the vulnerability of the Reserve Bank. </w:t>
      </w:r>
    </w:p>
    <w:p w:rsidR="0036122E" w:rsidRDefault="00101BED" w:rsidP="007A4DCB">
      <w:pPr>
        <w:pStyle w:val="1"/>
        <w:rPr>
          <w:sz w:val="28"/>
          <w:szCs w:val="28"/>
        </w:rPr>
      </w:pPr>
      <w:r w:rsidRPr="0088258A">
        <w:rPr>
          <w:sz w:val="28"/>
          <w:szCs w:val="28"/>
        </w:rPr>
        <w:t>In its supplementary founding affidavit, the Reserve Bank made it clear that these meetings called into question whether the Public Protector’s investigation was independent and impartial. She was under a duty to explain her conduct. However, instead of doing so in a forthright manner, the Public Protector made false claims</w:t>
      </w:r>
      <w:r w:rsidR="0066632F" w:rsidRPr="0088258A">
        <w:rPr>
          <w:sz w:val="28"/>
          <w:szCs w:val="28"/>
        </w:rPr>
        <w:t xml:space="preserve"> and</w:t>
      </w:r>
      <w:r w:rsidRPr="0088258A">
        <w:rPr>
          <w:sz w:val="28"/>
          <w:szCs w:val="28"/>
        </w:rPr>
        <w:t xml:space="preserve"> </w:t>
      </w:r>
      <w:r w:rsidR="0066632F" w:rsidRPr="0088258A">
        <w:rPr>
          <w:sz w:val="28"/>
          <w:szCs w:val="28"/>
        </w:rPr>
        <w:t xml:space="preserve">obfuscated. </w:t>
      </w:r>
    </w:p>
    <w:p w:rsidR="0036122E" w:rsidRPr="0088258A" w:rsidRDefault="0036122E" w:rsidP="0036122E">
      <w:pPr>
        <w:pStyle w:val="1"/>
        <w:rPr>
          <w:sz w:val="28"/>
          <w:szCs w:val="28"/>
        </w:rPr>
      </w:pPr>
      <w:r>
        <w:rPr>
          <w:sz w:val="28"/>
          <w:szCs w:val="28"/>
        </w:rPr>
        <w:t>The Public Protector’s entire model of investigation was flawed. She failed to engage economic experts during the investigation. Instead, she allowed herself to be influenced by the partisan views of a maverick former shareholder of the Reserve Bank with a personal grievance against the Bank.</w:t>
      </w:r>
      <w:r>
        <w:rPr>
          <w:rStyle w:val="FootnoteReference"/>
          <w:sz w:val="28"/>
          <w:szCs w:val="28"/>
        </w:rPr>
        <w:footnoteReference w:id="65"/>
      </w:r>
      <w:r>
        <w:rPr>
          <w:sz w:val="28"/>
          <w:szCs w:val="28"/>
        </w:rPr>
        <w:t xml:space="preserve"> She also failed to engage with the parties most </w:t>
      </w:r>
      <w:r>
        <w:rPr>
          <w:sz w:val="28"/>
          <w:szCs w:val="28"/>
        </w:rPr>
        <w:lastRenderedPageBreak/>
        <w:t>affected by her new remedial action before she published her final report.</w:t>
      </w:r>
    </w:p>
    <w:p w:rsidR="00101BED" w:rsidRPr="0088258A" w:rsidRDefault="0036122E" w:rsidP="007A4DCB">
      <w:pPr>
        <w:pStyle w:val="1"/>
        <w:rPr>
          <w:sz w:val="28"/>
          <w:szCs w:val="28"/>
        </w:rPr>
      </w:pPr>
      <w:r>
        <w:rPr>
          <w:sz w:val="28"/>
          <w:szCs w:val="28"/>
        </w:rPr>
        <w:t xml:space="preserve">This type of investigation falls well short of </w:t>
      </w:r>
      <w:r w:rsidR="0066632F" w:rsidRPr="0088258A">
        <w:rPr>
          <w:sz w:val="28"/>
          <w:szCs w:val="28"/>
        </w:rPr>
        <w:t xml:space="preserve">the high standards of her office. </w:t>
      </w:r>
    </w:p>
    <w:p w:rsidR="00154872" w:rsidRPr="0088258A" w:rsidRDefault="00154872" w:rsidP="0066632F">
      <w:pPr>
        <w:pStyle w:val="1"/>
        <w:numPr>
          <w:ilvl w:val="0"/>
          <w:numId w:val="0"/>
        </w:numPr>
        <w:rPr>
          <w:sz w:val="28"/>
          <w:szCs w:val="28"/>
        </w:rPr>
      </w:pPr>
    </w:p>
    <w:p w:rsidR="00154872" w:rsidRPr="0088258A" w:rsidRDefault="00154872" w:rsidP="009F7C21">
      <w:pPr>
        <w:pStyle w:val="Heading4"/>
        <w:rPr>
          <w:sz w:val="28"/>
          <w:szCs w:val="28"/>
        </w:rPr>
      </w:pPr>
      <w:bookmarkStart w:id="17" w:name="_Toc524934237"/>
      <w:r w:rsidRPr="0088258A">
        <w:rPr>
          <w:sz w:val="28"/>
          <w:szCs w:val="28"/>
        </w:rPr>
        <w:t>Dr Mokoka’s involvement</w:t>
      </w:r>
      <w:bookmarkEnd w:id="17"/>
    </w:p>
    <w:p w:rsidR="00154872" w:rsidRPr="0088258A" w:rsidRDefault="00154872" w:rsidP="00154872">
      <w:pPr>
        <w:pStyle w:val="1"/>
        <w:rPr>
          <w:sz w:val="28"/>
          <w:szCs w:val="28"/>
        </w:rPr>
      </w:pPr>
      <w:r w:rsidRPr="0088258A">
        <w:rPr>
          <w:sz w:val="28"/>
          <w:szCs w:val="28"/>
        </w:rPr>
        <w:t>In her affidavits before this Court, the Public Protector endeavours to explain that she did not misrepresent her reliance on the work of Dr Mokoka in bolstering the economic conclusions of her Report.</w:t>
      </w:r>
    </w:p>
    <w:p w:rsidR="00154872" w:rsidRPr="0088258A" w:rsidRDefault="00154872" w:rsidP="00154872">
      <w:pPr>
        <w:pStyle w:val="1"/>
        <w:rPr>
          <w:sz w:val="28"/>
          <w:szCs w:val="28"/>
        </w:rPr>
      </w:pPr>
      <w:r w:rsidRPr="0088258A">
        <w:rPr>
          <w:sz w:val="28"/>
          <w:szCs w:val="28"/>
        </w:rPr>
        <w:t>She says that she consulted “Mr Stephen Mitford Goodson, a well-known author and former non-executive director of the South African Reserve Bank” during the investigation.</w:t>
      </w:r>
      <w:r w:rsidRPr="0088258A">
        <w:rPr>
          <w:rStyle w:val="FootnoteReference"/>
          <w:sz w:val="28"/>
          <w:szCs w:val="28"/>
        </w:rPr>
        <w:footnoteReference w:id="66"/>
      </w:r>
      <w:r w:rsidRPr="0088258A">
        <w:rPr>
          <w:sz w:val="28"/>
          <w:szCs w:val="28"/>
        </w:rPr>
        <w:t xml:space="preserve"> </w:t>
      </w:r>
    </w:p>
    <w:p w:rsidR="00154872" w:rsidRPr="0088258A" w:rsidRDefault="00154872" w:rsidP="00154872">
      <w:pPr>
        <w:pStyle w:val="1"/>
        <w:rPr>
          <w:sz w:val="28"/>
          <w:szCs w:val="28"/>
        </w:rPr>
      </w:pPr>
      <w:r w:rsidRPr="0088258A">
        <w:rPr>
          <w:sz w:val="28"/>
          <w:szCs w:val="28"/>
        </w:rPr>
        <w:t xml:space="preserve">But Mr Goodson is not an economic expert and the Public Protector never seeks to qualify him as one. She could not, therefore, have been referring to Mr Goodson when she said in the High Court that the </w:t>
      </w:r>
      <w:r w:rsidRPr="0088258A">
        <w:rPr>
          <w:sz w:val="28"/>
          <w:szCs w:val="28"/>
        </w:rPr>
        <w:lastRenderedPageBreak/>
        <w:t xml:space="preserve">averments in her affidavit relating to economics were based on the advice of </w:t>
      </w:r>
      <w:r w:rsidRPr="00C41E0D">
        <w:rPr>
          <w:i/>
          <w:sz w:val="28"/>
          <w:szCs w:val="28"/>
        </w:rPr>
        <w:t>economic experts</w:t>
      </w:r>
      <w:r w:rsidRPr="0088258A">
        <w:rPr>
          <w:sz w:val="28"/>
          <w:szCs w:val="28"/>
        </w:rPr>
        <w:t xml:space="preserve"> received during her investigation. The only person she qualified </w:t>
      </w:r>
      <w:r w:rsidR="00AF42B8" w:rsidRPr="0088258A">
        <w:rPr>
          <w:sz w:val="28"/>
          <w:szCs w:val="28"/>
        </w:rPr>
        <w:t>as an expert was Dr Mokoka and yet his input was received after the investigation was completed.</w:t>
      </w:r>
    </w:p>
    <w:p w:rsidR="00AF42B8" w:rsidRPr="0088258A" w:rsidRDefault="00AF42B8" w:rsidP="00154872">
      <w:pPr>
        <w:pStyle w:val="1"/>
        <w:rPr>
          <w:sz w:val="28"/>
          <w:szCs w:val="28"/>
        </w:rPr>
      </w:pPr>
      <w:r w:rsidRPr="0088258A">
        <w:rPr>
          <w:sz w:val="28"/>
          <w:szCs w:val="28"/>
        </w:rPr>
        <w:t xml:space="preserve">In a third affidavit before this Court, filed with the written submissions on behalf of the Public Protector, Ms Mkhwebane </w:t>
      </w:r>
      <w:r w:rsidR="00A04597" w:rsidRPr="0088258A">
        <w:rPr>
          <w:sz w:val="28"/>
          <w:szCs w:val="28"/>
        </w:rPr>
        <w:t xml:space="preserve">explains that </w:t>
      </w:r>
      <w:r w:rsidRPr="0088258A">
        <w:rPr>
          <w:sz w:val="28"/>
          <w:szCs w:val="28"/>
        </w:rPr>
        <w:t xml:space="preserve">she meant to say in the High Court that she relied on Dr Mokoka’s evidence only as “corroborative evidence” for the purposes of responding to the review applications. But </w:t>
      </w:r>
      <w:r w:rsidR="00A04597" w:rsidRPr="0088258A">
        <w:rPr>
          <w:sz w:val="28"/>
          <w:szCs w:val="28"/>
        </w:rPr>
        <w:t xml:space="preserve">that distinction was never made in the affidavits before the High Court. There was no careful delineation between the views that the Public Protector formed during her investigation based on the interview she had with a former non-executive director of the Reserve Bank, on the one hand, and the economic analysis of the ABSA lifeboat that she procured from Dr Mokoka after the investigation, on the other. </w:t>
      </w:r>
    </w:p>
    <w:p w:rsidR="00A04597" w:rsidRPr="0088258A" w:rsidRDefault="00A04597" w:rsidP="00154872">
      <w:pPr>
        <w:pStyle w:val="1"/>
        <w:rPr>
          <w:sz w:val="28"/>
          <w:szCs w:val="28"/>
        </w:rPr>
      </w:pPr>
      <w:r w:rsidRPr="0088258A">
        <w:rPr>
          <w:sz w:val="28"/>
          <w:szCs w:val="28"/>
        </w:rPr>
        <w:t xml:space="preserve">Without this delineation, the affidavit in the High </w:t>
      </w:r>
      <w:r w:rsidR="0066632F" w:rsidRPr="0088258A">
        <w:rPr>
          <w:sz w:val="28"/>
          <w:szCs w:val="28"/>
        </w:rPr>
        <w:t>Court wa</w:t>
      </w:r>
      <w:r w:rsidRPr="0088258A">
        <w:rPr>
          <w:sz w:val="28"/>
          <w:szCs w:val="28"/>
        </w:rPr>
        <w:t xml:space="preserve">s misleading because it </w:t>
      </w:r>
      <w:r w:rsidR="0066632F" w:rsidRPr="0088258A">
        <w:rPr>
          <w:sz w:val="28"/>
          <w:szCs w:val="28"/>
        </w:rPr>
        <w:t>conveyed</w:t>
      </w:r>
      <w:r w:rsidRPr="0088258A">
        <w:rPr>
          <w:sz w:val="28"/>
          <w:szCs w:val="28"/>
        </w:rPr>
        <w:t xml:space="preserve"> that the economic analysis that underpinned the Report was based on expert economic advice, which it was not.</w:t>
      </w:r>
    </w:p>
    <w:p w:rsidR="00AF42B8" w:rsidRPr="0088258A" w:rsidRDefault="00A04597" w:rsidP="00154872">
      <w:pPr>
        <w:pStyle w:val="1"/>
        <w:rPr>
          <w:sz w:val="28"/>
          <w:szCs w:val="28"/>
        </w:rPr>
      </w:pPr>
      <w:r w:rsidRPr="0088258A">
        <w:rPr>
          <w:sz w:val="28"/>
          <w:szCs w:val="28"/>
        </w:rPr>
        <w:lastRenderedPageBreak/>
        <w:t xml:space="preserve">The new explanation therefore does not assist the Public Protector because it still falls short of the standard expected of public officials in litigation. That standard is for full and frank disclosure. </w:t>
      </w:r>
      <w:r w:rsidR="00AF42B8" w:rsidRPr="0088258A">
        <w:rPr>
          <w:sz w:val="28"/>
          <w:szCs w:val="28"/>
        </w:rPr>
        <w:t>The Public Protector</w:t>
      </w:r>
      <w:r w:rsidRPr="0088258A">
        <w:rPr>
          <w:sz w:val="28"/>
          <w:szCs w:val="28"/>
        </w:rPr>
        <w:t xml:space="preserve">’s explanations are neither. </w:t>
      </w:r>
    </w:p>
    <w:p w:rsidR="0021384D" w:rsidRPr="0088258A" w:rsidRDefault="0021384D" w:rsidP="0021384D">
      <w:pPr>
        <w:pStyle w:val="1"/>
        <w:numPr>
          <w:ilvl w:val="0"/>
          <w:numId w:val="0"/>
        </w:numPr>
        <w:rPr>
          <w:sz w:val="28"/>
          <w:szCs w:val="28"/>
        </w:rPr>
      </w:pPr>
    </w:p>
    <w:p w:rsidR="0021384D" w:rsidRPr="0088258A" w:rsidRDefault="0021384D" w:rsidP="0021384D">
      <w:pPr>
        <w:pStyle w:val="Heading3"/>
        <w:rPr>
          <w:sz w:val="28"/>
          <w:szCs w:val="28"/>
        </w:rPr>
      </w:pPr>
      <w:bookmarkStart w:id="18" w:name="_Toc524862306"/>
      <w:bookmarkStart w:id="19" w:name="_Toc524934238"/>
      <w:r w:rsidRPr="0088258A">
        <w:rPr>
          <w:sz w:val="28"/>
          <w:szCs w:val="28"/>
        </w:rPr>
        <w:t>The third duty – not to pursue a meritless appeal</w:t>
      </w:r>
      <w:bookmarkEnd w:id="18"/>
      <w:bookmarkEnd w:id="19"/>
    </w:p>
    <w:p w:rsidR="00BF6AF2" w:rsidRPr="0088258A" w:rsidRDefault="00BF6AF2" w:rsidP="00154872">
      <w:pPr>
        <w:pStyle w:val="1"/>
        <w:rPr>
          <w:sz w:val="28"/>
          <w:szCs w:val="28"/>
        </w:rPr>
      </w:pPr>
      <w:r w:rsidRPr="0088258A">
        <w:rPr>
          <w:sz w:val="28"/>
          <w:szCs w:val="28"/>
        </w:rPr>
        <w:t xml:space="preserve">In </w:t>
      </w:r>
      <w:r w:rsidRPr="0088258A">
        <w:rPr>
          <w:i/>
          <w:sz w:val="28"/>
          <w:szCs w:val="28"/>
        </w:rPr>
        <w:t>Njongi</w:t>
      </w:r>
      <w:r w:rsidRPr="0088258A">
        <w:rPr>
          <w:sz w:val="28"/>
          <w:szCs w:val="28"/>
        </w:rPr>
        <w:t>,</w:t>
      </w:r>
      <w:r w:rsidR="001542E3" w:rsidRPr="0088258A">
        <w:rPr>
          <w:rStyle w:val="FootnoteReference"/>
          <w:sz w:val="28"/>
          <w:szCs w:val="28"/>
        </w:rPr>
        <w:footnoteReference w:id="67"/>
      </w:r>
      <w:r w:rsidRPr="0088258A">
        <w:rPr>
          <w:sz w:val="28"/>
          <w:szCs w:val="28"/>
        </w:rPr>
        <w:t xml:space="preserve"> this Court explained that public functionaries are not ordinary litigants. They have heightened obligations and must consider carefully what points to plead in litigation because of the impact they made have on the constitutional rights of others.</w:t>
      </w:r>
    </w:p>
    <w:p w:rsidR="00BF6AF2" w:rsidRPr="0088258A" w:rsidRDefault="00BF6AF2" w:rsidP="00154872">
      <w:pPr>
        <w:pStyle w:val="1"/>
        <w:rPr>
          <w:sz w:val="28"/>
          <w:szCs w:val="28"/>
        </w:rPr>
      </w:pPr>
      <w:r w:rsidRPr="0088258A">
        <w:rPr>
          <w:sz w:val="28"/>
          <w:szCs w:val="28"/>
        </w:rPr>
        <w:t>The underlying principle of that case finds new application in this matter. Just as it is incumbent upon organs of state to not to plead points in litigation that will unreasonably limit the constitutional rights of their opponents, so too, must organs of state be circumspect about the use of public funds to prosecute meritless appeals.</w:t>
      </w:r>
    </w:p>
    <w:p w:rsidR="00BF6AF2" w:rsidRPr="0088258A" w:rsidRDefault="00BF6AF2" w:rsidP="00B26E15">
      <w:pPr>
        <w:pStyle w:val="1"/>
        <w:rPr>
          <w:sz w:val="28"/>
          <w:szCs w:val="28"/>
        </w:rPr>
      </w:pPr>
      <w:r w:rsidRPr="0088258A">
        <w:rPr>
          <w:sz w:val="28"/>
          <w:szCs w:val="28"/>
        </w:rPr>
        <w:lastRenderedPageBreak/>
        <w:t>In this case, the Public Protector has pursued an appeal without prospects of success. The standard for overturning a costs order on appeal is an onerous one. The High Court must be shown to have misdirected itself. There was no prospect that the Public Protector would establish that in this case. She failed to comply with her most basic duty in review applications to file a full and complete record. Her explanations before the High Court were grossly inadequate and, at times, patently false.</w:t>
      </w:r>
      <w:r w:rsidR="001542E3" w:rsidRPr="0088258A">
        <w:rPr>
          <w:sz w:val="28"/>
          <w:szCs w:val="28"/>
        </w:rPr>
        <w:t xml:space="preserve"> </w:t>
      </w:r>
    </w:p>
    <w:p w:rsidR="001542E3" w:rsidRPr="0088258A" w:rsidRDefault="00BF6AF2" w:rsidP="001542E3">
      <w:pPr>
        <w:pStyle w:val="1"/>
        <w:rPr>
          <w:sz w:val="28"/>
          <w:szCs w:val="28"/>
        </w:rPr>
      </w:pPr>
      <w:r w:rsidRPr="0088258A">
        <w:rPr>
          <w:sz w:val="28"/>
          <w:szCs w:val="28"/>
        </w:rPr>
        <w:t>Pub</w:t>
      </w:r>
      <w:r w:rsidR="001542E3" w:rsidRPr="0088258A">
        <w:rPr>
          <w:sz w:val="28"/>
          <w:szCs w:val="28"/>
        </w:rPr>
        <w:t>l</w:t>
      </w:r>
      <w:r w:rsidRPr="0088258A">
        <w:rPr>
          <w:sz w:val="28"/>
          <w:szCs w:val="28"/>
        </w:rPr>
        <w:t>ic funds ought not</w:t>
      </w:r>
      <w:r w:rsidR="001542E3" w:rsidRPr="0088258A">
        <w:rPr>
          <w:sz w:val="28"/>
          <w:szCs w:val="28"/>
        </w:rPr>
        <w:t>, therefore,</w:t>
      </w:r>
      <w:r w:rsidRPr="0088258A">
        <w:rPr>
          <w:sz w:val="28"/>
          <w:szCs w:val="28"/>
        </w:rPr>
        <w:t xml:space="preserve"> to have been used to pursue this appeal.</w:t>
      </w:r>
      <w:r w:rsidR="001542E3" w:rsidRPr="0088258A">
        <w:rPr>
          <w:rStyle w:val="FootnoteReference"/>
          <w:sz w:val="28"/>
          <w:szCs w:val="28"/>
        </w:rPr>
        <w:footnoteReference w:id="68"/>
      </w:r>
      <w:r w:rsidR="001542E3" w:rsidRPr="0088258A">
        <w:rPr>
          <w:sz w:val="28"/>
          <w:szCs w:val="28"/>
        </w:rPr>
        <w:t xml:space="preserve"> We explain in the next secti</w:t>
      </w:r>
      <w:r w:rsidR="0076737E" w:rsidRPr="0088258A">
        <w:rPr>
          <w:sz w:val="28"/>
          <w:szCs w:val="28"/>
        </w:rPr>
        <w:t>on of these submissions how the Public Protector’s breach of this</w:t>
      </w:r>
      <w:r w:rsidR="001542E3" w:rsidRPr="0088258A">
        <w:rPr>
          <w:sz w:val="28"/>
          <w:szCs w:val="28"/>
        </w:rPr>
        <w:t xml:space="preserve"> third duty impacts on the appeal.</w:t>
      </w:r>
    </w:p>
    <w:p w:rsidR="0021384D" w:rsidRPr="0088258A" w:rsidRDefault="0021384D" w:rsidP="0076737E">
      <w:pPr>
        <w:pStyle w:val="1"/>
        <w:numPr>
          <w:ilvl w:val="0"/>
          <w:numId w:val="0"/>
        </w:numPr>
        <w:rPr>
          <w:sz w:val="28"/>
          <w:szCs w:val="28"/>
        </w:rPr>
      </w:pPr>
    </w:p>
    <w:p w:rsidR="00F229B3" w:rsidRPr="0088258A" w:rsidRDefault="00F229B3" w:rsidP="00F229B3">
      <w:pPr>
        <w:pStyle w:val="Heading2"/>
        <w:rPr>
          <w:sz w:val="28"/>
          <w:szCs w:val="28"/>
        </w:rPr>
      </w:pPr>
      <w:bookmarkStart w:id="20" w:name="_Toc524862307"/>
      <w:bookmarkStart w:id="21" w:name="_Toc524934239"/>
      <w:r w:rsidRPr="0088258A">
        <w:rPr>
          <w:sz w:val="28"/>
          <w:szCs w:val="28"/>
        </w:rPr>
        <w:lastRenderedPageBreak/>
        <w:t>Conclusion</w:t>
      </w:r>
      <w:bookmarkEnd w:id="20"/>
      <w:bookmarkEnd w:id="21"/>
    </w:p>
    <w:p w:rsidR="00F229B3" w:rsidRPr="0088258A" w:rsidRDefault="0076737E" w:rsidP="00154872">
      <w:pPr>
        <w:pStyle w:val="1"/>
        <w:rPr>
          <w:sz w:val="28"/>
          <w:szCs w:val="28"/>
        </w:rPr>
      </w:pPr>
      <w:r w:rsidRPr="0088258A">
        <w:rPr>
          <w:sz w:val="28"/>
          <w:szCs w:val="28"/>
        </w:rPr>
        <w:t xml:space="preserve">In the light of what is set out above, we submit that there was </w:t>
      </w:r>
      <w:r w:rsidR="007840D7" w:rsidRPr="0088258A">
        <w:rPr>
          <w:sz w:val="28"/>
          <w:szCs w:val="28"/>
        </w:rPr>
        <w:t xml:space="preserve">no material misdirection on the part of the High Court </w:t>
      </w:r>
      <w:r w:rsidR="00F229B3" w:rsidRPr="0088258A">
        <w:rPr>
          <w:sz w:val="28"/>
          <w:szCs w:val="28"/>
        </w:rPr>
        <w:t xml:space="preserve">in ordering Ms Mkhwebane to pay 15% of the Reserve Bank’s costs. </w:t>
      </w:r>
    </w:p>
    <w:p w:rsidR="007840D7" w:rsidRPr="0088258A" w:rsidRDefault="007840D7" w:rsidP="00154872">
      <w:pPr>
        <w:pStyle w:val="1"/>
        <w:rPr>
          <w:sz w:val="28"/>
          <w:szCs w:val="28"/>
        </w:rPr>
      </w:pPr>
      <w:r w:rsidRPr="0088258A">
        <w:rPr>
          <w:sz w:val="28"/>
          <w:szCs w:val="28"/>
        </w:rPr>
        <w:t>This means three things for this application:</w:t>
      </w:r>
    </w:p>
    <w:p w:rsidR="007840D7" w:rsidRPr="0088258A" w:rsidRDefault="007840D7" w:rsidP="007840D7">
      <w:pPr>
        <w:pStyle w:val="2"/>
        <w:rPr>
          <w:sz w:val="28"/>
          <w:szCs w:val="28"/>
        </w:rPr>
      </w:pPr>
      <w:r w:rsidRPr="0088258A">
        <w:rPr>
          <w:sz w:val="28"/>
          <w:szCs w:val="28"/>
        </w:rPr>
        <w:t xml:space="preserve">leave to appeal should not be granted because the appeal has no prospects of success; </w:t>
      </w:r>
    </w:p>
    <w:p w:rsidR="007840D7" w:rsidRPr="0088258A" w:rsidRDefault="007840D7" w:rsidP="007840D7">
      <w:pPr>
        <w:pStyle w:val="2"/>
        <w:rPr>
          <w:sz w:val="28"/>
          <w:szCs w:val="28"/>
        </w:rPr>
      </w:pPr>
      <w:r w:rsidRPr="0088258A">
        <w:rPr>
          <w:sz w:val="28"/>
          <w:szCs w:val="28"/>
        </w:rPr>
        <w:t>if leave to appeal</w:t>
      </w:r>
      <w:r w:rsidRPr="0088258A">
        <w:rPr>
          <w:rStyle w:val="FootnoteReference"/>
          <w:sz w:val="28"/>
          <w:szCs w:val="28"/>
        </w:rPr>
        <w:footnoteReference w:id="69"/>
      </w:r>
      <w:r w:rsidRPr="0088258A">
        <w:rPr>
          <w:sz w:val="28"/>
          <w:szCs w:val="28"/>
        </w:rPr>
        <w:t xml:space="preserve"> is granted, the appeal should be dismissed </w:t>
      </w:r>
      <w:r w:rsidR="00C82672">
        <w:rPr>
          <w:sz w:val="28"/>
          <w:szCs w:val="28"/>
        </w:rPr>
        <w:t>because</w:t>
      </w:r>
      <w:r w:rsidRPr="0088258A">
        <w:rPr>
          <w:sz w:val="28"/>
          <w:szCs w:val="28"/>
        </w:rPr>
        <w:t xml:space="preserve"> the High Court did not misdirect itself;</w:t>
      </w:r>
    </w:p>
    <w:p w:rsidR="007840D7" w:rsidRPr="0088258A" w:rsidRDefault="007840D7" w:rsidP="007840D7">
      <w:pPr>
        <w:pStyle w:val="2"/>
        <w:rPr>
          <w:sz w:val="28"/>
          <w:szCs w:val="28"/>
        </w:rPr>
      </w:pPr>
      <w:proofErr w:type="gramStart"/>
      <w:r w:rsidRPr="0088258A">
        <w:rPr>
          <w:sz w:val="28"/>
          <w:szCs w:val="28"/>
        </w:rPr>
        <w:t>in</w:t>
      </w:r>
      <w:proofErr w:type="gramEnd"/>
      <w:r w:rsidRPr="0088258A">
        <w:rPr>
          <w:sz w:val="28"/>
          <w:szCs w:val="28"/>
        </w:rPr>
        <w:t xml:space="preserve"> either event, </w:t>
      </w:r>
      <w:r w:rsidR="00C53787" w:rsidRPr="0088258A">
        <w:rPr>
          <w:sz w:val="28"/>
          <w:szCs w:val="28"/>
        </w:rPr>
        <w:t>the Reserve Bank’s costs in this Court should be paid by the Public Protector in her personal capacity</w:t>
      </w:r>
      <w:r w:rsidRPr="0088258A">
        <w:rPr>
          <w:sz w:val="28"/>
          <w:szCs w:val="28"/>
        </w:rPr>
        <w:t>.</w:t>
      </w:r>
    </w:p>
    <w:p w:rsidR="007840D7" w:rsidRPr="0088258A" w:rsidRDefault="007840D7" w:rsidP="007840D7">
      <w:pPr>
        <w:pStyle w:val="1"/>
        <w:rPr>
          <w:sz w:val="28"/>
          <w:szCs w:val="28"/>
        </w:rPr>
      </w:pPr>
      <w:r w:rsidRPr="0088258A">
        <w:rPr>
          <w:sz w:val="28"/>
          <w:szCs w:val="28"/>
        </w:rPr>
        <w:t xml:space="preserve">This is a case where a further personal costs order against the Public Protector is warranted. Ms Mkhwebane has used public funds to prosecute this appeal in circumstances where it had no prospect of </w:t>
      </w:r>
      <w:r w:rsidRPr="0088258A">
        <w:rPr>
          <w:sz w:val="28"/>
          <w:szCs w:val="28"/>
        </w:rPr>
        <w:lastRenderedPageBreak/>
        <w:t>success.</w:t>
      </w:r>
      <w:r w:rsidR="00C53787" w:rsidRPr="0088258A">
        <w:rPr>
          <w:rStyle w:val="FootnoteReference"/>
          <w:sz w:val="28"/>
          <w:szCs w:val="28"/>
        </w:rPr>
        <w:footnoteReference w:id="70"/>
      </w:r>
      <w:r w:rsidRPr="0088258A">
        <w:rPr>
          <w:sz w:val="28"/>
          <w:szCs w:val="28"/>
        </w:rPr>
        <w:t xml:space="preserve"> Ms Mkhwebane’s affidavi</w:t>
      </w:r>
      <w:r w:rsidR="00C503F6" w:rsidRPr="0088258A">
        <w:rPr>
          <w:sz w:val="28"/>
          <w:szCs w:val="28"/>
        </w:rPr>
        <w:t>ts before this Court</w:t>
      </w:r>
      <w:r w:rsidRPr="0088258A">
        <w:rPr>
          <w:sz w:val="28"/>
          <w:szCs w:val="28"/>
        </w:rPr>
        <w:t xml:space="preserve"> contain further false statements and inadequate explanations. </w:t>
      </w:r>
      <w:r w:rsidR="00C503F6" w:rsidRPr="0088258A">
        <w:rPr>
          <w:sz w:val="28"/>
          <w:szCs w:val="28"/>
        </w:rPr>
        <w:t xml:space="preserve">She has not conducted the litigation in this Court openly or frankly. </w:t>
      </w:r>
      <w:r w:rsidR="00C53787" w:rsidRPr="0088258A">
        <w:rPr>
          <w:sz w:val="28"/>
          <w:szCs w:val="28"/>
        </w:rPr>
        <w:t>Her failings are egregious and warrant a mark of displeasure from this Court.</w:t>
      </w:r>
    </w:p>
    <w:p w:rsidR="00C53787" w:rsidRPr="0088258A" w:rsidRDefault="00C53787" w:rsidP="007840D7">
      <w:pPr>
        <w:pStyle w:val="1"/>
        <w:rPr>
          <w:sz w:val="28"/>
          <w:szCs w:val="28"/>
        </w:rPr>
      </w:pPr>
      <w:r w:rsidRPr="0088258A">
        <w:rPr>
          <w:sz w:val="28"/>
          <w:szCs w:val="28"/>
        </w:rPr>
        <w:t>The Reserve Bank therefore seeks the following orders:</w:t>
      </w:r>
    </w:p>
    <w:p w:rsidR="00C53787" w:rsidRPr="0088258A" w:rsidRDefault="00C53787" w:rsidP="00C53787">
      <w:pPr>
        <w:pStyle w:val="2"/>
        <w:rPr>
          <w:sz w:val="28"/>
          <w:szCs w:val="28"/>
        </w:rPr>
      </w:pPr>
      <w:r w:rsidRPr="0088258A">
        <w:rPr>
          <w:sz w:val="28"/>
          <w:szCs w:val="28"/>
        </w:rPr>
        <w:t>dismissing the application for leave to appeal (and the application for direct access) or granting leave to appeal, but dismissing the appeal; and</w:t>
      </w:r>
    </w:p>
    <w:p w:rsidR="00154872" w:rsidRPr="00751226" w:rsidRDefault="00C53787" w:rsidP="00751226">
      <w:pPr>
        <w:pStyle w:val="2"/>
        <w:rPr>
          <w:sz w:val="28"/>
          <w:szCs w:val="28"/>
        </w:rPr>
      </w:pPr>
      <w:proofErr w:type="gramStart"/>
      <w:r w:rsidRPr="0088258A">
        <w:rPr>
          <w:sz w:val="28"/>
          <w:szCs w:val="28"/>
        </w:rPr>
        <w:t>directing</w:t>
      </w:r>
      <w:proofErr w:type="gramEnd"/>
      <w:r w:rsidRPr="0088258A">
        <w:rPr>
          <w:sz w:val="28"/>
          <w:szCs w:val="28"/>
        </w:rPr>
        <w:t xml:space="preserve"> that the Reserve Bank’</w:t>
      </w:r>
      <w:r w:rsidR="008353B7" w:rsidRPr="0088258A">
        <w:rPr>
          <w:sz w:val="28"/>
          <w:szCs w:val="28"/>
        </w:rPr>
        <w:t>s costs in this C</w:t>
      </w:r>
      <w:r w:rsidRPr="0088258A">
        <w:rPr>
          <w:sz w:val="28"/>
          <w:szCs w:val="28"/>
        </w:rPr>
        <w:t>ourt be paid by the Public Protector personally.</w:t>
      </w:r>
    </w:p>
    <w:p w:rsidR="00C53787" w:rsidRPr="0088258A" w:rsidRDefault="00C53787" w:rsidP="00A04597">
      <w:pPr>
        <w:pStyle w:val="1"/>
        <w:numPr>
          <w:ilvl w:val="0"/>
          <w:numId w:val="0"/>
        </w:numPr>
        <w:rPr>
          <w:b/>
          <w:sz w:val="28"/>
          <w:szCs w:val="28"/>
          <w:u w:val="thick"/>
        </w:rPr>
      </w:pPr>
      <w:r w:rsidRPr="0088258A">
        <w:rPr>
          <w:sz w:val="28"/>
          <w:szCs w:val="28"/>
        </w:rPr>
        <w:br w:type="page"/>
      </w:r>
      <w:r w:rsidRPr="0088258A">
        <w:rPr>
          <w:b/>
          <w:sz w:val="28"/>
          <w:szCs w:val="28"/>
          <w:u w:val="thick"/>
        </w:rPr>
        <w:lastRenderedPageBreak/>
        <w:t>PART B</w:t>
      </w:r>
    </w:p>
    <w:p w:rsidR="00676413" w:rsidRPr="0088258A" w:rsidRDefault="00F229B3" w:rsidP="00C53787">
      <w:pPr>
        <w:pStyle w:val="Heading1"/>
        <w:rPr>
          <w:sz w:val="28"/>
          <w:szCs w:val="28"/>
        </w:rPr>
      </w:pPr>
      <w:bookmarkStart w:id="22" w:name="_Toc524862308"/>
      <w:bookmarkStart w:id="23" w:name="_Toc524934240"/>
      <w:r w:rsidRPr="0088258A">
        <w:rPr>
          <w:sz w:val="28"/>
          <w:szCs w:val="28"/>
        </w:rPr>
        <w:t>T</w:t>
      </w:r>
      <w:r w:rsidR="00C53787" w:rsidRPr="0088258A">
        <w:rPr>
          <w:sz w:val="28"/>
          <w:szCs w:val="28"/>
        </w:rPr>
        <w:t>HE CROSS APPEAL</w:t>
      </w:r>
      <w:bookmarkEnd w:id="22"/>
      <w:bookmarkEnd w:id="23"/>
    </w:p>
    <w:p w:rsidR="0076737E" w:rsidRPr="0088258A" w:rsidRDefault="0076737E" w:rsidP="0076737E">
      <w:pPr>
        <w:pStyle w:val="1"/>
        <w:rPr>
          <w:sz w:val="28"/>
          <w:szCs w:val="28"/>
        </w:rPr>
      </w:pPr>
      <w:r w:rsidRPr="0088258A">
        <w:rPr>
          <w:sz w:val="28"/>
          <w:szCs w:val="28"/>
        </w:rPr>
        <w:t>In the High Court, the Reserve Bank sought a declaration that the Public Protector abused her office during the investigation that led to the Report.</w:t>
      </w:r>
    </w:p>
    <w:p w:rsidR="0076737E" w:rsidRPr="0088258A" w:rsidRDefault="0076737E" w:rsidP="00B26E15">
      <w:pPr>
        <w:pStyle w:val="1"/>
        <w:rPr>
          <w:sz w:val="28"/>
          <w:szCs w:val="28"/>
        </w:rPr>
      </w:pPr>
      <w:r w:rsidRPr="0088258A">
        <w:rPr>
          <w:sz w:val="28"/>
          <w:szCs w:val="28"/>
        </w:rPr>
        <w:t>The High Court found that such a declarator may well be warranted</w:t>
      </w:r>
      <w:r w:rsidRPr="0088258A">
        <w:rPr>
          <w:rStyle w:val="FootnoteReference"/>
          <w:sz w:val="28"/>
          <w:szCs w:val="28"/>
        </w:rPr>
        <w:footnoteReference w:id="71"/>
      </w:r>
      <w:r w:rsidRPr="0088258A">
        <w:rPr>
          <w:sz w:val="28"/>
          <w:szCs w:val="28"/>
        </w:rPr>
        <w:t xml:space="preserve"> but declined to grant the order </w:t>
      </w:r>
      <w:r w:rsidR="00664390" w:rsidRPr="0088258A">
        <w:rPr>
          <w:sz w:val="28"/>
          <w:szCs w:val="28"/>
        </w:rPr>
        <w:t>because it ought to have been brought “explicitly by an application for amendment and not only when the replying affidavit was filed.</w:t>
      </w:r>
      <w:r w:rsidRPr="0088258A">
        <w:rPr>
          <w:rStyle w:val="FootnoteReference"/>
          <w:sz w:val="28"/>
          <w:szCs w:val="28"/>
        </w:rPr>
        <w:footnoteReference w:id="72"/>
      </w:r>
      <w:r w:rsidRPr="0088258A">
        <w:rPr>
          <w:sz w:val="28"/>
          <w:szCs w:val="28"/>
        </w:rPr>
        <w:t xml:space="preserve"> </w:t>
      </w:r>
    </w:p>
    <w:p w:rsidR="0076737E" w:rsidRPr="0088258A" w:rsidRDefault="0076737E" w:rsidP="0076737E">
      <w:pPr>
        <w:pStyle w:val="1"/>
        <w:rPr>
          <w:sz w:val="28"/>
          <w:szCs w:val="28"/>
        </w:rPr>
      </w:pPr>
      <w:r w:rsidRPr="0088258A">
        <w:rPr>
          <w:sz w:val="28"/>
          <w:szCs w:val="28"/>
        </w:rPr>
        <w:t xml:space="preserve">In essence, the High Court refused the declaratory relief on procedural grounds. It did not refuse it on substantive grounds. It could not, because many of the findings it made in support of the </w:t>
      </w:r>
      <w:r w:rsidRPr="0088258A">
        <w:rPr>
          <w:i/>
          <w:sz w:val="28"/>
          <w:szCs w:val="28"/>
        </w:rPr>
        <w:t>de bonis propriis</w:t>
      </w:r>
      <w:r w:rsidRPr="0088258A">
        <w:rPr>
          <w:sz w:val="28"/>
          <w:szCs w:val="28"/>
        </w:rPr>
        <w:t xml:space="preserve"> costs order against </w:t>
      </w:r>
      <w:r w:rsidR="00664390" w:rsidRPr="0088258A">
        <w:rPr>
          <w:sz w:val="28"/>
          <w:szCs w:val="28"/>
        </w:rPr>
        <w:t xml:space="preserve">the Public Protector </w:t>
      </w:r>
      <w:r w:rsidRPr="0088258A">
        <w:rPr>
          <w:sz w:val="28"/>
          <w:szCs w:val="28"/>
        </w:rPr>
        <w:t xml:space="preserve">showed that </w:t>
      </w:r>
      <w:r w:rsidR="00664390" w:rsidRPr="0088258A">
        <w:rPr>
          <w:sz w:val="28"/>
          <w:szCs w:val="28"/>
        </w:rPr>
        <w:t xml:space="preserve">she had </w:t>
      </w:r>
      <w:r w:rsidRPr="0088258A">
        <w:rPr>
          <w:sz w:val="28"/>
          <w:szCs w:val="28"/>
        </w:rPr>
        <w:t xml:space="preserve">breached the terms of her office in the conduct of the investigation. </w:t>
      </w:r>
    </w:p>
    <w:p w:rsidR="00FF580B" w:rsidRPr="0088258A" w:rsidRDefault="00FF580B" w:rsidP="00FF580B">
      <w:pPr>
        <w:pStyle w:val="Heading2"/>
        <w:rPr>
          <w:rFonts w:eastAsia="Calibri"/>
          <w:iCs/>
          <w:color w:val="000000"/>
          <w:sz w:val="28"/>
          <w:szCs w:val="28"/>
          <w:lang w:val="en-GB"/>
        </w:rPr>
      </w:pPr>
      <w:bookmarkStart w:id="24" w:name="_Toc524862309"/>
      <w:bookmarkStart w:id="25" w:name="_Toc524934241"/>
      <w:r w:rsidRPr="0088258A">
        <w:rPr>
          <w:sz w:val="28"/>
          <w:szCs w:val="28"/>
        </w:rPr>
        <w:lastRenderedPageBreak/>
        <w:t>The procedural point</w:t>
      </w:r>
      <w:bookmarkEnd w:id="24"/>
      <w:bookmarkEnd w:id="25"/>
    </w:p>
    <w:p w:rsidR="00FF580B" w:rsidRPr="0088258A" w:rsidRDefault="0076737E" w:rsidP="0076737E">
      <w:pPr>
        <w:pStyle w:val="1"/>
        <w:rPr>
          <w:sz w:val="28"/>
          <w:szCs w:val="28"/>
        </w:rPr>
      </w:pPr>
      <w:r w:rsidRPr="0088258A">
        <w:rPr>
          <w:sz w:val="28"/>
          <w:szCs w:val="28"/>
        </w:rPr>
        <w:t xml:space="preserve">In its procedural rejection of the application for a declarator, the High Court overlooked the fact that the Reserve Bank’s supplementary founding affidavit already called on the Public Protector to account for her abuse of office. </w:t>
      </w:r>
      <w:r w:rsidR="00FF580B" w:rsidRPr="0088258A">
        <w:rPr>
          <w:sz w:val="28"/>
          <w:szCs w:val="28"/>
        </w:rPr>
        <w:t>The point did not, therefore, “spring for the first time in its replying affidavit”.</w:t>
      </w:r>
      <w:r w:rsidR="00FF580B" w:rsidRPr="0088258A">
        <w:rPr>
          <w:rStyle w:val="FootnoteReference"/>
          <w:sz w:val="28"/>
          <w:szCs w:val="28"/>
        </w:rPr>
        <w:footnoteReference w:id="73"/>
      </w:r>
      <w:r w:rsidR="00FF580B" w:rsidRPr="0088258A">
        <w:rPr>
          <w:sz w:val="28"/>
          <w:szCs w:val="28"/>
        </w:rPr>
        <w:t xml:space="preserve"> </w:t>
      </w:r>
    </w:p>
    <w:p w:rsidR="0076737E" w:rsidRPr="0088258A" w:rsidRDefault="0076737E" w:rsidP="0076737E">
      <w:pPr>
        <w:pStyle w:val="1"/>
        <w:rPr>
          <w:sz w:val="28"/>
          <w:szCs w:val="28"/>
        </w:rPr>
      </w:pPr>
      <w:r w:rsidRPr="0088258A">
        <w:rPr>
          <w:sz w:val="28"/>
          <w:szCs w:val="28"/>
        </w:rPr>
        <w:t>The supplementary founding affidavit made spec</w:t>
      </w:r>
      <w:r w:rsidR="00751226">
        <w:rPr>
          <w:sz w:val="28"/>
          <w:szCs w:val="28"/>
        </w:rPr>
        <w:t>ific reference to section 181</w:t>
      </w:r>
      <w:r w:rsidRPr="0088258A">
        <w:rPr>
          <w:sz w:val="28"/>
          <w:szCs w:val="28"/>
        </w:rPr>
        <w:t xml:space="preserve"> of the Constitution and called on the Public Protector to explain her conduct in the light of </w:t>
      </w:r>
      <w:r w:rsidR="00FF580B" w:rsidRPr="0088258A">
        <w:rPr>
          <w:sz w:val="28"/>
          <w:szCs w:val="28"/>
        </w:rPr>
        <w:t>the concerning evidence from the record of proceedings that appeared to indicate that she had failed to conduct her investigation impartially and independently</w:t>
      </w:r>
      <w:r w:rsidRPr="0088258A">
        <w:rPr>
          <w:sz w:val="28"/>
          <w:szCs w:val="28"/>
        </w:rPr>
        <w:t>.</w:t>
      </w:r>
      <w:r w:rsidR="00664390" w:rsidRPr="0088258A">
        <w:rPr>
          <w:rStyle w:val="FootnoteReference"/>
          <w:sz w:val="28"/>
          <w:szCs w:val="28"/>
        </w:rPr>
        <w:footnoteReference w:id="74"/>
      </w:r>
      <w:r w:rsidRPr="0088258A">
        <w:rPr>
          <w:sz w:val="28"/>
          <w:szCs w:val="28"/>
        </w:rPr>
        <w:t xml:space="preserve"> </w:t>
      </w:r>
    </w:p>
    <w:p w:rsidR="0076737E" w:rsidRPr="0088258A" w:rsidRDefault="0076737E" w:rsidP="0076737E">
      <w:pPr>
        <w:pStyle w:val="1"/>
        <w:rPr>
          <w:sz w:val="28"/>
          <w:szCs w:val="28"/>
        </w:rPr>
      </w:pPr>
      <w:r w:rsidRPr="0088258A">
        <w:rPr>
          <w:sz w:val="28"/>
          <w:szCs w:val="28"/>
        </w:rPr>
        <w:t>There was</w:t>
      </w:r>
      <w:r w:rsidR="00664390" w:rsidRPr="0088258A">
        <w:rPr>
          <w:sz w:val="28"/>
          <w:szCs w:val="28"/>
        </w:rPr>
        <w:t>,</w:t>
      </w:r>
      <w:r w:rsidRPr="0088258A">
        <w:rPr>
          <w:sz w:val="28"/>
          <w:szCs w:val="28"/>
        </w:rPr>
        <w:t xml:space="preserve"> accordingly</w:t>
      </w:r>
      <w:r w:rsidR="00664390" w:rsidRPr="0088258A">
        <w:rPr>
          <w:sz w:val="28"/>
          <w:szCs w:val="28"/>
        </w:rPr>
        <w:t>,</w:t>
      </w:r>
      <w:r w:rsidRPr="0088258A">
        <w:rPr>
          <w:sz w:val="28"/>
          <w:szCs w:val="28"/>
        </w:rPr>
        <w:t xml:space="preserve"> no prejudice to the Public Protector as a result of the request for the declarator being addressed in Reserve Bank’s replying affidavit. The grounds for it, and the demand for an account of her conduct, already appeared in the founding papers.</w:t>
      </w:r>
    </w:p>
    <w:p w:rsidR="0076737E" w:rsidRPr="0088258A" w:rsidRDefault="0076737E" w:rsidP="0076737E">
      <w:pPr>
        <w:pStyle w:val="1"/>
        <w:rPr>
          <w:sz w:val="28"/>
          <w:szCs w:val="28"/>
        </w:rPr>
      </w:pPr>
      <w:r w:rsidRPr="0088258A">
        <w:rPr>
          <w:sz w:val="28"/>
          <w:szCs w:val="28"/>
        </w:rPr>
        <w:lastRenderedPageBreak/>
        <w:t xml:space="preserve">This Court has also recently held in </w:t>
      </w:r>
      <w:r w:rsidR="00664390" w:rsidRPr="0088258A">
        <w:rPr>
          <w:i/>
          <w:sz w:val="28"/>
          <w:szCs w:val="28"/>
        </w:rPr>
        <w:t>Economic Freedom Fighters</w:t>
      </w:r>
      <w:r w:rsidR="00664390" w:rsidRPr="0088258A">
        <w:rPr>
          <w:sz w:val="28"/>
          <w:szCs w:val="28"/>
        </w:rPr>
        <w:t xml:space="preserve"> </w:t>
      </w:r>
      <w:r w:rsidRPr="0088258A">
        <w:rPr>
          <w:sz w:val="28"/>
          <w:szCs w:val="28"/>
        </w:rPr>
        <w:t xml:space="preserve">that: </w:t>
      </w:r>
    </w:p>
    <w:p w:rsidR="0076737E" w:rsidRPr="0088258A" w:rsidRDefault="0076737E" w:rsidP="00664390">
      <w:pPr>
        <w:pStyle w:val="1"/>
        <w:numPr>
          <w:ilvl w:val="0"/>
          <w:numId w:val="0"/>
        </w:numPr>
        <w:ind w:left="1440"/>
        <w:rPr>
          <w:i/>
          <w:sz w:val="28"/>
          <w:szCs w:val="28"/>
        </w:rPr>
      </w:pPr>
      <w:r w:rsidRPr="0088258A">
        <w:rPr>
          <w:i/>
          <w:sz w:val="28"/>
          <w:szCs w:val="28"/>
        </w:rPr>
        <w:t>“The power to grant a just and equitable order is so wide and flexible that it allows courts to formulate an order that does not follow prayers in the notice of motion or some other pleading. This power enables courts to address the real dispute between the parties by requiring them to take steps aimed at making their conduct to be consistent with the Constitution”.</w:t>
      </w:r>
      <w:r w:rsidR="00664390" w:rsidRPr="0088258A">
        <w:rPr>
          <w:rStyle w:val="FootnoteReference"/>
          <w:i/>
          <w:sz w:val="28"/>
          <w:szCs w:val="28"/>
        </w:rPr>
        <w:footnoteReference w:id="75"/>
      </w:r>
      <w:r w:rsidRPr="0088258A">
        <w:rPr>
          <w:i/>
          <w:sz w:val="28"/>
          <w:szCs w:val="28"/>
        </w:rPr>
        <w:t xml:space="preserve"> </w:t>
      </w:r>
    </w:p>
    <w:p w:rsidR="0076737E" w:rsidRPr="0088258A" w:rsidRDefault="0076737E" w:rsidP="0076737E">
      <w:pPr>
        <w:pStyle w:val="1"/>
        <w:rPr>
          <w:sz w:val="28"/>
          <w:szCs w:val="28"/>
        </w:rPr>
      </w:pPr>
      <w:r w:rsidRPr="0088258A">
        <w:rPr>
          <w:sz w:val="28"/>
          <w:szCs w:val="28"/>
        </w:rPr>
        <w:t>A formal amendment to the Reserve Bank’s notice of motion was therefore not required and ought not to have been a reason for refusing the declarator.</w:t>
      </w:r>
    </w:p>
    <w:p w:rsidR="00FF580B" w:rsidRPr="0088258A" w:rsidRDefault="00FF580B" w:rsidP="0076737E">
      <w:pPr>
        <w:pStyle w:val="1"/>
        <w:rPr>
          <w:sz w:val="28"/>
          <w:szCs w:val="28"/>
        </w:rPr>
      </w:pPr>
      <w:r w:rsidRPr="0088258A">
        <w:rPr>
          <w:sz w:val="28"/>
          <w:szCs w:val="28"/>
        </w:rPr>
        <w:t xml:space="preserve">In the Public Protector’s written submissions, the point is made that </w:t>
      </w:r>
      <w:r w:rsidRPr="0088258A">
        <w:rPr>
          <w:i/>
          <w:sz w:val="28"/>
          <w:szCs w:val="28"/>
        </w:rPr>
        <w:t>Economic Freedom Fighters</w:t>
      </w:r>
      <w:r w:rsidRPr="0088258A">
        <w:rPr>
          <w:sz w:val="28"/>
          <w:szCs w:val="28"/>
        </w:rPr>
        <w:t xml:space="preserve"> does not provide support for this argument because this Court was not dealing with a personal costs order against public officials in that case.</w:t>
      </w:r>
      <w:r w:rsidRPr="0088258A">
        <w:rPr>
          <w:rStyle w:val="FootnoteReference"/>
          <w:sz w:val="28"/>
          <w:szCs w:val="28"/>
        </w:rPr>
        <w:footnoteReference w:id="76"/>
      </w:r>
      <w:r w:rsidRPr="0088258A">
        <w:rPr>
          <w:sz w:val="28"/>
          <w:szCs w:val="28"/>
        </w:rPr>
        <w:t xml:space="preserve"> But this misunderstands the reliance that the Reserve Bank places on </w:t>
      </w:r>
      <w:r w:rsidRPr="0088258A">
        <w:rPr>
          <w:i/>
          <w:sz w:val="28"/>
          <w:szCs w:val="28"/>
        </w:rPr>
        <w:t>Economic Freedom Fighters.</w:t>
      </w:r>
    </w:p>
    <w:p w:rsidR="00FF580B" w:rsidRPr="0088258A" w:rsidRDefault="00FF580B" w:rsidP="0076737E">
      <w:pPr>
        <w:pStyle w:val="1"/>
        <w:rPr>
          <w:sz w:val="28"/>
          <w:szCs w:val="28"/>
        </w:rPr>
      </w:pPr>
      <w:r w:rsidRPr="0088258A">
        <w:rPr>
          <w:sz w:val="28"/>
          <w:szCs w:val="28"/>
        </w:rPr>
        <w:lastRenderedPageBreak/>
        <w:t>The Reserve Bank</w:t>
      </w:r>
      <w:r w:rsidR="00751226">
        <w:rPr>
          <w:sz w:val="28"/>
          <w:szCs w:val="28"/>
        </w:rPr>
        <w:t xml:space="preserve"> does not suggest that </w:t>
      </w:r>
      <w:r w:rsidR="00751226" w:rsidRPr="0088258A">
        <w:rPr>
          <w:i/>
          <w:sz w:val="28"/>
          <w:szCs w:val="28"/>
        </w:rPr>
        <w:t>Economic Freedom Fighters</w:t>
      </w:r>
      <w:r w:rsidRPr="0088258A">
        <w:rPr>
          <w:sz w:val="28"/>
          <w:szCs w:val="28"/>
        </w:rPr>
        <w:t xml:space="preserve"> related to personal costs orders against public officials. It does not rely on the case at all in relation to the personal costs order that the High Court granted against the Public Protector. It relies on </w:t>
      </w:r>
      <w:r w:rsidRPr="0088258A">
        <w:rPr>
          <w:i/>
          <w:sz w:val="28"/>
          <w:szCs w:val="28"/>
        </w:rPr>
        <w:t>Economic Freedom Fighters</w:t>
      </w:r>
      <w:r w:rsidRPr="0088258A">
        <w:rPr>
          <w:sz w:val="28"/>
          <w:szCs w:val="28"/>
        </w:rPr>
        <w:t xml:space="preserve"> for the proposition that the declarator ought to have been granted by the High Court because formal amendments under </w:t>
      </w:r>
      <w:r w:rsidR="00AB102E">
        <w:rPr>
          <w:sz w:val="28"/>
          <w:szCs w:val="28"/>
        </w:rPr>
        <w:t>r</w:t>
      </w:r>
      <w:r w:rsidRPr="0088258A">
        <w:rPr>
          <w:sz w:val="28"/>
          <w:szCs w:val="28"/>
        </w:rPr>
        <w:t>ule 28(1) for declaratory relief are not required if the relief sought is adequately addressed on the papers before the court and will allow the real dispute between the parties to be addressed.</w:t>
      </w:r>
    </w:p>
    <w:p w:rsidR="00FF580B" w:rsidRPr="0088258A" w:rsidRDefault="00FF580B" w:rsidP="00FF580B">
      <w:pPr>
        <w:pStyle w:val="Heading2"/>
        <w:rPr>
          <w:rFonts w:eastAsia="Calibri"/>
          <w:iCs/>
          <w:color w:val="000000"/>
          <w:sz w:val="28"/>
          <w:szCs w:val="28"/>
          <w:lang w:val="en-GB"/>
        </w:rPr>
      </w:pPr>
      <w:bookmarkStart w:id="26" w:name="_Toc524862310"/>
      <w:bookmarkStart w:id="27" w:name="_Toc524934242"/>
      <w:r w:rsidRPr="0088258A">
        <w:rPr>
          <w:sz w:val="28"/>
          <w:szCs w:val="28"/>
        </w:rPr>
        <w:t>The merits</w:t>
      </w:r>
      <w:bookmarkEnd w:id="26"/>
      <w:bookmarkEnd w:id="27"/>
    </w:p>
    <w:p w:rsidR="0076737E" w:rsidRPr="0088258A" w:rsidRDefault="0076737E" w:rsidP="0076737E">
      <w:pPr>
        <w:pStyle w:val="1"/>
        <w:rPr>
          <w:sz w:val="28"/>
          <w:szCs w:val="28"/>
        </w:rPr>
      </w:pPr>
      <w:r w:rsidRPr="0088258A">
        <w:rPr>
          <w:sz w:val="28"/>
          <w:szCs w:val="28"/>
        </w:rPr>
        <w:t>Section 172(1</w:t>
      </w:r>
      <w:proofErr w:type="gramStart"/>
      <w:r w:rsidRPr="0088258A">
        <w:rPr>
          <w:sz w:val="28"/>
          <w:szCs w:val="28"/>
        </w:rPr>
        <w:t>)(</w:t>
      </w:r>
      <w:proofErr w:type="gramEnd"/>
      <w:r w:rsidRPr="0088258A">
        <w:rPr>
          <w:sz w:val="28"/>
          <w:szCs w:val="28"/>
        </w:rPr>
        <w:t>a) of the Constitution requires courts to declare any law or conduct that is inconsistent with the Constitution invalid to the extent of its inconsistency. This Court has described the section as an injunction to courts to vindicate the supremacy of the Constitution.</w:t>
      </w:r>
      <w:r w:rsidRPr="0088258A">
        <w:rPr>
          <w:sz w:val="28"/>
          <w:szCs w:val="28"/>
          <w:vertAlign w:val="superscript"/>
        </w:rPr>
        <w:footnoteReference w:id="77"/>
      </w:r>
    </w:p>
    <w:p w:rsidR="0076737E" w:rsidRPr="0088258A" w:rsidRDefault="0076737E" w:rsidP="0076737E">
      <w:pPr>
        <w:pStyle w:val="1"/>
        <w:rPr>
          <w:sz w:val="28"/>
          <w:szCs w:val="28"/>
        </w:rPr>
      </w:pPr>
      <w:r w:rsidRPr="0088258A">
        <w:rPr>
          <w:sz w:val="28"/>
          <w:szCs w:val="28"/>
        </w:rPr>
        <w:lastRenderedPageBreak/>
        <w:t xml:space="preserve">Section 181(2) of the Constitution says that the Public Protector must be independent and impartial and must exercise her powers and perform her functions without fear, favour or prejudice. </w:t>
      </w:r>
    </w:p>
    <w:p w:rsidR="0076737E" w:rsidRPr="0088258A" w:rsidRDefault="0076737E" w:rsidP="0076737E">
      <w:pPr>
        <w:pStyle w:val="1"/>
        <w:rPr>
          <w:sz w:val="28"/>
          <w:szCs w:val="28"/>
        </w:rPr>
      </w:pPr>
      <w:r w:rsidRPr="0088258A">
        <w:rPr>
          <w:sz w:val="28"/>
          <w:szCs w:val="28"/>
        </w:rPr>
        <w:t>This independence is a key feature of the role that the Public Protector plays in our constitutional scheme. She is supposed to be a bulwark against abuses of power. The Supreme Court of Appeal has described the institution as follows:</w:t>
      </w:r>
    </w:p>
    <w:p w:rsidR="0076737E" w:rsidRPr="0088258A" w:rsidRDefault="0076737E" w:rsidP="00664390">
      <w:pPr>
        <w:pStyle w:val="1"/>
        <w:numPr>
          <w:ilvl w:val="0"/>
          <w:numId w:val="0"/>
        </w:numPr>
        <w:ind w:left="1440"/>
        <w:rPr>
          <w:sz w:val="28"/>
          <w:szCs w:val="28"/>
        </w:rPr>
      </w:pPr>
      <w:r w:rsidRPr="0088258A">
        <w:rPr>
          <w:sz w:val="28"/>
          <w:szCs w:val="28"/>
        </w:rPr>
        <w:t>“</w:t>
      </w:r>
      <w:proofErr w:type="gramStart"/>
      <w:r w:rsidRPr="0088258A">
        <w:rPr>
          <w:i/>
          <w:sz w:val="28"/>
          <w:szCs w:val="28"/>
        </w:rPr>
        <w:t>the</w:t>
      </w:r>
      <w:proofErr w:type="gramEnd"/>
      <w:r w:rsidRPr="0088258A">
        <w:rPr>
          <w:i/>
          <w:sz w:val="28"/>
          <w:szCs w:val="28"/>
        </w:rPr>
        <w:t xml:space="preserve"> office of the Public Protector is an important institution. It provides what will often be a last defence against bureaucratic oppression, and against corruption and malfeasance in public office that are capable of insidiously destroying the nation. If that institution falters, or finds itself undermined, the nation loses an indispensable constitutional guarantee</w:t>
      </w:r>
      <w:r w:rsidRPr="0088258A">
        <w:rPr>
          <w:sz w:val="28"/>
          <w:szCs w:val="28"/>
        </w:rPr>
        <w:t>”.</w:t>
      </w:r>
      <w:r w:rsidRPr="0088258A">
        <w:rPr>
          <w:sz w:val="28"/>
          <w:szCs w:val="28"/>
          <w:vertAlign w:val="superscript"/>
        </w:rPr>
        <w:footnoteReference w:id="78"/>
      </w:r>
    </w:p>
    <w:p w:rsidR="0076737E" w:rsidRPr="0088258A" w:rsidRDefault="0076737E" w:rsidP="0076737E">
      <w:pPr>
        <w:pStyle w:val="1"/>
        <w:rPr>
          <w:sz w:val="28"/>
          <w:szCs w:val="28"/>
        </w:rPr>
      </w:pPr>
      <w:r w:rsidRPr="0088258A">
        <w:rPr>
          <w:sz w:val="28"/>
          <w:szCs w:val="28"/>
        </w:rPr>
        <w:t>If the Public Protector conducts herself in a manner inconsistent with this obligation, a court is required under section 172(1</w:t>
      </w:r>
      <w:proofErr w:type="gramStart"/>
      <w:r w:rsidRPr="0088258A">
        <w:rPr>
          <w:sz w:val="28"/>
          <w:szCs w:val="28"/>
        </w:rPr>
        <w:t>)(</w:t>
      </w:r>
      <w:proofErr w:type="gramEnd"/>
      <w:r w:rsidRPr="0088258A">
        <w:rPr>
          <w:sz w:val="28"/>
          <w:szCs w:val="28"/>
        </w:rPr>
        <w:t>a) of the Constitution to declare that conduct inconsistent with the Constitution.</w:t>
      </w:r>
    </w:p>
    <w:p w:rsidR="004B0FE3" w:rsidRPr="0088258A" w:rsidRDefault="0076737E" w:rsidP="0076737E">
      <w:pPr>
        <w:pStyle w:val="1"/>
        <w:rPr>
          <w:sz w:val="28"/>
          <w:szCs w:val="28"/>
        </w:rPr>
      </w:pPr>
      <w:r w:rsidRPr="0088258A">
        <w:rPr>
          <w:sz w:val="28"/>
          <w:szCs w:val="28"/>
        </w:rPr>
        <w:lastRenderedPageBreak/>
        <w:t xml:space="preserve">The Public Protector’s investigation was an abuse of her power. She failed to conduct the investigation in accordance with her obligations under section 181(2) of the Constitution to be impartial and independent. </w:t>
      </w:r>
      <w:r w:rsidR="00FF580B" w:rsidRPr="0088258A">
        <w:rPr>
          <w:sz w:val="28"/>
          <w:szCs w:val="28"/>
        </w:rPr>
        <w:t>We have set out above</w:t>
      </w:r>
      <w:r w:rsidR="00664390" w:rsidRPr="0088258A">
        <w:rPr>
          <w:sz w:val="28"/>
          <w:szCs w:val="28"/>
        </w:rPr>
        <w:t xml:space="preserve"> all the respects in which the Public Protector failed </w:t>
      </w:r>
      <w:r w:rsidR="004B0FE3" w:rsidRPr="0088258A">
        <w:rPr>
          <w:sz w:val="28"/>
          <w:szCs w:val="28"/>
        </w:rPr>
        <w:t xml:space="preserve">to meet this standard. In short, </w:t>
      </w:r>
    </w:p>
    <w:p w:rsidR="0076737E" w:rsidRPr="0088258A" w:rsidRDefault="0076737E" w:rsidP="00B26E15">
      <w:pPr>
        <w:pStyle w:val="2"/>
        <w:rPr>
          <w:sz w:val="28"/>
          <w:szCs w:val="28"/>
        </w:rPr>
      </w:pPr>
      <w:r w:rsidRPr="0088258A">
        <w:rPr>
          <w:sz w:val="28"/>
          <w:szCs w:val="28"/>
        </w:rPr>
        <w:t xml:space="preserve">She met with the Minister of State Security in the month before publishing her final report to discuss the vulnerability of the Reserve Bank. When the Reserve Bank found evidence of this meeting in the record of proceedings filed by the Public Protector, it called on her to explain this interaction and to meet the challenge that it showed that her investigation was “aimed at undermining the Reserve Bank”. The Public Protector’s answering affidavit </w:t>
      </w:r>
      <w:r w:rsidR="004B0FE3" w:rsidRPr="0088258A">
        <w:rPr>
          <w:sz w:val="28"/>
          <w:szCs w:val="28"/>
        </w:rPr>
        <w:t xml:space="preserve">in the High Court </w:t>
      </w:r>
      <w:r w:rsidRPr="0088258A">
        <w:rPr>
          <w:sz w:val="28"/>
          <w:szCs w:val="28"/>
        </w:rPr>
        <w:t>did not</w:t>
      </w:r>
      <w:r w:rsidR="004B0FE3" w:rsidRPr="0088258A">
        <w:rPr>
          <w:sz w:val="28"/>
          <w:szCs w:val="28"/>
        </w:rPr>
        <w:t xml:space="preserve"> answer this serious accusation and her replying affidavit in this Court is contradictory and unintelligible.</w:t>
      </w:r>
    </w:p>
    <w:p w:rsidR="00FF580B" w:rsidRPr="0088258A" w:rsidRDefault="0076737E" w:rsidP="00B26E15">
      <w:pPr>
        <w:pStyle w:val="2"/>
        <w:rPr>
          <w:sz w:val="28"/>
          <w:szCs w:val="28"/>
        </w:rPr>
      </w:pPr>
      <w:r w:rsidRPr="0088258A">
        <w:rPr>
          <w:sz w:val="28"/>
          <w:szCs w:val="28"/>
        </w:rPr>
        <w:t xml:space="preserve">The Public Protector met with the Presidency on two occasions. Neither of these meetings was disclosed in </w:t>
      </w:r>
      <w:r w:rsidR="00664390" w:rsidRPr="0088258A">
        <w:rPr>
          <w:sz w:val="28"/>
          <w:szCs w:val="28"/>
        </w:rPr>
        <w:t>the R</w:t>
      </w:r>
      <w:r w:rsidRPr="0088258A">
        <w:rPr>
          <w:sz w:val="28"/>
          <w:szCs w:val="28"/>
        </w:rPr>
        <w:t xml:space="preserve">eport. The Public Protector has an obligation under section 195 of the Constitution to be accountable and transparent. She was required to disclose these meetings in her Report </w:t>
      </w:r>
      <w:r w:rsidR="001C095F">
        <w:rPr>
          <w:sz w:val="28"/>
          <w:szCs w:val="28"/>
        </w:rPr>
        <w:t>but</w:t>
      </w:r>
      <w:r w:rsidRPr="0088258A">
        <w:rPr>
          <w:sz w:val="28"/>
          <w:szCs w:val="28"/>
        </w:rPr>
        <w:t xml:space="preserve"> she did not. Instead, she </w:t>
      </w:r>
      <w:r w:rsidRPr="0088258A">
        <w:rPr>
          <w:sz w:val="28"/>
          <w:szCs w:val="28"/>
        </w:rPr>
        <w:lastRenderedPageBreak/>
        <w:t>presented a lengthy list of all the other meetings and interviews that were conducted during the investigation</w:t>
      </w:r>
      <w:r w:rsidR="004B0FE3" w:rsidRPr="0088258A">
        <w:rPr>
          <w:rStyle w:val="FootnoteReference"/>
          <w:sz w:val="28"/>
          <w:szCs w:val="28"/>
        </w:rPr>
        <w:footnoteReference w:id="79"/>
      </w:r>
      <w:r w:rsidR="004B0FE3" w:rsidRPr="0088258A">
        <w:rPr>
          <w:sz w:val="28"/>
          <w:szCs w:val="28"/>
        </w:rPr>
        <w:t xml:space="preserve"> b</w:t>
      </w:r>
      <w:r w:rsidRPr="0088258A">
        <w:rPr>
          <w:sz w:val="28"/>
          <w:szCs w:val="28"/>
        </w:rPr>
        <w:t>ut omitted to include the meetings with the Presidency.</w:t>
      </w:r>
      <w:r w:rsidR="004B0FE3" w:rsidRPr="0088258A">
        <w:rPr>
          <w:sz w:val="28"/>
          <w:szCs w:val="28"/>
        </w:rPr>
        <w:t xml:space="preserve"> </w:t>
      </w:r>
    </w:p>
    <w:p w:rsidR="0076737E" w:rsidRPr="0088258A" w:rsidRDefault="004B0FE3" w:rsidP="00B26E15">
      <w:pPr>
        <w:pStyle w:val="2"/>
        <w:rPr>
          <w:sz w:val="28"/>
          <w:szCs w:val="28"/>
        </w:rPr>
      </w:pPr>
      <w:r w:rsidRPr="0088258A">
        <w:rPr>
          <w:sz w:val="28"/>
          <w:szCs w:val="28"/>
        </w:rPr>
        <w:t>The Public Protector’</w:t>
      </w:r>
      <w:r w:rsidR="0037370B" w:rsidRPr="0088258A">
        <w:rPr>
          <w:sz w:val="28"/>
          <w:szCs w:val="28"/>
        </w:rPr>
        <w:t>s contention</w:t>
      </w:r>
      <w:r w:rsidRPr="0088258A">
        <w:rPr>
          <w:sz w:val="28"/>
          <w:szCs w:val="28"/>
        </w:rPr>
        <w:t xml:space="preserve"> in this Court that she did disclose the meetings with the Presidency in the Report </w:t>
      </w:r>
      <w:r w:rsidR="0037370B" w:rsidRPr="0088258A">
        <w:rPr>
          <w:sz w:val="28"/>
          <w:szCs w:val="28"/>
        </w:rPr>
        <w:t>“through the Presidency’s response to [her] section 7(9) process”,</w:t>
      </w:r>
      <w:r w:rsidR="0037370B" w:rsidRPr="0088258A">
        <w:rPr>
          <w:rStyle w:val="FootnoteReference"/>
          <w:sz w:val="28"/>
          <w:szCs w:val="28"/>
        </w:rPr>
        <w:footnoteReference w:id="80"/>
      </w:r>
      <w:r w:rsidR="0037370B" w:rsidRPr="0088258A">
        <w:rPr>
          <w:sz w:val="28"/>
          <w:szCs w:val="28"/>
        </w:rPr>
        <w:t xml:space="preserve"> is demonstrably false. There is a section of the Report dealing with the meetings that were held and interviews were conducted, this list does not refer to meetings with the Presidency. Nowhere in the Report does the Public Protector indicate that</w:t>
      </w:r>
      <w:r w:rsidR="00FF580B" w:rsidRPr="0088258A">
        <w:rPr>
          <w:sz w:val="28"/>
          <w:szCs w:val="28"/>
        </w:rPr>
        <w:t>,</w:t>
      </w:r>
      <w:r w:rsidR="0037370B" w:rsidRPr="0088258A">
        <w:rPr>
          <w:sz w:val="28"/>
          <w:szCs w:val="28"/>
        </w:rPr>
        <w:t xml:space="preserve"> after the Presidency had already responded in writing to her section 7(9) notice on 28 February 2017, she held a further meeting with the Presidency. It therefore could never be that this meeting was disclosed in the Report “through” the Presidency’s response to her section 7(9) notice. The response to that notice was a written letter from the Presidency which, as we have set out above, it is now </w:t>
      </w:r>
      <w:r w:rsidR="0037370B" w:rsidRPr="0088258A">
        <w:rPr>
          <w:sz w:val="28"/>
          <w:szCs w:val="28"/>
        </w:rPr>
        <w:lastRenderedPageBreak/>
        <w:t>common cause</w:t>
      </w:r>
      <w:r w:rsidR="00EF1B32">
        <w:rPr>
          <w:sz w:val="28"/>
          <w:szCs w:val="28"/>
        </w:rPr>
        <w:t>,</w:t>
      </w:r>
      <w:r w:rsidR="0037370B" w:rsidRPr="0088258A">
        <w:rPr>
          <w:sz w:val="28"/>
          <w:szCs w:val="28"/>
        </w:rPr>
        <w:t xml:space="preserve"> made no reference whatsoever to a further meeting.</w:t>
      </w:r>
    </w:p>
    <w:p w:rsidR="0037370B" w:rsidRPr="0088258A" w:rsidRDefault="0037370B" w:rsidP="00B26E15">
      <w:pPr>
        <w:pStyle w:val="2"/>
        <w:rPr>
          <w:sz w:val="28"/>
          <w:szCs w:val="28"/>
        </w:rPr>
      </w:pPr>
      <w:r w:rsidRPr="0088258A">
        <w:rPr>
          <w:sz w:val="28"/>
          <w:szCs w:val="28"/>
        </w:rPr>
        <w:t xml:space="preserve">The explanations of what was discussed at these two meetings </w:t>
      </w:r>
      <w:r w:rsidR="0088258A" w:rsidRPr="0088258A">
        <w:rPr>
          <w:sz w:val="28"/>
          <w:szCs w:val="28"/>
        </w:rPr>
        <w:t xml:space="preserve">with the Presidency </w:t>
      </w:r>
      <w:r w:rsidRPr="0088258A">
        <w:rPr>
          <w:sz w:val="28"/>
          <w:szCs w:val="28"/>
        </w:rPr>
        <w:t xml:space="preserve">has changed </w:t>
      </w:r>
      <w:r w:rsidR="001C095F">
        <w:rPr>
          <w:sz w:val="28"/>
          <w:szCs w:val="28"/>
        </w:rPr>
        <w:t>three</w:t>
      </w:r>
      <w:r w:rsidRPr="0088258A">
        <w:rPr>
          <w:sz w:val="28"/>
          <w:szCs w:val="28"/>
        </w:rPr>
        <w:t xml:space="preserve"> times during the course of this litigation. The last explanation is, however, the most concerning because it confirms that the handwritten notes of the meeting with the Presidency on 7 June 2017 accurately record</w:t>
      </w:r>
      <w:r w:rsidR="0088258A" w:rsidRPr="0088258A">
        <w:rPr>
          <w:sz w:val="28"/>
          <w:szCs w:val="28"/>
        </w:rPr>
        <w:t>ed</w:t>
      </w:r>
      <w:r w:rsidRPr="0088258A">
        <w:rPr>
          <w:sz w:val="28"/>
          <w:szCs w:val="28"/>
        </w:rPr>
        <w:t xml:space="preserve"> what was discussed. Those notes show that the Public Protector discussed the new remedial action in her Report with the Presidency and yet, offered </w:t>
      </w:r>
      <w:r w:rsidR="001C095F">
        <w:rPr>
          <w:sz w:val="28"/>
          <w:szCs w:val="28"/>
        </w:rPr>
        <w:t xml:space="preserve">no-on else </w:t>
      </w:r>
      <w:r w:rsidRPr="0088258A">
        <w:rPr>
          <w:sz w:val="28"/>
          <w:szCs w:val="28"/>
        </w:rPr>
        <w:t xml:space="preserve">this opportunity. They also show that the Public Protector discussed amending the Constitution to remove the Reserve Bank’s central bank function with the Presidency. There was no legitimate basis on which these matters should have been discussed with the Presidency. </w:t>
      </w:r>
    </w:p>
    <w:p w:rsidR="0076737E" w:rsidRPr="0088258A" w:rsidRDefault="00870603" w:rsidP="00870603">
      <w:pPr>
        <w:pStyle w:val="2"/>
        <w:rPr>
          <w:sz w:val="28"/>
          <w:szCs w:val="28"/>
        </w:rPr>
      </w:pPr>
      <w:r w:rsidRPr="0088258A">
        <w:rPr>
          <w:sz w:val="28"/>
          <w:szCs w:val="28"/>
        </w:rPr>
        <w:t xml:space="preserve">No adequate explanation has ever been offered for why the meetings with the State Security Agency and the Presidency were not recorded and transcribed when that is the usual practice of the Public Protector’s office. </w:t>
      </w:r>
      <w:r w:rsidR="0076737E" w:rsidRPr="0088258A">
        <w:rPr>
          <w:sz w:val="28"/>
          <w:szCs w:val="28"/>
        </w:rPr>
        <w:t xml:space="preserve">The Reserve Bank highlighted this glaring discrepancy in its supplementary founding affidavit and </w:t>
      </w:r>
      <w:r w:rsidR="0076737E" w:rsidRPr="0088258A">
        <w:rPr>
          <w:sz w:val="28"/>
          <w:szCs w:val="28"/>
        </w:rPr>
        <w:lastRenderedPageBreak/>
        <w:t>called on the Public Protector to respond to it.</w:t>
      </w:r>
      <w:r w:rsidR="009F77A0">
        <w:rPr>
          <w:rStyle w:val="FootnoteReference"/>
          <w:sz w:val="28"/>
          <w:szCs w:val="28"/>
        </w:rPr>
        <w:footnoteReference w:id="81"/>
      </w:r>
      <w:r w:rsidR="0076737E" w:rsidRPr="0088258A">
        <w:rPr>
          <w:sz w:val="28"/>
          <w:szCs w:val="28"/>
        </w:rPr>
        <w:t xml:space="preserve"> She failed to do so.</w:t>
      </w:r>
    </w:p>
    <w:p w:rsidR="0076737E" w:rsidRPr="0088258A" w:rsidRDefault="0076737E" w:rsidP="00B26E15">
      <w:pPr>
        <w:pStyle w:val="1"/>
        <w:rPr>
          <w:sz w:val="28"/>
          <w:szCs w:val="28"/>
        </w:rPr>
      </w:pPr>
      <w:r w:rsidRPr="0088258A">
        <w:rPr>
          <w:sz w:val="28"/>
          <w:szCs w:val="28"/>
        </w:rPr>
        <w:t xml:space="preserve">This conduct is inconsistent with the constitutional duty placed on the Public Protector to be independent and impartial. </w:t>
      </w:r>
      <w:r w:rsidR="00870603" w:rsidRPr="0088258A">
        <w:rPr>
          <w:sz w:val="28"/>
          <w:szCs w:val="28"/>
        </w:rPr>
        <w:t xml:space="preserve">It is an abuse of the important office of the Public Protector to use its powers to conduct an unfair and partisan investigation. </w:t>
      </w:r>
      <w:r w:rsidRPr="0088258A">
        <w:rPr>
          <w:sz w:val="28"/>
          <w:szCs w:val="28"/>
        </w:rPr>
        <w:t xml:space="preserve">The High Court ought, accordingly, to have issued a declarator to that effect. </w:t>
      </w:r>
    </w:p>
    <w:p w:rsidR="0088258A" w:rsidRPr="0088258A" w:rsidRDefault="0088258A" w:rsidP="0088258A">
      <w:pPr>
        <w:pStyle w:val="Heading1"/>
        <w:rPr>
          <w:sz w:val="28"/>
          <w:szCs w:val="28"/>
          <w:lang w:val="en-GB"/>
        </w:rPr>
      </w:pPr>
      <w:bookmarkStart w:id="28" w:name="_Toc524862311"/>
      <w:bookmarkStart w:id="29" w:name="_Toc524934243"/>
      <w:r w:rsidRPr="0088258A">
        <w:rPr>
          <w:sz w:val="28"/>
          <w:szCs w:val="28"/>
        </w:rPr>
        <w:t>REMEDY</w:t>
      </w:r>
      <w:bookmarkEnd w:id="28"/>
      <w:bookmarkEnd w:id="29"/>
    </w:p>
    <w:p w:rsidR="0088258A" w:rsidRPr="0088258A" w:rsidRDefault="0088258A" w:rsidP="0076737E">
      <w:pPr>
        <w:pStyle w:val="1"/>
        <w:rPr>
          <w:sz w:val="28"/>
          <w:szCs w:val="28"/>
        </w:rPr>
      </w:pPr>
      <w:r w:rsidRPr="0088258A">
        <w:rPr>
          <w:sz w:val="28"/>
          <w:szCs w:val="28"/>
        </w:rPr>
        <w:t>For all the reasons set out above, we submit that the following orders should be granted:</w:t>
      </w:r>
    </w:p>
    <w:p w:rsidR="0088258A" w:rsidRPr="0088258A" w:rsidRDefault="0088258A" w:rsidP="0088258A">
      <w:pPr>
        <w:pStyle w:val="2"/>
        <w:rPr>
          <w:sz w:val="28"/>
          <w:szCs w:val="28"/>
        </w:rPr>
      </w:pPr>
      <w:r w:rsidRPr="0088258A">
        <w:rPr>
          <w:sz w:val="28"/>
          <w:szCs w:val="28"/>
        </w:rPr>
        <w:t>The Public Protector’s application for leave to appeal or direct access should be refused.</w:t>
      </w:r>
    </w:p>
    <w:p w:rsidR="0088258A" w:rsidRPr="0088258A" w:rsidRDefault="0088258A" w:rsidP="0088258A">
      <w:pPr>
        <w:pStyle w:val="2"/>
        <w:rPr>
          <w:sz w:val="28"/>
          <w:szCs w:val="28"/>
        </w:rPr>
      </w:pPr>
      <w:r w:rsidRPr="0088258A">
        <w:rPr>
          <w:sz w:val="28"/>
          <w:szCs w:val="28"/>
        </w:rPr>
        <w:t>Alternatively, in the event that the Public Protector’s application for leave to appeal or direct access is granted, then</w:t>
      </w:r>
    </w:p>
    <w:p w:rsidR="0088258A" w:rsidRPr="0088258A" w:rsidRDefault="0088258A" w:rsidP="0088258A">
      <w:pPr>
        <w:pStyle w:val="3"/>
        <w:rPr>
          <w:sz w:val="28"/>
          <w:szCs w:val="28"/>
        </w:rPr>
      </w:pPr>
      <w:r w:rsidRPr="0088258A">
        <w:rPr>
          <w:sz w:val="28"/>
          <w:szCs w:val="28"/>
        </w:rPr>
        <w:lastRenderedPageBreak/>
        <w:t>The appeal or direct access application should be dismissed;</w:t>
      </w:r>
    </w:p>
    <w:p w:rsidR="0088258A" w:rsidRPr="0088258A" w:rsidRDefault="0088258A" w:rsidP="0088258A">
      <w:pPr>
        <w:pStyle w:val="3"/>
        <w:rPr>
          <w:sz w:val="28"/>
          <w:szCs w:val="28"/>
        </w:rPr>
      </w:pPr>
      <w:r w:rsidRPr="0088258A">
        <w:rPr>
          <w:sz w:val="28"/>
          <w:szCs w:val="28"/>
        </w:rPr>
        <w:t>The Reserve Bank’s application for leave to cross-appeal should be granted and the appeal upheld.</w:t>
      </w:r>
    </w:p>
    <w:p w:rsidR="0088258A" w:rsidRPr="0088258A" w:rsidRDefault="0088258A" w:rsidP="0088258A">
      <w:pPr>
        <w:pStyle w:val="3"/>
        <w:rPr>
          <w:sz w:val="28"/>
          <w:szCs w:val="28"/>
        </w:rPr>
      </w:pPr>
      <w:r w:rsidRPr="0088258A">
        <w:rPr>
          <w:sz w:val="28"/>
          <w:szCs w:val="28"/>
        </w:rPr>
        <w:t>This Court should declare that the Public Protector abused her office during the investigation that led to the Report.</w:t>
      </w:r>
    </w:p>
    <w:p w:rsidR="0088258A" w:rsidRPr="0088258A" w:rsidRDefault="0088258A" w:rsidP="0088258A">
      <w:pPr>
        <w:pStyle w:val="2"/>
        <w:rPr>
          <w:sz w:val="28"/>
          <w:szCs w:val="28"/>
        </w:rPr>
      </w:pPr>
      <w:r w:rsidRPr="0088258A">
        <w:rPr>
          <w:sz w:val="28"/>
          <w:szCs w:val="28"/>
        </w:rPr>
        <w:t>In either event, the Reserve Bank’s costs in this Court should be paid by the Public Protector personally.</w:t>
      </w:r>
    </w:p>
    <w:p w:rsidR="000E3912" w:rsidRPr="0088258A" w:rsidRDefault="000E3912" w:rsidP="000E3912">
      <w:pPr>
        <w:pStyle w:val="1"/>
        <w:numPr>
          <w:ilvl w:val="0"/>
          <w:numId w:val="0"/>
        </w:numPr>
        <w:spacing w:line="240" w:lineRule="auto"/>
        <w:jc w:val="right"/>
        <w:rPr>
          <w:b/>
          <w:sz w:val="28"/>
          <w:szCs w:val="28"/>
        </w:rPr>
      </w:pPr>
      <w:r w:rsidRPr="0088258A">
        <w:rPr>
          <w:b/>
          <w:sz w:val="28"/>
          <w:szCs w:val="28"/>
        </w:rPr>
        <w:t>_________________________</w:t>
      </w:r>
    </w:p>
    <w:p w:rsidR="00903C0D" w:rsidRPr="0088258A" w:rsidRDefault="000E3912" w:rsidP="000E3912">
      <w:pPr>
        <w:pStyle w:val="1"/>
        <w:numPr>
          <w:ilvl w:val="0"/>
          <w:numId w:val="0"/>
        </w:numPr>
        <w:spacing w:line="240" w:lineRule="auto"/>
        <w:jc w:val="right"/>
        <w:rPr>
          <w:b/>
          <w:sz w:val="28"/>
          <w:szCs w:val="28"/>
        </w:rPr>
      </w:pPr>
      <w:r w:rsidRPr="0088258A">
        <w:rPr>
          <w:b/>
          <w:sz w:val="28"/>
          <w:szCs w:val="28"/>
        </w:rPr>
        <w:t>VINCENT MALEKA SC</w:t>
      </w:r>
    </w:p>
    <w:p w:rsidR="000E3912" w:rsidRPr="0088258A" w:rsidRDefault="000E3912" w:rsidP="000E3912">
      <w:pPr>
        <w:pStyle w:val="1"/>
        <w:numPr>
          <w:ilvl w:val="0"/>
          <w:numId w:val="0"/>
        </w:numPr>
        <w:spacing w:line="240" w:lineRule="auto"/>
        <w:jc w:val="right"/>
        <w:rPr>
          <w:b/>
          <w:sz w:val="28"/>
          <w:szCs w:val="28"/>
        </w:rPr>
      </w:pPr>
      <w:r w:rsidRPr="0088258A">
        <w:rPr>
          <w:b/>
          <w:sz w:val="28"/>
          <w:szCs w:val="28"/>
        </w:rPr>
        <w:t>KATE HOFMEYR</w:t>
      </w:r>
    </w:p>
    <w:p w:rsidR="000E3912" w:rsidRPr="0088258A" w:rsidRDefault="000E3912" w:rsidP="000E3912">
      <w:pPr>
        <w:pStyle w:val="1"/>
        <w:numPr>
          <w:ilvl w:val="0"/>
          <w:numId w:val="0"/>
        </w:numPr>
        <w:spacing w:line="240" w:lineRule="auto"/>
        <w:jc w:val="right"/>
        <w:rPr>
          <w:b/>
          <w:sz w:val="28"/>
          <w:szCs w:val="28"/>
        </w:rPr>
      </w:pPr>
      <w:r w:rsidRPr="0088258A">
        <w:rPr>
          <w:b/>
          <w:sz w:val="28"/>
          <w:szCs w:val="28"/>
        </w:rPr>
        <w:t>CINGASHE TABATA</w:t>
      </w:r>
    </w:p>
    <w:p w:rsidR="000E3912" w:rsidRPr="0088258A" w:rsidRDefault="000E3912" w:rsidP="000E3912">
      <w:pPr>
        <w:pStyle w:val="1"/>
        <w:numPr>
          <w:ilvl w:val="0"/>
          <w:numId w:val="0"/>
        </w:numPr>
        <w:spacing w:line="240" w:lineRule="auto"/>
        <w:jc w:val="right"/>
        <w:rPr>
          <w:b/>
          <w:sz w:val="28"/>
          <w:szCs w:val="28"/>
        </w:rPr>
      </w:pPr>
      <w:r w:rsidRPr="0088258A">
        <w:rPr>
          <w:b/>
          <w:sz w:val="28"/>
          <w:szCs w:val="28"/>
        </w:rPr>
        <w:t>Counsel for the Reserve Bank</w:t>
      </w:r>
    </w:p>
    <w:p w:rsidR="000E3912" w:rsidRPr="0088258A" w:rsidRDefault="000E3912" w:rsidP="000E3912">
      <w:pPr>
        <w:pStyle w:val="1"/>
        <w:numPr>
          <w:ilvl w:val="0"/>
          <w:numId w:val="0"/>
        </w:numPr>
        <w:spacing w:line="240" w:lineRule="auto"/>
        <w:jc w:val="right"/>
        <w:rPr>
          <w:b/>
          <w:sz w:val="28"/>
          <w:szCs w:val="28"/>
        </w:rPr>
      </w:pPr>
    </w:p>
    <w:p w:rsidR="000E3912" w:rsidRPr="0088258A" w:rsidRDefault="000E3912" w:rsidP="000E3912">
      <w:pPr>
        <w:pStyle w:val="1"/>
        <w:numPr>
          <w:ilvl w:val="0"/>
          <w:numId w:val="0"/>
        </w:numPr>
        <w:spacing w:line="240" w:lineRule="auto"/>
        <w:jc w:val="left"/>
        <w:rPr>
          <w:b/>
          <w:sz w:val="28"/>
          <w:szCs w:val="28"/>
        </w:rPr>
      </w:pPr>
      <w:r w:rsidRPr="0088258A">
        <w:rPr>
          <w:b/>
          <w:sz w:val="28"/>
          <w:szCs w:val="28"/>
        </w:rPr>
        <w:t>Chambers, Sandton</w:t>
      </w:r>
    </w:p>
    <w:p w:rsidR="000E3912" w:rsidRPr="0088258A" w:rsidRDefault="00296242" w:rsidP="000E3912">
      <w:pPr>
        <w:pStyle w:val="1"/>
        <w:numPr>
          <w:ilvl w:val="0"/>
          <w:numId w:val="0"/>
        </w:numPr>
        <w:spacing w:line="240" w:lineRule="auto"/>
        <w:jc w:val="left"/>
        <w:rPr>
          <w:b/>
          <w:sz w:val="28"/>
          <w:szCs w:val="28"/>
        </w:rPr>
      </w:pPr>
      <w:r>
        <w:rPr>
          <w:b/>
          <w:sz w:val="28"/>
          <w:szCs w:val="28"/>
        </w:rPr>
        <w:t>20</w:t>
      </w:r>
      <w:bookmarkStart w:id="30" w:name="_GoBack"/>
      <w:bookmarkEnd w:id="30"/>
      <w:r w:rsidR="000E3912" w:rsidRPr="0088258A">
        <w:rPr>
          <w:b/>
          <w:sz w:val="28"/>
          <w:szCs w:val="28"/>
        </w:rPr>
        <w:t xml:space="preserve"> September 2018</w:t>
      </w:r>
    </w:p>
    <w:sectPr w:rsidR="000E3912" w:rsidRPr="0088258A" w:rsidSect="00EC38C4">
      <w:footerReference w:type="even" r:id="rId8"/>
      <w:footerReference w:type="default" r:id="rId9"/>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AC1" w:rsidRDefault="00782AC1" w:rsidP="003B11DA">
      <w:r>
        <w:separator/>
      </w:r>
    </w:p>
    <w:p w:rsidR="00782AC1" w:rsidRDefault="00782AC1"/>
  </w:endnote>
  <w:endnote w:type="continuationSeparator" w:id="0">
    <w:p w:rsidR="00782AC1" w:rsidRDefault="00782AC1" w:rsidP="003B11DA">
      <w:r>
        <w:continuationSeparator/>
      </w:r>
    </w:p>
    <w:p w:rsidR="00782AC1" w:rsidRDefault="00782AC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sans-serif"/>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Bold">
    <w:panose1 w:val="020B0704020202020204"/>
    <w:charset w:val="00"/>
    <w:family w:val="auto"/>
    <w:pitch w:val="variable"/>
    <w:sig w:usb0="E0002A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906" w:rsidRDefault="00E17906" w:rsidP="001052B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17906" w:rsidRDefault="00E17906" w:rsidP="00EC38C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906" w:rsidRDefault="00E17906" w:rsidP="001052B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96242">
      <w:rPr>
        <w:rStyle w:val="PageNumber"/>
        <w:noProof/>
      </w:rPr>
      <w:t>49</w:t>
    </w:r>
    <w:r>
      <w:rPr>
        <w:rStyle w:val="PageNumber"/>
      </w:rPr>
      <w:fldChar w:fldCharType="end"/>
    </w:r>
  </w:p>
  <w:p w:rsidR="00E17906" w:rsidRDefault="00E17906" w:rsidP="00EC38C4">
    <w:pPr>
      <w:pStyle w:val="Footer"/>
      <w:ind w:right="360"/>
      <w:jc w:val="right"/>
    </w:pPr>
  </w:p>
  <w:p w:rsidR="00E17906" w:rsidRDefault="00E17906">
    <w:pPr>
      <w:pStyle w:val="Footer"/>
    </w:pPr>
  </w:p>
  <w:p w:rsidR="00E17906" w:rsidRDefault="00E17906"/>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AC1" w:rsidRDefault="00782AC1" w:rsidP="003B11DA">
      <w:r>
        <w:separator/>
      </w:r>
    </w:p>
    <w:p w:rsidR="00782AC1" w:rsidRDefault="00782AC1"/>
  </w:footnote>
  <w:footnote w:type="continuationSeparator" w:id="0">
    <w:p w:rsidR="00782AC1" w:rsidRDefault="00782AC1" w:rsidP="003B11DA">
      <w:r>
        <w:continuationSeparator/>
      </w:r>
    </w:p>
    <w:p w:rsidR="00782AC1" w:rsidRDefault="00782AC1"/>
  </w:footnote>
  <w:footnote w:id="1">
    <w:p w:rsidR="00E17906" w:rsidRPr="0014007F" w:rsidRDefault="00E17906">
      <w:pPr>
        <w:pStyle w:val="FootnoteText"/>
        <w:rPr>
          <w:lang w:val="en-GB"/>
        </w:rPr>
      </w:pPr>
      <w:r>
        <w:rPr>
          <w:rStyle w:val="FootnoteReference"/>
        </w:rPr>
        <w:footnoteRef/>
      </w:r>
      <w:r>
        <w:t xml:space="preserve"> </w:t>
      </w:r>
      <w:r>
        <w:rPr>
          <w:lang w:val="en-GB"/>
        </w:rPr>
        <w:tab/>
        <w:t>SARB FA, Appeal Record Vol 1, page 10 para 9</w:t>
      </w:r>
    </w:p>
  </w:footnote>
  <w:footnote w:id="2">
    <w:p w:rsidR="00E17906" w:rsidRPr="003554F3" w:rsidRDefault="00E17906">
      <w:pPr>
        <w:pStyle w:val="FootnoteText"/>
        <w:rPr>
          <w:lang w:val="en-GB"/>
        </w:rPr>
      </w:pPr>
      <w:r>
        <w:rPr>
          <w:rStyle w:val="FootnoteReference"/>
        </w:rPr>
        <w:footnoteRef/>
      </w:r>
      <w:r>
        <w:t xml:space="preserve"> </w:t>
      </w:r>
      <w:r>
        <w:rPr>
          <w:lang w:val="en-GB"/>
        </w:rPr>
        <w:tab/>
        <w:t>PP Notice of Motion in Constitutional Court, Appeal Record Vol 9, page 646 paras 2.1 and 2.2</w:t>
      </w:r>
    </w:p>
  </w:footnote>
  <w:footnote w:id="3">
    <w:p w:rsidR="00E17906" w:rsidRPr="00903C0D" w:rsidRDefault="00E17906">
      <w:pPr>
        <w:pStyle w:val="FootnoteText"/>
        <w:rPr>
          <w:lang w:val="en-GB"/>
        </w:rPr>
      </w:pPr>
      <w:r>
        <w:rPr>
          <w:rStyle w:val="FootnoteReference"/>
        </w:rPr>
        <w:footnoteRef/>
      </w:r>
      <w:r>
        <w:t xml:space="preserve"> </w:t>
      </w:r>
      <w:r>
        <w:rPr>
          <w:lang w:val="en-GB"/>
        </w:rPr>
        <w:tab/>
        <w:t>Judgment, Appeal Record Vol 8 page 612, para 120</w:t>
      </w:r>
    </w:p>
  </w:footnote>
  <w:footnote w:id="4">
    <w:p w:rsidR="00E17906" w:rsidRPr="003705D7" w:rsidRDefault="00E17906">
      <w:pPr>
        <w:pStyle w:val="FootnoteText"/>
        <w:rPr>
          <w:lang w:val="en-GB"/>
        </w:rPr>
      </w:pPr>
      <w:r>
        <w:rPr>
          <w:rStyle w:val="FootnoteReference"/>
        </w:rPr>
        <w:footnoteRef/>
      </w:r>
      <w:r>
        <w:t xml:space="preserve"> </w:t>
      </w:r>
      <w:r>
        <w:rPr>
          <w:lang w:val="en-GB"/>
        </w:rPr>
        <w:tab/>
        <w:t>Judgment, Appeal Record Vol 8 page 612, para 121</w:t>
      </w:r>
    </w:p>
  </w:footnote>
  <w:footnote w:id="5">
    <w:p w:rsidR="00E17906" w:rsidRPr="00BE447C" w:rsidRDefault="00E17906">
      <w:pPr>
        <w:pStyle w:val="FootnoteText"/>
        <w:rPr>
          <w:lang w:val="en-GB"/>
        </w:rPr>
      </w:pPr>
      <w:r>
        <w:rPr>
          <w:rStyle w:val="FootnoteReference"/>
        </w:rPr>
        <w:footnoteRef/>
      </w:r>
      <w:r>
        <w:t xml:space="preserve"> </w:t>
      </w:r>
      <w:r>
        <w:rPr>
          <w:lang w:val="en-GB"/>
        </w:rPr>
        <w:tab/>
      </w:r>
      <w:r w:rsidRPr="00BE447C">
        <w:rPr>
          <w:i/>
          <w:lang w:val="en-GB"/>
        </w:rPr>
        <w:t>Hotz and Others v University of Cape Town</w:t>
      </w:r>
      <w:r>
        <w:rPr>
          <w:lang w:val="en-GB"/>
        </w:rPr>
        <w:t xml:space="preserve"> 2018 (1) SA 369 (CC) para 28</w:t>
      </w:r>
    </w:p>
  </w:footnote>
  <w:footnote w:id="6">
    <w:p w:rsidR="00E17906" w:rsidRPr="0020080D" w:rsidRDefault="00E17906" w:rsidP="0020080D">
      <w:pPr>
        <w:pStyle w:val="FootnoteText"/>
        <w:rPr>
          <w:lang w:val="en-US"/>
        </w:rPr>
      </w:pPr>
      <w:r>
        <w:rPr>
          <w:rStyle w:val="FootnoteReference"/>
        </w:rPr>
        <w:footnoteRef/>
      </w:r>
      <w:r>
        <w:t xml:space="preserve"> </w:t>
      </w:r>
      <w:r>
        <w:rPr>
          <w:lang w:val="en-GB"/>
        </w:rPr>
        <w:tab/>
      </w:r>
      <w:r w:rsidRPr="0020080D">
        <w:rPr>
          <w:i/>
          <w:lang w:val="en-GB"/>
        </w:rPr>
        <w:t>Swartbooi and Others v Brink and Others</w:t>
      </w:r>
      <w:r>
        <w:rPr>
          <w:lang w:val="en-GB"/>
        </w:rPr>
        <w:t xml:space="preserve"> </w:t>
      </w:r>
      <w:r w:rsidRPr="0020080D">
        <w:rPr>
          <w:lang w:val="en-US"/>
        </w:rPr>
        <w:t>2006 (1) SA 203 (CC)</w:t>
      </w:r>
      <w:r>
        <w:rPr>
          <w:lang w:val="en-US"/>
        </w:rPr>
        <w:t xml:space="preserve"> para 23</w:t>
      </w:r>
    </w:p>
  </w:footnote>
  <w:footnote w:id="7">
    <w:p w:rsidR="00E17906" w:rsidRPr="00C60CE4" w:rsidRDefault="00E17906">
      <w:pPr>
        <w:pStyle w:val="FootnoteText"/>
        <w:rPr>
          <w:lang w:val="en-GB"/>
        </w:rPr>
      </w:pPr>
      <w:r>
        <w:rPr>
          <w:rStyle w:val="FootnoteReference"/>
        </w:rPr>
        <w:footnoteRef/>
      </w:r>
      <w:r>
        <w:t xml:space="preserve"> </w:t>
      </w:r>
      <w:r>
        <w:rPr>
          <w:lang w:val="en-GB"/>
        </w:rPr>
        <w:tab/>
      </w:r>
      <w:r w:rsidR="00B50D9C">
        <w:rPr>
          <w:i/>
          <w:lang w:val="en-GB"/>
        </w:rPr>
        <w:t xml:space="preserve">Limpopo Legal Solutions and Others v Vhembe District Municipality and Others </w:t>
      </w:r>
      <w:r w:rsidR="00B50D9C">
        <w:rPr>
          <w:lang w:val="en-GB"/>
        </w:rPr>
        <w:t>[2017] ZACC 14</w:t>
      </w:r>
      <w:r w:rsidR="00442B23">
        <w:rPr>
          <w:lang w:val="en-GB"/>
        </w:rPr>
        <w:t xml:space="preserve"> para 17</w:t>
      </w:r>
      <w:r w:rsidR="00B50D9C">
        <w:rPr>
          <w:lang w:val="en-GB"/>
        </w:rPr>
        <w:t xml:space="preserve"> </w:t>
      </w:r>
    </w:p>
  </w:footnote>
  <w:footnote w:id="8">
    <w:p w:rsidR="00E17906" w:rsidRPr="00DE475F" w:rsidRDefault="00E17906" w:rsidP="007E6A9C">
      <w:pPr>
        <w:pStyle w:val="FootnoteText"/>
        <w:jc w:val="both"/>
      </w:pPr>
      <w:r>
        <w:rPr>
          <w:rStyle w:val="FootnoteReference"/>
        </w:rPr>
        <w:footnoteRef/>
      </w:r>
      <w:r>
        <w:t xml:space="preserve"> </w:t>
      </w:r>
      <w:r>
        <w:tab/>
      </w:r>
      <w:r>
        <w:rPr>
          <w:i/>
        </w:rPr>
        <w:t xml:space="preserve">Pheko and </w:t>
      </w:r>
      <w:proofErr w:type="gramStart"/>
      <w:r>
        <w:rPr>
          <w:i/>
        </w:rPr>
        <w:t>Others</w:t>
      </w:r>
      <w:proofErr w:type="gramEnd"/>
      <w:r>
        <w:rPr>
          <w:i/>
        </w:rPr>
        <w:t xml:space="preserve"> v Ekurhuleni Metropolitan Municipality (No. 2) </w:t>
      </w:r>
      <w:r>
        <w:t xml:space="preserve">2015 (5) SA 600 </w:t>
      </w:r>
      <w:r w:rsidRPr="000C290A">
        <w:t>(CC)</w:t>
      </w:r>
      <w:r w:rsidRPr="000C290A">
        <w:rPr>
          <w:i/>
        </w:rPr>
        <w:t xml:space="preserve"> </w:t>
      </w:r>
      <w:r>
        <w:t xml:space="preserve">para 51. </w:t>
      </w:r>
    </w:p>
  </w:footnote>
  <w:footnote w:id="9">
    <w:p w:rsidR="00E17906" w:rsidRPr="0003651F" w:rsidRDefault="00E17906" w:rsidP="007E6A9C">
      <w:pPr>
        <w:pStyle w:val="FootnoteText"/>
        <w:rPr>
          <w:lang w:val="en-GB"/>
        </w:rPr>
      </w:pPr>
      <w:r>
        <w:rPr>
          <w:rStyle w:val="FootnoteReference"/>
        </w:rPr>
        <w:footnoteRef/>
      </w:r>
      <w:r>
        <w:t xml:space="preserve"> </w:t>
      </w:r>
      <w:r>
        <w:rPr>
          <w:lang w:val="en-GB"/>
        </w:rPr>
        <w:tab/>
      </w:r>
      <w:r w:rsidRPr="0003651F">
        <w:rPr>
          <w:i/>
          <w:lang w:val="en-GB"/>
        </w:rPr>
        <w:t>Pheko</w:t>
      </w:r>
      <w:r>
        <w:rPr>
          <w:lang w:val="en-GB"/>
        </w:rPr>
        <w:t xml:space="preserve"> para 54</w:t>
      </w:r>
    </w:p>
  </w:footnote>
  <w:footnote w:id="10">
    <w:p w:rsidR="00E17906" w:rsidRPr="00C637F1" w:rsidRDefault="00E17906" w:rsidP="007E6A9C">
      <w:pPr>
        <w:pStyle w:val="FootnoteText"/>
        <w:rPr>
          <w:lang w:val="en-GB"/>
        </w:rPr>
      </w:pPr>
      <w:r>
        <w:rPr>
          <w:rStyle w:val="FootnoteReference"/>
        </w:rPr>
        <w:footnoteRef/>
      </w:r>
      <w:r>
        <w:t xml:space="preserve"> </w:t>
      </w:r>
      <w:r>
        <w:rPr>
          <w:lang w:val="en-GB"/>
        </w:rPr>
        <w:tab/>
      </w:r>
      <w:r w:rsidRPr="008F2EEA">
        <w:rPr>
          <w:i/>
          <w:lang w:val="en-GB"/>
        </w:rPr>
        <w:t>Stainbank v SA Apartheid Museum at Freedom Park</w:t>
      </w:r>
      <w:r w:rsidRPr="008F2EEA">
        <w:rPr>
          <w:lang w:val="en-GB"/>
        </w:rPr>
        <w:t xml:space="preserve"> 2011 (10) BCLR 1058 (CC)</w:t>
      </w:r>
      <w:r>
        <w:rPr>
          <w:lang w:val="en-GB"/>
        </w:rPr>
        <w:fldChar w:fldCharType="begin"/>
      </w:r>
      <w:r>
        <w:instrText xml:space="preserve"> TA \l "</w:instrText>
      </w:r>
      <w:r w:rsidRPr="008F2EEA">
        <w:rPr>
          <w:i/>
          <w:lang w:val="en-GB"/>
        </w:rPr>
        <w:instrText>Stainbank v SA Apartheid Museum at Freedom Park</w:instrText>
      </w:r>
      <w:r w:rsidRPr="008F2EEA">
        <w:rPr>
          <w:lang w:val="en-GB"/>
        </w:rPr>
        <w:instrText xml:space="preserve"> 2011 (10) BCLR 1058 (CC)</w:instrText>
      </w:r>
      <w:r>
        <w:instrText xml:space="preserve">" \s "Stainbank v SA Apartheid Museum at Freedom Park 2011 (10) BCLR 1058 (CC)" \c 1 </w:instrText>
      </w:r>
      <w:r>
        <w:rPr>
          <w:lang w:val="en-GB"/>
        </w:rPr>
        <w:fldChar w:fldCharType="end"/>
      </w:r>
      <w:r>
        <w:rPr>
          <w:lang w:val="en-GB"/>
        </w:rPr>
        <w:t xml:space="preserve"> para 52</w:t>
      </w:r>
    </w:p>
  </w:footnote>
  <w:footnote w:id="11">
    <w:p w:rsidR="00E17906" w:rsidRPr="00C637F1" w:rsidRDefault="00E17906" w:rsidP="007E6A9C">
      <w:pPr>
        <w:pStyle w:val="FootnoteText"/>
        <w:rPr>
          <w:lang w:val="en-GB"/>
        </w:rPr>
      </w:pPr>
      <w:r>
        <w:rPr>
          <w:rStyle w:val="FootnoteReference"/>
        </w:rPr>
        <w:footnoteRef/>
      </w:r>
      <w:r>
        <w:t xml:space="preserve"> </w:t>
      </w:r>
      <w:r>
        <w:rPr>
          <w:lang w:val="en-GB"/>
        </w:rPr>
        <w:tab/>
      </w:r>
      <w:r w:rsidRPr="008F2EEA">
        <w:rPr>
          <w:i/>
          <w:lang w:val="en-GB"/>
        </w:rPr>
        <w:t>Stainbank</w:t>
      </w:r>
      <w:r>
        <w:rPr>
          <w:lang w:val="en-GB"/>
        </w:rPr>
        <w:t xml:space="preserve"> para 54</w:t>
      </w:r>
    </w:p>
  </w:footnote>
  <w:footnote w:id="12">
    <w:p w:rsidR="00E17906" w:rsidRPr="00BA798B" w:rsidRDefault="00E17906">
      <w:pPr>
        <w:pStyle w:val="FootnoteText"/>
        <w:rPr>
          <w:lang w:val="en-GB"/>
        </w:rPr>
      </w:pPr>
      <w:r>
        <w:rPr>
          <w:rStyle w:val="FootnoteReference"/>
        </w:rPr>
        <w:footnoteRef/>
      </w:r>
      <w:r>
        <w:t xml:space="preserve"> </w:t>
      </w:r>
      <w:r>
        <w:rPr>
          <w:lang w:val="en-GB"/>
        </w:rPr>
        <w:tab/>
      </w:r>
      <w:r w:rsidRPr="00BA798B">
        <w:rPr>
          <w:i/>
          <w:iCs/>
          <w:lang w:val="en-US"/>
        </w:rPr>
        <w:t>South Africa Social Security Agency and another v Minister of Social Development and others</w:t>
      </w:r>
      <w:r w:rsidRPr="00BA798B">
        <w:rPr>
          <w:lang w:val="en-US"/>
        </w:rPr>
        <w:t xml:space="preserve"> [</w:t>
      </w:r>
      <w:r w:rsidRPr="00BA798B">
        <w:rPr>
          <w:iCs/>
          <w:lang w:val="en-US"/>
        </w:rPr>
        <w:t>2018] ZACC 26</w:t>
      </w:r>
      <w:r>
        <w:rPr>
          <w:iCs/>
          <w:lang w:val="en-US"/>
        </w:rPr>
        <w:t xml:space="preserve"> (</w:t>
      </w:r>
      <w:r w:rsidRPr="006D5934">
        <w:rPr>
          <w:i/>
          <w:iCs/>
          <w:lang w:val="en-US"/>
        </w:rPr>
        <w:t>SASSA</w:t>
      </w:r>
      <w:r>
        <w:rPr>
          <w:iCs/>
          <w:lang w:val="en-US"/>
        </w:rPr>
        <w:t>)</w:t>
      </w:r>
    </w:p>
  </w:footnote>
  <w:footnote w:id="13">
    <w:p w:rsidR="00E17906" w:rsidRPr="006D5934" w:rsidRDefault="00E17906">
      <w:pPr>
        <w:pStyle w:val="FootnoteText"/>
        <w:rPr>
          <w:lang w:val="en-GB"/>
        </w:rPr>
      </w:pPr>
      <w:r>
        <w:rPr>
          <w:rStyle w:val="FootnoteReference"/>
        </w:rPr>
        <w:footnoteRef/>
      </w:r>
      <w:r>
        <w:t xml:space="preserve"> </w:t>
      </w:r>
      <w:r>
        <w:rPr>
          <w:lang w:val="en-GB"/>
        </w:rPr>
        <w:tab/>
      </w:r>
      <w:r>
        <w:rPr>
          <w:i/>
          <w:iCs/>
          <w:lang w:val="en-US"/>
        </w:rPr>
        <w:t xml:space="preserve">SASSA </w:t>
      </w:r>
      <w:r>
        <w:rPr>
          <w:iCs/>
          <w:lang w:val="en-US"/>
        </w:rPr>
        <w:t>para 37</w:t>
      </w:r>
    </w:p>
  </w:footnote>
  <w:footnote w:id="14">
    <w:p w:rsidR="00E17906" w:rsidRPr="006D5934" w:rsidRDefault="00E17906">
      <w:pPr>
        <w:pStyle w:val="FootnoteText"/>
        <w:rPr>
          <w:lang w:val="en-GB"/>
        </w:rPr>
      </w:pPr>
      <w:r>
        <w:rPr>
          <w:rStyle w:val="FootnoteReference"/>
        </w:rPr>
        <w:footnoteRef/>
      </w:r>
      <w:r>
        <w:t xml:space="preserve"> </w:t>
      </w:r>
      <w:r>
        <w:rPr>
          <w:lang w:val="en-GB"/>
        </w:rPr>
        <w:tab/>
      </w:r>
      <w:r>
        <w:rPr>
          <w:i/>
          <w:iCs/>
          <w:lang w:val="en-US"/>
        </w:rPr>
        <w:t xml:space="preserve">SASSA </w:t>
      </w:r>
      <w:r>
        <w:rPr>
          <w:iCs/>
          <w:lang w:val="en-US"/>
        </w:rPr>
        <w:t>para 38</w:t>
      </w:r>
    </w:p>
  </w:footnote>
  <w:footnote w:id="15">
    <w:p w:rsidR="00E17906" w:rsidRPr="006D5934" w:rsidRDefault="00E17906">
      <w:pPr>
        <w:pStyle w:val="FootnoteText"/>
        <w:rPr>
          <w:lang w:val="en-GB"/>
        </w:rPr>
      </w:pPr>
      <w:r>
        <w:rPr>
          <w:rStyle w:val="FootnoteReference"/>
        </w:rPr>
        <w:footnoteRef/>
      </w:r>
      <w:r>
        <w:t xml:space="preserve"> </w:t>
      </w:r>
      <w:r>
        <w:rPr>
          <w:lang w:val="en-GB"/>
        </w:rPr>
        <w:tab/>
      </w:r>
      <w:r w:rsidRPr="006D5934">
        <w:rPr>
          <w:i/>
        </w:rPr>
        <w:t>Lesapo v North West Agricultural Bank and Another</w:t>
      </w:r>
      <w:r w:rsidRPr="006D5934">
        <w:t xml:space="preserve"> 1999 (12) BCLR 1420 (CC) par 17</w:t>
      </w:r>
      <w:r>
        <w:t xml:space="preserve">; </w:t>
      </w:r>
      <w:r w:rsidRPr="006D5934">
        <w:rPr>
          <w:i/>
        </w:rPr>
        <w:t>Mohamed and another v President of the Republic of South Africa and others</w:t>
      </w:r>
      <w:r>
        <w:rPr>
          <w:i/>
        </w:rPr>
        <w:t xml:space="preserve"> </w:t>
      </w:r>
      <w:r w:rsidRPr="008402E4">
        <w:rPr>
          <w:rFonts w:cs="Arial"/>
        </w:rPr>
        <w:t>2001 (3) SA 893 (CC)</w:t>
      </w:r>
      <w:r>
        <w:rPr>
          <w:rFonts w:cs="Arial"/>
        </w:rPr>
        <w:t xml:space="preserve"> para 69; </w:t>
      </w:r>
      <w:r w:rsidRPr="006D5934">
        <w:rPr>
          <w:rFonts w:cs="Arial"/>
          <w:i/>
        </w:rPr>
        <w:t>Permanent Secretary, Department of Welfare, Eastern Cape Provincial Government and Another v Ngxuza and Others</w:t>
      </w:r>
      <w:r>
        <w:rPr>
          <w:rFonts w:cs="Arial"/>
        </w:rPr>
        <w:t xml:space="preserve"> 2001 (10) BCLR 1039 (SCA</w:t>
      </w:r>
      <w:r w:rsidRPr="006D5934">
        <w:rPr>
          <w:rFonts w:cs="Arial"/>
        </w:rPr>
        <w:t>) para 15</w:t>
      </w:r>
      <w:r>
        <w:rPr>
          <w:rFonts w:cs="Arial"/>
        </w:rPr>
        <w:t xml:space="preserve">; </w:t>
      </w:r>
      <w:r w:rsidRPr="008402E4">
        <w:rPr>
          <w:rFonts w:cs="Arial"/>
          <w:i/>
        </w:rPr>
        <w:t>South African Liquor Traders Association and Others v Chairperson, Gauteng Liquor Board and Others</w:t>
      </w:r>
      <w:r w:rsidRPr="008402E4">
        <w:rPr>
          <w:rFonts w:cs="Arial"/>
        </w:rPr>
        <w:t xml:space="preserve"> 2006 (8) BCLR 901 (CC) para 49</w:t>
      </w:r>
      <w:r>
        <w:rPr>
          <w:rFonts w:cs="Arial"/>
        </w:rPr>
        <w:t xml:space="preserve">; </w:t>
      </w:r>
      <w:r w:rsidRPr="008402E4">
        <w:rPr>
          <w:rFonts w:cs="Arial"/>
          <w:i/>
        </w:rPr>
        <w:t>Njongi v Member of the Executive Council, Department of Welfare, Eastern</w:t>
      </w:r>
      <w:r w:rsidRPr="008402E4">
        <w:rPr>
          <w:rFonts w:cs="Arial"/>
        </w:rPr>
        <w:t xml:space="preserve"> Cape 2008 (6) BCLR 571 (CC) para 79</w:t>
      </w:r>
      <w:r>
        <w:rPr>
          <w:rFonts w:cs="Arial"/>
        </w:rPr>
        <w:t xml:space="preserve">; </w:t>
      </w:r>
      <w:r w:rsidRPr="008402E4">
        <w:rPr>
          <w:rFonts w:cs="Arial"/>
          <w:i/>
        </w:rPr>
        <w:t>Member of the Executive Council for Health, Eastern Cape and another v Kirland Investments (Pty) Ltd t/a Eye &amp; Lazer Institute</w:t>
      </w:r>
      <w:r w:rsidRPr="008402E4">
        <w:rPr>
          <w:rFonts w:cs="Arial"/>
        </w:rPr>
        <w:t xml:space="preserve"> 2014 (5) BCLR 547 (CC) para 82</w:t>
      </w:r>
      <w:r>
        <w:rPr>
          <w:rFonts w:cs="Arial"/>
        </w:rPr>
        <w:t>.</w:t>
      </w:r>
    </w:p>
  </w:footnote>
  <w:footnote w:id="16">
    <w:p w:rsidR="00E17906" w:rsidRPr="00D15CC6" w:rsidRDefault="00E17906" w:rsidP="00064DE2">
      <w:pPr>
        <w:pStyle w:val="FootnoteText"/>
        <w:rPr>
          <w:lang w:val="en-US"/>
        </w:rPr>
      </w:pPr>
      <w:r>
        <w:rPr>
          <w:rStyle w:val="FootnoteReference"/>
        </w:rPr>
        <w:footnoteRef/>
      </w:r>
      <w:r>
        <w:t xml:space="preserve"> </w:t>
      </w:r>
      <w:r>
        <w:tab/>
      </w:r>
      <w:r w:rsidRPr="00D15CC6">
        <w:rPr>
          <w:i/>
        </w:rPr>
        <w:t>Matatiele Municipality and Others v President of the Republic of South Af</w:t>
      </w:r>
      <w:r w:rsidRPr="00493838">
        <w:rPr>
          <w:i/>
        </w:rPr>
        <w:t>rica and Others</w:t>
      </w:r>
      <w:r w:rsidRPr="00493838">
        <w:t xml:space="preserve"> 2006 (5) SA 47 (CC)</w:t>
      </w:r>
      <w:r>
        <w:fldChar w:fldCharType="begin"/>
      </w:r>
      <w:r>
        <w:instrText xml:space="preserve"> TA \l "</w:instrText>
      </w:r>
      <w:r w:rsidRPr="00D15CC6">
        <w:rPr>
          <w:i/>
        </w:rPr>
        <w:instrText>Matatiele Municipality and Others v President of the Republic of South Af</w:instrText>
      </w:r>
      <w:r w:rsidRPr="00493838">
        <w:rPr>
          <w:i/>
        </w:rPr>
        <w:instrText>rica and Others</w:instrText>
      </w:r>
      <w:r w:rsidRPr="00493838">
        <w:instrText xml:space="preserve"> 2006 (5) SA 47 (CC)</w:instrText>
      </w:r>
      <w:r>
        <w:instrText xml:space="preserve">" \s "Matatiele Municipality and Others v President of the Republic of South Africa and Others 2006 (5) SA 47 (CC)" \c 1 </w:instrText>
      </w:r>
      <w:r>
        <w:fldChar w:fldCharType="end"/>
      </w:r>
      <w:r w:rsidRPr="00493838">
        <w:t xml:space="preserve"> </w:t>
      </w:r>
      <w:r>
        <w:t xml:space="preserve">para 107; </w:t>
      </w:r>
      <w:r w:rsidRPr="00D15CC6">
        <w:rPr>
          <w:i/>
          <w:lang w:val="en-US"/>
        </w:rPr>
        <w:t>Western Cape Government v Ndiki</w:t>
      </w:r>
      <w:r w:rsidRPr="00D15CC6">
        <w:rPr>
          <w:lang w:val="en-US"/>
        </w:rPr>
        <w:t xml:space="preserve"> 2013 JDR 1109 (WCC)</w:t>
      </w:r>
      <w:r>
        <w:rPr>
          <w:lang w:val="en-US"/>
        </w:rPr>
        <w:fldChar w:fldCharType="begin"/>
      </w:r>
      <w:r>
        <w:instrText xml:space="preserve"> TA \l "</w:instrText>
      </w:r>
      <w:r w:rsidRPr="00D15CC6">
        <w:rPr>
          <w:i/>
          <w:lang w:val="en-US"/>
        </w:rPr>
        <w:instrText>Western Cape Government v Ndiki</w:instrText>
      </w:r>
      <w:r w:rsidRPr="00D15CC6">
        <w:rPr>
          <w:lang w:val="en-US"/>
        </w:rPr>
        <w:instrText xml:space="preserve"> 2013 JDR 1109 (WCC)</w:instrText>
      </w:r>
      <w:r>
        <w:instrText xml:space="preserve">" \s "Western Cape Government v Ndiki 2013 JDR 1109 (WCC)" \c 1 </w:instrText>
      </w:r>
      <w:r>
        <w:rPr>
          <w:lang w:val="en-US"/>
        </w:rPr>
        <w:fldChar w:fldCharType="end"/>
      </w:r>
      <w:r>
        <w:rPr>
          <w:lang w:val="en-US"/>
        </w:rPr>
        <w:t xml:space="preserve"> </w:t>
      </w:r>
      <w:r>
        <w:t xml:space="preserve">para 77 </w:t>
      </w:r>
    </w:p>
  </w:footnote>
  <w:footnote w:id="17">
    <w:p w:rsidR="00E17906" w:rsidRPr="005110A4" w:rsidRDefault="00E17906">
      <w:pPr>
        <w:pStyle w:val="FootnoteText"/>
        <w:rPr>
          <w:lang w:val="en-GB"/>
        </w:rPr>
      </w:pPr>
      <w:r>
        <w:rPr>
          <w:rStyle w:val="FootnoteReference"/>
        </w:rPr>
        <w:footnoteRef/>
      </w:r>
      <w:r>
        <w:t xml:space="preserve"> </w:t>
      </w:r>
      <w:r>
        <w:rPr>
          <w:lang w:val="en-GB"/>
        </w:rPr>
        <w:tab/>
      </w:r>
      <w:r w:rsidRPr="00676413">
        <w:rPr>
          <w:i/>
          <w:lang w:val="en-US"/>
        </w:rPr>
        <w:t>Black Sash Trust v Minister of Social Development</w:t>
      </w:r>
      <w:r>
        <w:rPr>
          <w:lang w:val="en-US"/>
        </w:rPr>
        <w:t xml:space="preserve"> </w:t>
      </w:r>
      <w:r w:rsidRPr="00676413">
        <w:rPr>
          <w:lang w:val="en-US"/>
        </w:rPr>
        <w:t>2017 (3) SA 335 (CC)</w:t>
      </w:r>
      <w:r>
        <w:rPr>
          <w:lang w:val="en-US"/>
        </w:rPr>
        <w:t xml:space="preserve"> para 9</w:t>
      </w:r>
    </w:p>
  </w:footnote>
  <w:footnote w:id="18">
    <w:p w:rsidR="00E17906" w:rsidRPr="00676413" w:rsidRDefault="00E17906">
      <w:pPr>
        <w:pStyle w:val="FootnoteText"/>
        <w:rPr>
          <w:lang w:val="en-GB"/>
        </w:rPr>
      </w:pPr>
      <w:r>
        <w:rPr>
          <w:rStyle w:val="FootnoteReference"/>
        </w:rPr>
        <w:footnoteRef/>
      </w:r>
      <w:r>
        <w:t xml:space="preserve"> </w:t>
      </w:r>
      <w:r>
        <w:rPr>
          <w:lang w:val="en-GB"/>
        </w:rPr>
        <w:tab/>
        <w:t>Gauteng Gambling Board and Another v MEC for Economic Development, Gauteng Provincial Government 2013 (5) SA 24 (SCA) para 54</w:t>
      </w:r>
    </w:p>
  </w:footnote>
  <w:footnote w:id="19">
    <w:p w:rsidR="00E17906" w:rsidRPr="00BD044A" w:rsidRDefault="00E17906">
      <w:pPr>
        <w:pStyle w:val="FootnoteText"/>
        <w:rPr>
          <w:lang w:val="en-GB"/>
        </w:rPr>
      </w:pPr>
      <w:r>
        <w:rPr>
          <w:rStyle w:val="FootnoteReference"/>
        </w:rPr>
        <w:footnoteRef/>
      </w:r>
      <w:r>
        <w:t xml:space="preserve"> </w:t>
      </w:r>
      <w:r>
        <w:rPr>
          <w:lang w:val="en-GB"/>
        </w:rPr>
        <w:tab/>
        <w:t>PP FA in Constitutional Court, Appeal Record Vol 9, page 660 para 29; page 661 para 32</w:t>
      </w:r>
    </w:p>
  </w:footnote>
  <w:footnote w:id="20">
    <w:p w:rsidR="00E17906" w:rsidRPr="00BD044A" w:rsidRDefault="00E17906">
      <w:pPr>
        <w:pStyle w:val="FootnoteText"/>
        <w:rPr>
          <w:lang w:val="en-GB"/>
        </w:rPr>
      </w:pPr>
      <w:r>
        <w:rPr>
          <w:rStyle w:val="FootnoteReference"/>
        </w:rPr>
        <w:footnoteRef/>
      </w:r>
      <w:r>
        <w:t xml:space="preserve"> </w:t>
      </w:r>
      <w:r>
        <w:rPr>
          <w:lang w:val="en-GB"/>
        </w:rPr>
        <w:tab/>
        <w:t>Public Protector’s written submissions para 26</w:t>
      </w:r>
    </w:p>
  </w:footnote>
  <w:footnote w:id="21">
    <w:p w:rsidR="00E17906" w:rsidRPr="00E4550B" w:rsidRDefault="00E17906">
      <w:pPr>
        <w:pStyle w:val="FootnoteText"/>
        <w:rPr>
          <w:lang w:val="en-GB"/>
        </w:rPr>
      </w:pPr>
      <w:r>
        <w:rPr>
          <w:rStyle w:val="FootnoteReference"/>
        </w:rPr>
        <w:footnoteRef/>
      </w:r>
      <w:r>
        <w:t xml:space="preserve"> </w:t>
      </w:r>
      <w:r>
        <w:rPr>
          <w:lang w:val="en-GB"/>
        </w:rPr>
        <w:tab/>
        <w:t>Public Protector’s written submissions para 3</w:t>
      </w:r>
    </w:p>
  </w:footnote>
  <w:footnote w:id="22">
    <w:p w:rsidR="00A01B51" w:rsidRPr="00961F3B" w:rsidRDefault="00A01B51" w:rsidP="00DC1744">
      <w:pPr>
        <w:pStyle w:val="FootnoteText"/>
        <w:rPr>
          <w:lang w:val="en-US"/>
        </w:rPr>
      </w:pPr>
      <w:r>
        <w:rPr>
          <w:rStyle w:val="FootnoteReference"/>
        </w:rPr>
        <w:footnoteRef/>
      </w:r>
      <w:r>
        <w:t xml:space="preserve"> </w:t>
      </w:r>
      <w:r>
        <w:rPr>
          <w:lang w:val="en-GB"/>
        </w:rPr>
        <w:tab/>
      </w:r>
      <w:r w:rsidR="00B7421C" w:rsidRPr="00961F3B">
        <w:rPr>
          <w:i/>
          <w:lang w:val="en-US"/>
        </w:rPr>
        <w:t>Sopher v Sopher</w:t>
      </w:r>
      <w:r w:rsidR="00B7421C">
        <w:rPr>
          <w:lang w:val="en-US"/>
        </w:rPr>
        <w:t xml:space="preserve"> </w:t>
      </w:r>
      <w:r w:rsidR="00B7421C" w:rsidRPr="00B7421C">
        <w:rPr>
          <w:lang w:val="en-US"/>
        </w:rPr>
        <w:t>1957 (1) SA 598 (W)</w:t>
      </w:r>
      <w:r w:rsidR="00B7421C">
        <w:rPr>
          <w:lang w:val="en-US"/>
        </w:rPr>
        <w:t xml:space="preserve"> </w:t>
      </w:r>
      <w:r w:rsidR="00B7421C">
        <w:rPr>
          <w:lang w:val="en-GB"/>
        </w:rPr>
        <w:t>600E</w:t>
      </w:r>
      <w:r w:rsidR="00961F3B">
        <w:rPr>
          <w:lang w:val="en-GB"/>
        </w:rPr>
        <w:t xml:space="preserve">; </w:t>
      </w:r>
      <w:r w:rsidR="00961F3B" w:rsidRPr="00961F3B">
        <w:rPr>
          <w:i/>
          <w:lang w:val="en-US"/>
        </w:rPr>
        <w:t>Shatz Investments (Pty) Ltd v Valovyrnas</w:t>
      </w:r>
      <w:r w:rsidR="00961F3B" w:rsidRPr="00961F3B">
        <w:rPr>
          <w:lang w:val="en-US"/>
        </w:rPr>
        <w:t xml:space="preserve"> 1976 2 SA 545 (A) at 560</w:t>
      </w:r>
      <w:r w:rsidR="00961F3B">
        <w:rPr>
          <w:lang w:val="en-US"/>
        </w:rPr>
        <w:t xml:space="preserve">; </w:t>
      </w:r>
      <w:r w:rsidR="00961F3B" w:rsidRPr="00A01B51">
        <w:rPr>
          <w:i/>
          <w:lang w:val="en-US"/>
        </w:rPr>
        <w:t>Marsh v Odendaalsrus Cold Storages Ltd</w:t>
      </w:r>
      <w:r w:rsidR="00961F3B">
        <w:rPr>
          <w:lang w:val="en-US"/>
        </w:rPr>
        <w:t xml:space="preserve"> </w:t>
      </w:r>
      <w:r w:rsidR="00961F3B" w:rsidRPr="00A01B51">
        <w:rPr>
          <w:lang w:val="en-US"/>
        </w:rPr>
        <w:t>1963 (2) SA 263 (W)</w:t>
      </w:r>
      <w:r w:rsidR="00961F3B">
        <w:rPr>
          <w:lang w:val="en-US"/>
        </w:rPr>
        <w:t xml:space="preserve"> </w:t>
      </w:r>
      <w:r w:rsidR="00961F3B">
        <w:rPr>
          <w:lang w:val="en-GB"/>
        </w:rPr>
        <w:t xml:space="preserve">269H – 270A; </w:t>
      </w:r>
      <w:r w:rsidR="00DC1744" w:rsidRPr="00DC1744">
        <w:rPr>
          <w:i/>
          <w:iCs/>
          <w:lang w:val="en-US"/>
        </w:rPr>
        <w:t>Naidoo v Matlala </w:t>
      </w:r>
      <w:r w:rsidR="00DC1744" w:rsidRPr="00DC1744">
        <w:rPr>
          <w:lang w:val="en-US"/>
        </w:rPr>
        <w:t>NO 2012 (1) SA 143 GNP</w:t>
      </w:r>
      <w:r w:rsidR="00DC1744">
        <w:rPr>
          <w:lang w:val="en-US"/>
        </w:rPr>
        <w:t xml:space="preserve"> para 15; </w:t>
      </w:r>
      <w:r w:rsidR="00961F3B" w:rsidRPr="00961F3B">
        <w:rPr>
          <w:i/>
          <w:lang w:val="en-US"/>
        </w:rPr>
        <w:t>African Dawn Property Transfer Finance 3 (Pty) Ltd v Tuscaloosa 37 (Pty) Limited</w:t>
      </w:r>
      <w:r w:rsidR="00961F3B" w:rsidRPr="00961F3B">
        <w:rPr>
          <w:lang w:val="en-US"/>
        </w:rPr>
        <w:t xml:space="preserve"> 2014 JDR 2530 (GP)</w:t>
      </w:r>
      <w:r w:rsidR="00961F3B">
        <w:rPr>
          <w:lang w:val="en-US"/>
        </w:rPr>
        <w:t xml:space="preserve"> para 56</w:t>
      </w:r>
    </w:p>
  </w:footnote>
  <w:footnote w:id="23">
    <w:p w:rsidR="00E17906" w:rsidRPr="00D12B2B" w:rsidRDefault="00E17906">
      <w:pPr>
        <w:pStyle w:val="FootnoteText"/>
        <w:rPr>
          <w:lang w:val="en-GB"/>
        </w:rPr>
      </w:pPr>
      <w:r>
        <w:rPr>
          <w:rStyle w:val="FootnoteReference"/>
        </w:rPr>
        <w:footnoteRef/>
      </w:r>
      <w:r>
        <w:t xml:space="preserve"> </w:t>
      </w:r>
      <w:r>
        <w:rPr>
          <w:lang w:val="en-GB"/>
        </w:rPr>
        <w:tab/>
      </w:r>
      <w:r w:rsidR="0049772A">
        <w:rPr>
          <w:lang w:val="en-GB"/>
        </w:rPr>
        <w:t xml:space="preserve">PP’s </w:t>
      </w:r>
      <w:r>
        <w:rPr>
          <w:lang w:val="en-GB"/>
        </w:rPr>
        <w:t>written submissions paras 6 and 7</w:t>
      </w:r>
    </w:p>
  </w:footnote>
  <w:footnote w:id="24">
    <w:p w:rsidR="00E17906" w:rsidRPr="00671073" w:rsidRDefault="00E17906">
      <w:pPr>
        <w:pStyle w:val="FootnoteText"/>
        <w:rPr>
          <w:lang w:val="en-GB"/>
        </w:rPr>
      </w:pPr>
      <w:r>
        <w:rPr>
          <w:rStyle w:val="FootnoteReference"/>
        </w:rPr>
        <w:footnoteRef/>
      </w:r>
      <w:r>
        <w:t xml:space="preserve"> </w:t>
      </w:r>
      <w:r>
        <w:rPr>
          <w:lang w:val="en-GB"/>
        </w:rPr>
        <w:tab/>
      </w:r>
      <w:r w:rsidRPr="00671073">
        <w:rPr>
          <w:i/>
          <w:lang w:val="en-GB"/>
        </w:rPr>
        <w:t>Pheko</w:t>
      </w:r>
      <w:r>
        <w:rPr>
          <w:lang w:val="en-GB"/>
        </w:rPr>
        <w:t xml:space="preserve"> para 51</w:t>
      </w:r>
    </w:p>
  </w:footnote>
  <w:footnote w:id="25">
    <w:p w:rsidR="00E17906" w:rsidRPr="00E17906" w:rsidRDefault="00E17906">
      <w:pPr>
        <w:pStyle w:val="FootnoteText"/>
        <w:rPr>
          <w:lang w:val="en-GB"/>
        </w:rPr>
      </w:pPr>
      <w:r>
        <w:rPr>
          <w:rStyle w:val="FootnoteReference"/>
        </w:rPr>
        <w:footnoteRef/>
      </w:r>
      <w:r>
        <w:t xml:space="preserve"> </w:t>
      </w:r>
      <w:r>
        <w:rPr>
          <w:lang w:val="en-GB"/>
        </w:rPr>
        <w:tab/>
        <w:t>Judgment Appeal Record, Vol 8 page 617 para 128</w:t>
      </w:r>
    </w:p>
  </w:footnote>
  <w:footnote w:id="26">
    <w:p w:rsidR="00E17906" w:rsidRPr="00B222F8" w:rsidRDefault="00E17906">
      <w:pPr>
        <w:pStyle w:val="FootnoteText"/>
        <w:rPr>
          <w:lang w:val="en-GB"/>
        </w:rPr>
      </w:pPr>
      <w:r>
        <w:rPr>
          <w:rStyle w:val="FootnoteReference"/>
        </w:rPr>
        <w:footnoteRef/>
      </w:r>
      <w:r>
        <w:t xml:space="preserve"> </w:t>
      </w:r>
      <w:r>
        <w:rPr>
          <w:lang w:val="en-GB"/>
        </w:rPr>
        <w:tab/>
        <w:t>Judgment Appeal Record, Vol 8 page 611 para 116, page 617 para 128</w:t>
      </w:r>
    </w:p>
  </w:footnote>
  <w:footnote w:id="27">
    <w:p w:rsidR="00E17906" w:rsidRPr="00DD3000" w:rsidRDefault="00E17906">
      <w:pPr>
        <w:pStyle w:val="FootnoteText"/>
        <w:rPr>
          <w:lang w:val="en-GB"/>
        </w:rPr>
      </w:pPr>
      <w:r>
        <w:rPr>
          <w:rStyle w:val="FootnoteReference"/>
        </w:rPr>
        <w:footnoteRef/>
      </w:r>
      <w:r>
        <w:t xml:space="preserve"> </w:t>
      </w:r>
      <w:r>
        <w:rPr>
          <w:lang w:val="en-GB"/>
        </w:rPr>
        <w:tab/>
      </w:r>
      <w:r w:rsidR="00D6369E" w:rsidRPr="00D6369E">
        <w:rPr>
          <w:i/>
          <w:lang w:val="en-GB"/>
        </w:rPr>
        <w:t>Helen Suzman Foundation v Judicial Service Commission</w:t>
      </w:r>
      <w:r w:rsidR="00D6369E" w:rsidRPr="00D6369E">
        <w:rPr>
          <w:lang w:val="en-GB"/>
        </w:rPr>
        <w:t xml:space="preserve"> 2018 (4) SA 1 (CC)</w:t>
      </w:r>
      <w:r w:rsidR="00D6369E">
        <w:rPr>
          <w:lang w:val="en-GB"/>
        </w:rPr>
        <w:t xml:space="preserve"> para 13</w:t>
      </w:r>
    </w:p>
  </w:footnote>
  <w:footnote w:id="28">
    <w:p w:rsidR="00E17906" w:rsidRPr="00034E48" w:rsidRDefault="00E17906">
      <w:pPr>
        <w:pStyle w:val="FootnoteText"/>
        <w:rPr>
          <w:lang w:val="en-GB"/>
        </w:rPr>
      </w:pPr>
      <w:r>
        <w:rPr>
          <w:rStyle w:val="FootnoteReference"/>
        </w:rPr>
        <w:footnoteRef/>
      </w:r>
      <w:r>
        <w:t xml:space="preserve"> </w:t>
      </w:r>
      <w:r>
        <w:rPr>
          <w:lang w:val="en-GB"/>
        </w:rPr>
        <w:tab/>
        <w:t>SARB Supp FA in the High Court, Appeal Record, Vol 2, page 97 para 10</w:t>
      </w:r>
    </w:p>
  </w:footnote>
  <w:footnote w:id="29">
    <w:p w:rsidR="00E17906" w:rsidRPr="00C06F30" w:rsidRDefault="00E17906">
      <w:pPr>
        <w:pStyle w:val="FootnoteText"/>
        <w:rPr>
          <w:lang w:val="en-GB"/>
        </w:rPr>
      </w:pPr>
      <w:r>
        <w:rPr>
          <w:rStyle w:val="FootnoteReference"/>
        </w:rPr>
        <w:footnoteRef/>
      </w:r>
      <w:r>
        <w:t xml:space="preserve"> </w:t>
      </w:r>
      <w:r>
        <w:rPr>
          <w:lang w:val="en-GB"/>
        </w:rPr>
        <w:tab/>
        <w:t>SARB Supp FA in the High Court, Appeal Record, Vol 2, page 97 para 9</w:t>
      </w:r>
    </w:p>
  </w:footnote>
  <w:footnote w:id="30">
    <w:p w:rsidR="00E17906" w:rsidRPr="00DD3000" w:rsidRDefault="00E17906">
      <w:pPr>
        <w:pStyle w:val="FootnoteText"/>
        <w:rPr>
          <w:lang w:val="en-GB"/>
        </w:rPr>
      </w:pPr>
      <w:r>
        <w:rPr>
          <w:rStyle w:val="FootnoteReference"/>
        </w:rPr>
        <w:footnoteRef/>
      </w:r>
      <w:r>
        <w:t xml:space="preserve"> </w:t>
      </w:r>
      <w:r>
        <w:rPr>
          <w:lang w:val="en-GB"/>
        </w:rPr>
        <w:tab/>
      </w:r>
      <w:r w:rsidR="00B35316">
        <w:rPr>
          <w:lang w:val="en-GB"/>
        </w:rPr>
        <w:t xml:space="preserve">SARB Supp FA in the High Court Appeal Record Vol 2 page 97 para 7; </w:t>
      </w:r>
      <w:r w:rsidR="00596BD4">
        <w:rPr>
          <w:lang w:val="en-GB"/>
        </w:rPr>
        <w:t>SARB RA in the High Court Appeal Reco</w:t>
      </w:r>
      <w:r w:rsidR="00264483">
        <w:rPr>
          <w:lang w:val="en-GB"/>
        </w:rPr>
        <w:t>r</w:t>
      </w:r>
      <w:r w:rsidR="00596BD4">
        <w:rPr>
          <w:lang w:val="en-GB"/>
        </w:rPr>
        <w:t>d, V</w:t>
      </w:r>
      <w:r w:rsidR="00264483">
        <w:rPr>
          <w:lang w:val="en-GB"/>
        </w:rPr>
        <w:t>ol 7, page 527 para 29.1.6</w:t>
      </w:r>
    </w:p>
  </w:footnote>
  <w:footnote w:id="31">
    <w:p w:rsidR="00E17906" w:rsidRPr="00B11ADD" w:rsidRDefault="00E17906">
      <w:pPr>
        <w:pStyle w:val="FootnoteText"/>
        <w:rPr>
          <w:lang w:val="en-GB"/>
        </w:rPr>
      </w:pPr>
      <w:r>
        <w:rPr>
          <w:rStyle w:val="FootnoteReference"/>
        </w:rPr>
        <w:footnoteRef/>
      </w:r>
      <w:r>
        <w:t xml:space="preserve"> </w:t>
      </w:r>
      <w:r>
        <w:rPr>
          <w:lang w:val="en-GB"/>
        </w:rPr>
        <w:tab/>
        <w:t>Public Protector RA in the Constitutional Court, Appeal Record, Vol 10 page 782 para 13.1</w:t>
      </w:r>
    </w:p>
  </w:footnote>
  <w:footnote w:id="32">
    <w:p w:rsidR="00E17906" w:rsidRPr="00B11ADD" w:rsidRDefault="00E17906">
      <w:pPr>
        <w:pStyle w:val="FootnoteText"/>
        <w:rPr>
          <w:lang w:val="en-GB"/>
        </w:rPr>
      </w:pPr>
      <w:r>
        <w:rPr>
          <w:rStyle w:val="FootnoteReference"/>
        </w:rPr>
        <w:footnoteRef/>
      </w:r>
      <w:r>
        <w:t xml:space="preserve"> </w:t>
      </w:r>
      <w:r>
        <w:rPr>
          <w:lang w:val="en-GB"/>
        </w:rPr>
        <w:tab/>
        <w:t>Annexure PP9 to the Public Protector’s AA in the High Court, Appeal Record, Vol 6 pages 478 and 479</w:t>
      </w:r>
    </w:p>
  </w:footnote>
  <w:footnote w:id="33">
    <w:p w:rsidR="00E17906" w:rsidRDefault="00E17906">
      <w:pPr>
        <w:pStyle w:val="FootnoteText"/>
        <w:rPr>
          <w:lang w:val="en-GB"/>
        </w:rPr>
      </w:pPr>
      <w:r>
        <w:rPr>
          <w:rStyle w:val="FootnoteReference"/>
        </w:rPr>
        <w:footnoteRef/>
      </w:r>
      <w:r>
        <w:t xml:space="preserve"> </w:t>
      </w:r>
      <w:r>
        <w:rPr>
          <w:lang w:val="en-GB"/>
        </w:rPr>
        <w:tab/>
        <w:t>Annexure PP8 to the Public Protector’s FA in the Constitutional Court, Appeal Record, Vol 9 pages 690 and 691;</w:t>
      </w:r>
    </w:p>
    <w:p w:rsidR="00E17906" w:rsidRPr="00B11ADD" w:rsidRDefault="00E17906">
      <w:pPr>
        <w:pStyle w:val="FootnoteText"/>
        <w:rPr>
          <w:lang w:val="en-GB"/>
        </w:rPr>
      </w:pPr>
      <w:r>
        <w:rPr>
          <w:lang w:val="en-GB"/>
        </w:rPr>
        <w:tab/>
        <w:t xml:space="preserve">The first page of annexure PP7 to the Public Protector’s FA in the Constitutional Court, Appeal Record, </w:t>
      </w:r>
      <w:proofErr w:type="gramStart"/>
      <w:r>
        <w:rPr>
          <w:lang w:val="en-GB"/>
        </w:rPr>
        <w:t>Vol</w:t>
      </w:r>
      <w:proofErr w:type="gramEnd"/>
      <w:r>
        <w:rPr>
          <w:lang w:val="en-GB"/>
        </w:rPr>
        <w:t xml:space="preserve"> 9 page 687. Although pages 688 and 689 were annexures to the Public Protector’s affidavit in the High Court, page 687 was not. </w:t>
      </w:r>
    </w:p>
  </w:footnote>
  <w:footnote w:id="34">
    <w:p w:rsidR="00E17906" w:rsidRPr="00460CBC" w:rsidRDefault="00E17906">
      <w:pPr>
        <w:pStyle w:val="FootnoteText"/>
        <w:rPr>
          <w:lang w:val="en-GB"/>
        </w:rPr>
      </w:pPr>
      <w:r>
        <w:rPr>
          <w:rStyle w:val="FootnoteReference"/>
        </w:rPr>
        <w:footnoteRef/>
      </w:r>
      <w:r>
        <w:t xml:space="preserve"> </w:t>
      </w:r>
      <w:r>
        <w:rPr>
          <w:lang w:val="en-GB"/>
        </w:rPr>
        <w:tab/>
        <w:t>SARB Supp FA in the High Court, Appeal Record, Vol 2, page 101 para 29</w:t>
      </w:r>
    </w:p>
  </w:footnote>
  <w:footnote w:id="35">
    <w:p w:rsidR="00E17906" w:rsidRPr="00460CBC" w:rsidRDefault="00E17906">
      <w:pPr>
        <w:pStyle w:val="FootnoteText"/>
        <w:rPr>
          <w:lang w:val="en-GB"/>
        </w:rPr>
      </w:pPr>
      <w:r>
        <w:rPr>
          <w:rStyle w:val="FootnoteReference"/>
        </w:rPr>
        <w:footnoteRef/>
      </w:r>
      <w:r>
        <w:t xml:space="preserve"> </w:t>
      </w:r>
      <w:r>
        <w:rPr>
          <w:lang w:val="en-GB"/>
        </w:rPr>
        <w:tab/>
        <w:t>SARB Supp FA in the High Court, Appeal Record, Vol 2, page 100 paras 24 and 25</w:t>
      </w:r>
    </w:p>
  </w:footnote>
  <w:footnote w:id="36">
    <w:p w:rsidR="00E17906" w:rsidRPr="00460CBC" w:rsidRDefault="00E17906">
      <w:pPr>
        <w:pStyle w:val="FootnoteText"/>
        <w:rPr>
          <w:lang w:val="en-GB"/>
        </w:rPr>
      </w:pPr>
      <w:r>
        <w:rPr>
          <w:rStyle w:val="FootnoteReference"/>
        </w:rPr>
        <w:footnoteRef/>
      </w:r>
      <w:r>
        <w:t xml:space="preserve"> </w:t>
      </w:r>
      <w:r>
        <w:rPr>
          <w:lang w:val="en-GB"/>
        </w:rPr>
        <w:tab/>
        <w:t>SARB Supp FA in the High Court, Appeal Record, Vol 2, page 100 para 27</w:t>
      </w:r>
    </w:p>
  </w:footnote>
  <w:footnote w:id="37">
    <w:p w:rsidR="00E17906" w:rsidRPr="00460CBC" w:rsidRDefault="00E17906">
      <w:pPr>
        <w:pStyle w:val="FootnoteText"/>
        <w:rPr>
          <w:lang w:val="en-GB"/>
        </w:rPr>
      </w:pPr>
      <w:r>
        <w:rPr>
          <w:rStyle w:val="FootnoteReference"/>
        </w:rPr>
        <w:footnoteRef/>
      </w:r>
      <w:r>
        <w:t xml:space="preserve"> </w:t>
      </w:r>
      <w:r>
        <w:rPr>
          <w:lang w:val="en-GB"/>
        </w:rPr>
        <w:tab/>
        <w:t>SARB Supp FA in the High Court, Appeal Record, Vol 2, page 102 para 31</w:t>
      </w:r>
    </w:p>
  </w:footnote>
  <w:footnote w:id="38">
    <w:p w:rsidR="00E17906" w:rsidRPr="00460CBC" w:rsidRDefault="00E17906">
      <w:pPr>
        <w:pStyle w:val="FootnoteText"/>
        <w:rPr>
          <w:lang w:val="en-GB"/>
        </w:rPr>
      </w:pPr>
      <w:r>
        <w:rPr>
          <w:rStyle w:val="FootnoteReference"/>
        </w:rPr>
        <w:footnoteRef/>
      </w:r>
      <w:r>
        <w:t xml:space="preserve"> </w:t>
      </w:r>
      <w:r>
        <w:rPr>
          <w:lang w:val="en-GB"/>
        </w:rPr>
        <w:tab/>
        <w:t>SARB Supp FA in the High Court, Appeal Record, Vol 2, page 98 para 13; page 103 paras 36 and 37</w:t>
      </w:r>
    </w:p>
  </w:footnote>
  <w:footnote w:id="39">
    <w:p w:rsidR="00E17906" w:rsidRPr="00BD5A91" w:rsidRDefault="00E17906">
      <w:pPr>
        <w:pStyle w:val="FootnoteText"/>
        <w:rPr>
          <w:lang w:val="en-GB"/>
        </w:rPr>
      </w:pPr>
      <w:r>
        <w:rPr>
          <w:rStyle w:val="FootnoteReference"/>
        </w:rPr>
        <w:footnoteRef/>
      </w:r>
      <w:r>
        <w:t xml:space="preserve"> </w:t>
      </w:r>
      <w:r>
        <w:rPr>
          <w:lang w:val="en-GB"/>
        </w:rPr>
        <w:tab/>
        <w:t>SARB Supp FA in the High Court, Appeal Record, Vol 2, page 101 paras 27 and 28; page 102 para 30</w:t>
      </w:r>
    </w:p>
  </w:footnote>
  <w:footnote w:id="40">
    <w:p w:rsidR="00E17906" w:rsidRPr="003341E3" w:rsidRDefault="00E17906">
      <w:pPr>
        <w:pStyle w:val="FootnoteText"/>
        <w:rPr>
          <w:lang w:val="en-GB"/>
        </w:rPr>
      </w:pPr>
      <w:r>
        <w:rPr>
          <w:rStyle w:val="FootnoteReference"/>
        </w:rPr>
        <w:footnoteRef/>
      </w:r>
      <w:r>
        <w:t xml:space="preserve"> </w:t>
      </w:r>
      <w:r>
        <w:rPr>
          <w:lang w:val="en-GB"/>
        </w:rPr>
        <w:tab/>
        <w:t>SARB Supp FA in the High Court, Appeal Record, Vol 2, page 103 para 38</w:t>
      </w:r>
    </w:p>
  </w:footnote>
  <w:footnote w:id="41">
    <w:p w:rsidR="00E17906" w:rsidRPr="00BD5A91" w:rsidRDefault="00E17906">
      <w:pPr>
        <w:pStyle w:val="FootnoteText"/>
        <w:rPr>
          <w:lang w:val="en-GB"/>
        </w:rPr>
      </w:pPr>
      <w:r>
        <w:rPr>
          <w:rStyle w:val="FootnoteReference"/>
        </w:rPr>
        <w:footnoteRef/>
      </w:r>
      <w:r>
        <w:t xml:space="preserve"> </w:t>
      </w:r>
      <w:r>
        <w:rPr>
          <w:lang w:val="en-GB"/>
        </w:rPr>
        <w:tab/>
        <w:t>SARB Supp FA in the High Court, Appeal Record, Vol 2, page 102 para 32</w:t>
      </w:r>
    </w:p>
  </w:footnote>
  <w:footnote w:id="42">
    <w:p w:rsidR="00E17906" w:rsidRPr="00BD5A91" w:rsidRDefault="00E17906">
      <w:pPr>
        <w:pStyle w:val="FootnoteText"/>
        <w:rPr>
          <w:lang w:val="en-GB"/>
        </w:rPr>
      </w:pPr>
      <w:r>
        <w:rPr>
          <w:rStyle w:val="FootnoteReference"/>
        </w:rPr>
        <w:footnoteRef/>
      </w:r>
      <w:r>
        <w:t xml:space="preserve"> </w:t>
      </w:r>
      <w:r>
        <w:rPr>
          <w:lang w:val="en-GB"/>
        </w:rPr>
        <w:tab/>
        <w:t>SARB Supp FA in the High Court, Appeal Record, Vol 2, page 102 para 33</w:t>
      </w:r>
    </w:p>
  </w:footnote>
  <w:footnote w:id="43">
    <w:p w:rsidR="00E17906" w:rsidRPr="00BD5A91" w:rsidRDefault="00E17906">
      <w:pPr>
        <w:pStyle w:val="FootnoteText"/>
        <w:rPr>
          <w:lang w:val="en-GB"/>
        </w:rPr>
      </w:pPr>
      <w:r>
        <w:rPr>
          <w:rStyle w:val="FootnoteReference"/>
        </w:rPr>
        <w:footnoteRef/>
      </w:r>
      <w:r>
        <w:t xml:space="preserve"> </w:t>
      </w:r>
      <w:r>
        <w:rPr>
          <w:lang w:val="en-GB"/>
        </w:rPr>
        <w:tab/>
        <w:t>SARB Supp FA in the High Court, Appeal Record, Vol 2, page 102 para 35</w:t>
      </w:r>
    </w:p>
  </w:footnote>
  <w:footnote w:id="44">
    <w:p w:rsidR="00E17906" w:rsidRPr="00BD4948" w:rsidRDefault="00E17906">
      <w:pPr>
        <w:pStyle w:val="FootnoteText"/>
        <w:rPr>
          <w:lang w:val="en-GB"/>
        </w:rPr>
      </w:pPr>
      <w:r>
        <w:rPr>
          <w:rStyle w:val="FootnoteReference"/>
        </w:rPr>
        <w:footnoteRef/>
      </w:r>
      <w:r>
        <w:t xml:space="preserve"> </w:t>
      </w:r>
      <w:r>
        <w:rPr>
          <w:lang w:val="en-GB"/>
        </w:rPr>
        <w:tab/>
        <w:t>Public Protector AA in the High Court, Appeal Record, Vol 3 page 199 para 171</w:t>
      </w:r>
    </w:p>
  </w:footnote>
  <w:footnote w:id="45">
    <w:p w:rsidR="00E17906" w:rsidRPr="00C744AC" w:rsidRDefault="00E17906">
      <w:pPr>
        <w:pStyle w:val="FootnoteText"/>
        <w:rPr>
          <w:lang w:val="en-GB"/>
        </w:rPr>
      </w:pPr>
      <w:r>
        <w:rPr>
          <w:rStyle w:val="FootnoteReference"/>
        </w:rPr>
        <w:footnoteRef/>
      </w:r>
      <w:r>
        <w:t xml:space="preserve"> </w:t>
      </w:r>
      <w:r>
        <w:rPr>
          <w:lang w:val="en-GB"/>
        </w:rPr>
        <w:tab/>
        <w:t>P</w:t>
      </w:r>
      <w:r w:rsidR="00BE2C0C">
        <w:rPr>
          <w:lang w:val="en-GB"/>
        </w:rPr>
        <w:t xml:space="preserve">P </w:t>
      </w:r>
      <w:r>
        <w:rPr>
          <w:lang w:val="en-GB"/>
        </w:rPr>
        <w:t>AA in the High Court, Appeal Record, Vol 3 page 199 para 173</w:t>
      </w:r>
    </w:p>
  </w:footnote>
  <w:footnote w:id="46">
    <w:p w:rsidR="00E17906" w:rsidRPr="003A61DB" w:rsidRDefault="00E17906">
      <w:pPr>
        <w:pStyle w:val="FootnoteText"/>
        <w:rPr>
          <w:lang w:val="en-GB"/>
        </w:rPr>
      </w:pPr>
      <w:r>
        <w:rPr>
          <w:rStyle w:val="FootnoteReference"/>
        </w:rPr>
        <w:footnoteRef/>
      </w:r>
      <w:r>
        <w:t xml:space="preserve"> </w:t>
      </w:r>
      <w:r>
        <w:rPr>
          <w:lang w:val="en-GB"/>
        </w:rPr>
        <w:tab/>
        <w:t>Judgement, Appeal Record Vol 8 page 611 para 116</w:t>
      </w:r>
    </w:p>
  </w:footnote>
  <w:footnote w:id="47">
    <w:p w:rsidR="00E17906" w:rsidRPr="006A431E" w:rsidRDefault="00E17906">
      <w:pPr>
        <w:pStyle w:val="FootnoteText"/>
        <w:rPr>
          <w:lang w:val="en-GB"/>
        </w:rPr>
      </w:pPr>
      <w:r>
        <w:rPr>
          <w:rStyle w:val="FootnoteReference"/>
        </w:rPr>
        <w:footnoteRef/>
      </w:r>
      <w:r>
        <w:t xml:space="preserve"> </w:t>
      </w:r>
      <w:r>
        <w:rPr>
          <w:lang w:val="en-GB"/>
        </w:rPr>
        <w:tab/>
        <w:t>PP AA in the High Court, Appeal Record, Vol 3, page 143 para 2</w:t>
      </w:r>
    </w:p>
  </w:footnote>
  <w:footnote w:id="48">
    <w:p w:rsidR="00E17906" w:rsidRPr="0022048A" w:rsidRDefault="00E17906" w:rsidP="001B0EFC">
      <w:pPr>
        <w:pStyle w:val="FootnoteText"/>
        <w:rPr>
          <w:lang w:val="en-GB"/>
        </w:rPr>
      </w:pPr>
      <w:r>
        <w:rPr>
          <w:rStyle w:val="FootnoteReference"/>
        </w:rPr>
        <w:footnoteRef/>
      </w:r>
      <w:r>
        <w:t xml:space="preserve"> </w:t>
      </w:r>
      <w:r>
        <w:rPr>
          <w:lang w:val="en-GB"/>
        </w:rPr>
        <w:tab/>
        <w:t>PP AA in the High Court, Appeal Record, Vol 3, page 181 para 126</w:t>
      </w:r>
    </w:p>
  </w:footnote>
  <w:footnote w:id="49">
    <w:p w:rsidR="00E17906" w:rsidRPr="0022048A" w:rsidRDefault="00E17906">
      <w:pPr>
        <w:pStyle w:val="FootnoteText"/>
        <w:rPr>
          <w:lang w:val="en-GB"/>
        </w:rPr>
      </w:pPr>
      <w:r>
        <w:rPr>
          <w:rStyle w:val="FootnoteReference"/>
        </w:rPr>
        <w:footnoteRef/>
      </w:r>
      <w:r>
        <w:t xml:space="preserve"> </w:t>
      </w:r>
      <w:r>
        <w:rPr>
          <w:lang w:val="en-GB"/>
        </w:rPr>
        <w:tab/>
        <w:t>Annexure JDJ3 to SARB AA in the Constitutional Court, Appeal Record, Vol 9, page 725ff</w:t>
      </w:r>
    </w:p>
  </w:footnote>
  <w:footnote w:id="50">
    <w:p w:rsidR="00E17906" w:rsidRPr="007B0A83" w:rsidRDefault="00E17906">
      <w:pPr>
        <w:pStyle w:val="FootnoteText"/>
        <w:rPr>
          <w:lang w:val="en-GB"/>
        </w:rPr>
      </w:pPr>
      <w:r>
        <w:rPr>
          <w:rStyle w:val="FootnoteReference"/>
        </w:rPr>
        <w:footnoteRef/>
      </w:r>
      <w:r>
        <w:t xml:space="preserve"> </w:t>
      </w:r>
      <w:r>
        <w:rPr>
          <w:lang w:val="en-GB"/>
        </w:rPr>
        <w:tab/>
        <w:t>Judgment, Appeal Record, Vol 8, page 617 para 128</w:t>
      </w:r>
    </w:p>
  </w:footnote>
  <w:footnote w:id="51">
    <w:p w:rsidR="00E17906" w:rsidRPr="00810CB2" w:rsidRDefault="00E17906">
      <w:pPr>
        <w:pStyle w:val="FootnoteText"/>
        <w:rPr>
          <w:lang w:val="en-GB"/>
        </w:rPr>
      </w:pPr>
      <w:r>
        <w:rPr>
          <w:rStyle w:val="FootnoteReference"/>
        </w:rPr>
        <w:footnoteRef/>
      </w:r>
      <w:r>
        <w:t xml:space="preserve"> </w:t>
      </w:r>
      <w:r>
        <w:rPr>
          <w:lang w:val="en-GB"/>
        </w:rPr>
        <w:tab/>
      </w:r>
      <w:r w:rsidRPr="008977D0">
        <w:rPr>
          <w:i/>
          <w:iCs/>
          <w:lang w:val="en-US"/>
        </w:rPr>
        <w:t>R v Verster</w:t>
      </w:r>
      <w:r w:rsidRPr="008977D0">
        <w:rPr>
          <w:lang w:val="en-US"/>
        </w:rPr>
        <w:t xml:space="preserve"> 1952  E (2) SA 231 (A) </w:t>
      </w:r>
      <w:bookmarkStart w:id="15" w:name="LPHit25"/>
      <w:bookmarkEnd w:id="15"/>
      <w:r w:rsidRPr="008977D0">
        <w:rPr>
          <w:lang w:val="en-US"/>
        </w:rPr>
        <w:t>at 236</w:t>
      </w:r>
      <w:r>
        <w:rPr>
          <w:lang w:val="en-US"/>
        </w:rPr>
        <w:t xml:space="preserve">; </w:t>
      </w:r>
      <w:r w:rsidRPr="008977D0">
        <w:rPr>
          <w:i/>
          <w:lang w:val="en-US"/>
        </w:rPr>
        <w:t>Attorney-General, Free State v Ramokhosi</w:t>
      </w:r>
      <w:r>
        <w:rPr>
          <w:lang w:val="en-US"/>
        </w:rPr>
        <w:t xml:space="preserve"> </w:t>
      </w:r>
      <w:r w:rsidRPr="008977D0">
        <w:rPr>
          <w:lang w:val="en-US"/>
        </w:rPr>
        <w:t>1999 (3) SA 588 (SCA)</w:t>
      </w:r>
      <w:r>
        <w:rPr>
          <w:lang w:val="en-US"/>
        </w:rPr>
        <w:t xml:space="preserve"> para 8</w:t>
      </w:r>
    </w:p>
  </w:footnote>
  <w:footnote w:id="52">
    <w:p w:rsidR="00E17906" w:rsidRPr="00B35CAC" w:rsidRDefault="00E17906">
      <w:pPr>
        <w:pStyle w:val="FootnoteText"/>
        <w:rPr>
          <w:lang w:val="en-GB"/>
        </w:rPr>
      </w:pPr>
      <w:r>
        <w:rPr>
          <w:rStyle w:val="FootnoteReference"/>
        </w:rPr>
        <w:footnoteRef/>
      </w:r>
      <w:r>
        <w:t xml:space="preserve"> </w:t>
      </w:r>
      <w:r>
        <w:rPr>
          <w:lang w:val="en-GB"/>
        </w:rPr>
        <w:tab/>
        <w:t>PP FA in the Constitutional Court, Appeal Record, Vol 9, page 664 para 40.1</w:t>
      </w:r>
    </w:p>
  </w:footnote>
  <w:footnote w:id="53">
    <w:p w:rsidR="00E17906" w:rsidRPr="00B35CAC" w:rsidRDefault="00E17906">
      <w:pPr>
        <w:pStyle w:val="FootnoteText"/>
        <w:rPr>
          <w:lang w:val="en-GB"/>
        </w:rPr>
      </w:pPr>
      <w:r>
        <w:rPr>
          <w:rStyle w:val="FootnoteReference"/>
        </w:rPr>
        <w:footnoteRef/>
      </w:r>
      <w:r>
        <w:t xml:space="preserve"> </w:t>
      </w:r>
      <w:r>
        <w:rPr>
          <w:lang w:val="en-GB"/>
        </w:rPr>
        <w:tab/>
        <w:t>PP FA in the Constitutional Court, Appeal Record, Vol 9, page 666 para 43</w:t>
      </w:r>
    </w:p>
  </w:footnote>
  <w:footnote w:id="54">
    <w:p w:rsidR="00E17906" w:rsidRPr="00936362" w:rsidRDefault="00E17906">
      <w:pPr>
        <w:pStyle w:val="FootnoteText"/>
        <w:rPr>
          <w:lang w:val="en-GB"/>
        </w:rPr>
      </w:pPr>
      <w:r>
        <w:rPr>
          <w:rStyle w:val="FootnoteReference"/>
        </w:rPr>
        <w:footnoteRef/>
      </w:r>
      <w:r>
        <w:t xml:space="preserve"> </w:t>
      </w:r>
      <w:r>
        <w:rPr>
          <w:lang w:val="en-GB"/>
        </w:rPr>
        <w:tab/>
        <w:t>SARB AA in the Constitutional Court, Appeal Record, Vol 9, page 702 para 25</w:t>
      </w:r>
    </w:p>
  </w:footnote>
  <w:footnote w:id="55">
    <w:p w:rsidR="00E17906" w:rsidRPr="00936362" w:rsidRDefault="00E17906">
      <w:pPr>
        <w:pStyle w:val="FootnoteText"/>
        <w:rPr>
          <w:lang w:val="en-GB"/>
        </w:rPr>
      </w:pPr>
      <w:r>
        <w:rPr>
          <w:rStyle w:val="FootnoteReference"/>
        </w:rPr>
        <w:footnoteRef/>
      </w:r>
      <w:r>
        <w:t xml:space="preserve"> </w:t>
      </w:r>
      <w:r>
        <w:rPr>
          <w:lang w:val="en-GB"/>
        </w:rPr>
        <w:tab/>
        <w:t>PP RA in the Constitutional Court, Appeal Record, Vol 10, page 776 para 10.3</w:t>
      </w:r>
    </w:p>
  </w:footnote>
  <w:footnote w:id="56">
    <w:p w:rsidR="00E17906" w:rsidRPr="00936362" w:rsidRDefault="00E17906">
      <w:pPr>
        <w:pStyle w:val="FootnoteText"/>
        <w:rPr>
          <w:lang w:val="en-GB"/>
        </w:rPr>
      </w:pPr>
      <w:r>
        <w:rPr>
          <w:rStyle w:val="FootnoteReference"/>
        </w:rPr>
        <w:footnoteRef/>
      </w:r>
      <w:r>
        <w:t xml:space="preserve"> </w:t>
      </w:r>
      <w:r>
        <w:rPr>
          <w:lang w:val="en-GB"/>
        </w:rPr>
        <w:tab/>
        <w:t>PP RA in the Constitutional Court, Appeal Record, Vol 10, page 776 para 10.3.1</w:t>
      </w:r>
    </w:p>
  </w:footnote>
  <w:footnote w:id="57">
    <w:p w:rsidR="00E17906" w:rsidRPr="00936362" w:rsidRDefault="00E17906">
      <w:pPr>
        <w:pStyle w:val="FootnoteText"/>
        <w:rPr>
          <w:lang w:val="en-GB"/>
        </w:rPr>
      </w:pPr>
      <w:r>
        <w:rPr>
          <w:rStyle w:val="FootnoteReference"/>
        </w:rPr>
        <w:footnoteRef/>
      </w:r>
      <w:r>
        <w:t xml:space="preserve"> </w:t>
      </w:r>
      <w:r>
        <w:rPr>
          <w:lang w:val="en-GB"/>
        </w:rPr>
        <w:tab/>
        <w:t>PP RA in the Constitutional Court, Appeal Record, Vol 10, page 776 para 10.3.1 read with Annexure PP9 to the PP AA in the High Court. Appeal Record, Vol 6 page 478</w:t>
      </w:r>
    </w:p>
  </w:footnote>
  <w:footnote w:id="58">
    <w:p w:rsidR="00E17906" w:rsidRPr="002877F5" w:rsidRDefault="00E17906">
      <w:pPr>
        <w:pStyle w:val="FootnoteText"/>
        <w:rPr>
          <w:lang w:val="en-GB"/>
        </w:rPr>
      </w:pPr>
      <w:r>
        <w:rPr>
          <w:rStyle w:val="FootnoteReference"/>
        </w:rPr>
        <w:footnoteRef/>
      </w:r>
      <w:r>
        <w:t xml:space="preserve"> </w:t>
      </w:r>
      <w:r>
        <w:rPr>
          <w:lang w:val="en-GB"/>
        </w:rPr>
        <w:tab/>
        <w:t xml:space="preserve">PP FA in the Constitutional Court, Appeal Record, Vol 9, page 666 para 45; </w:t>
      </w:r>
    </w:p>
  </w:footnote>
  <w:footnote w:id="59">
    <w:p w:rsidR="00E17906" w:rsidRPr="002877F5" w:rsidRDefault="00E17906">
      <w:pPr>
        <w:pStyle w:val="FootnoteText"/>
        <w:rPr>
          <w:lang w:val="en-GB"/>
        </w:rPr>
      </w:pPr>
      <w:r>
        <w:rPr>
          <w:rStyle w:val="FootnoteReference"/>
        </w:rPr>
        <w:footnoteRef/>
      </w:r>
      <w:r>
        <w:t xml:space="preserve"> </w:t>
      </w:r>
      <w:r>
        <w:rPr>
          <w:lang w:val="en-GB"/>
        </w:rPr>
        <w:tab/>
        <w:t>PP RA in the Constitutional Court, Appeal Record, Vol 10, page 777 para 10.7</w:t>
      </w:r>
    </w:p>
  </w:footnote>
  <w:footnote w:id="60">
    <w:p w:rsidR="00E17906" w:rsidRPr="002877F5" w:rsidRDefault="00E17906">
      <w:pPr>
        <w:pStyle w:val="FootnoteText"/>
        <w:rPr>
          <w:lang w:val="en-GB"/>
        </w:rPr>
      </w:pPr>
      <w:r>
        <w:rPr>
          <w:rStyle w:val="FootnoteReference"/>
        </w:rPr>
        <w:footnoteRef/>
      </w:r>
      <w:r>
        <w:t xml:space="preserve"> </w:t>
      </w:r>
      <w:r>
        <w:rPr>
          <w:lang w:val="en-GB"/>
        </w:rPr>
        <w:tab/>
        <w:t>PP RA in the Constitutional Court, Appeal Record, Vol 10, page 780 para 11.3. That the handwritten notes correctly reflect what was discussed at the meeting on 7 June 2018, is confirmed by the two other people from the Public Protector’s office who were present at the meeting – Mr Kekana and Mr Nemasisi – Appeal Record, Vol 10, pages 827 and 829.</w:t>
      </w:r>
    </w:p>
  </w:footnote>
  <w:footnote w:id="61">
    <w:p w:rsidR="00E17906" w:rsidRPr="002877F5" w:rsidRDefault="00E17906">
      <w:pPr>
        <w:pStyle w:val="FootnoteText"/>
        <w:rPr>
          <w:lang w:val="en-GB"/>
        </w:rPr>
      </w:pPr>
      <w:r>
        <w:rPr>
          <w:rStyle w:val="FootnoteReference"/>
        </w:rPr>
        <w:footnoteRef/>
      </w:r>
      <w:r>
        <w:t xml:space="preserve"> </w:t>
      </w:r>
      <w:r>
        <w:rPr>
          <w:lang w:val="en-GB"/>
        </w:rPr>
        <w:tab/>
        <w:t>Annexure SFA2, Appeal Record, Vol 2, page 130 (retyped at page 130a)</w:t>
      </w:r>
    </w:p>
  </w:footnote>
  <w:footnote w:id="62">
    <w:p w:rsidR="00E17906" w:rsidRPr="00C77A28" w:rsidRDefault="00E17906">
      <w:pPr>
        <w:pStyle w:val="FootnoteText"/>
        <w:rPr>
          <w:lang w:val="en-GB"/>
        </w:rPr>
      </w:pPr>
      <w:r>
        <w:rPr>
          <w:rStyle w:val="FootnoteReference"/>
        </w:rPr>
        <w:footnoteRef/>
      </w:r>
      <w:r>
        <w:t xml:space="preserve"> </w:t>
      </w:r>
      <w:r>
        <w:rPr>
          <w:lang w:val="en-GB"/>
        </w:rPr>
        <w:tab/>
        <w:t>Annexure SFA2, Appeal Record, Vol 2, pages 131 to 133 (retypes at pages 131a, 132a, 133a)</w:t>
      </w:r>
    </w:p>
  </w:footnote>
  <w:footnote w:id="63">
    <w:p w:rsidR="00E17906" w:rsidRPr="00FC32B7" w:rsidRDefault="00E17906">
      <w:pPr>
        <w:pStyle w:val="FootnoteText"/>
        <w:rPr>
          <w:lang w:val="en-GB"/>
        </w:rPr>
      </w:pPr>
      <w:r>
        <w:rPr>
          <w:rStyle w:val="FootnoteReference"/>
        </w:rPr>
        <w:footnoteRef/>
      </w:r>
      <w:r>
        <w:t xml:space="preserve"> </w:t>
      </w:r>
      <w:r>
        <w:rPr>
          <w:lang w:val="en-GB"/>
        </w:rPr>
        <w:tab/>
        <w:t xml:space="preserve">Annexure SFA2, Appeal Record, Vol 2, pages 134 to 137 (The retyped version of page 134 has an error. Under the second </w:t>
      </w:r>
      <w:r w:rsidRPr="00FC32B7">
        <w:rPr>
          <w:lang w:val="en-GB"/>
        </w:rPr>
        <w:t>asterisk o</w:t>
      </w:r>
      <w:r>
        <w:rPr>
          <w:lang w:val="en-GB"/>
        </w:rPr>
        <w:t>n the page should be the words “change constitutions” rather than “change institutions, as reflected in the retyped page at 134a. This is being addressed with the Public Protector’s lawyers and the revised retyped version of the page will be provided to the Court)</w:t>
      </w:r>
    </w:p>
  </w:footnote>
  <w:footnote w:id="64">
    <w:p w:rsidR="00E17906" w:rsidRPr="00D617A9" w:rsidRDefault="00E17906">
      <w:pPr>
        <w:pStyle w:val="FootnoteText"/>
        <w:rPr>
          <w:lang w:val="en-GB"/>
        </w:rPr>
      </w:pPr>
      <w:r>
        <w:rPr>
          <w:rStyle w:val="FootnoteReference"/>
        </w:rPr>
        <w:footnoteRef/>
      </w:r>
      <w:r>
        <w:t xml:space="preserve"> </w:t>
      </w:r>
      <w:r>
        <w:rPr>
          <w:lang w:val="en-GB"/>
        </w:rPr>
        <w:tab/>
        <w:t>PP RA in the Constitutional Court, Appeal Record, Vol 10, page 782 para 13.2.1</w:t>
      </w:r>
    </w:p>
  </w:footnote>
  <w:footnote w:id="65">
    <w:p w:rsidR="0036122E" w:rsidRPr="0036122E" w:rsidRDefault="0036122E" w:rsidP="0036122E">
      <w:pPr>
        <w:pStyle w:val="FootnoteText"/>
        <w:rPr>
          <w:lang w:val="en-GB"/>
        </w:rPr>
      </w:pPr>
      <w:r>
        <w:rPr>
          <w:rStyle w:val="FootnoteReference"/>
        </w:rPr>
        <w:footnoteRef/>
      </w:r>
      <w:r>
        <w:t xml:space="preserve"> </w:t>
      </w:r>
      <w:r>
        <w:rPr>
          <w:lang w:val="en-GB"/>
        </w:rPr>
        <w:tab/>
        <w:t>SARB FA in the High Court Appeal Record Vol 1, page 31 para 86.3; page 32 para 86.5</w:t>
      </w:r>
    </w:p>
  </w:footnote>
  <w:footnote w:id="66">
    <w:p w:rsidR="00E17906" w:rsidRPr="00154872" w:rsidRDefault="00E17906">
      <w:pPr>
        <w:pStyle w:val="FootnoteText"/>
        <w:rPr>
          <w:lang w:val="en-GB"/>
        </w:rPr>
      </w:pPr>
      <w:r>
        <w:rPr>
          <w:rStyle w:val="FootnoteReference"/>
        </w:rPr>
        <w:footnoteRef/>
      </w:r>
      <w:r>
        <w:t xml:space="preserve"> </w:t>
      </w:r>
      <w:r>
        <w:rPr>
          <w:lang w:val="en-GB"/>
        </w:rPr>
        <w:tab/>
        <w:t>PP FA in the Constitutional Court, Appeal Record, Vol 9, page 674 para 56.5</w:t>
      </w:r>
    </w:p>
  </w:footnote>
  <w:footnote w:id="67">
    <w:p w:rsidR="001542E3" w:rsidRPr="001542E3" w:rsidRDefault="001542E3">
      <w:pPr>
        <w:pStyle w:val="FootnoteText"/>
        <w:rPr>
          <w:lang w:val="en-GB"/>
        </w:rPr>
      </w:pPr>
      <w:r>
        <w:rPr>
          <w:rStyle w:val="FootnoteReference"/>
        </w:rPr>
        <w:footnoteRef/>
      </w:r>
      <w:r>
        <w:t xml:space="preserve"> </w:t>
      </w:r>
      <w:r>
        <w:rPr>
          <w:lang w:val="en-GB"/>
        </w:rPr>
        <w:tab/>
      </w:r>
      <w:r w:rsidRPr="008402E4">
        <w:rPr>
          <w:rFonts w:cs="Arial"/>
          <w:i/>
        </w:rPr>
        <w:t>Njongi v Member of the Executive Council, Department of Welfare, Eastern</w:t>
      </w:r>
      <w:r w:rsidRPr="008402E4">
        <w:rPr>
          <w:rFonts w:cs="Arial"/>
        </w:rPr>
        <w:t xml:space="preserve"> Cape 2008 (6) BCLR 571 (CC) para 79</w:t>
      </w:r>
    </w:p>
  </w:footnote>
  <w:footnote w:id="68">
    <w:p w:rsidR="001542E3" w:rsidRPr="001542E3" w:rsidRDefault="001542E3">
      <w:pPr>
        <w:pStyle w:val="FootnoteText"/>
        <w:rPr>
          <w:lang w:val="en-GB"/>
        </w:rPr>
      </w:pPr>
      <w:r>
        <w:rPr>
          <w:rStyle w:val="FootnoteReference"/>
        </w:rPr>
        <w:footnoteRef/>
      </w:r>
      <w:r>
        <w:t xml:space="preserve"> </w:t>
      </w:r>
      <w:r>
        <w:rPr>
          <w:lang w:val="en-GB"/>
        </w:rPr>
        <w:tab/>
        <w:t>SARB AA in the Constitutional Court, Appeal Recor</w:t>
      </w:r>
      <w:r w:rsidR="0076737E">
        <w:rPr>
          <w:lang w:val="en-GB"/>
        </w:rPr>
        <w:t xml:space="preserve">d, Vol 9, page 700 paras 16, </w:t>
      </w:r>
      <w:r>
        <w:rPr>
          <w:lang w:val="en-GB"/>
        </w:rPr>
        <w:t>17</w:t>
      </w:r>
      <w:r w:rsidR="0076737E">
        <w:rPr>
          <w:lang w:val="en-GB"/>
        </w:rPr>
        <w:t xml:space="preserve"> and 70</w:t>
      </w:r>
    </w:p>
  </w:footnote>
  <w:footnote w:id="69">
    <w:p w:rsidR="007840D7" w:rsidRPr="007840D7" w:rsidRDefault="007840D7">
      <w:pPr>
        <w:pStyle w:val="FootnoteText"/>
        <w:rPr>
          <w:lang w:val="en-GB"/>
        </w:rPr>
      </w:pPr>
      <w:r>
        <w:rPr>
          <w:rStyle w:val="FootnoteReference"/>
        </w:rPr>
        <w:footnoteRef/>
      </w:r>
      <w:r>
        <w:t xml:space="preserve"> </w:t>
      </w:r>
      <w:r>
        <w:rPr>
          <w:lang w:val="en-GB"/>
        </w:rPr>
        <w:tab/>
        <w:t xml:space="preserve">Although the Public Protector also brings an application for direct access to this Court, the relief she seeks in that application relates to the High Court’s order of personal costs against her. That order can only be overturned in an appeal and therefore there is no basis for direct access to this Court to overturn that order. </w:t>
      </w:r>
    </w:p>
  </w:footnote>
  <w:footnote w:id="70">
    <w:p w:rsidR="00C53787" w:rsidRPr="00C53787" w:rsidRDefault="00C53787">
      <w:pPr>
        <w:pStyle w:val="FootnoteText"/>
        <w:rPr>
          <w:lang w:val="en-GB"/>
        </w:rPr>
      </w:pPr>
      <w:r>
        <w:rPr>
          <w:rStyle w:val="FootnoteReference"/>
        </w:rPr>
        <w:footnoteRef/>
      </w:r>
      <w:r>
        <w:t xml:space="preserve"> </w:t>
      </w:r>
      <w:r>
        <w:rPr>
          <w:lang w:val="en-GB"/>
        </w:rPr>
        <w:tab/>
        <w:t xml:space="preserve">SARB AA </w:t>
      </w:r>
      <w:r w:rsidR="008353B7">
        <w:rPr>
          <w:lang w:val="en-GB"/>
        </w:rPr>
        <w:t>in the Constitutional Court, Appeal Record, Vol 9, page 700 paras 16 and 17</w:t>
      </w:r>
    </w:p>
  </w:footnote>
  <w:footnote w:id="71">
    <w:p w:rsidR="0076737E" w:rsidRPr="0076737E" w:rsidRDefault="0076737E">
      <w:pPr>
        <w:pStyle w:val="FootnoteText"/>
        <w:rPr>
          <w:lang w:val="en-GB"/>
        </w:rPr>
      </w:pPr>
      <w:r>
        <w:rPr>
          <w:rStyle w:val="FootnoteReference"/>
        </w:rPr>
        <w:footnoteRef/>
      </w:r>
      <w:r>
        <w:t xml:space="preserve"> </w:t>
      </w:r>
      <w:r>
        <w:rPr>
          <w:lang w:val="en-GB"/>
        </w:rPr>
        <w:tab/>
        <w:t>Judgment Appeal Record, Vol 8 page 612 para 120</w:t>
      </w:r>
    </w:p>
  </w:footnote>
  <w:footnote w:id="72">
    <w:p w:rsidR="0076737E" w:rsidRPr="0076737E" w:rsidRDefault="0076737E">
      <w:pPr>
        <w:pStyle w:val="FootnoteText"/>
        <w:rPr>
          <w:lang w:val="en-GB"/>
        </w:rPr>
      </w:pPr>
      <w:r>
        <w:rPr>
          <w:rStyle w:val="FootnoteReference"/>
        </w:rPr>
        <w:footnoteRef/>
      </w:r>
      <w:r>
        <w:t xml:space="preserve"> </w:t>
      </w:r>
      <w:r>
        <w:rPr>
          <w:lang w:val="en-GB"/>
        </w:rPr>
        <w:tab/>
        <w:t>Judgment Appeal Record, Vol 8 page 613 para 122</w:t>
      </w:r>
    </w:p>
  </w:footnote>
  <w:footnote w:id="73">
    <w:p w:rsidR="00FF580B" w:rsidRPr="00FF580B" w:rsidRDefault="00FF580B">
      <w:pPr>
        <w:pStyle w:val="FootnoteText"/>
        <w:rPr>
          <w:lang w:val="en-GB"/>
        </w:rPr>
      </w:pPr>
      <w:r>
        <w:rPr>
          <w:rStyle w:val="FootnoteReference"/>
        </w:rPr>
        <w:footnoteRef/>
      </w:r>
      <w:r>
        <w:t xml:space="preserve"> </w:t>
      </w:r>
      <w:r>
        <w:rPr>
          <w:lang w:val="en-GB"/>
        </w:rPr>
        <w:tab/>
        <w:t>See PP’s written submissions para 79</w:t>
      </w:r>
    </w:p>
  </w:footnote>
  <w:footnote w:id="74">
    <w:p w:rsidR="00664390" w:rsidRPr="00664390" w:rsidRDefault="00664390">
      <w:pPr>
        <w:pStyle w:val="FootnoteText"/>
        <w:rPr>
          <w:lang w:val="en-GB"/>
        </w:rPr>
      </w:pPr>
      <w:r>
        <w:rPr>
          <w:rStyle w:val="FootnoteReference"/>
        </w:rPr>
        <w:footnoteRef/>
      </w:r>
      <w:r>
        <w:t xml:space="preserve"> </w:t>
      </w:r>
      <w:r>
        <w:rPr>
          <w:lang w:val="en-GB"/>
        </w:rPr>
        <w:tab/>
        <w:t>SARB Supp FA in the High Court, Appeal Record Vol 2, page 101 paras 27 and 28; page 102 para 35</w:t>
      </w:r>
    </w:p>
  </w:footnote>
  <w:footnote w:id="75">
    <w:p w:rsidR="00664390" w:rsidRPr="00664390" w:rsidRDefault="00664390">
      <w:pPr>
        <w:pStyle w:val="FootnoteText"/>
        <w:rPr>
          <w:lang w:val="en-GB"/>
        </w:rPr>
      </w:pPr>
      <w:r>
        <w:rPr>
          <w:rStyle w:val="FootnoteReference"/>
        </w:rPr>
        <w:footnoteRef/>
      </w:r>
      <w:r>
        <w:t xml:space="preserve"> </w:t>
      </w:r>
      <w:r>
        <w:rPr>
          <w:lang w:val="en-GB"/>
        </w:rPr>
        <w:tab/>
      </w:r>
      <w:r w:rsidRPr="00664390">
        <w:rPr>
          <w:i/>
          <w:iCs/>
          <w:lang w:val="en-GB"/>
        </w:rPr>
        <w:t xml:space="preserve">Economic Freedom Fighters v Speaker of the National Assembly </w:t>
      </w:r>
      <w:r w:rsidR="007A580C" w:rsidRPr="007A580C">
        <w:rPr>
          <w:bCs/>
          <w:iCs/>
          <w:lang w:val="en-US"/>
        </w:rPr>
        <w:t>2018 (2) SA 571 (CC)</w:t>
      </w:r>
      <w:r w:rsidR="007A580C">
        <w:rPr>
          <w:bCs/>
          <w:iCs/>
          <w:lang w:val="en-US"/>
        </w:rPr>
        <w:t xml:space="preserve"> </w:t>
      </w:r>
      <w:r w:rsidR="007A580C">
        <w:rPr>
          <w:iCs/>
          <w:lang w:val="en-GB"/>
        </w:rPr>
        <w:t xml:space="preserve">para </w:t>
      </w:r>
      <w:r w:rsidRPr="00664390">
        <w:rPr>
          <w:iCs/>
          <w:lang w:val="en-GB"/>
        </w:rPr>
        <w:t>211</w:t>
      </w:r>
    </w:p>
  </w:footnote>
  <w:footnote w:id="76">
    <w:p w:rsidR="00FF580B" w:rsidRPr="00FF580B" w:rsidRDefault="00FF580B">
      <w:pPr>
        <w:pStyle w:val="FootnoteText"/>
        <w:rPr>
          <w:lang w:val="en-GB"/>
        </w:rPr>
      </w:pPr>
      <w:r>
        <w:rPr>
          <w:rStyle w:val="FootnoteReference"/>
        </w:rPr>
        <w:footnoteRef/>
      </w:r>
      <w:r>
        <w:t xml:space="preserve"> </w:t>
      </w:r>
      <w:r>
        <w:rPr>
          <w:lang w:val="en-GB"/>
        </w:rPr>
        <w:tab/>
        <w:t>PP’s written submissions para 78</w:t>
      </w:r>
    </w:p>
  </w:footnote>
  <w:footnote w:id="77">
    <w:p w:rsidR="0076737E" w:rsidRPr="00D9465C" w:rsidRDefault="0076737E" w:rsidP="0076737E">
      <w:pPr>
        <w:pStyle w:val="FootnoteText"/>
        <w:rPr>
          <w:lang w:val="en-GB"/>
        </w:rPr>
      </w:pPr>
      <w:r>
        <w:rPr>
          <w:rStyle w:val="FootnoteReference"/>
        </w:rPr>
        <w:footnoteRef/>
      </w:r>
      <w:r>
        <w:t xml:space="preserve"> </w:t>
      </w:r>
      <w:r>
        <w:rPr>
          <w:lang w:val="en-GB"/>
        </w:rPr>
        <w:tab/>
      </w:r>
      <w:r w:rsidRPr="00D9465C">
        <w:rPr>
          <w:i/>
          <w:lang w:val="en-US"/>
        </w:rPr>
        <w:t>Merafong City v Anglogold Ashanti Ltd</w:t>
      </w:r>
      <w:r>
        <w:rPr>
          <w:lang w:val="en-US"/>
        </w:rPr>
        <w:t xml:space="preserve"> </w:t>
      </w:r>
      <w:r w:rsidRPr="00D9465C">
        <w:rPr>
          <w:lang w:val="en-US"/>
        </w:rPr>
        <w:t>2017 (2) SA 211 (CC)</w:t>
      </w:r>
      <w:r>
        <w:rPr>
          <w:lang w:val="en-US"/>
        </w:rPr>
        <w:fldChar w:fldCharType="begin"/>
      </w:r>
      <w:r>
        <w:instrText xml:space="preserve"> TA \l "</w:instrText>
      </w:r>
      <w:r w:rsidRPr="00D9465C">
        <w:rPr>
          <w:i/>
          <w:lang w:val="en-US"/>
        </w:rPr>
        <w:instrText>Merafong City v Anglogold Ashanti Ltd</w:instrText>
      </w:r>
      <w:r>
        <w:rPr>
          <w:lang w:val="en-US"/>
        </w:rPr>
        <w:instrText xml:space="preserve"> </w:instrText>
      </w:r>
      <w:r w:rsidRPr="00D9465C">
        <w:rPr>
          <w:lang w:val="en-US"/>
        </w:rPr>
        <w:instrText>2017 (2) SA 211 (CC)</w:instrText>
      </w:r>
      <w:r>
        <w:instrText xml:space="preserve">" \s "Merafong City v Anglogold Ashanti Ltd 2017 (2) SA 211 (CC)" \c 1 </w:instrText>
      </w:r>
      <w:r>
        <w:rPr>
          <w:lang w:val="en-US"/>
        </w:rPr>
        <w:fldChar w:fldCharType="end"/>
      </w:r>
      <w:r>
        <w:rPr>
          <w:lang w:val="en-US"/>
        </w:rPr>
        <w:t xml:space="preserve"> para 33</w:t>
      </w:r>
    </w:p>
  </w:footnote>
  <w:footnote w:id="78">
    <w:p w:rsidR="0076737E" w:rsidRPr="00FB0463" w:rsidRDefault="0076737E" w:rsidP="0076737E">
      <w:pPr>
        <w:pStyle w:val="FootnoteText"/>
        <w:rPr>
          <w:lang w:val="en-GB"/>
        </w:rPr>
      </w:pPr>
      <w:r>
        <w:rPr>
          <w:rStyle w:val="FootnoteReference"/>
        </w:rPr>
        <w:footnoteRef/>
      </w:r>
      <w:r>
        <w:t xml:space="preserve"> </w:t>
      </w:r>
      <w:r>
        <w:rPr>
          <w:lang w:val="en-GB"/>
        </w:rPr>
        <w:tab/>
      </w:r>
      <w:r w:rsidRPr="00FB0463">
        <w:rPr>
          <w:i/>
          <w:lang w:val="en-GB"/>
        </w:rPr>
        <w:t>Public Protector v Mail &amp; Guardian Ltd and Others</w:t>
      </w:r>
      <w:r>
        <w:rPr>
          <w:lang w:val="en-GB"/>
        </w:rPr>
        <w:t xml:space="preserve"> 2011 (4) SA 420 (SCA)</w:t>
      </w:r>
      <w:r>
        <w:rPr>
          <w:lang w:val="en-GB"/>
        </w:rPr>
        <w:fldChar w:fldCharType="begin"/>
      </w:r>
      <w:r>
        <w:instrText xml:space="preserve"> TA \l "</w:instrText>
      </w:r>
      <w:r w:rsidRPr="00FB0463">
        <w:rPr>
          <w:i/>
          <w:lang w:val="en-GB"/>
        </w:rPr>
        <w:instrText>Public Protector v Mail &amp; Guardian Ltd and Others</w:instrText>
      </w:r>
      <w:r>
        <w:rPr>
          <w:lang w:val="en-GB"/>
        </w:rPr>
        <w:instrText xml:space="preserve"> 2011 (4) SA 420 (SCA)</w:instrText>
      </w:r>
      <w:r>
        <w:instrText xml:space="preserve">" \s "Public Protector v Mail &amp; Guardian Ltd and Others 2011 (4) SA 420 (SCA)" \c 1 </w:instrText>
      </w:r>
      <w:r>
        <w:rPr>
          <w:lang w:val="en-GB"/>
        </w:rPr>
        <w:fldChar w:fldCharType="end"/>
      </w:r>
      <w:r>
        <w:rPr>
          <w:lang w:val="en-GB"/>
        </w:rPr>
        <w:t xml:space="preserve"> para 6</w:t>
      </w:r>
    </w:p>
  </w:footnote>
  <w:footnote w:id="79">
    <w:p w:rsidR="004B0FE3" w:rsidRPr="004B0FE3" w:rsidRDefault="004B0FE3">
      <w:pPr>
        <w:pStyle w:val="FootnoteText"/>
        <w:rPr>
          <w:lang w:val="en-GB"/>
        </w:rPr>
      </w:pPr>
      <w:r>
        <w:rPr>
          <w:rStyle w:val="FootnoteReference"/>
        </w:rPr>
        <w:footnoteRef/>
      </w:r>
      <w:r>
        <w:t xml:space="preserve"> </w:t>
      </w:r>
      <w:r>
        <w:rPr>
          <w:lang w:val="en-GB"/>
        </w:rPr>
        <w:tab/>
      </w:r>
      <w:r w:rsidR="00307269">
        <w:rPr>
          <w:lang w:val="en-GB"/>
        </w:rPr>
        <w:t>The Report, Appeal Record, Supplementary Vol, pag</w:t>
      </w:r>
      <w:r w:rsidR="00EF1B32">
        <w:rPr>
          <w:lang w:val="en-GB"/>
        </w:rPr>
        <w:t>es 878 to 879 paras 4.4.3 to 4.4.3.12</w:t>
      </w:r>
    </w:p>
  </w:footnote>
  <w:footnote w:id="80">
    <w:p w:rsidR="0037370B" w:rsidRPr="0037370B" w:rsidRDefault="0037370B">
      <w:pPr>
        <w:pStyle w:val="FootnoteText"/>
        <w:rPr>
          <w:lang w:val="en-GB"/>
        </w:rPr>
      </w:pPr>
      <w:r>
        <w:rPr>
          <w:rStyle w:val="FootnoteReference"/>
        </w:rPr>
        <w:footnoteRef/>
      </w:r>
      <w:r>
        <w:t xml:space="preserve"> </w:t>
      </w:r>
      <w:r>
        <w:rPr>
          <w:lang w:val="en-GB"/>
        </w:rPr>
        <w:tab/>
        <w:t>PP RA in the Constitutional Court, Appeal Record Vol 10, page 796 para 18.3</w:t>
      </w:r>
    </w:p>
  </w:footnote>
  <w:footnote w:id="81">
    <w:p w:rsidR="009F77A0" w:rsidRPr="009F77A0" w:rsidRDefault="009F77A0">
      <w:pPr>
        <w:pStyle w:val="FootnoteText"/>
        <w:rPr>
          <w:lang w:val="en-GB"/>
        </w:rPr>
      </w:pPr>
      <w:r>
        <w:rPr>
          <w:rStyle w:val="FootnoteReference"/>
        </w:rPr>
        <w:footnoteRef/>
      </w:r>
      <w:r>
        <w:t xml:space="preserve"> </w:t>
      </w:r>
      <w:r>
        <w:rPr>
          <w:lang w:val="en-GB"/>
        </w:rPr>
        <w:tab/>
        <w:t>SARB Supp FA in the High Court, Appeal Record, Vol 2, page 98 para 13; page 103 paras 36 and 37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190668A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A724831"/>
    <w:multiLevelType w:val="multilevel"/>
    <w:tmpl w:val="08AE694C"/>
    <w:lvl w:ilvl="0">
      <w:start w:val="1"/>
      <w:numFmt w:val="decimal"/>
      <w:lvlText w:val="%1."/>
      <w:lvlJc w:val="left"/>
      <w:pPr>
        <w:tabs>
          <w:tab w:val="num" w:pos="567"/>
        </w:tabs>
        <w:ind w:left="567" w:hanging="567"/>
      </w:pPr>
      <w:rPr>
        <w:rFonts w:ascii="Arial" w:hAnsi="Arial" w:hint="default"/>
        <w:b w:val="0"/>
        <w:i w:val="0"/>
        <w:sz w:val="24"/>
        <w:u w:val="none"/>
      </w:rPr>
    </w:lvl>
    <w:lvl w:ilvl="1">
      <w:start w:val="1"/>
      <w:numFmt w:val="lowerRoman"/>
      <w:lvlText w:val="(%2)"/>
      <w:lvlJc w:val="left"/>
      <w:pPr>
        <w:tabs>
          <w:tab w:val="num" w:pos="1134"/>
        </w:tabs>
        <w:ind w:left="1134" w:hanging="1134"/>
      </w:pPr>
      <w:rPr>
        <w:rFonts w:ascii="Times New Roman" w:eastAsia="Times New Roman" w:hAnsi="Times New Roman" w:cs="Times New Roman"/>
        <w:b w:val="0"/>
        <w:i w:val="0"/>
        <w:sz w:val="24"/>
      </w:rPr>
    </w:lvl>
    <w:lvl w:ilvl="2">
      <w:start w:val="1"/>
      <w:numFmt w:val="decimal"/>
      <w:lvlText w:val="%1.%2.%3"/>
      <w:lvlJc w:val="left"/>
      <w:pPr>
        <w:tabs>
          <w:tab w:val="num" w:pos="1701"/>
        </w:tabs>
        <w:ind w:left="1701" w:hanging="1701"/>
      </w:pPr>
      <w:rPr>
        <w:rFonts w:ascii="Arial" w:hAnsi="Arial" w:hint="default"/>
        <w:sz w:val="24"/>
      </w:rPr>
    </w:lvl>
    <w:lvl w:ilvl="3">
      <w:start w:val="1"/>
      <w:numFmt w:val="decimal"/>
      <w:lvlText w:val="%1.%2.%3.%4"/>
      <w:lvlJc w:val="left"/>
      <w:pPr>
        <w:tabs>
          <w:tab w:val="num" w:pos="2268"/>
        </w:tabs>
        <w:ind w:left="2268" w:hanging="2268"/>
      </w:pPr>
      <w:rPr>
        <w:rFonts w:ascii="Arial" w:hAnsi="Arial" w:hint="default"/>
        <w:b w:val="0"/>
        <w:i w:val="0"/>
        <w:sz w:val="24"/>
      </w:rPr>
    </w:lvl>
    <w:lvl w:ilvl="4">
      <w:start w:val="1"/>
      <w:numFmt w:val="decimal"/>
      <w:lvlText w:val="%1.%2.%3.%4.%5"/>
      <w:lvlJc w:val="left"/>
      <w:pPr>
        <w:tabs>
          <w:tab w:val="num" w:pos="2835"/>
        </w:tabs>
        <w:ind w:left="2835" w:hanging="2835"/>
      </w:pPr>
      <w:rPr>
        <w:rFonts w:ascii="Times New Roman" w:hAnsi="Times New Roman" w:hint="default"/>
        <w:b w:val="0"/>
        <w:i w:val="0"/>
        <w:sz w:val="24"/>
      </w:rPr>
    </w:lvl>
    <w:lvl w:ilvl="5">
      <w:start w:val="1"/>
      <w:numFmt w:val="decimal"/>
      <w:lvlText w:val="%1.%2.%3.%4.%5.%6"/>
      <w:lvlJc w:val="left"/>
      <w:pPr>
        <w:tabs>
          <w:tab w:val="num" w:pos="3402"/>
        </w:tabs>
        <w:ind w:left="3402" w:hanging="3402"/>
      </w:pPr>
      <w:rPr>
        <w:rFonts w:ascii="Times New Roman" w:hAnsi="Times New Roman" w:hint="default"/>
        <w:b w:val="0"/>
        <w:i w:val="0"/>
        <w:sz w:val="24"/>
      </w:rPr>
    </w:lvl>
    <w:lvl w:ilvl="6">
      <w:start w:val="1"/>
      <w:numFmt w:val="decimal"/>
      <w:pStyle w:val="Heading7"/>
      <w:lvlText w:val="%1.%2.%3.%4.%5.%6.%7"/>
      <w:lvlJc w:val="left"/>
      <w:pPr>
        <w:tabs>
          <w:tab w:val="num" w:pos="3969"/>
        </w:tabs>
        <w:ind w:left="3969" w:hanging="3969"/>
      </w:pPr>
      <w:rPr>
        <w:rFonts w:ascii="Times New Roman" w:hAnsi="Times New Roman" w:hint="default"/>
        <w:b w:val="0"/>
        <w:i w:val="0"/>
        <w:sz w:val="24"/>
        <w:u w:val="none"/>
      </w:rPr>
    </w:lvl>
    <w:lvl w:ilvl="7">
      <w:start w:val="1"/>
      <w:numFmt w:val="decimal"/>
      <w:lvlText w:val="%1.%2.%3.%4.%5.%6.%7.%8"/>
      <w:lvlJc w:val="left"/>
      <w:pPr>
        <w:tabs>
          <w:tab w:val="num" w:pos="4536"/>
        </w:tabs>
        <w:ind w:left="4536" w:hanging="4536"/>
      </w:pPr>
      <w:rPr>
        <w:rFonts w:ascii="Times New Roman" w:hAnsi="Times New Roman" w:hint="default"/>
        <w:b w:val="0"/>
        <w:i w:val="0"/>
        <w:sz w:val="24"/>
        <w:u w:val="none"/>
      </w:rPr>
    </w:lvl>
    <w:lvl w:ilvl="8">
      <w:start w:val="1"/>
      <w:numFmt w:val="decimal"/>
      <w:lvlText w:val="%1.%2.%3.%4.%5.%6.%7.%8.%9"/>
      <w:lvlJc w:val="left"/>
      <w:pPr>
        <w:tabs>
          <w:tab w:val="num" w:pos="5103"/>
        </w:tabs>
        <w:ind w:left="5103" w:hanging="5103"/>
      </w:pPr>
      <w:rPr>
        <w:rFonts w:ascii="Times New Roman" w:hAnsi="Times New Roman" w:hint="default"/>
        <w:b w:val="0"/>
        <w:i w:val="0"/>
        <w:sz w:val="24"/>
        <w:u w:val="none"/>
      </w:rPr>
    </w:lvl>
  </w:abstractNum>
  <w:abstractNum w:abstractNumId="2" w15:restartNumberingAfterBreak="0">
    <w:nsid w:val="2EC32EAB"/>
    <w:multiLevelType w:val="multilevel"/>
    <w:tmpl w:val="D73A4A1C"/>
    <w:lvl w:ilvl="0">
      <w:start w:val="1"/>
      <w:numFmt w:val="decimal"/>
      <w:pStyle w:val="1"/>
      <w:lvlText w:val="%1"/>
      <w:lvlJc w:val="left"/>
      <w:pPr>
        <w:tabs>
          <w:tab w:val="num" w:pos="680"/>
        </w:tabs>
        <w:ind w:left="680" w:hanging="680"/>
      </w:pPr>
      <w:rPr>
        <w:rFonts w:hint="default"/>
      </w:rPr>
    </w:lvl>
    <w:lvl w:ilvl="1">
      <w:start w:val="1"/>
      <w:numFmt w:val="decimal"/>
      <w:pStyle w:val="2"/>
      <w:lvlText w:val="%1.%2"/>
      <w:lvlJc w:val="left"/>
      <w:pPr>
        <w:tabs>
          <w:tab w:val="num" w:pos="1305"/>
        </w:tabs>
        <w:ind w:left="1305" w:hanging="738"/>
      </w:pPr>
      <w:rPr>
        <w:rFonts w:hint="default"/>
        <w:i w:val="0"/>
      </w:rPr>
    </w:lvl>
    <w:lvl w:ilvl="2">
      <w:start w:val="1"/>
      <w:numFmt w:val="decimal"/>
      <w:pStyle w:val="3"/>
      <w:lvlText w:val="%1.%2.%3"/>
      <w:lvlJc w:val="left"/>
      <w:pPr>
        <w:tabs>
          <w:tab w:val="num" w:pos="2552"/>
        </w:tabs>
        <w:ind w:left="2552" w:hanging="1134"/>
      </w:pPr>
      <w:rPr>
        <w:rFonts w:hint="default"/>
      </w:rPr>
    </w:lvl>
    <w:lvl w:ilvl="3">
      <w:start w:val="1"/>
      <w:numFmt w:val="lowerLetter"/>
      <w:lvlText w:val="(%4)"/>
      <w:lvlJc w:val="left"/>
      <w:pPr>
        <w:tabs>
          <w:tab w:val="num" w:pos="3119"/>
        </w:tabs>
        <w:ind w:left="3119" w:hanging="567"/>
      </w:pPr>
      <w:rPr>
        <w:rFonts w:hint="default"/>
      </w:rPr>
    </w:lvl>
    <w:lvl w:ilvl="4">
      <w:start w:val="1"/>
      <w:numFmt w:val="lowerRoman"/>
      <w:lvlText w:val="(%5)"/>
      <w:lvlJc w:val="left"/>
      <w:pPr>
        <w:tabs>
          <w:tab w:val="num" w:pos="3119"/>
        </w:tabs>
        <w:ind w:left="3119" w:hanging="567"/>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 w15:restartNumberingAfterBreak="0">
    <w:nsid w:val="451C0287"/>
    <w:multiLevelType w:val="multilevel"/>
    <w:tmpl w:val="5C7C90F4"/>
    <w:lvl w:ilvl="0">
      <w:start w:val="1"/>
      <w:numFmt w:val="decimal"/>
      <w:pStyle w:val="WWHeading1"/>
      <w:lvlText w:val="%1."/>
      <w:lvlJc w:val="left"/>
      <w:pPr>
        <w:tabs>
          <w:tab w:val="num" w:pos="510"/>
        </w:tabs>
        <w:ind w:left="510" w:hanging="510"/>
      </w:pPr>
      <w:rPr>
        <w:rFonts w:hint="default"/>
        <w:b w:val="0"/>
        <w:i w:val="0"/>
      </w:rPr>
    </w:lvl>
    <w:lvl w:ilvl="1">
      <w:start w:val="1"/>
      <w:numFmt w:val="decimal"/>
      <w:pStyle w:val="WWHeading2"/>
      <w:lvlText w:val="%1.%2"/>
      <w:lvlJc w:val="left"/>
      <w:pPr>
        <w:tabs>
          <w:tab w:val="num" w:pos="1021"/>
        </w:tabs>
        <w:ind w:left="1021" w:hanging="1021"/>
      </w:pPr>
      <w:rPr>
        <w:rFonts w:hint="default"/>
        <w:b w:val="0"/>
        <w:i w:val="0"/>
      </w:rPr>
    </w:lvl>
    <w:lvl w:ilvl="2">
      <w:start w:val="1"/>
      <w:numFmt w:val="decimal"/>
      <w:pStyle w:val="WWHeading3"/>
      <w:lvlText w:val="%1.%2.%3"/>
      <w:lvlJc w:val="left"/>
      <w:pPr>
        <w:tabs>
          <w:tab w:val="num" w:pos="1531"/>
        </w:tabs>
        <w:ind w:left="1531" w:hanging="1531"/>
      </w:pPr>
      <w:rPr>
        <w:rFonts w:hint="default"/>
        <w:b w:val="0"/>
        <w:i w:val="0"/>
      </w:rPr>
    </w:lvl>
    <w:lvl w:ilvl="3">
      <w:start w:val="1"/>
      <w:numFmt w:val="decimal"/>
      <w:pStyle w:val="WWHeading4"/>
      <w:lvlText w:val="%1.%2.%3.%4"/>
      <w:lvlJc w:val="left"/>
      <w:pPr>
        <w:tabs>
          <w:tab w:val="num" w:pos="2041"/>
        </w:tabs>
        <w:ind w:left="2041" w:hanging="2041"/>
      </w:pPr>
      <w:rPr>
        <w:rFonts w:hint="default"/>
        <w:b w:val="0"/>
        <w:i w:val="0"/>
      </w:rPr>
    </w:lvl>
    <w:lvl w:ilvl="4">
      <w:start w:val="1"/>
      <w:numFmt w:val="decimal"/>
      <w:pStyle w:val="WWHeading5"/>
      <w:lvlText w:val="%1.%2.%3.%4.%5"/>
      <w:lvlJc w:val="left"/>
      <w:pPr>
        <w:tabs>
          <w:tab w:val="num" w:pos="2552"/>
        </w:tabs>
        <w:ind w:left="2552" w:hanging="2552"/>
      </w:pPr>
      <w:rPr>
        <w:rFonts w:hint="default"/>
        <w:b w:val="0"/>
        <w:i w:val="0"/>
      </w:rPr>
    </w:lvl>
    <w:lvl w:ilvl="5">
      <w:start w:val="1"/>
      <w:numFmt w:val="decimal"/>
      <w:pStyle w:val="WWHeading6"/>
      <w:lvlText w:val="%1.%2.%3.%4.%5.%6"/>
      <w:lvlJc w:val="left"/>
      <w:pPr>
        <w:tabs>
          <w:tab w:val="num" w:pos="3062"/>
        </w:tabs>
        <w:ind w:left="3062" w:hanging="3062"/>
      </w:pPr>
      <w:rPr>
        <w:rFonts w:hint="default"/>
        <w:b w:val="0"/>
        <w:i w:val="0"/>
      </w:rPr>
    </w:lvl>
    <w:lvl w:ilvl="6">
      <w:start w:val="1"/>
      <w:numFmt w:val="decimal"/>
      <w:pStyle w:val="WWHeading7"/>
      <w:lvlText w:val="%1.%2.%3.%4.%5.%6.%7"/>
      <w:lvlJc w:val="left"/>
      <w:pPr>
        <w:tabs>
          <w:tab w:val="num" w:pos="3572"/>
        </w:tabs>
        <w:ind w:left="3572" w:hanging="3572"/>
      </w:pPr>
      <w:rPr>
        <w:rFonts w:hint="default"/>
        <w:b w:val="0"/>
        <w:i w:val="0"/>
      </w:rPr>
    </w:lvl>
    <w:lvl w:ilvl="7">
      <w:start w:val="1"/>
      <w:numFmt w:val="decimal"/>
      <w:lvlText w:val="%1.%2.%3.%4.%5.%6.%7.%8."/>
      <w:lvlJc w:val="left"/>
      <w:pPr>
        <w:tabs>
          <w:tab w:val="num" w:pos="5760"/>
        </w:tabs>
        <w:ind w:left="3744" w:hanging="1224"/>
      </w:pPr>
      <w:rPr>
        <w:rFonts w:hint="default"/>
      </w:rPr>
    </w:lvl>
    <w:lvl w:ilvl="8">
      <w:start w:val="1"/>
      <w:numFmt w:val="decimal"/>
      <w:lvlText w:val="%1.%2.%3.%4.%5.%6.%7.%8.%9."/>
      <w:lvlJc w:val="left"/>
      <w:pPr>
        <w:tabs>
          <w:tab w:val="num" w:pos="6480"/>
        </w:tabs>
        <w:ind w:left="4320" w:hanging="1440"/>
      </w:pPr>
      <w:rPr>
        <w:rFonts w:hint="default"/>
      </w:rPr>
    </w:lvl>
  </w:abstractNum>
  <w:num w:numId="1">
    <w:abstractNumId w:val="1"/>
  </w:num>
  <w:num w:numId="2">
    <w:abstractNumId w:val="2"/>
  </w:num>
  <w:num w:numId="3">
    <w:abstractNumId w:val="3"/>
  </w:num>
  <w:num w:numId="4">
    <w:abstractNumId w:val="2"/>
  </w:num>
  <w:num w:numId="5">
    <w:abstractNumId w:val="0"/>
  </w:num>
  <w:num w:numId="6">
    <w:abstractNumId w:val="2"/>
  </w:num>
  <w:num w:numId="7">
    <w:abstractNumId w:val="2"/>
  </w:num>
  <w:num w:numId="8">
    <w:abstractNumId w:val="2"/>
  </w:num>
  <w:num w:numId="9">
    <w:abstractNumId w:val="2"/>
  </w:num>
  <w:num w:numId="10">
    <w:abstractNumId w:val="2"/>
  </w:num>
  <w:num w:numId="11">
    <w:abstractNumId w:val="2"/>
  </w:num>
  <w:num w:numId="12">
    <w:abstractNumId w:val="2"/>
  </w:num>
  <w:num w:numId="13">
    <w:abstractNumId w:val="2"/>
  </w:num>
  <w:num w:numId="14">
    <w:abstractNumId w:val="2"/>
  </w:num>
  <w:num w:numId="15">
    <w:abstractNumId w:val="2"/>
  </w:num>
  <w:num w:numId="16">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426"/>
    <w:rsid w:val="000002D4"/>
    <w:rsid w:val="00001F89"/>
    <w:rsid w:val="00002850"/>
    <w:rsid w:val="000028BF"/>
    <w:rsid w:val="000028CA"/>
    <w:rsid w:val="00002E99"/>
    <w:rsid w:val="00003D80"/>
    <w:rsid w:val="00004282"/>
    <w:rsid w:val="00004320"/>
    <w:rsid w:val="00005801"/>
    <w:rsid w:val="00005967"/>
    <w:rsid w:val="00007EB5"/>
    <w:rsid w:val="00010CC3"/>
    <w:rsid w:val="00011912"/>
    <w:rsid w:val="000121BA"/>
    <w:rsid w:val="00012D8E"/>
    <w:rsid w:val="0001347A"/>
    <w:rsid w:val="00013B78"/>
    <w:rsid w:val="00014B29"/>
    <w:rsid w:val="00014D43"/>
    <w:rsid w:val="0001634E"/>
    <w:rsid w:val="00016426"/>
    <w:rsid w:val="00016773"/>
    <w:rsid w:val="00017450"/>
    <w:rsid w:val="00020447"/>
    <w:rsid w:val="00021787"/>
    <w:rsid w:val="00022B30"/>
    <w:rsid w:val="000241C7"/>
    <w:rsid w:val="000244E5"/>
    <w:rsid w:val="00025967"/>
    <w:rsid w:val="00026049"/>
    <w:rsid w:val="00026A38"/>
    <w:rsid w:val="00026EFF"/>
    <w:rsid w:val="0003005F"/>
    <w:rsid w:val="00030810"/>
    <w:rsid w:val="00030AB8"/>
    <w:rsid w:val="00031F90"/>
    <w:rsid w:val="0003231B"/>
    <w:rsid w:val="000329A1"/>
    <w:rsid w:val="000329E0"/>
    <w:rsid w:val="00032A5C"/>
    <w:rsid w:val="0003345F"/>
    <w:rsid w:val="000344BA"/>
    <w:rsid w:val="00034774"/>
    <w:rsid w:val="00034E48"/>
    <w:rsid w:val="00034F85"/>
    <w:rsid w:val="000350F6"/>
    <w:rsid w:val="00035116"/>
    <w:rsid w:val="0003558B"/>
    <w:rsid w:val="00035DE2"/>
    <w:rsid w:val="0003604F"/>
    <w:rsid w:val="00036327"/>
    <w:rsid w:val="0003735B"/>
    <w:rsid w:val="0004236E"/>
    <w:rsid w:val="000428BF"/>
    <w:rsid w:val="00043190"/>
    <w:rsid w:val="000433FE"/>
    <w:rsid w:val="0004349C"/>
    <w:rsid w:val="00043B23"/>
    <w:rsid w:val="00044502"/>
    <w:rsid w:val="00050BAA"/>
    <w:rsid w:val="000517FC"/>
    <w:rsid w:val="00051D13"/>
    <w:rsid w:val="00053CF2"/>
    <w:rsid w:val="00055A4E"/>
    <w:rsid w:val="0005715C"/>
    <w:rsid w:val="0006013C"/>
    <w:rsid w:val="00060398"/>
    <w:rsid w:val="00060B03"/>
    <w:rsid w:val="000612C9"/>
    <w:rsid w:val="000612F0"/>
    <w:rsid w:val="000618EF"/>
    <w:rsid w:val="00061B47"/>
    <w:rsid w:val="00061CBD"/>
    <w:rsid w:val="00061DDD"/>
    <w:rsid w:val="0006253F"/>
    <w:rsid w:val="00062E96"/>
    <w:rsid w:val="00063E18"/>
    <w:rsid w:val="00064DE2"/>
    <w:rsid w:val="00065D2C"/>
    <w:rsid w:val="00066125"/>
    <w:rsid w:val="00066AEE"/>
    <w:rsid w:val="00066DC5"/>
    <w:rsid w:val="000670DF"/>
    <w:rsid w:val="0006713F"/>
    <w:rsid w:val="00071307"/>
    <w:rsid w:val="000719BA"/>
    <w:rsid w:val="00071E49"/>
    <w:rsid w:val="00071F62"/>
    <w:rsid w:val="000734DC"/>
    <w:rsid w:val="0007380D"/>
    <w:rsid w:val="00073CCF"/>
    <w:rsid w:val="0007461F"/>
    <w:rsid w:val="00075371"/>
    <w:rsid w:val="00076122"/>
    <w:rsid w:val="0007681C"/>
    <w:rsid w:val="000770B5"/>
    <w:rsid w:val="00077C08"/>
    <w:rsid w:val="00077FEE"/>
    <w:rsid w:val="00080D05"/>
    <w:rsid w:val="00081015"/>
    <w:rsid w:val="000815DA"/>
    <w:rsid w:val="0008214F"/>
    <w:rsid w:val="00084FFD"/>
    <w:rsid w:val="00085246"/>
    <w:rsid w:val="000855BD"/>
    <w:rsid w:val="00086289"/>
    <w:rsid w:val="000862A2"/>
    <w:rsid w:val="000866DD"/>
    <w:rsid w:val="0008672C"/>
    <w:rsid w:val="0008782D"/>
    <w:rsid w:val="00087914"/>
    <w:rsid w:val="00091328"/>
    <w:rsid w:val="000920DB"/>
    <w:rsid w:val="00092414"/>
    <w:rsid w:val="00092FA0"/>
    <w:rsid w:val="00093A07"/>
    <w:rsid w:val="000941A1"/>
    <w:rsid w:val="000942AF"/>
    <w:rsid w:val="00094EE0"/>
    <w:rsid w:val="0009533C"/>
    <w:rsid w:val="000959FC"/>
    <w:rsid w:val="00096022"/>
    <w:rsid w:val="00096087"/>
    <w:rsid w:val="00096AA9"/>
    <w:rsid w:val="000A02C0"/>
    <w:rsid w:val="000A1104"/>
    <w:rsid w:val="000A1120"/>
    <w:rsid w:val="000A3735"/>
    <w:rsid w:val="000A380C"/>
    <w:rsid w:val="000A391D"/>
    <w:rsid w:val="000A3ED4"/>
    <w:rsid w:val="000A4B25"/>
    <w:rsid w:val="000A4ED4"/>
    <w:rsid w:val="000A526F"/>
    <w:rsid w:val="000A548A"/>
    <w:rsid w:val="000A62A0"/>
    <w:rsid w:val="000A6447"/>
    <w:rsid w:val="000A66C0"/>
    <w:rsid w:val="000A6D6D"/>
    <w:rsid w:val="000A77F3"/>
    <w:rsid w:val="000A79EF"/>
    <w:rsid w:val="000B05EF"/>
    <w:rsid w:val="000B0A0C"/>
    <w:rsid w:val="000B0DE6"/>
    <w:rsid w:val="000B1D05"/>
    <w:rsid w:val="000B2785"/>
    <w:rsid w:val="000B27BE"/>
    <w:rsid w:val="000B3C03"/>
    <w:rsid w:val="000B3DBC"/>
    <w:rsid w:val="000B43C0"/>
    <w:rsid w:val="000B4519"/>
    <w:rsid w:val="000B4F39"/>
    <w:rsid w:val="000B4F8E"/>
    <w:rsid w:val="000B55A4"/>
    <w:rsid w:val="000B5A76"/>
    <w:rsid w:val="000B5DC7"/>
    <w:rsid w:val="000B6083"/>
    <w:rsid w:val="000B7668"/>
    <w:rsid w:val="000C154D"/>
    <w:rsid w:val="000C156A"/>
    <w:rsid w:val="000C1776"/>
    <w:rsid w:val="000C2A76"/>
    <w:rsid w:val="000C2F94"/>
    <w:rsid w:val="000C3583"/>
    <w:rsid w:val="000C3CEB"/>
    <w:rsid w:val="000C3D54"/>
    <w:rsid w:val="000C4F16"/>
    <w:rsid w:val="000C50A8"/>
    <w:rsid w:val="000C50DD"/>
    <w:rsid w:val="000C6760"/>
    <w:rsid w:val="000C7B09"/>
    <w:rsid w:val="000D1ED1"/>
    <w:rsid w:val="000D1EF5"/>
    <w:rsid w:val="000D2073"/>
    <w:rsid w:val="000D3BE9"/>
    <w:rsid w:val="000D4A31"/>
    <w:rsid w:val="000D6301"/>
    <w:rsid w:val="000D6AA9"/>
    <w:rsid w:val="000D6CF4"/>
    <w:rsid w:val="000E0031"/>
    <w:rsid w:val="000E004E"/>
    <w:rsid w:val="000E01FC"/>
    <w:rsid w:val="000E12C7"/>
    <w:rsid w:val="000E2FCC"/>
    <w:rsid w:val="000E3912"/>
    <w:rsid w:val="000E4342"/>
    <w:rsid w:val="000E46A5"/>
    <w:rsid w:val="000E4A4B"/>
    <w:rsid w:val="000E4D82"/>
    <w:rsid w:val="000E4F4E"/>
    <w:rsid w:val="000E52A0"/>
    <w:rsid w:val="000E5A5B"/>
    <w:rsid w:val="000E5CFC"/>
    <w:rsid w:val="000E6003"/>
    <w:rsid w:val="000E65D6"/>
    <w:rsid w:val="000E6AC7"/>
    <w:rsid w:val="000F1885"/>
    <w:rsid w:val="000F18C4"/>
    <w:rsid w:val="000F3EBB"/>
    <w:rsid w:val="000F4176"/>
    <w:rsid w:val="000F428B"/>
    <w:rsid w:val="000F4770"/>
    <w:rsid w:val="000F4FDC"/>
    <w:rsid w:val="000F5D94"/>
    <w:rsid w:val="000F6302"/>
    <w:rsid w:val="000F6826"/>
    <w:rsid w:val="000F6AB0"/>
    <w:rsid w:val="0010131C"/>
    <w:rsid w:val="00101972"/>
    <w:rsid w:val="00101BED"/>
    <w:rsid w:val="00103577"/>
    <w:rsid w:val="0010375F"/>
    <w:rsid w:val="00104286"/>
    <w:rsid w:val="0010519A"/>
    <w:rsid w:val="001052B1"/>
    <w:rsid w:val="001058C2"/>
    <w:rsid w:val="00105F05"/>
    <w:rsid w:val="00106051"/>
    <w:rsid w:val="0010624B"/>
    <w:rsid w:val="00106A19"/>
    <w:rsid w:val="00106E25"/>
    <w:rsid w:val="00106F01"/>
    <w:rsid w:val="00107124"/>
    <w:rsid w:val="00107C43"/>
    <w:rsid w:val="00110F52"/>
    <w:rsid w:val="00111819"/>
    <w:rsid w:val="00111949"/>
    <w:rsid w:val="00111CAF"/>
    <w:rsid w:val="001128D2"/>
    <w:rsid w:val="001129A8"/>
    <w:rsid w:val="00114ADE"/>
    <w:rsid w:val="00115223"/>
    <w:rsid w:val="00115475"/>
    <w:rsid w:val="001164EE"/>
    <w:rsid w:val="00117CE0"/>
    <w:rsid w:val="001201AB"/>
    <w:rsid w:val="00120E39"/>
    <w:rsid w:val="00121C60"/>
    <w:rsid w:val="00122108"/>
    <w:rsid w:val="00122619"/>
    <w:rsid w:val="00123CAF"/>
    <w:rsid w:val="00125647"/>
    <w:rsid w:val="00125648"/>
    <w:rsid w:val="00125687"/>
    <w:rsid w:val="00125B0E"/>
    <w:rsid w:val="00125B97"/>
    <w:rsid w:val="0012670D"/>
    <w:rsid w:val="00126E22"/>
    <w:rsid w:val="00127030"/>
    <w:rsid w:val="00127825"/>
    <w:rsid w:val="00130F2D"/>
    <w:rsid w:val="00132597"/>
    <w:rsid w:val="001327FD"/>
    <w:rsid w:val="00133331"/>
    <w:rsid w:val="001333AE"/>
    <w:rsid w:val="00133649"/>
    <w:rsid w:val="00133805"/>
    <w:rsid w:val="00134395"/>
    <w:rsid w:val="00134568"/>
    <w:rsid w:val="0013514E"/>
    <w:rsid w:val="001354EB"/>
    <w:rsid w:val="00135A85"/>
    <w:rsid w:val="00135E6D"/>
    <w:rsid w:val="00136443"/>
    <w:rsid w:val="00140027"/>
    <w:rsid w:val="0014007F"/>
    <w:rsid w:val="0014214A"/>
    <w:rsid w:val="0014318B"/>
    <w:rsid w:val="001433F5"/>
    <w:rsid w:val="001452CF"/>
    <w:rsid w:val="00147B85"/>
    <w:rsid w:val="001513C1"/>
    <w:rsid w:val="001514E0"/>
    <w:rsid w:val="00151545"/>
    <w:rsid w:val="001515E2"/>
    <w:rsid w:val="00151AF9"/>
    <w:rsid w:val="00151B2A"/>
    <w:rsid w:val="00151F71"/>
    <w:rsid w:val="00152B01"/>
    <w:rsid w:val="00153AE8"/>
    <w:rsid w:val="001542E3"/>
    <w:rsid w:val="00154872"/>
    <w:rsid w:val="00154B62"/>
    <w:rsid w:val="00155799"/>
    <w:rsid w:val="00156473"/>
    <w:rsid w:val="001564B3"/>
    <w:rsid w:val="00160CF2"/>
    <w:rsid w:val="001652AF"/>
    <w:rsid w:val="001662C4"/>
    <w:rsid w:val="00167DBA"/>
    <w:rsid w:val="001717E6"/>
    <w:rsid w:val="001717F6"/>
    <w:rsid w:val="001730F9"/>
    <w:rsid w:val="0017458A"/>
    <w:rsid w:val="0017719C"/>
    <w:rsid w:val="00180031"/>
    <w:rsid w:val="0018028E"/>
    <w:rsid w:val="00180996"/>
    <w:rsid w:val="00181B42"/>
    <w:rsid w:val="00181BAA"/>
    <w:rsid w:val="00183079"/>
    <w:rsid w:val="0018354A"/>
    <w:rsid w:val="00186415"/>
    <w:rsid w:val="00186E12"/>
    <w:rsid w:val="00187856"/>
    <w:rsid w:val="00187E8A"/>
    <w:rsid w:val="00190AF2"/>
    <w:rsid w:val="00191545"/>
    <w:rsid w:val="00192292"/>
    <w:rsid w:val="001923FD"/>
    <w:rsid w:val="00193BBB"/>
    <w:rsid w:val="00193EDE"/>
    <w:rsid w:val="001950C6"/>
    <w:rsid w:val="0019531D"/>
    <w:rsid w:val="0019586A"/>
    <w:rsid w:val="00196445"/>
    <w:rsid w:val="001967FE"/>
    <w:rsid w:val="00196B67"/>
    <w:rsid w:val="0019738D"/>
    <w:rsid w:val="001978FC"/>
    <w:rsid w:val="001A1A10"/>
    <w:rsid w:val="001A24FF"/>
    <w:rsid w:val="001A41B2"/>
    <w:rsid w:val="001A4536"/>
    <w:rsid w:val="001A4620"/>
    <w:rsid w:val="001A47D9"/>
    <w:rsid w:val="001A4F88"/>
    <w:rsid w:val="001A53F0"/>
    <w:rsid w:val="001A6AE5"/>
    <w:rsid w:val="001A7130"/>
    <w:rsid w:val="001A71D3"/>
    <w:rsid w:val="001A7684"/>
    <w:rsid w:val="001A7A63"/>
    <w:rsid w:val="001B0180"/>
    <w:rsid w:val="001B0716"/>
    <w:rsid w:val="001B0BCF"/>
    <w:rsid w:val="001B0EFC"/>
    <w:rsid w:val="001B2567"/>
    <w:rsid w:val="001B38EE"/>
    <w:rsid w:val="001B4748"/>
    <w:rsid w:val="001B497B"/>
    <w:rsid w:val="001B4D67"/>
    <w:rsid w:val="001B63DB"/>
    <w:rsid w:val="001B6493"/>
    <w:rsid w:val="001B680B"/>
    <w:rsid w:val="001B6D34"/>
    <w:rsid w:val="001B7DCB"/>
    <w:rsid w:val="001C095F"/>
    <w:rsid w:val="001C1593"/>
    <w:rsid w:val="001C1D8F"/>
    <w:rsid w:val="001C3987"/>
    <w:rsid w:val="001C61E4"/>
    <w:rsid w:val="001D1A4F"/>
    <w:rsid w:val="001D2378"/>
    <w:rsid w:val="001D268D"/>
    <w:rsid w:val="001D2774"/>
    <w:rsid w:val="001D2E2B"/>
    <w:rsid w:val="001D2E8B"/>
    <w:rsid w:val="001D3BDA"/>
    <w:rsid w:val="001D3DD3"/>
    <w:rsid w:val="001D4816"/>
    <w:rsid w:val="001D49FC"/>
    <w:rsid w:val="001D4F41"/>
    <w:rsid w:val="001D5698"/>
    <w:rsid w:val="001D5B1D"/>
    <w:rsid w:val="001D60DB"/>
    <w:rsid w:val="001E0086"/>
    <w:rsid w:val="001E0923"/>
    <w:rsid w:val="001E0B88"/>
    <w:rsid w:val="001E0D06"/>
    <w:rsid w:val="001E166A"/>
    <w:rsid w:val="001E469B"/>
    <w:rsid w:val="001E4C0C"/>
    <w:rsid w:val="001E529B"/>
    <w:rsid w:val="001E5751"/>
    <w:rsid w:val="001E69AE"/>
    <w:rsid w:val="001E7846"/>
    <w:rsid w:val="001E7BD9"/>
    <w:rsid w:val="001E7D48"/>
    <w:rsid w:val="001F04B1"/>
    <w:rsid w:val="001F1B88"/>
    <w:rsid w:val="001F1D2C"/>
    <w:rsid w:val="001F3B88"/>
    <w:rsid w:val="001F41D5"/>
    <w:rsid w:val="001F52BF"/>
    <w:rsid w:val="001F532D"/>
    <w:rsid w:val="001F5A00"/>
    <w:rsid w:val="001F6381"/>
    <w:rsid w:val="001F6DD6"/>
    <w:rsid w:val="001F7D5A"/>
    <w:rsid w:val="00200739"/>
    <w:rsid w:val="0020080D"/>
    <w:rsid w:val="00200FDC"/>
    <w:rsid w:val="002028E3"/>
    <w:rsid w:val="00202B87"/>
    <w:rsid w:val="00205593"/>
    <w:rsid w:val="002055EF"/>
    <w:rsid w:val="00205743"/>
    <w:rsid w:val="00205C2A"/>
    <w:rsid w:val="002070E4"/>
    <w:rsid w:val="00207844"/>
    <w:rsid w:val="00207FDF"/>
    <w:rsid w:val="002105CB"/>
    <w:rsid w:val="002113E6"/>
    <w:rsid w:val="0021170C"/>
    <w:rsid w:val="002129AA"/>
    <w:rsid w:val="0021384D"/>
    <w:rsid w:val="0021436C"/>
    <w:rsid w:val="00214646"/>
    <w:rsid w:val="002152BC"/>
    <w:rsid w:val="0021688A"/>
    <w:rsid w:val="00217AEE"/>
    <w:rsid w:val="0022016A"/>
    <w:rsid w:val="0022048A"/>
    <w:rsid w:val="0022292F"/>
    <w:rsid w:val="00222A0F"/>
    <w:rsid w:val="00225234"/>
    <w:rsid w:val="00225A79"/>
    <w:rsid w:val="00226156"/>
    <w:rsid w:val="0022627F"/>
    <w:rsid w:val="00227A11"/>
    <w:rsid w:val="00227DE0"/>
    <w:rsid w:val="00227FF3"/>
    <w:rsid w:val="00231C6B"/>
    <w:rsid w:val="00233277"/>
    <w:rsid w:val="00236D70"/>
    <w:rsid w:val="00237C76"/>
    <w:rsid w:val="00240452"/>
    <w:rsid w:val="002406B1"/>
    <w:rsid w:val="00240CBF"/>
    <w:rsid w:val="00240F43"/>
    <w:rsid w:val="0024212D"/>
    <w:rsid w:val="00242D02"/>
    <w:rsid w:val="00243456"/>
    <w:rsid w:val="002435C2"/>
    <w:rsid w:val="00246DFC"/>
    <w:rsid w:val="00250FE0"/>
    <w:rsid w:val="002517B5"/>
    <w:rsid w:val="002521CB"/>
    <w:rsid w:val="00252315"/>
    <w:rsid w:val="00252AE4"/>
    <w:rsid w:val="002536FF"/>
    <w:rsid w:val="00254A2D"/>
    <w:rsid w:val="0025529E"/>
    <w:rsid w:val="00255634"/>
    <w:rsid w:val="0025609F"/>
    <w:rsid w:val="00257116"/>
    <w:rsid w:val="00257E49"/>
    <w:rsid w:val="002606E4"/>
    <w:rsid w:val="002621D8"/>
    <w:rsid w:val="00263645"/>
    <w:rsid w:val="002642EB"/>
    <w:rsid w:val="00264483"/>
    <w:rsid w:val="00264615"/>
    <w:rsid w:val="00265AB6"/>
    <w:rsid w:val="00265BA6"/>
    <w:rsid w:val="00265E6A"/>
    <w:rsid w:val="00266754"/>
    <w:rsid w:val="00266973"/>
    <w:rsid w:val="00270AD3"/>
    <w:rsid w:val="00271231"/>
    <w:rsid w:val="0027202C"/>
    <w:rsid w:val="002723DA"/>
    <w:rsid w:val="0027351B"/>
    <w:rsid w:val="00273B1D"/>
    <w:rsid w:val="00273E8F"/>
    <w:rsid w:val="0027442F"/>
    <w:rsid w:val="00275F66"/>
    <w:rsid w:val="00276703"/>
    <w:rsid w:val="00281D42"/>
    <w:rsid w:val="00282BEC"/>
    <w:rsid w:val="00283DC3"/>
    <w:rsid w:val="00284726"/>
    <w:rsid w:val="00284A37"/>
    <w:rsid w:val="002861DA"/>
    <w:rsid w:val="002863BA"/>
    <w:rsid w:val="002864AB"/>
    <w:rsid w:val="002877F5"/>
    <w:rsid w:val="00290AF8"/>
    <w:rsid w:val="00291100"/>
    <w:rsid w:val="00291A8E"/>
    <w:rsid w:val="00292250"/>
    <w:rsid w:val="0029285E"/>
    <w:rsid w:val="00292905"/>
    <w:rsid w:val="00293E4D"/>
    <w:rsid w:val="00295306"/>
    <w:rsid w:val="002959FE"/>
    <w:rsid w:val="00295CB3"/>
    <w:rsid w:val="00295F5D"/>
    <w:rsid w:val="00296242"/>
    <w:rsid w:val="002967CF"/>
    <w:rsid w:val="00297511"/>
    <w:rsid w:val="002A011D"/>
    <w:rsid w:val="002A0C77"/>
    <w:rsid w:val="002A1BC3"/>
    <w:rsid w:val="002A2178"/>
    <w:rsid w:val="002A2655"/>
    <w:rsid w:val="002A335F"/>
    <w:rsid w:val="002A3DBD"/>
    <w:rsid w:val="002A4945"/>
    <w:rsid w:val="002A61C6"/>
    <w:rsid w:val="002A6577"/>
    <w:rsid w:val="002A67C1"/>
    <w:rsid w:val="002A6BD2"/>
    <w:rsid w:val="002A717F"/>
    <w:rsid w:val="002A77CF"/>
    <w:rsid w:val="002B048B"/>
    <w:rsid w:val="002B0ED8"/>
    <w:rsid w:val="002B129E"/>
    <w:rsid w:val="002B2885"/>
    <w:rsid w:val="002B5E95"/>
    <w:rsid w:val="002B6332"/>
    <w:rsid w:val="002B66C3"/>
    <w:rsid w:val="002B746B"/>
    <w:rsid w:val="002B779E"/>
    <w:rsid w:val="002C0287"/>
    <w:rsid w:val="002C0A71"/>
    <w:rsid w:val="002C0CA1"/>
    <w:rsid w:val="002C0ECB"/>
    <w:rsid w:val="002C1432"/>
    <w:rsid w:val="002C1476"/>
    <w:rsid w:val="002C2BC6"/>
    <w:rsid w:val="002C2D09"/>
    <w:rsid w:val="002C3481"/>
    <w:rsid w:val="002C38EC"/>
    <w:rsid w:val="002C3B6C"/>
    <w:rsid w:val="002C44AC"/>
    <w:rsid w:val="002C4EA0"/>
    <w:rsid w:val="002C54F4"/>
    <w:rsid w:val="002C5857"/>
    <w:rsid w:val="002C6128"/>
    <w:rsid w:val="002C74A8"/>
    <w:rsid w:val="002C7F6E"/>
    <w:rsid w:val="002D056E"/>
    <w:rsid w:val="002D083C"/>
    <w:rsid w:val="002D0CCA"/>
    <w:rsid w:val="002D1C36"/>
    <w:rsid w:val="002D1D77"/>
    <w:rsid w:val="002D2A6B"/>
    <w:rsid w:val="002D2AF0"/>
    <w:rsid w:val="002D2F5A"/>
    <w:rsid w:val="002D3017"/>
    <w:rsid w:val="002D384F"/>
    <w:rsid w:val="002D471F"/>
    <w:rsid w:val="002D473A"/>
    <w:rsid w:val="002D6940"/>
    <w:rsid w:val="002D7EAA"/>
    <w:rsid w:val="002E0301"/>
    <w:rsid w:val="002E064B"/>
    <w:rsid w:val="002E081B"/>
    <w:rsid w:val="002E0B7B"/>
    <w:rsid w:val="002E1122"/>
    <w:rsid w:val="002E3C49"/>
    <w:rsid w:val="002E40D3"/>
    <w:rsid w:val="002E4188"/>
    <w:rsid w:val="002E4596"/>
    <w:rsid w:val="002E5D3E"/>
    <w:rsid w:val="002E5DD5"/>
    <w:rsid w:val="002E5E1C"/>
    <w:rsid w:val="002E5E30"/>
    <w:rsid w:val="002E665D"/>
    <w:rsid w:val="002E6E15"/>
    <w:rsid w:val="002E7FDD"/>
    <w:rsid w:val="002F0262"/>
    <w:rsid w:val="002F0BB6"/>
    <w:rsid w:val="002F15DF"/>
    <w:rsid w:val="002F1FC8"/>
    <w:rsid w:val="002F20F7"/>
    <w:rsid w:val="002F22F0"/>
    <w:rsid w:val="002F33E0"/>
    <w:rsid w:val="002F36A9"/>
    <w:rsid w:val="002F38BA"/>
    <w:rsid w:val="002F4244"/>
    <w:rsid w:val="002F4468"/>
    <w:rsid w:val="002F5D7D"/>
    <w:rsid w:val="002F6A51"/>
    <w:rsid w:val="002F71A1"/>
    <w:rsid w:val="002F72A2"/>
    <w:rsid w:val="003009FF"/>
    <w:rsid w:val="003045CB"/>
    <w:rsid w:val="00304D49"/>
    <w:rsid w:val="00304E32"/>
    <w:rsid w:val="00305458"/>
    <w:rsid w:val="003058B0"/>
    <w:rsid w:val="00305CA3"/>
    <w:rsid w:val="0030604A"/>
    <w:rsid w:val="00306383"/>
    <w:rsid w:val="00306427"/>
    <w:rsid w:val="00307269"/>
    <w:rsid w:val="0030779F"/>
    <w:rsid w:val="0031017C"/>
    <w:rsid w:val="003105E4"/>
    <w:rsid w:val="00311957"/>
    <w:rsid w:val="00311C2A"/>
    <w:rsid w:val="00312575"/>
    <w:rsid w:val="00312713"/>
    <w:rsid w:val="003143CF"/>
    <w:rsid w:val="00314DF2"/>
    <w:rsid w:val="00315C9C"/>
    <w:rsid w:val="00315DB2"/>
    <w:rsid w:val="003170FB"/>
    <w:rsid w:val="00317241"/>
    <w:rsid w:val="00320EC0"/>
    <w:rsid w:val="00321BF6"/>
    <w:rsid w:val="00322344"/>
    <w:rsid w:val="00322A64"/>
    <w:rsid w:val="00322F21"/>
    <w:rsid w:val="00323301"/>
    <w:rsid w:val="0032375C"/>
    <w:rsid w:val="003247FB"/>
    <w:rsid w:val="00325402"/>
    <w:rsid w:val="00325CF8"/>
    <w:rsid w:val="003263D9"/>
    <w:rsid w:val="00327A48"/>
    <w:rsid w:val="0033004A"/>
    <w:rsid w:val="003305E9"/>
    <w:rsid w:val="003319BB"/>
    <w:rsid w:val="00332B20"/>
    <w:rsid w:val="00333744"/>
    <w:rsid w:val="00333C2B"/>
    <w:rsid w:val="003341E3"/>
    <w:rsid w:val="0033441E"/>
    <w:rsid w:val="00334D48"/>
    <w:rsid w:val="00334D7F"/>
    <w:rsid w:val="00337F9F"/>
    <w:rsid w:val="00340795"/>
    <w:rsid w:val="00340956"/>
    <w:rsid w:val="00340A36"/>
    <w:rsid w:val="00340E7C"/>
    <w:rsid w:val="003412BA"/>
    <w:rsid w:val="00342033"/>
    <w:rsid w:val="003424B9"/>
    <w:rsid w:val="00342A6B"/>
    <w:rsid w:val="00342EFE"/>
    <w:rsid w:val="0034351A"/>
    <w:rsid w:val="003436DE"/>
    <w:rsid w:val="00344ACA"/>
    <w:rsid w:val="00345DC4"/>
    <w:rsid w:val="003466E5"/>
    <w:rsid w:val="00346831"/>
    <w:rsid w:val="0034700A"/>
    <w:rsid w:val="003472BB"/>
    <w:rsid w:val="003475BE"/>
    <w:rsid w:val="00347A63"/>
    <w:rsid w:val="00347BCD"/>
    <w:rsid w:val="003508B6"/>
    <w:rsid w:val="00351B07"/>
    <w:rsid w:val="00351E19"/>
    <w:rsid w:val="003520D4"/>
    <w:rsid w:val="0035235F"/>
    <w:rsid w:val="0035308C"/>
    <w:rsid w:val="00353AF4"/>
    <w:rsid w:val="00354660"/>
    <w:rsid w:val="003554F3"/>
    <w:rsid w:val="0035557D"/>
    <w:rsid w:val="00355672"/>
    <w:rsid w:val="00356F56"/>
    <w:rsid w:val="00357088"/>
    <w:rsid w:val="0035716C"/>
    <w:rsid w:val="00360E3D"/>
    <w:rsid w:val="0036122E"/>
    <w:rsid w:val="0036136B"/>
    <w:rsid w:val="003637BB"/>
    <w:rsid w:val="00363E45"/>
    <w:rsid w:val="003644A3"/>
    <w:rsid w:val="0036522D"/>
    <w:rsid w:val="0036576A"/>
    <w:rsid w:val="00365A70"/>
    <w:rsid w:val="003663A2"/>
    <w:rsid w:val="00366670"/>
    <w:rsid w:val="003675FA"/>
    <w:rsid w:val="00370528"/>
    <w:rsid w:val="003705D7"/>
    <w:rsid w:val="00371AF6"/>
    <w:rsid w:val="003725D6"/>
    <w:rsid w:val="003728F6"/>
    <w:rsid w:val="0037369E"/>
    <w:rsid w:val="0037370B"/>
    <w:rsid w:val="003739EC"/>
    <w:rsid w:val="00376419"/>
    <w:rsid w:val="003774FD"/>
    <w:rsid w:val="00380272"/>
    <w:rsid w:val="003815CA"/>
    <w:rsid w:val="0038246C"/>
    <w:rsid w:val="00383274"/>
    <w:rsid w:val="00383EE6"/>
    <w:rsid w:val="00384294"/>
    <w:rsid w:val="00385EE4"/>
    <w:rsid w:val="003864A5"/>
    <w:rsid w:val="00386976"/>
    <w:rsid w:val="00386D53"/>
    <w:rsid w:val="00387107"/>
    <w:rsid w:val="00387716"/>
    <w:rsid w:val="003919C4"/>
    <w:rsid w:val="00391F04"/>
    <w:rsid w:val="00391F5B"/>
    <w:rsid w:val="003930F4"/>
    <w:rsid w:val="00393677"/>
    <w:rsid w:val="00393EB4"/>
    <w:rsid w:val="00394077"/>
    <w:rsid w:val="00394C21"/>
    <w:rsid w:val="00396DF5"/>
    <w:rsid w:val="003970C6"/>
    <w:rsid w:val="003971AD"/>
    <w:rsid w:val="003A193A"/>
    <w:rsid w:val="003A1C55"/>
    <w:rsid w:val="003A3479"/>
    <w:rsid w:val="003A3BFD"/>
    <w:rsid w:val="003A4EAF"/>
    <w:rsid w:val="003A5662"/>
    <w:rsid w:val="003A61DB"/>
    <w:rsid w:val="003A6FED"/>
    <w:rsid w:val="003A73DB"/>
    <w:rsid w:val="003B0272"/>
    <w:rsid w:val="003B0F38"/>
    <w:rsid w:val="003B114B"/>
    <w:rsid w:val="003B11DA"/>
    <w:rsid w:val="003B14D9"/>
    <w:rsid w:val="003B4AC3"/>
    <w:rsid w:val="003B5496"/>
    <w:rsid w:val="003B6531"/>
    <w:rsid w:val="003B6C99"/>
    <w:rsid w:val="003B70A0"/>
    <w:rsid w:val="003B7491"/>
    <w:rsid w:val="003B7531"/>
    <w:rsid w:val="003C04C5"/>
    <w:rsid w:val="003C0640"/>
    <w:rsid w:val="003C1CC2"/>
    <w:rsid w:val="003C1CF3"/>
    <w:rsid w:val="003C266A"/>
    <w:rsid w:val="003C41F1"/>
    <w:rsid w:val="003C4A26"/>
    <w:rsid w:val="003C570E"/>
    <w:rsid w:val="003C5B5E"/>
    <w:rsid w:val="003C5F94"/>
    <w:rsid w:val="003C6069"/>
    <w:rsid w:val="003C7767"/>
    <w:rsid w:val="003D0621"/>
    <w:rsid w:val="003D19FA"/>
    <w:rsid w:val="003D5F60"/>
    <w:rsid w:val="003D750A"/>
    <w:rsid w:val="003E1C10"/>
    <w:rsid w:val="003E1D4D"/>
    <w:rsid w:val="003E4BDE"/>
    <w:rsid w:val="003E50D2"/>
    <w:rsid w:val="003E5B97"/>
    <w:rsid w:val="003E5D53"/>
    <w:rsid w:val="003E5FCA"/>
    <w:rsid w:val="003E6B73"/>
    <w:rsid w:val="003E6F80"/>
    <w:rsid w:val="003E70ED"/>
    <w:rsid w:val="003E7BFE"/>
    <w:rsid w:val="003E7CA6"/>
    <w:rsid w:val="003F0823"/>
    <w:rsid w:val="003F0BA6"/>
    <w:rsid w:val="003F0FF3"/>
    <w:rsid w:val="003F1278"/>
    <w:rsid w:val="003F153F"/>
    <w:rsid w:val="003F15BB"/>
    <w:rsid w:val="003F18EF"/>
    <w:rsid w:val="003F1B4F"/>
    <w:rsid w:val="003F2ACA"/>
    <w:rsid w:val="003F34A8"/>
    <w:rsid w:val="003F3ED1"/>
    <w:rsid w:val="003F7668"/>
    <w:rsid w:val="003F79F1"/>
    <w:rsid w:val="00400405"/>
    <w:rsid w:val="00400B34"/>
    <w:rsid w:val="00401527"/>
    <w:rsid w:val="004029F4"/>
    <w:rsid w:val="004049B9"/>
    <w:rsid w:val="00404C35"/>
    <w:rsid w:val="00406E4A"/>
    <w:rsid w:val="00407150"/>
    <w:rsid w:val="00407254"/>
    <w:rsid w:val="004107DD"/>
    <w:rsid w:val="00410D49"/>
    <w:rsid w:val="004110A7"/>
    <w:rsid w:val="00411641"/>
    <w:rsid w:val="00413CCC"/>
    <w:rsid w:val="004143F9"/>
    <w:rsid w:val="00414BDD"/>
    <w:rsid w:val="00415362"/>
    <w:rsid w:val="0041600F"/>
    <w:rsid w:val="00416399"/>
    <w:rsid w:val="004163B9"/>
    <w:rsid w:val="004169F9"/>
    <w:rsid w:val="00420D47"/>
    <w:rsid w:val="00421CF5"/>
    <w:rsid w:val="00422999"/>
    <w:rsid w:val="00423E44"/>
    <w:rsid w:val="00424124"/>
    <w:rsid w:val="0042586E"/>
    <w:rsid w:val="004258A1"/>
    <w:rsid w:val="00425B2D"/>
    <w:rsid w:val="0042720E"/>
    <w:rsid w:val="00427506"/>
    <w:rsid w:val="00427E02"/>
    <w:rsid w:val="00427F5F"/>
    <w:rsid w:val="00432056"/>
    <w:rsid w:val="0043351A"/>
    <w:rsid w:val="00434399"/>
    <w:rsid w:val="004355C6"/>
    <w:rsid w:val="004361E8"/>
    <w:rsid w:val="00437138"/>
    <w:rsid w:val="00440024"/>
    <w:rsid w:val="00440517"/>
    <w:rsid w:val="00440577"/>
    <w:rsid w:val="004407B8"/>
    <w:rsid w:val="00440A92"/>
    <w:rsid w:val="00441CDE"/>
    <w:rsid w:val="0044226D"/>
    <w:rsid w:val="004424D1"/>
    <w:rsid w:val="00442A4D"/>
    <w:rsid w:val="00442B23"/>
    <w:rsid w:val="004438F6"/>
    <w:rsid w:val="0044406C"/>
    <w:rsid w:val="00444317"/>
    <w:rsid w:val="004443EC"/>
    <w:rsid w:val="0044465A"/>
    <w:rsid w:val="00444715"/>
    <w:rsid w:val="00444CE9"/>
    <w:rsid w:val="004457DC"/>
    <w:rsid w:val="00446AFD"/>
    <w:rsid w:val="00450952"/>
    <w:rsid w:val="004519D3"/>
    <w:rsid w:val="00451BCC"/>
    <w:rsid w:val="00451C92"/>
    <w:rsid w:val="004521E0"/>
    <w:rsid w:val="00452479"/>
    <w:rsid w:val="0045513C"/>
    <w:rsid w:val="004553C0"/>
    <w:rsid w:val="004557C0"/>
    <w:rsid w:val="004558D7"/>
    <w:rsid w:val="004564F2"/>
    <w:rsid w:val="0045675A"/>
    <w:rsid w:val="004569E9"/>
    <w:rsid w:val="00456BBC"/>
    <w:rsid w:val="00457564"/>
    <w:rsid w:val="00457571"/>
    <w:rsid w:val="00457C7C"/>
    <w:rsid w:val="0046048D"/>
    <w:rsid w:val="00460918"/>
    <w:rsid w:val="00460CBC"/>
    <w:rsid w:val="00460E12"/>
    <w:rsid w:val="00461DD8"/>
    <w:rsid w:val="00462631"/>
    <w:rsid w:val="004635E5"/>
    <w:rsid w:val="00463898"/>
    <w:rsid w:val="00464D85"/>
    <w:rsid w:val="00464DB3"/>
    <w:rsid w:val="0046576D"/>
    <w:rsid w:val="00466203"/>
    <w:rsid w:val="00466A78"/>
    <w:rsid w:val="0046751C"/>
    <w:rsid w:val="00470BC4"/>
    <w:rsid w:val="00471875"/>
    <w:rsid w:val="00472951"/>
    <w:rsid w:val="004734BF"/>
    <w:rsid w:val="00473EED"/>
    <w:rsid w:val="00475442"/>
    <w:rsid w:val="0047606C"/>
    <w:rsid w:val="00477DAC"/>
    <w:rsid w:val="0048054B"/>
    <w:rsid w:val="00480909"/>
    <w:rsid w:val="00480CF9"/>
    <w:rsid w:val="00481477"/>
    <w:rsid w:val="00481A35"/>
    <w:rsid w:val="00482539"/>
    <w:rsid w:val="00483CFE"/>
    <w:rsid w:val="00484D5E"/>
    <w:rsid w:val="004857BD"/>
    <w:rsid w:val="00486B9F"/>
    <w:rsid w:val="00487F14"/>
    <w:rsid w:val="004907C4"/>
    <w:rsid w:val="00490C76"/>
    <w:rsid w:val="00490D82"/>
    <w:rsid w:val="0049176E"/>
    <w:rsid w:val="004924C9"/>
    <w:rsid w:val="004931F7"/>
    <w:rsid w:val="004954F0"/>
    <w:rsid w:val="004958D9"/>
    <w:rsid w:val="0049593B"/>
    <w:rsid w:val="00495D88"/>
    <w:rsid w:val="00495FEF"/>
    <w:rsid w:val="004970BE"/>
    <w:rsid w:val="004976A1"/>
    <w:rsid w:val="0049772A"/>
    <w:rsid w:val="00497774"/>
    <w:rsid w:val="004A402F"/>
    <w:rsid w:val="004A4099"/>
    <w:rsid w:val="004A528B"/>
    <w:rsid w:val="004A6FFE"/>
    <w:rsid w:val="004A7070"/>
    <w:rsid w:val="004B0DDC"/>
    <w:rsid w:val="004B0FE3"/>
    <w:rsid w:val="004B1A0A"/>
    <w:rsid w:val="004B2CB3"/>
    <w:rsid w:val="004B304E"/>
    <w:rsid w:val="004B35C7"/>
    <w:rsid w:val="004B3B25"/>
    <w:rsid w:val="004B3B34"/>
    <w:rsid w:val="004B5871"/>
    <w:rsid w:val="004B607E"/>
    <w:rsid w:val="004B7645"/>
    <w:rsid w:val="004C215E"/>
    <w:rsid w:val="004C304C"/>
    <w:rsid w:val="004C3343"/>
    <w:rsid w:val="004C364F"/>
    <w:rsid w:val="004C46EB"/>
    <w:rsid w:val="004C4884"/>
    <w:rsid w:val="004C4D38"/>
    <w:rsid w:val="004C540B"/>
    <w:rsid w:val="004C55C0"/>
    <w:rsid w:val="004C60E2"/>
    <w:rsid w:val="004C678F"/>
    <w:rsid w:val="004C6A32"/>
    <w:rsid w:val="004D1699"/>
    <w:rsid w:val="004D2158"/>
    <w:rsid w:val="004D269C"/>
    <w:rsid w:val="004D42C8"/>
    <w:rsid w:val="004D4613"/>
    <w:rsid w:val="004D4DE7"/>
    <w:rsid w:val="004D5DAB"/>
    <w:rsid w:val="004D6216"/>
    <w:rsid w:val="004D6E86"/>
    <w:rsid w:val="004D6F42"/>
    <w:rsid w:val="004D7A27"/>
    <w:rsid w:val="004E1068"/>
    <w:rsid w:val="004E1780"/>
    <w:rsid w:val="004E26A8"/>
    <w:rsid w:val="004E35E3"/>
    <w:rsid w:val="004E49C2"/>
    <w:rsid w:val="004E4D66"/>
    <w:rsid w:val="004E6CE5"/>
    <w:rsid w:val="004F12B2"/>
    <w:rsid w:val="004F1ED0"/>
    <w:rsid w:val="004F201C"/>
    <w:rsid w:val="004F2046"/>
    <w:rsid w:val="004F260E"/>
    <w:rsid w:val="004F35D5"/>
    <w:rsid w:val="004F3B0C"/>
    <w:rsid w:val="004F4A10"/>
    <w:rsid w:val="004F4FAA"/>
    <w:rsid w:val="004F4FD3"/>
    <w:rsid w:val="0050045A"/>
    <w:rsid w:val="00501774"/>
    <w:rsid w:val="0050186F"/>
    <w:rsid w:val="00501E46"/>
    <w:rsid w:val="005024FB"/>
    <w:rsid w:val="005034B3"/>
    <w:rsid w:val="005064BD"/>
    <w:rsid w:val="00507715"/>
    <w:rsid w:val="00507782"/>
    <w:rsid w:val="00507D0A"/>
    <w:rsid w:val="005110A4"/>
    <w:rsid w:val="00513250"/>
    <w:rsid w:val="00514150"/>
    <w:rsid w:val="00514171"/>
    <w:rsid w:val="005145D4"/>
    <w:rsid w:val="0051672A"/>
    <w:rsid w:val="00517A66"/>
    <w:rsid w:val="00517B5D"/>
    <w:rsid w:val="00517EFE"/>
    <w:rsid w:val="005210C7"/>
    <w:rsid w:val="00523296"/>
    <w:rsid w:val="005233A5"/>
    <w:rsid w:val="005248C1"/>
    <w:rsid w:val="005259F1"/>
    <w:rsid w:val="00526A24"/>
    <w:rsid w:val="00526B6A"/>
    <w:rsid w:val="00527244"/>
    <w:rsid w:val="00527F39"/>
    <w:rsid w:val="00530664"/>
    <w:rsid w:val="00530806"/>
    <w:rsid w:val="00530F14"/>
    <w:rsid w:val="005314F7"/>
    <w:rsid w:val="0053166B"/>
    <w:rsid w:val="005327FD"/>
    <w:rsid w:val="005330BE"/>
    <w:rsid w:val="0053334A"/>
    <w:rsid w:val="005334B1"/>
    <w:rsid w:val="00533CFE"/>
    <w:rsid w:val="005348BC"/>
    <w:rsid w:val="00535006"/>
    <w:rsid w:val="00535354"/>
    <w:rsid w:val="0053554D"/>
    <w:rsid w:val="00537F84"/>
    <w:rsid w:val="00540BD2"/>
    <w:rsid w:val="00540E00"/>
    <w:rsid w:val="00541FC6"/>
    <w:rsid w:val="00542DF1"/>
    <w:rsid w:val="005431A1"/>
    <w:rsid w:val="0054391D"/>
    <w:rsid w:val="00543F08"/>
    <w:rsid w:val="005442CB"/>
    <w:rsid w:val="00544717"/>
    <w:rsid w:val="005456DA"/>
    <w:rsid w:val="005457AE"/>
    <w:rsid w:val="005457CF"/>
    <w:rsid w:val="00545F4F"/>
    <w:rsid w:val="005471C8"/>
    <w:rsid w:val="00550140"/>
    <w:rsid w:val="00550256"/>
    <w:rsid w:val="00550410"/>
    <w:rsid w:val="0055069C"/>
    <w:rsid w:val="005509DF"/>
    <w:rsid w:val="00551FC0"/>
    <w:rsid w:val="005533C1"/>
    <w:rsid w:val="0055437E"/>
    <w:rsid w:val="0055475A"/>
    <w:rsid w:val="00555554"/>
    <w:rsid w:val="00555E82"/>
    <w:rsid w:val="005579C3"/>
    <w:rsid w:val="00560777"/>
    <w:rsid w:val="0056124E"/>
    <w:rsid w:val="00562C83"/>
    <w:rsid w:val="005638A7"/>
    <w:rsid w:val="00563C0F"/>
    <w:rsid w:val="00563CBC"/>
    <w:rsid w:val="00563E42"/>
    <w:rsid w:val="00564926"/>
    <w:rsid w:val="00564D09"/>
    <w:rsid w:val="005656B9"/>
    <w:rsid w:val="005659F2"/>
    <w:rsid w:val="00566A7E"/>
    <w:rsid w:val="00567CF8"/>
    <w:rsid w:val="00570BA9"/>
    <w:rsid w:val="00573B65"/>
    <w:rsid w:val="00573EBE"/>
    <w:rsid w:val="0057432F"/>
    <w:rsid w:val="0057467E"/>
    <w:rsid w:val="005750BC"/>
    <w:rsid w:val="005767F6"/>
    <w:rsid w:val="00576A9F"/>
    <w:rsid w:val="00576B7D"/>
    <w:rsid w:val="00576DA1"/>
    <w:rsid w:val="0057715C"/>
    <w:rsid w:val="00577433"/>
    <w:rsid w:val="005776AA"/>
    <w:rsid w:val="0058274F"/>
    <w:rsid w:val="00582E94"/>
    <w:rsid w:val="005839C1"/>
    <w:rsid w:val="00584375"/>
    <w:rsid w:val="00584944"/>
    <w:rsid w:val="00584A16"/>
    <w:rsid w:val="005867E6"/>
    <w:rsid w:val="005877A9"/>
    <w:rsid w:val="0059026D"/>
    <w:rsid w:val="00590A3E"/>
    <w:rsid w:val="00590C2F"/>
    <w:rsid w:val="00592057"/>
    <w:rsid w:val="005924FC"/>
    <w:rsid w:val="005926EC"/>
    <w:rsid w:val="00592BE1"/>
    <w:rsid w:val="005932C5"/>
    <w:rsid w:val="00593316"/>
    <w:rsid w:val="005947E4"/>
    <w:rsid w:val="005952EA"/>
    <w:rsid w:val="00595620"/>
    <w:rsid w:val="00596BD4"/>
    <w:rsid w:val="005974B4"/>
    <w:rsid w:val="0059759E"/>
    <w:rsid w:val="005976A3"/>
    <w:rsid w:val="005A11A3"/>
    <w:rsid w:val="005A1479"/>
    <w:rsid w:val="005A159B"/>
    <w:rsid w:val="005A25F7"/>
    <w:rsid w:val="005A325F"/>
    <w:rsid w:val="005A39A3"/>
    <w:rsid w:val="005A3AE2"/>
    <w:rsid w:val="005A49D2"/>
    <w:rsid w:val="005A570F"/>
    <w:rsid w:val="005A5883"/>
    <w:rsid w:val="005A7224"/>
    <w:rsid w:val="005A7605"/>
    <w:rsid w:val="005A7692"/>
    <w:rsid w:val="005A7762"/>
    <w:rsid w:val="005A7D35"/>
    <w:rsid w:val="005A7F7A"/>
    <w:rsid w:val="005B05F2"/>
    <w:rsid w:val="005B0A8C"/>
    <w:rsid w:val="005B35F3"/>
    <w:rsid w:val="005B4291"/>
    <w:rsid w:val="005B605C"/>
    <w:rsid w:val="005B6C3A"/>
    <w:rsid w:val="005C09E1"/>
    <w:rsid w:val="005C0F0F"/>
    <w:rsid w:val="005C12CB"/>
    <w:rsid w:val="005C1D45"/>
    <w:rsid w:val="005C28C9"/>
    <w:rsid w:val="005C28D4"/>
    <w:rsid w:val="005C382A"/>
    <w:rsid w:val="005C4999"/>
    <w:rsid w:val="005C4D4A"/>
    <w:rsid w:val="005C50F1"/>
    <w:rsid w:val="005C5868"/>
    <w:rsid w:val="005C75C8"/>
    <w:rsid w:val="005C7C96"/>
    <w:rsid w:val="005D0035"/>
    <w:rsid w:val="005D1B98"/>
    <w:rsid w:val="005D229A"/>
    <w:rsid w:val="005D3098"/>
    <w:rsid w:val="005D35FB"/>
    <w:rsid w:val="005D3622"/>
    <w:rsid w:val="005D382E"/>
    <w:rsid w:val="005D39FD"/>
    <w:rsid w:val="005D4933"/>
    <w:rsid w:val="005D5065"/>
    <w:rsid w:val="005D5A11"/>
    <w:rsid w:val="005D6267"/>
    <w:rsid w:val="005D6561"/>
    <w:rsid w:val="005D686E"/>
    <w:rsid w:val="005D6AF0"/>
    <w:rsid w:val="005D7387"/>
    <w:rsid w:val="005D7585"/>
    <w:rsid w:val="005D7FF6"/>
    <w:rsid w:val="005E0925"/>
    <w:rsid w:val="005E0BD1"/>
    <w:rsid w:val="005E0E08"/>
    <w:rsid w:val="005E1297"/>
    <w:rsid w:val="005E1362"/>
    <w:rsid w:val="005E350C"/>
    <w:rsid w:val="005E40B6"/>
    <w:rsid w:val="005E452B"/>
    <w:rsid w:val="005E4677"/>
    <w:rsid w:val="005E50AF"/>
    <w:rsid w:val="005E6A34"/>
    <w:rsid w:val="005E792E"/>
    <w:rsid w:val="005E7C7E"/>
    <w:rsid w:val="005F0C22"/>
    <w:rsid w:val="005F0E88"/>
    <w:rsid w:val="005F0EA0"/>
    <w:rsid w:val="005F1421"/>
    <w:rsid w:val="005F18FA"/>
    <w:rsid w:val="005F20BD"/>
    <w:rsid w:val="005F2368"/>
    <w:rsid w:val="005F39E7"/>
    <w:rsid w:val="005F4EB8"/>
    <w:rsid w:val="005F59BE"/>
    <w:rsid w:val="005F6DC9"/>
    <w:rsid w:val="005F7214"/>
    <w:rsid w:val="005F7552"/>
    <w:rsid w:val="006006A0"/>
    <w:rsid w:val="006007A0"/>
    <w:rsid w:val="00600D00"/>
    <w:rsid w:val="00600F87"/>
    <w:rsid w:val="0060152A"/>
    <w:rsid w:val="0060157A"/>
    <w:rsid w:val="00601906"/>
    <w:rsid w:val="00602EFA"/>
    <w:rsid w:val="00603032"/>
    <w:rsid w:val="006044CA"/>
    <w:rsid w:val="00606091"/>
    <w:rsid w:val="00606E80"/>
    <w:rsid w:val="0061008C"/>
    <w:rsid w:val="00610347"/>
    <w:rsid w:val="00611332"/>
    <w:rsid w:val="00612B6E"/>
    <w:rsid w:val="006135B4"/>
    <w:rsid w:val="00615D13"/>
    <w:rsid w:val="00615D43"/>
    <w:rsid w:val="0061609D"/>
    <w:rsid w:val="006177E4"/>
    <w:rsid w:val="006178AA"/>
    <w:rsid w:val="006178AD"/>
    <w:rsid w:val="00617AA6"/>
    <w:rsid w:val="00620EC8"/>
    <w:rsid w:val="0062138B"/>
    <w:rsid w:val="0062271D"/>
    <w:rsid w:val="00622F20"/>
    <w:rsid w:val="00624397"/>
    <w:rsid w:val="00624627"/>
    <w:rsid w:val="00624A15"/>
    <w:rsid w:val="006262B2"/>
    <w:rsid w:val="006265C3"/>
    <w:rsid w:val="00626F4F"/>
    <w:rsid w:val="00627404"/>
    <w:rsid w:val="0062755E"/>
    <w:rsid w:val="00627976"/>
    <w:rsid w:val="00631C8F"/>
    <w:rsid w:val="006324D5"/>
    <w:rsid w:val="00632989"/>
    <w:rsid w:val="0063312A"/>
    <w:rsid w:val="0063359E"/>
    <w:rsid w:val="00633ECB"/>
    <w:rsid w:val="0063437B"/>
    <w:rsid w:val="006346F8"/>
    <w:rsid w:val="0063513E"/>
    <w:rsid w:val="00635B16"/>
    <w:rsid w:val="00636619"/>
    <w:rsid w:val="00636C83"/>
    <w:rsid w:val="006404FF"/>
    <w:rsid w:val="00641198"/>
    <w:rsid w:val="0064123C"/>
    <w:rsid w:val="00642656"/>
    <w:rsid w:val="0064268E"/>
    <w:rsid w:val="00642A5A"/>
    <w:rsid w:val="00644D36"/>
    <w:rsid w:val="006452D9"/>
    <w:rsid w:val="00646A4A"/>
    <w:rsid w:val="00646C48"/>
    <w:rsid w:val="00646DCA"/>
    <w:rsid w:val="00647C6A"/>
    <w:rsid w:val="00652083"/>
    <w:rsid w:val="006521ED"/>
    <w:rsid w:val="00652385"/>
    <w:rsid w:val="00653BA7"/>
    <w:rsid w:val="0065439F"/>
    <w:rsid w:val="00654849"/>
    <w:rsid w:val="00656579"/>
    <w:rsid w:val="00656C79"/>
    <w:rsid w:val="00657325"/>
    <w:rsid w:val="006613C7"/>
    <w:rsid w:val="00663616"/>
    <w:rsid w:val="00664042"/>
    <w:rsid w:val="00664390"/>
    <w:rsid w:val="00664EB8"/>
    <w:rsid w:val="006654B5"/>
    <w:rsid w:val="0066632F"/>
    <w:rsid w:val="00666CEF"/>
    <w:rsid w:val="00666DDB"/>
    <w:rsid w:val="00666F0C"/>
    <w:rsid w:val="00666F37"/>
    <w:rsid w:val="006678F9"/>
    <w:rsid w:val="00670232"/>
    <w:rsid w:val="00670324"/>
    <w:rsid w:val="00671073"/>
    <w:rsid w:val="0067248C"/>
    <w:rsid w:val="0067288F"/>
    <w:rsid w:val="006739B5"/>
    <w:rsid w:val="00673DEA"/>
    <w:rsid w:val="0067412D"/>
    <w:rsid w:val="0067413F"/>
    <w:rsid w:val="00674A98"/>
    <w:rsid w:val="0067512A"/>
    <w:rsid w:val="00675E1C"/>
    <w:rsid w:val="00676413"/>
    <w:rsid w:val="0068110C"/>
    <w:rsid w:val="00681117"/>
    <w:rsid w:val="006815A8"/>
    <w:rsid w:val="00682786"/>
    <w:rsid w:val="00682840"/>
    <w:rsid w:val="006845A4"/>
    <w:rsid w:val="006856E9"/>
    <w:rsid w:val="0068796A"/>
    <w:rsid w:val="0068797D"/>
    <w:rsid w:val="00687F34"/>
    <w:rsid w:val="0069155A"/>
    <w:rsid w:val="006919DB"/>
    <w:rsid w:val="00691A9B"/>
    <w:rsid w:val="00691F4D"/>
    <w:rsid w:val="006922C4"/>
    <w:rsid w:val="006927D8"/>
    <w:rsid w:val="0069337E"/>
    <w:rsid w:val="006948A6"/>
    <w:rsid w:val="00695D19"/>
    <w:rsid w:val="006A1AF9"/>
    <w:rsid w:val="006A1E53"/>
    <w:rsid w:val="006A25A4"/>
    <w:rsid w:val="006A431E"/>
    <w:rsid w:val="006A47A7"/>
    <w:rsid w:val="006A52BF"/>
    <w:rsid w:val="006A6CA4"/>
    <w:rsid w:val="006B11D8"/>
    <w:rsid w:val="006B1808"/>
    <w:rsid w:val="006B1A0B"/>
    <w:rsid w:val="006B2312"/>
    <w:rsid w:val="006B23C3"/>
    <w:rsid w:val="006B5E1F"/>
    <w:rsid w:val="006B6305"/>
    <w:rsid w:val="006B6466"/>
    <w:rsid w:val="006B66D2"/>
    <w:rsid w:val="006B788E"/>
    <w:rsid w:val="006B7EAB"/>
    <w:rsid w:val="006C0D40"/>
    <w:rsid w:val="006C0EDD"/>
    <w:rsid w:val="006C2054"/>
    <w:rsid w:val="006C27D8"/>
    <w:rsid w:val="006C30D0"/>
    <w:rsid w:val="006C3CE5"/>
    <w:rsid w:val="006C49CF"/>
    <w:rsid w:val="006C5654"/>
    <w:rsid w:val="006C688B"/>
    <w:rsid w:val="006C7FB4"/>
    <w:rsid w:val="006D06E3"/>
    <w:rsid w:val="006D0E14"/>
    <w:rsid w:val="006D111B"/>
    <w:rsid w:val="006D24F5"/>
    <w:rsid w:val="006D32E7"/>
    <w:rsid w:val="006D38E0"/>
    <w:rsid w:val="006D3FB3"/>
    <w:rsid w:val="006D5934"/>
    <w:rsid w:val="006D5BAB"/>
    <w:rsid w:val="006E064D"/>
    <w:rsid w:val="006E0FAC"/>
    <w:rsid w:val="006E16A5"/>
    <w:rsid w:val="006E1B01"/>
    <w:rsid w:val="006E35F5"/>
    <w:rsid w:val="006E3CB0"/>
    <w:rsid w:val="006E3E02"/>
    <w:rsid w:val="006E445C"/>
    <w:rsid w:val="006E4796"/>
    <w:rsid w:val="006E4820"/>
    <w:rsid w:val="006E69F1"/>
    <w:rsid w:val="006E6B3C"/>
    <w:rsid w:val="006E702B"/>
    <w:rsid w:val="006E7BC4"/>
    <w:rsid w:val="006E7CC8"/>
    <w:rsid w:val="006F0348"/>
    <w:rsid w:val="006F0D61"/>
    <w:rsid w:val="006F1CDE"/>
    <w:rsid w:val="006F25F4"/>
    <w:rsid w:val="006F4341"/>
    <w:rsid w:val="006F493B"/>
    <w:rsid w:val="006F53D1"/>
    <w:rsid w:val="006F56C3"/>
    <w:rsid w:val="006F5815"/>
    <w:rsid w:val="006F5829"/>
    <w:rsid w:val="006F5A86"/>
    <w:rsid w:val="006F6CF2"/>
    <w:rsid w:val="006F6E63"/>
    <w:rsid w:val="006F76F5"/>
    <w:rsid w:val="00700392"/>
    <w:rsid w:val="0070085D"/>
    <w:rsid w:val="00700C5F"/>
    <w:rsid w:val="00701107"/>
    <w:rsid w:val="00701707"/>
    <w:rsid w:val="007017B2"/>
    <w:rsid w:val="00702352"/>
    <w:rsid w:val="00702C3F"/>
    <w:rsid w:val="0070374A"/>
    <w:rsid w:val="00703B41"/>
    <w:rsid w:val="00704F06"/>
    <w:rsid w:val="007056F1"/>
    <w:rsid w:val="00705B92"/>
    <w:rsid w:val="00705DDC"/>
    <w:rsid w:val="007175DC"/>
    <w:rsid w:val="00717794"/>
    <w:rsid w:val="007210C0"/>
    <w:rsid w:val="007218B0"/>
    <w:rsid w:val="00721D6D"/>
    <w:rsid w:val="00722E8B"/>
    <w:rsid w:val="00723A1E"/>
    <w:rsid w:val="00723E76"/>
    <w:rsid w:val="00724C08"/>
    <w:rsid w:val="00724DFC"/>
    <w:rsid w:val="00724F5C"/>
    <w:rsid w:val="0072532F"/>
    <w:rsid w:val="00726267"/>
    <w:rsid w:val="007262E4"/>
    <w:rsid w:val="00726534"/>
    <w:rsid w:val="007265F2"/>
    <w:rsid w:val="00727EF8"/>
    <w:rsid w:val="00730028"/>
    <w:rsid w:val="007307DC"/>
    <w:rsid w:val="007310FD"/>
    <w:rsid w:val="00731923"/>
    <w:rsid w:val="00732312"/>
    <w:rsid w:val="00732B93"/>
    <w:rsid w:val="00734030"/>
    <w:rsid w:val="00734CFE"/>
    <w:rsid w:val="00734D9E"/>
    <w:rsid w:val="007353ED"/>
    <w:rsid w:val="0073661B"/>
    <w:rsid w:val="00736A26"/>
    <w:rsid w:val="00736B02"/>
    <w:rsid w:val="0074037E"/>
    <w:rsid w:val="00740E8B"/>
    <w:rsid w:val="00740EB0"/>
    <w:rsid w:val="00741991"/>
    <w:rsid w:val="00741B65"/>
    <w:rsid w:val="00742548"/>
    <w:rsid w:val="00744735"/>
    <w:rsid w:val="00744843"/>
    <w:rsid w:val="00747513"/>
    <w:rsid w:val="00751226"/>
    <w:rsid w:val="00752F7D"/>
    <w:rsid w:val="00752F8B"/>
    <w:rsid w:val="00752FDB"/>
    <w:rsid w:val="00753F39"/>
    <w:rsid w:val="00753FF8"/>
    <w:rsid w:val="00755144"/>
    <w:rsid w:val="0075749C"/>
    <w:rsid w:val="00757B23"/>
    <w:rsid w:val="00757F1C"/>
    <w:rsid w:val="00760AC7"/>
    <w:rsid w:val="0076294F"/>
    <w:rsid w:val="00764FD3"/>
    <w:rsid w:val="0076539A"/>
    <w:rsid w:val="00766164"/>
    <w:rsid w:val="00766C02"/>
    <w:rsid w:val="0076737E"/>
    <w:rsid w:val="00767849"/>
    <w:rsid w:val="0077130F"/>
    <w:rsid w:val="00772802"/>
    <w:rsid w:val="00772CC8"/>
    <w:rsid w:val="007732C5"/>
    <w:rsid w:val="00773515"/>
    <w:rsid w:val="00774B22"/>
    <w:rsid w:val="007755F6"/>
    <w:rsid w:val="00775CCF"/>
    <w:rsid w:val="00776578"/>
    <w:rsid w:val="00777793"/>
    <w:rsid w:val="007801E4"/>
    <w:rsid w:val="00780358"/>
    <w:rsid w:val="007818C3"/>
    <w:rsid w:val="00781B93"/>
    <w:rsid w:val="00782AC1"/>
    <w:rsid w:val="00782FF1"/>
    <w:rsid w:val="00783E02"/>
    <w:rsid w:val="007840D7"/>
    <w:rsid w:val="007850EA"/>
    <w:rsid w:val="007853F9"/>
    <w:rsid w:val="00785A20"/>
    <w:rsid w:val="00786817"/>
    <w:rsid w:val="00787451"/>
    <w:rsid w:val="00790C3A"/>
    <w:rsid w:val="00790CC9"/>
    <w:rsid w:val="0079127B"/>
    <w:rsid w:val="00791332"/>
    <w:rsid w:val="007915B8"/>
    <w:rsid w:val="007922D7"/>
    <w:rsid w:val="00792558"/>
    <w:rsid w:val="00792FDA"/>
    <w:rsid w:val="00794C08"/>
    <w:rsid w:val="0079691D"/>
    <w:rsid w:val="0079702B"/>
    <w:rsid w:val="00797136"/>
    <w:rsid w:val="00797594"/>
    <w:rsid w:val="00797B5D"/>
    <w:rsid w:val="007A1593"/>
    <w:rsid w:val="007A1DCE"/>
    <w:rsid w:val="007A2021"/>
    <w:rsid w:val="007A2797"/>
    <w:rsid w:val="007A39BE"/>
    <w:rsid w:val="007A4073"/>
    <w:rsid w:val="007A417E"/>
    <w:rsid w:val="007A4AEB"/>
    <w:rsid w:val="007A4DCB"/>
    <w:rsid w:val="007A57DE"/>
    <w:rsid w:val="007A580C"/>
    <w:rsid w:val="007A5C7A"/>
    <w:rsid w:val="007A6286"/>
    <w:rsid w:val="007A686A"/>
    <w:rsid w:val="007A6C29"/>
    <w:rsid w:val="007A72BA"/>
    <w:rsid w:val="007B0A83"/>
    <w:rsid w:val="007B0CF4"/>
    <w:rsid w:val="007B1A2B"/>
    <w:rsid w:val="007B2219"/>
    <w:rsid w:val="007B27F7"/>
    <w:rsid w:val="007B40B6"/>
    <w:rsid w:val="007B43F4"/>
    <w:rsid w:val="007B4454"/>
    <w:rsid w:val="007B478A"/>
    <w:rsid w:val="007B499A"/>
    <w:rsid w:val="007B52A8"/>
    <w:rsid w:val="007B58C3"/>
    <w:rsid w:val="007B5E08"/>
    <w:rsid w:val="007B6252"/>
    <w:rsid w:val="007B66CB"/>
    <w:rsid w:val="007B6BC0"/>
    <w:rsid w:val="007B7456"/>
    <w:rsid w:val="007B7D30"/>
    <w:rsid w:val="007C100A"/>
    <w:rsid w:val="007C2AA1"/>
    <w:rsid w:val="007C4441"/>
    <w:rsid w:val="007C7D0C"/>
    <w:rsid w:val="007C7DF4"/>
    <w:rsid w:val="007D1173"/>
    <w:rsid w:val="007D1B04"/>
    <w:rsid w:val="007D1C74"/>
    <w:rsid w:val="007D1CF8"/>
    <w:rsid w:val="007D1E9D"/>
    <w:rsid w:val="007D20F9"/>
    <w:rsid w:val="007D23DF"/>
    <w:rsid w:val="007D4101"/>
    <w:rsid w:val="007D4F6E"/>
    <w:rsid w:val="007D5F32"/>
    <w:rsid w:val="007D6D93"/>
    <w:rsid w:val="007E1013"/>
    <w:rsid w:val="007E1032"/>
    <w:rsid w:val="007E10F4"/>
    <w:rsid w:val="007E24F5"/>
    <w:rsid w:val="007E311B"/>
    <w:rsid w:val="007E4530"/>
    <w:rsid w:val="007E5698"/>
    <w:rsid w:val="007E5D50"/>
    <w:rsid w:val="007E603C"/>
    <w:rsid w:val="007E65C7"/>
    <w:rsid w:val="007E6A9C"/>
    <w:rsid w:val="007F0825"/>
    <w:rsid w:val="007F09F9"/>
    <w:rsid w:val="007F0C94"/>
    <w:rsid w:val="007F0CA0"/>
    <w:rsid w:val="007F0EA5"/>
    <w:rsid w:val="007F22F6"/>
    <w:rsid w:val="007F47A3"/>
    <w:rsid w:val="007F52BB"/>
    <w:rsid w:val="007F5515"/>
    <w:rsid w:val="007F5823"/>
    <w:rsid w:val="007F6F48"/>
    <w:rsid w:val="007F7C97"/>
    <w:rsid w:val="008015BD"/>
    <w:rsid w:val="008019E6"/>
    <w:rsid w:val="008025C0"/>
    <w:rsid w:val="008027EF"/>
    <w:rsid w:val="00803555"/>
    <w:rsid w:val="00803D46"/>
    <w:rsid w:val="00803E82"/>
    <w:rsid w:val="00805399"/>
    <w:rsid w:val="008073E5"/>
    <w:rsid w:val="00807592"/>
    <w:rsid w:val="008079EE"/>
    <w:rsid w:val="0081024E"/>
    <w:rsid w:val="00810CB2"/>
    <w:rsid w:val="00810D20"/>
    <w:rsid w:val="00810FE1"/>
    <w:rsid w:val="0081118A"/>
    <w:rsid w:val="008120B2"/>
    <w:rsid w:val="008147C7"/>
    <w:rsid w:val="00815936"/>
    <w:rsid w:val="00815AD7"/>
    <w:rsid w:val="00816A10"/>
    <w:rsid w:val="00816B9C"/>
    <w:rsid w:val="00816E05"/>
    <w:rsid w:val="00817157"/>
    <w:rsid w:val="008203DC"/>
    <w:rsid w:val="00820436"/>
    <w:rsid w:val="00820723"/>
    <w:rsid w:val="00821E51"/>
    <w:rsid w:val="00821F9C"/>
    <w:rsid w:val="008223C0"/>
    <w:rsid w:val="0082295E"/>
    <w:rsid w:val="00822C73"/>
    <w:rsid w:val="00823ABD"/>
    <w:rsid w:val="00823B46"/>
    <w:rsid w:val="00824398"/>
    <w:rsid w:val="00824749"/>
    <w:rsid w:val="00824BF3"/>
    <w:rsid w:val="008260BB"/>
    <w:rsid w:val="00827140"/>
    <w:rsid w:val="008271B1"/>
    <w:rsid w:val="008302DC"/>
    <w:rsid w:val="00830369"/>
    <w:rsid w:val="0083044C"/>
    <w:rsid w:val="00831176"/>
    <w:rsid w:val="008318C2"/>
    <w:rsid w:val="00831BFC"/>
    <w:rsid w:val="008353B7"/>
    <w:rsid w:val="00835630"/>
    <w:rsid w:val="00837BD8"/>
    <w:rsid w:val="00840D34"/>
    <w:rsid w:val="00841528"/>
    <w:rsid w:val="00841848"/>
    <w:rsid w:val="008429C3"/>
    <w:rsid w:val="00843427"/>
    <w:rsid w:val="008447C5"/>
    <w:rsid w:val="008451E2"/>
    <w:rsid w:val="00846CCA"/>
    <w:rsid w:val="00847E1C"/>
    <w:rsid w:val="0085053D"/>
    <w:rsid w:val="00851A71"/>
    <w:rsid w:val="00852E03"/>
    <w:rsid w:val="00853FF9"/>
    <w:rsid w:val="00854519"/>
    <w:rsid w:val="00855D80"/>
    <w:rsid w:val="008565EE"/>
    <w:rsid w:val="00857868"/>
    <w:rsid w:val="00857C3A"/>
    <w:rsid w:val="008617FB"/>
    <w:rsid w:val="00863D73"/>
    <w:rsid w:val="00863E67"/>
    <w:rsid w:val="00865553"/>
    <w:rsid w:val="00866984"/>
    <w:rsid w:val="00866C9E"/>
    <w:rsid w:val="008678EC"/>
    <w:rsid w:val="00870603"/>
    <w:rsid w:val="00870755"/>
    <w:rsid w:val="00871AD3"/>
    <w:rsid w:val="00872CA4"/>
    <w:rsid w:val="00874C7E"/>
    <w:rsid w:val="00875703"/>
    <w:rsid w:val="00875FD1"/>
    <w:rsid w:val="0087687A"/>
    <w:rsid w:val="00876B1C"/>
    <w:rsid w:val="0087700E"/>
    <w:rsid w:val="00880172"/>
    <w:rsid w:val="0088118C"/>
    <w:rsid w:val="0088258A"/>
    <w:rsid w:val="00882E7C"/>
    <w:rsid w:val="00882EF9"/>
    <w:rsid w:val="00882F55"/>
    <w:rsid w:val="008839CD"/>
    <w:rsid w:val="00884CC3"/>
    <w:rsid w:val="008855DC"/>
    <w:rsid w:val="00887079"/>
    <w:rsid w:val="0088747F"/>
    <w:rsid w:val="00887F58"/>
    <w:rsid w:val="00890453"/>
    <w:rsid w:val="008907C8"/>
    <w:rsid w:val="00891FAA"/>
    <w:rsid w:val="00894136"/>
    <w:rsid w:val="008945DB"/>
    <w:rsid w:val="008957D2"/>
    <w:rsid w:val="008977D0"/>
    <w:rsid w:val="00897D21"/>
    <w:rsid w:val="008A0A15"/>
    <w:rsid w:val="008A2466"/>
    <w:rsid w:val="008A3112"/>
    <w:rsid w:val="008A3974"/>
    <w:rsid w:val="008A47D1"/>
    <w:rsid w:val="008A4D22"/>
    <w:rsid w:val="008A5AE5"/>
    <w:rsid w:val="008B1423"/>
    <w:rsid w:val="008B25D5"/>
    <w:rsid w:val="008B2CAC"/>
    <w:rsid w:val="008B4876"/>
    <w:rsid w:val="008B4B9A"/>
    <w:rsid w:val="008B4E9D"/>
    <w:rsid w:val="008B6263"/>
    <w:rsid w:val="008B6E0C"/>
    <w:rsid w:val="008B72F1"/>
    <w:rsid w:val="008C1186"/>
    <w:rsid w:val="008C2045"/>
    <w:rsid w:val="008C21F4"/>
    <w:rsid w:val="008C2CD5"/>
    <w:rsid w:val="008C31AA"/>
    <w:rsid w:val="008C3C0A"/>
    <w:rsid w:val="008C5530"/>
    <w:rsid w:val="008C5850"/>
    <w:rsid w:val="008C5BBC"/>
    <w:rsid w:val="008C60F9"/>
    <w:rsid w:val="008C6311"/>
    <w:rsid w:val="008C67FB"/>
    <w:rsid w:val="008C79CB"/>
    <w:rsid w:val="008D0107"/>
    <w:rsid w:val="008D0C41"/>
    <w:rsid w:val="008D17F9"/>
    <w:rsid w:val="008D3483"/>
    <w:rsid w:val="008D3AB4"/>
    <w:rsid w:val="008D4501"/>
    <w:rsid w:val="008D47A7"/>
    <w:rsid w:val="008D529A"/>
    <w:rsid w:val="008D64BF"/>
    <w:rsid w:val="008D73C0"/>
    <w:rsid w:val="008E0657"/>
    <w:rsid w:val="008E08DC"/>
    <w:rsid w:val="008E0B18"/>
    <w:rsid w:val="008E0C2B"/>
    <w:rsid w:val="008E17C3"/>
    <w:rsid w:val="008E1AFA"/>
    <w:rsid w:val="008E37E1"/>
    <w:rsid w:val="008E46EE"/>
    <w:rsid w:val="008E4ACE"/>
    <w:rsid w:val="008E6742"/>
    <w:rsid w:val="008E73C7"/>
    <w:rsid w:val="008E79B1"/>
    <w:rsid w:val="008F04C0"/>
    <w:rsid w:val="008F06B7"/>
    <w:rsid w:val="008F0B1A"/>
    <w:rsid w:val="008F0CC5"/>
    <w:rsid w:val="008F131E"/>
    <w:rsid w:val="008F1435"/>
    <w:rsid w:val="008F2337"/>
    <w:rsid w:val="008F2741"/>
    <w:rsid w:val="008F2C6F"/>
    <w:rsid w:val="008F2D50"/>
    <w:rsid w:val="008F30CD"/>
    <w:rsid w:val="008F325A"/>
    <w:rsid w:val="008F3A32"/>
    <w:rsid w:val="008F59F5"/>
    <w:rsid w:val="008F5BCA"/>
    <w:rsid w:val="008F6466"/>
    <w:rsid w:val="008F6984"/>
    <w:rsid w:val="008F69D0"/>
    <w:rsid w:val="0090019B"/>
    <w:rsid w:val="009015E9"/>
    <w:rsid w:val="00901F63"/>
    <w:rsid w:val="00902586"/>
    <w:rsid w:val="0090282C"/>
    <w:rsid w:val="00902EA4"/>
    <w:rsid w:val="00903C0D"/>
    <w:rsid w:val="00903F69"/>
    <w:rsid w:val="009045DB"/>
    <w:rsid w:val="00904CA2"/>
    <w:rsid w:val="00905F04"/>
    <w:rsid w:val="00905F12"/>
    <w:rsid w:val="0090630B"/>
    <w:rsid w:val="00906933"/>
    <w:rsid w:val="00906ACD"/>
    <w:rsid w:val="00906F8B"/>
    <w:rsid w:val="00910925"/>
    <w:rsid w:val="00911199"/>
    <w:rsid w:val="00912D01"/>
    <w:rsid w:val="00913949"/>
    <w:rsid w:val="00913C80"/>
    <w:rsid w:val="009143F7"/>
    <w:rsid w:val="00914610"/>
    <w:rsid w:val="00914A12"/>
    <w:rsid w:val="009162B1"/>
    <w:rsid w:val="0091717F"/>
    <w:rsid w:val="00923368"/>
    <w:rsid w:val="00923ACC"/>
    <w:rsid w:val="00924E9F"/>
    <w:rsid w:val="009267CC"/>
    <w:rsid w:val="00926D0F"/>
    <w:rsid w:val="00927E7D"/>
    <w:rsid w:val="009301F1"/>
    <w:rsid w:val="009310B5"/>
    <w:rsid w:val="0093394C"/>
    <w:rsid w:val="00933B77"/>
    <w:rsid w:val="00933E6B"/>
    <w:rsid w:val="0093443B"/>
    <w:rsid w:val="00934BFD"/>
    <w:rsid w:val="00935A58"/>
    <w:rsid w:val="00936362"/>
    <w:rsid w:val="00937759"/>
    <w:rsid w:val="00940DCE"/>
    <w:rsid w:val="009410D0"/>
    <w:rsid w:val="009411F0"/>
    <w:rsid w:val="00941B43"/>
    <w:rsid w:val="00941BD2"/>
    <w:rsid w:val="00941E09"/>
    <w:rsid w:val="009420E3"/>
    <w:rsid w:val="00942878"/>
    <w:rsid w:val="009431CE"/>
    <w:rsid w:val="0094340C"/>
    <w:rsid w:val="00943C1A"/>
    <w:rsid w:val="00944560"/>
    <w:rsid w:val="00945A93"/>
    <w:rsid w:val="0094608D"/>
    <w:rsid w:val="00946465"/>
    <w:rsid w:val="00946B32"/>
    <w:rsid w:val="0094712C"/>
    <w:rsid w:val="00947FA5"/>
    <w:rsid w:val="00950339"/>
    <w:rsid w:val="00951D08"/>
    <w:rsid w:val="009536B4"/>
    <w:rsid w:val="009537BC"/>
    <w:rsid w:val="00953D40"/>
    <w:rsid w:val="00953DAD"/>
    <w:rsid w:val="00954C2B"/>
    <w:rsid w:val="009551E2"/>
    <w:rsid w:val="00955275"/>
    <w:rsid w:val="00956B66"/>
    <w:rsid w:val="00960E99"/>
    <w:rsid w:val="00961B14"/>
    <w:rsid w:val="00961D9F"/>
    <w:rsid w:val="00961DB7"/>
    <w:rsid w:val="00961F3B"/>
    <w:rsid w:val="00963800"/>
    <w:rsid w:val="0096497E"/>
    <w:rsid w:val="00964A45"/>
    <w:rsid w:val="009651C0"/>
    <w:rsid w:val="0096577F"/>
    <w:rsid w:val="0096653C"/>
    <w:rsid w:val="00966CD4"/>
    <w:rsid w:val="00966DE4"/>
    <w:rsid w:val="0096703D"/>
    <w:rsid w:val="00967E81"/>
    <w:rsid w:val="009704ED"/>
    <w:rsid w:val="009709EB"/>
    <w:rsid w:val="009725D6"/>
    <w:rsid w:val="009729C9"/>
    <w:rsid w:val="00972B28"/>
    <w:rsid w:val="00972C0E"/>
    <w:rsid w:val="00973170"/>
    <w:rsid w:val="0097318A"/>
    <w:rsid w:val="0097376D"/>
    <w:rsid w:val="00973B70"/>
    <w:rsid w:val="00973BE7"/>
    <w:rsid w:val="009750A5"/>
    <w:rsid w:val="0097656F"/>
    <w:rsid w:val="00977B42"/>
    <w:rsid w:val="00977B91"/>
    <w:rsid w:val="009802DC"/>
    <w:rsid w:val="00980F26"/>
    <w:rsid w:val="00981074"/>
    <w:rsid w:val="009816DD"/>
    <w:rsid w:val="00982225"/>
    <w:rsid w:val="009831F2"/>
    <w:rsid w:val="00983589"/>
    <w:rsid w:val="009838A3"/>
    <w:rsid w:val="00985693"/>
    <w:rsid w:val="0098668C"/>
    <w:rsid w:val="00991057"/>
    <w:rsid w:val="0099145B"/>
    <w:rsid w:val="00991D0A"/>
    <w:rsid w:val="00991E64"/>
    <w:rsid w:val="00992D50"/>
    <w:rsid w:val="00993565"/>
    <w:rsid w:val="009936EF"/>
    <w:rsid w:val="00993CBE"/>
    <w:rsid w:val="00994487"/>
    <w:rsid w:val="00995122"/>
    <w:rsid w:val="009951B3"/>
    <w:rsid w:val="0099588E"/>
    <w:rsid w:val="0099636A"/>
    <w:rsid w:val="0099754C"/>
    <w:rsid w:val="009A034A"/>
    <w:rsid w:val="009A1960"/>
    <w:rsid w:val="009A1F4A"/>
    <w:rsid w:val="009A3124"/>
    <w:rsid w:val="009A3485"/>
    <w:rsid w:val="009A399D"/>
    <w:rsid w:val="009A406B"/>
    <w:rsid w:val="009A5752"/>
    <w:rsid w:val="009A5EFD"/>
    <w:rsid w:val="009A6280"/>
    <w:rsid w:val="009A6F86"/>
    <w:rsid w:val="009A72E9"/>
    <w:rsid w:val="009B1DCA"/>
    <w:rsid w:val="009B43B2"/>
    <w:rsid w:val="009B471E"/>
    <w:rsid w:val="009B473F"/>
    <w:rsid w:val="009B5200"/>
    <w:rsid w:val="009B5317"/>
    <w:rsid w:val="009B6831"/>
    <w:rsid w:val="009B6DCD"/>
    <w:rsid w:val="009B738E"/>
    <w:rsid w:val="009B795F"/>
    <w:rsid w:val="009C1E48"/>
    <w:rsid w:val="009C44C9"/>
    <w:rsid w:val="009C6563"/>
    <w:rsid w:val="009D1359"/>
    <w:rsid w:val="009D1D57"/>
    <w:rsid w:val="009D1EDC"/>
    <w:rsid w:val="009D2F6E"/>
    <w:rsid w:val="009D33B3"/>
    <w:rsid w:val="009D648B"/>
    <w:rsid w:val="009D6CF1"/>
    <w:rsid w:val="009D72B8"/>
    <w:rsid w:val="009D73A0"/>
    <w:rsid w:val="009D776A"/>
    <w:rsid w:val="009D7888"/>
    <w:rsid w:val="009D7E70"/>
    <w:rsid w:val="009D7FB0"/>
    <w:rsid w:val="009E11B2"/>
    <w:rsid w:val="009E12A2"/>
    <w:rsid w:val="009E12AE"/>
    <w:rsid w:val="009E1C8F"/>
    <w:rsid w:val="009E2B00"/>
    <w:rsid w:val="009E2CC2"/>
    <w:rsid w:val="009E2FC8"/>
    <w:rsid w:val="009E3C08"/>
    <w:rsid w:val="009E466D"/>
    <w:rsid w:val="009E4706"/>
    <w:rsid w:val="009E4F0C"/>
    <w:rsid w:val="009E508D"/>
    <w:rsid w:val="009E58F0"/>
    <w:rsid w:val="009E651A"/>
    <w:rsid w:val="009E6F98"/>
    <w:rsid w:val="009E7911"/>
    <w:rsid w:val="009F2CE3"/>
    <w:rsid w:val="009F31BA"/>
    <w:rsid w:val="009F33F9"/>
    <w:rsid w:val="009F35FD"/>
    <w:rsid w:val="009F44D0"/>
    <w:rsid w:val="009F540C"/>
    <w:rsid w:val="009F63E8"/>
    <w:rsid w:val="009F69D8"/>
    <w:rsid w:val="009F77A0"/>
    <w:rsid w:val="009F7890"/>
    <w:rsid w:val="009F7C21"/>
    <w:rsid w:val="00A00E99"/>
    <w:rsid w:val="00A01B51"/>
    <w:rsid w:val="00A01CAA"/>
    <w:rsid w:val="00A02F1C"/>
    <w:rsid w:val="00A04597"/>
    <w:rsid w:val="00A0499C"/>
    <w:rsid w:val="00A05562"/>
    <w:rsid w:val="00A05956"/>
    <w:rsid w:val="00A05964"/>
    <w:rsid w:val="00A074E0"/>
    <w:rsid w:val="00A07BD6"/>
    <w:rsid w:val="00A07DC6"/>
    <w:rsid w:val="00A10852"/>
    <w:rsid w:val="00A10B4E"/>
    <w:rsid w:val="00A10D81"/>
    <w:rsid w:val="00A11D89"/>
    <w:rsid w:val="00A12685"/>
    <w:rsid w:val="00A13B80"/>
    <w:rsid w:val="00A1504B"/>
    <w:rsid w:val="00A15670"/>
    <w:rsid w:val="00A1657F"/>
    <w:rsid w:val="00A1663C"/>
    <w:rsid w:val="00A16E10"/>
    <w:rsid w:val="00A16F02"/>
    <w:rsid w:val="00A17917"/>
    <w:rsid w:val="00A20B9C"/>
    <w:rsid w:val="00A2131B"/>
    <w:rsid w:val="00A2146E"/>
    <w:rsid w:val="00A21519"/>
    <w:rsid w:val="00A21E78"/>
    <w:rsid w:val="00A2260C"/>
    <w:rsid w:val="00A228D8"/>
    <w:rsid w:val="00A23A0F"/>
    <w:rsid w:val="00A23A31"/>
    <w:rsid w:val="00A24633"/>
    <w:rsid w:val="00A25AD3"/>
    <w:rsid w:val="00A25B1E"/>
    <w:rsid w:val="00A25B3B"/>
    <w:rsid w:val="00A269BD"/>
    <w:rsid w:val="00A26A93"/>
    <w:rsid w:val="00A2751E"/>
    <w:rsid w:val="00A301FD"/>
    <w:rsid w:val="00A312AE"/>
    <w:rsid w:val="00A33101"/>
    <w:rsid w:val="00A34527"/>
    <w:rsid w:val="00A34AC8"/>
    <w:rsid w:val="00A35F63"/>
    <w:rsid w:val="00A36CF0"/>
    <w:rsid w:val="00A37B4B"/>
    <w:rsid w:val="00A37D92"/>
    <w:rsid w:val="00A41512"/>
    <w:rsid w:val="00A415A0"/>
    <w:rsid w:val="00A41927"/>
    <w:rsid w:val="00A422AF"/>
    <w:rsid w:val="00A42DB9"/>
    <w:rsid w:val="00A42FAA"/>
    <w:rsid w:val="00A43599"/>
    <w:rsid w:val="00A436E7"/>
    <w:rsid w:val="00A45481"/>
    <w:rsid w:val="00A456F4"/>
    <w:rsid w:val="00A45AB7"/>
    <w:rsid w:val="00A45B64"/>
    <w:rsid w:val="00A465BF"/>
    <w:rsid w:val="00A467A2"/>
    <w:rsid w:val="00A4799E"/>
    <w:rsid w:val="00A505B3"/>
    <w:rsid w:val="00A508B8"/>
    <w:rsid w:val="00A5091E"/>
    <w:rsid w:val="00A51476"/>
    <w:rsid w:val="00A51770"/>
    <w:rsid w:val="00A51C19"/>
    <w:rsid w:val="00A52949"/>
    <w:rsid w:val="00A529EC"/>
    <w:rsid w:val="00A54352"/>
    <w:rsid w:val="00A568A5"/>
    <w:rsid w:val="00A5694F"/>
    <w:rsid w:val="00A56A21"/>
    <w:rsid w:val="00A57E0E"/>
    <w:rsid w:val="00A605A6"/>
    <w:rsid w:val="00A60B10"/>
    <w:rsid w:val="00A60ED5"/>
    <w:rsid w:val="00A61018"/>
    <w:rsid w:val="00A61E1B"/>
    <w:rsid w:val="00A638C7"/>
    <w:rsid w:val="00A63F2F"/>
    <w:rsid w:val="00A64FC0"/>
    <w:rsid w:val="00A6700E"/>
    <w:rsid w:val="00A6739F"/>
    <w:rsid w:val="00A675A2"/>
    <w:rsid w:val="00A7066A"/>
    <w:rsid w:val="00A70E8F"/>
    <w:rsid w:val="00A71317"/>
    <w:rsid w:val="00A716BD"/>
    <w:rsid w:val="00A716E6"/>
    <w:rsid w:val="00A71B1D"/>
    <w:rsid w:val="00A71FBE"/>
    <w:rsid w:val="00A728CE"/>
    <w:rsid w:val="00A73328"/>
    <w:rsid w:val="00A7337B"/>
    <w:rsid w:val="00A74164"/>
    <w:rsid w:val="00A74606"/>
    <w:rsid w:val="00A74914"/>
    <w:rsid w:val="00A75223"/>
    <w:rsid w:val="00A764AD"/>
    <w:rsid w:val="00A766FE"/>
    <w:rsid w:val="00A77818"/>
    <w:rsid w:val="00A7786B"/>
    <w:rsid w:val="00A80710"/>
    <w:rsid w:val="00A80790"/>
    <w:rsid w:val="00A81AF4"/>
    <w:rsid w:val="00A81E2B"/>
    <w:rsid w:val="00A82051"/>
    <w:rsid w:val="00A82773"/>
    <w:rsid w:val="00A83E4F"/>
    <w:rsid w:val="00A83EDF"/>
    <w:rsid w:val="00A85051"/>
    <w:rsid w:val="00A8574A"/>
    <w:rsid w:val="00A85AE2"/>
    <w:rsid w:val="00A85B1F"/>
    <w:rsid w:val="00A85D93"/>
    <w:rsid w:val="00A85EFF"/>
    <w:rsid w:val="00A8607E"/>
    <w:rsid w:val="00A86255"/>
    <w:rsid w:val="00A866AE"/>
    <w:rsid w:val="00A86B6A"/>
    <w:rsid w:val="00A872E1"/>
    <w:rsid w:val="00A87F95"/>
    <w:rsid w:val="00A90DF2"/>
    <w:rsid w:val="00A923BB"/>
    <w:rsid w:val="00A92C72"/>
    <w:rsid w:val="00A93140"/>
    <w:rsid w:val="00A9339C"/>
    <w:rsid w:val="00A936B2"/>
    <w:rsid w:val="00A93E7A"/>
    <w:rsid w:val="00A9522F"/>
    <w:rsid w:val="00A952B5"/>
    <w:rsid w:val="00A95EA6"/>
    <w:rsid w:val="00A9660A"/>
    <w:rsid w:val="00AA0151"/>
    <w:rsid w:val="00AA0BB1"/>
    <w:rsid w:val="00AA24D4"/>
    <w:rsid w:val="00AA2992"/>
    <w:rsid w:val="00AA37A8"/>
    <w:rsid w:val="00AA53F5"/>
    <w:rsid w:val="00AA6B1B"/>
    <w:rsid w:val="00AA6C96"/>
    <w:rsid w:val="00AA71F5"/>
    <w:rsid w:val="00AA72A4"/>
    <w:rsid w:val="00AA7D5A"/>
    <w:rsid w:val="00AB102E"/>
    <w:rsid w:val="00AB23E4"/>
    <w:rsid w:val="00AB260F"/>
    <w:rsid w:val="00AB3710"/>
    <w:rsid w:val="00AB3EC5"/>
    <w:rsid w:val="00AB4A5B"/>
    <w:rsid w:val="00AB5921"/>
    <w:rsid w:val="00AB5960"/>
    <w:rsid w:val="00AB7D8B"/>
    <w:rsid w:val="00AC0521"/>
    <w:rsid w:val="00AC0559"/>
    <w:rsid w:val="00AC085F"/>
    <w:rsid w:val="00AC242C"/>
    <w:rsid w:val="00AC333A"/>
    <w:rsid w:val="00AC69D2"/>
    <w:rsid w:val="00AD0163"/>
    <w:rsid w:val="00AD048A"/>
    <w:rsid w:val="00AD0B60"/>
    <w:rsid w:val="00AD0F84"/>
    <w:rsid w:val="00AD1FDB"/>
    <w:rsid w:val="00AD2F6A"/>
    <w:rsid w:val="00AD3B4C"/>
    <w:rsid w:val="00AD6E79"/>
    <w:rsid w:val="00AE0544"/>
    <w:rsid w:val="00AE10B1"/>
    <w:rsid w:val="00AE1920"/>
    <w:rsid w:val="00AE19E2"/>
    <w:rsid w:val="00AE1F25"/>
    <w:rsid w:val="00AE28DF"/>
    <w:rsid w:val="00AE2F86"/>
    <w:rsid w:val="00AE307B"/>
    <w:rsid w:val="00AE3938"/>
    <w:rsid w:val="00AE3C5C"/>
    <w:rsid w:val="00AE470F"/>
    <w:rsid w:val="00AE4926"/>
    <w:rsid w:val="00AE4E3C"/>
    <w:rsid w:val="00AE586C"/>
    <w:rsid w:val="00AE6361"/>
    <w:rsid w:val="00AE6939"/>
    <w:rsid w:val="00AE6CEF"/>
    <w:rsid w:val="00AE6D41"/>
    <w:rsid w:val="00AE71A0"/>
    <w:rsid w:val="00AE73F2"/>
    <w:rsid w:val="00AF0FFD"/>
    <w:rsid w:val="00AF14AB"/>
    <w:rsid w:val="00AF42B8"/>
    <w:rsid w:val="00AF4596"/>
    <w:rsid w:val="00AF4722"/>
    <w:rsid w:val="00AF6F59"/>
    <w:rsid w:val="00AF7521"/>
    <w:rsid w:val="00AF76BA"/>
    <w:rsid w:val="00AF7F1E"/>
    <w:rsid w:val="00B0063C"/>
    <w:rsid w:val="00B011E7"/>
    <w:rsid w:val="00B01C2C"/>
    <w:rsid w:val="00B02A8E"/>
    <w:rsid w:val="00B0301E"/>
    <w:rsid w:val="00B058BD"/>
    <w:rsid w:val="00B05ED0"/>
    <w:rsid w:val="00B064C8"/>
    <w:rsid w:val="00B06C3F"/>
    <w:rsid w:val="00B079DE"/>
    <w:rsid w:val="00B11ADD"/>
    <w:rsid w:val="00B12A22"/>
    <w:rsid w:val="00B13602"/>
    <w:rsid w:val="00B14063"/>
    <w:rsid w:val="00B156D2"/>
    <w:rsid w:val="00B201E3"/>
    <w:rsid w:val="00B20C5F"/>
    <w:rsid w:val="00B2175E"/>
    <w:rsid w:val="00B22008"/>
    <w:rsid w:val="00B221F9"/>
    <w:rsid w:val="00B222F8"/>
    <w:rsid w:val="00B239D1"/>
    <w:rsid w:val="00B24621"/>
    <w:rsid w:val="00B25418"/>
    <w:rsid w:val="00B26951"/>
    <w:rsid w:val="00B26B8F"/>
    <w:rsid w:val="00B26E15"/>
    <w:rsid w:val="00B27332"/>
    <w:rsid w:val="00B31312"/>
    <w:rsid w:val="00B31EF6"/>
    <w:rsid w:val="00B320FD"/>
    <w:rsid w:val="00B331BE"/>
    <w:rsid w:val="00B33451"/>
    <w:rsid w:val="00B33BA8"/>
    <w:rsid w:val="00B33F09"/>
    <w:rsid w:val="00B34686"/>
    <w:rsid w:val="00B34946"/>
    <w:rsid w:val="00B35219"/>
    <w:rsid w:val="00B35304"/>
    <w:rsid w:val="00B35316"/>
    <w:rsid w:val="00B353D4"/>
    <w:rsid w:val="00B35CAC"/>
    <w:rsid w:val="00B35DD2"/>
    <w:rsid w:val="00B36266"/>
    <w:rsid w:val="00B37422"/>
    <w:rsid w:val="00B37D94"/>
    <w:rsid w:val="00B40F1F"/>
    <w:rsid w:val="00B42DC0"/>
    <w:rsid w:val="00B43EF9"/>
    <w:rsid w:val="00B4449B"/>
    <w:rsid w:val="00B44774"/>
    <w:rsid w:val="00B45513"/>
    <w:rsid w:val="00B45E85"/>
    <w:rsid w:val="00B4604D"/>
    <w:rsid w:val="00B4735B"/>
    <w:rsid w:val="00B47556"/>
    <w:rsid w:val="00B50D9C"/>
    <w:rsid w:val="00B524F6"/>
    <w:rsid w:val="00B52713"/>
    <w:rsid w:val="00B53779"/>
    <w:rsid w:val="00B5392F"/>
    <w:rsid w:val="00B56131"/>
    <w:rsid w:val="00B563AA"/>
    <w:rsid w:val="00B569F3"/>
    <w:rsid w:val="00B56F09"/>
    <w:rsid w:val="00B57305"/>
    <w:rsid w:val="00B5745E"/>
    <w:rsid w:val="00B57A27"/>
    <w:rsid w:val="00B608F8"/>
    <w:rsid w:val="00B60F18"/>
    <w:rsid w:val="00B618FD"/>
    <w:rsid w:val="00B619EC"/>
    <w:rsid w:val="00B628E8"/>
    <w:rsid w:val="00B62B29"/>
    <w:rsid w:val="00B635C2"/>
    <w:rsid w:val="00B63771"/>
    <w:rsid w:val="00B64690"/>
    <w:rsid w:val="00B64BA9"/>
    <w:rsid w:val="00B650FF"/>
    <w:rsid w:val="00B659F2"/>
    <w:rsid w:val="00B66BF3"/>
    <w:rsid w:val="00B670DF"/>
    <w:rsid w:val="00B7024F"/>
    <w:rsid w:val="00B7213B"/>
    <w:rsid w:val="00B73FE4"/>
    <w:rsid w:val="00B7421C"/>
    <w:rsid w:val="00B74AE6"/>
    <w:rsid w:val="00B75463"/>
    <w:rsid w:val="00B75BD1"/>
    <w:rsid w:val="00B764C7"/>
    <w:rsid w:val="00B76AF0"/>
    <w:rsid w:val="00B76D70"/>
    <w:rsid w:val="00B77568"/>
    <w:rsid w:val="00B77936"/>
    <w:rsid w:val="00B8082E"/>
    <w:rsid w:val="00B80B6B"/>
    <w:rsid w:val="00B8147F"/>
    <w:rsid w:val="00B81FAA"/>
    <w:rsid w:val="00B8236A"/>
    <w:rsid w:val="00B8277D"/>
    <w:rsid w:val="00B835DE"/>
    <w:rsid w:val="00B83645"/>
    <w:rsid w:val="00B83D63"/>
    <w:rsid w:val="00B84063"/>
    <w:rsid w:val="00B84A7B"/>
    <w:rsid w:val="00B86186"/>
    <w:rsid w:val="00B87290"/>
    <w:rsid w:val="00B91717"/>
    <w:rsid w:val="00B932EE"/>
    <w:rsid w:val="00B93618"/>
    <w:rsid w:val="00B938FB"/>
    <w:rsid w:val="00B93A35"/>
    <w:rsid w:val="00B93D64"/>
    <w:rsid w:val="00B964CE"/>
    <w:rsid w:val="00B97450"/>
    <w:rsid w:val="00B97503"/>
    <w:rsid w:val="00B976E8"/>
    <w:rsid w:val="00B97865"/>
    <w:rsid w:val="00BA06F4"/>
    <w:rsid w:val="00BA12D4"/>
    <w:rsid w:val="00BA15F6"/>
    <w:rsid w:val="00BA1FE5"/>
    <w:rsid w:val="00BA2AFB"/>
    <w:rsid w:val="00BA4F7F"/>
    <w:rsid w:val="00BA5FFF"/>
    <w:rsid w:val="00BA658F"/>
    <w:rsid w:val="00BA6636"/>
    <w:rsid w:val="00BA6799"/>
    <w:rsid w:val="00BA6B5E"/>
    <w:rsid w:val="00BA6FAA"/>
    <w:rsid w:val="00BA798B"/>
    <w:rsid w:val="00BA7CF6"/>
    <w:rsid w:val="00BB0981"/>
    <w:rsid w:val="00BB165A"/>
    <w:rsid w:val="00BB1C9F"/>
    <w:rsid w:val="00BB2F89"/>
    <w:rsid w:val="00BB3236"/>
    <w:rsid w:val="00BB34FB"/>
    <w:rsid w:val="00BB3824"/>
    <w:rsid w:val="00BB3FCD"/>
    <w:rsid w:val="00BB4081"/>
    <w:rsid w:val="00BB41D4"/>
    <w:rsid w:val="00BB47EE"/>
    <w:rsid w:val="00BB56A4"/>
    <w:rsid w:val="00BB6540"/>
    <w:rsid w:val="00BB6A97"/>
    <w:rsid w:val="00BB7536"/>
    <w:rsid w:val="00BC1E4A"/>
    <w:rsid w:val="00BC2176"/>
    <w:rsid w:val="00BC52C8"/>
    <w:rsid w:val="00BC5410"/>
    <w:rsid w:val="00BC671F"/>
    <w:rsid w:val="00BD019C"/>
    <w:rsid w:val="00BD044A"/>
    <w:rsid w:val="00BD0AE3"/>
    <w:rsid w:val="00BD0C02"/>
    <w:rsid w:val="00BD2818"/>
    <w:rsid w:val="00BD3177"/>
    <w:rsid w:val="00BD452D"/>
    <w:rsid w:val="00BD4948"/>
    <w:rsid w:val="00BD4C23"/>
    <w:rsid w:val="00BD4E3C"/>
    <w:rsid w:val="00BD5A91"/>
    <w:rsid w:val="00BD6691"/>
    <w:rsid w:val="00BD7047"/>
    <w:rsid w:val="00BD7356"/>
    <w:rsid w:val="00BE0104"/>
    <w:rsid w:val="00BE09A3"/>
    <w:rsid w:val="00BE13BF"/>
    <w:rsid w:val="00BE18CE"/>
    <w:rsid w:val="00BE1FF5"/>
    <w:rsid w:val="00BE28B8"/>
    <w:rsid w:val="00BE2C0C"/>
    <w:rsid w:val="00BE3EC7"/>
    <w:rsid w:val="00BE400B"/>
    <w:rsid w:val="00BE447C"/>
    <w:rsid w:val="00BE4633"/>
    <w:rsid w:val="00BE5513"/>
    <w:rsid w:val="00BE558A"/>
    <w:rsid w:val="00BE5633"/>
    <w:rsid w:val="00BE58BA"/>
    <w:rsid w:val="00BE5FF7"/>
    <w:rsid w:val="00BE684F"/>
    <w:rsid w:val="00BE7C2D"/>
    <w:rsid w:val="00BF0D8D"/>
    <w:rsid w:val="00BF156C"/>
    <w:rsid w:val="00BF18BF"/>
    <w:rsid w:val="00BF1C04"/>
    <w:rsid w:val="00BF2794"/>
    <w:rsid w:val="00BF2E27"/>
    <w:rsid w:val="00BF341A"/>
    <w:rsid w:val="00BF35A0"/>
    <w:rsid w:val="00BF3E19"/>
    <w:rsid w:val="00BF41B6"/>
    <w:rsid w:val="00BF6AF2"/>
    <w:rsid w:val="00BF6FC1"/>
    <w:rsid w:val="00BF70CC"/>
    <w:rsid w:val="00BF7653"/>
    <w:rsid w:val="00C00B14"/>
    <w:rsid w:val="00C00FCE"/>
    <w:rsid w:val="00C01A05"/>
    <w:rsid w:val="00C01C51"/>
    <w:rsid w:val="00C01D9F"/>
    <w:rsid w:val="00C0201A"/>
    <w:rsid w:val="00C03CB1"/>
    <w:rsid w:val="00C04000"/>
    <w:rsid w:val="00C040D3"/>
    <w:rsid w:val="00C04CDF"/>
    <w:rsid w:val="00C04D8D"/>
    <w:rsid w:val="00C061D1"/>
    <w:rsid w:val="00C068B2"/>
    <w:rsid w:val="00C06D77"/>
    <w:rsid w:val="00C06F30"/>
    <w:rsid w:val="00C0701F"/>
    <w:rsid w:val="00C102DE"/>
    <w:rsid w:val="00C113BE"/>
    <w:rsid w:val="00C12337"/>
    <w:rsid w:val="00C12F07"/>
    <w:rsid w:val="00C13718"/>
    <w:rsid w:val="00C13C7F"/>
    <w:rsid w:val="00C146FB"/>
    <w:rsid w:val="00C1491D"/>
    <w:rsid w:val="00C15F4A"/>
    <w:rsid w:val="00C1647D"/>
    <w:rsid w:val="00C173F9"/>
    <w:rsid w:val="00C2160E"/>
    <w:rsid w:val="00C21E61"/>
    <w:rsid w:val="00C224F3"/>
    <w:rsid w:val="00C24D6D"/>
    <w:rsid w:val="00C259FC"/>
    <w:rsid w:val="00C25B8E"/>
    <w:rsid w:val="00C26A90"/>
    <w:rsid w:val="00C27E96"/>
    <w:rsid w:val="00C30477"/>
    <w:rsid w:val="00C32FCB"/>
    <w:rsid w:val="00C332E0"/>
    <w:rsid w:val="00C35A64"/>
    <w:rsid w:val="00C35CA2"/>
    <w:rsid w:val="00C36F5B"/>
    <w:rsid w:val="00C37151"/>
    <w:rsid w:val="00C41E0D"/>
    <w:rsid w:val="00C42881"/>
    <w:rsid w:val="00C429C9"/>
    <w:rsid w:val="00C42D58"/>
    <w:rsid w:val="00C42D79"/>
    <w:rsid w:val="00C43D2A"/>
    <w:rsid w:val="00C45F88"/>
    <w:rsid w:val="00C4621F"/>
    <w:rsid w:val="00C467B1"/>
    <w:rsid w:val="00C46860"/>
    <w:rsid w:val="00C47317"/>
    <w:rsid w:val="00C4753B"/>
    <w:rsid w:val="00C47B75"/>
    <w:rsid w:val="00C503F6"/>
    <w:rsid w:val="00C5151B"/>
    <w:rsid w:val="00C51AC7"/>
    <w:rsid w:val="00C5242C"/>
    <w:rsid w:val="00C53787"/>
    <w:rsid w:val="00C538B7"/>
    <w:rsid w:val="00C53C56"/>
    <w:rsid w:val="00C53D94"/>
    <w:rsid w:val="00C53FDD"/>
    <w:rsid w:val="00C547ED"/>
    <w:rsid w:val="00C54949"/>
    <w:rsid w:val="00C54C91"/>
    <w:rsid w:val="00C56558"/>
    <w:rsid w:val="00C56BED"/>
    <w:rsid w:val="00C60CE4"/>
    <w:rsid w:val="00C616E4"/>
    <w:rsid w:val="00C61B9D"/>
    <w:rsid w:val="00C6234E"/>
    <w:rsid w:val="00C62F4A"/>
    <w:rsid w:val="00C63556"/>
    <w:rsid w:val="00C6405B"/>
    <w:rsid w:val="00C6408F"/>
    <w:rsid w:val="00C6443A"/>
    <w:rsid w:val="00C64CC7"/>
    <w:rsid w:val="00C66A6B"/>
    <w:rsid w:val="00C67623"/>
    <w:rsid w:val="00C67B63"/>
    <w:rsid w:val="00C703F7"/>
    <w:rsid w:val="00C71BAB"/>
    <w:rsid w:val="00C72111"/>
    <w:rsid w:val="00C72A7B"/>
    <w:rsid w:val="00C72C6B"/>
    <w:rsid w:val="00C744AC"/>
    <w:rsid w:val="00C74ACC"/>
    <w:rsid w:val="00C7571B"/>
    <w:rsid w:val="00C77198"/>
    <w:rsid w:val="00C773A7"/>
    <w:rsid w:val="00C777E5"/>
    <w:rsid w:val="00C77A28"/>
    <w:rsid w:val="00C77D6B"/>
    <w:rsid w:val="00C80AB0"/>
    <w:rsid w:val="00C81DA9"/>
    <w:rsid w:val="00C82655"/>
    <w:rsid w:val="00C82672"/>
    <w:rsid w:val="00C8348D"/>
    <w:rsid w:val="00C835BA"/>
    <w:rsid w:val="00C83BBA"/>
    <w:rsid w:val="00C8580B"/>
    <w:rsid w:val="00C86624"/>
    <w:rsid w:val="00C86838"/>
    <w:rsid w:val="00C86C24"/>
    <w:rsid w:val="00C91BCE"/>
    <w:rsid w:val="00C91C49"/>
    <w:rsid w:val="00C9259E"/>
    <w:rsid w:val="00C92D5A"/>
    <w:rsid w:val="00C94825"/>
    <w:rsid w:val="00C949B3"/>
    <w:rsid w:val="00C9504B"/>
    <w:rsid w:val="00C97304"/>
    <w:rsid w:val="00CA04CB"/>
    <w:rsid w:val="00CA0D01"/>
    <w:rsid w:val="00CA0DFB"/>
    <w:rsid w:val="00CA10E8"/>
    <w:rsid w:val="00CA14FD"/>
    <w:rsid w:val="00CA3E26"/>
    <w:rsid w:val="00CA505D"/>
    <w:rsid w:val="00CA6209"/>
    <w:rsid w:val="00CA6D20"/>
    <w:rsid w:val="00CA7A86"/>
    <w:rsid w:val="00CA7ECC"/>
    <w:rsid w:val="00CB04A6"/>
    <w:rsid w:val="00CB04C9"/>
    <w:rsid w:val="00CB184B"/>
    <w:rsid w:val="00CB2324"/>
    <w:rsid w:val="00CB2915"/>
    <w:rsid w:val="00CB479B"/>
    <w:rsid w:val="00CB4953"/>
    <w:rsid w:val="00CB5ADF"/>
    <w:rsid w:val="00CB5BE1"/>
    <w:rsid w:val="00CB78FA"/>
    <w:rsid w:val="00CC082A"/>
    <w:rsid w:val="00CC1536"/>
    <w:rsid w:val="00CC1C35"/>
    <w:rsid w:val="00CC1FD8"/>
    <w:rsid w:val="00CC268D"/>
    <w:rsid w:val="00CC2CB8"/>
    <w:rsid w:val="00CC3BE2"/>
    <w:rsid w:val="00CC5367"/>
    <w:rsid w:val="00CC669B"/>
    <w:rsid w:val="00CC6743"/>
    <w:rsid w:val="00CC7A62"/>
    <w:rsid w:val="00CD01C5"/>
    <w:rsid w:val="00CD0461"/>
    <w:rsid w:val="00CD1535"/>
    <w:rsid w:val="00CD15EE"/>
    <w:rsid w:val="00CD1633"/>
    <w:rsid w:val="00CD2070"/>
    <w:rsid w:val="00CD246B"/>
    <w:rsid w:val="00CD279E"/>
    <w:rsid w:val="00CD2A95"/>
    <w:rsid w:val="00CD435F"/>
    <w:rsid w:val="00CD47B5"/>
    <w:rsid w:val="00CD586A"/>
    <w:rsid w:val="00CD5B9B"/>
    <w:rsid w:val="00CD681D"/>
    <w:rsid w:val="00CD7527"/>
    <w:rsid w:val="00CD7E3D"/>
    <w:rsid w:val="00CE0BC2"/>
    <w:rsid w:val="00CE2961"/>
    <w:rsid w:val="00CE3937"/>
    <w:rsid w:val="00CE4B00"/>
    <w:rsid w:val="00CE74C9"/>
    <w:rsid w:val="00CF03BF"/>
    <w:rsid w:val="00CF085B"/>
    <w:rsid w:val="00CF0BE9"/>
    <w:rsid w:val="00CF16B5"/>
    <w:rsid w:val="00CF1929"/>
    <w:rsid w:val="00CF1F38"/>
    <w:rsid w:val="00CF3AAF"/>
    <w:rsid w:val="00CF44CE"/>
    <w:rsid w:val="00CF48DF"/>
    <w:rsid w:val="00CF4F12"/>
    <w:rsid w:val="00CF5AF2"/>
    <w:rsid w:val="00CF5D45"/>
    <w:rsid w:val="00CF6E4B"/>
    <w:rsid w:val="00CF754E"/>
    <w:rsid w:val="00D006C2"/>
    <w:rsid w:val="00D00F27"/>
    <w:rsid w:val="00D012BF"/>
    <w:rsid w:val="00D0165F"/>
    <w:rsid w:val="00D0463C"/>
    <w:rsid w:val="00D04AF3"/>
    <w:rsid w:val="00D051CF"/>
    <w:rsid w:val="00D0599C"/>
    <w:rsid w:val="00D06144"/>
    <w:rsid w:val="00D06FA2"/>
    <w:rsid w:val="00D11368"/>
    <w:rsid w:val="00D1141D"/>
    <w:rsid w:val="00D11F7C"/>
    <w:rsid w:val="00D1234C"/>
    <w:rsid w:val="00D12B2B"/>
    <w:rsid w:val="00D12DD7"/>
    <w:rsid w:val="00D13746"/>
    <w:rsid w:val="00D13B19"/>
    <w:rsid w:val="00D14930"/>
    <w:rsid w:val="00D1538D"/>
    <w:rsid w:val="00D15BC5"/>
    <w:rsid w:val="00D160DA"/>
    <w:rsid w:val="00D170E8"/>
    <w:rsid w:val="00D17AC1"/>
    <w:rsid w:val="00D17C3D"/>
    <w:rsid w:val="00D20681"/>
    <w:rsid w:val="00D2138F"/>
    <w:rsid w:val="00D213AA"/>
    <w:rsid w:val="00D22B59"/>
    <w:rsid w:val="00D23789"/>
    <w:rsid w:val="00D23C5C"/>
    <w:rsid w:val="00D2409E"/>
    <w:rsid w:val="00D2474A"/>
    <w:rsid w:val="00D24ACF"/>
    <w:rsid w:val="00D26207"/>
    <w:rsid w:val="00D26259"/>
    <w:rsid w:val="00D26E29"/>
    <w:rsid w:val="00D26E4D"/>
    <w:rsid w:val="00D27A84"/>
    <w:rsid w:val="00D3037A"/>
    <w:rsid w:val="00D30A6C"/>
    <w:rsid w:val="00D30FDE"/>
    <w:rsid w:val="00D31630"/>
    <w:rsid w:val="00D32709"/>
    <w:rsid w:val="00D32AD3"/>
    <w:rsid w:val="00D36FA8"/>
    <w:rsid w:val="00D40239"/>
    <w:rsid w:val="00D4133F"/>
    <w:rsid w:val="00D41349"/>
    <w:rsid w:val="00D4178D"/>
    <w:rsid w:val="00D4239E"/>
    <w:rsid w:val="00D42E64"/>
    <w:rsid w:val="00D43D01"/>
    <w:rsid w:val="00D4400C"/>
    <w:rsid w:val="00D44B2A"/>
    <w:rsid w:val="00D44CA0"/>
    <w:rsid w:val="00D4526D"/>
    <w:rsid w:val="00D45410"/>
    <w:rsid w:val="00D46E13"/>
    <w:rsid w:val="00D475B5"/>
    <w:rsid w:val="00D47833"/>
    <w:rsid w:val="00D5046D"/>
    <w:rsid w:val="00D52FB8"/>
    <w:rsid w:val="00D537E7"/>
    <w:rsid w:val="00D5398B"/>
    <w:rsid w:val="00D53C87"/>
    <w:rsid w:val="00D54740"/>
    <w:rsid w:val="00D54DB7"/>
    <w:rsid w:val="00D54E36"/>
    <w:rsid w:val="00D55631"/>
    <w:rsid w:val="00D56542"/>
    <w:rsid w:val="00D566A1"/>
    <w:rsid w:val="00D56B1B"/>
    <w:rsid w:val="00D56BE9"/>
    <w:rsid w:val="00D60B0D"/>
    <w:rsid w:val="00D6169A"/>
    <w:rsid w:val="00D617A9"/>
    <w:rsid w:val="00D62454"/>
    <w:rsid w:val="00D62C4E"/>
    <w:rsid w:val="00D630DA"/>
    <w:rsid w:val="00D6369E"/>
    <w:rsid w:val="00D64929"/>
    <w:rsid w:val="00D64F13"/>
    <w:rsid w:val="00D657AE"/>
    <w:rsid w:val="00D65BC5"/>
    <w:rsid w:val="00D65C68"/>
    <w:rsid w:val="00D65F83"/>
    <w:rsid w:val="00D65F99"/>
    <w:rsid w:val="00D6747E"/>
    <w:rsid w:val="00D6751A"/>
    <w:rsid w:val="00D6797B"/>
    <w:rsid w:val="00D706B0"/>
    <w:rsid w:val="00D74244"/>
    <w:rsid w:val="00D742ED"/>
    <w:rsid w:val="00D7448C"/>
    <w:rsid w:val="00D75753"/>
    <w:rsid w:val="00D75858"/>
    <w:rsid w:val="00D76842"/>
    <w:rsid w:val="00D77041"/>
    <w:rsid w:val="00D77FB6"/>
    <w:rsid w:val="00D80356"/>
    <w:rsid w:val="00D80564"/>
    <w:rsid w:val="00D82AF2"/>
    <w:rsid w:val="00D83490"/>
    <w:rsid w:val="00D83584"/>
    <w:rsid w:val="00D836AD"/>
    <w:rsid w:val="00D83E06"/>
    <w:rsid w:val="00D84DB7"/>
    <w:rsid w:val="00D850D5"/>
    <w:rsid w:val="00D8531C"/>
    <w:rsid w:val="00D85F3D"/>
    <w:rsid w:val="00D9023D"/>
    <w:rsid w:val="00D9067A"/>
    <w:rsid w:val="00D90803"/>
    <w:rsid w:val="00D90D8E"/>
    <w:rsid w:val="00D92CF0"/>
    <w:rsid w:val="00D92DFB"/>
    <w:rsid w:val="00D9363F"/>
    <w:rsid w:val="00D93793"/>
    <w:rsid w:val="00D93BB6"/>
    <w:rsid w:val="00D940EC"/>
    <w:rsid w:val="00D94F88"/>
    <w:rsid w:val="00D97D53"/>
    <w:rsid w:val="00DA0385"/>
    <w:rsid w:val="00DA042F"/>
    <w:rsid w:val="00DA0A86"/>
    <w:rsid w:val="00DA0EAA"/>
    <w:rsid w:val="00DA11F5"/>
    <w:rsid w:val="00DA1B6D"/>
    <w:rsid w:val="00DA2638"/>
    <w:rsid w:val="00DA2B2A"/>
    <w:rsid w:val="00DA3581"/>
    <w:rsid w:val="00DA4B5B"/>
    <w:rsid w:val="00DA5871"/>
    <w:rsid w:val="00DA726C"/>
    <w:rsid w:val="00DA7524"/>
    <w:rsid w:val="00DA7B9B"/>
    <w:rsid w:val="00DB0295"/>
    <w:rsid w:val="00DB09D0"/>
    <w:rsid w:val="00DB0B7A"/>
    <w:rsid w:val="00DB1231"/>
    <w:rsid w:val="00DB157D"/>
    <w:rsid w:val="00DB1ED3"/>
    <w:rsid w:val="00DB2323"/>
    <w:rsid w:val="00DB4B76"/>
    <w:rsid w:val="00DB4EB4"/>
    <w:rsid w:val="00DB5118"/>
    <w:rsid w:val="00DB5461"/>
    <w:rsid w:val="00DC037A"/>
    <w:rsid w:val="00DC097F"/>
    <w:rsid w:val="00DC0E34"/>
    <w:rsid w:val="00DC1275"/>
    <w:rsid w:val="00DC13BC"/>
    <w:rsid w:val="00DC1744"/>
    <w:rsid w:val="00DC20CA"/>
    <w:rsid w:val="00DC2DC6"/>
    <w:rsid w:val="00DC361A"/>
    <w:rsid w:val="00DC41F1"/>
    <w:rsid w:val="00DC4C74"/>
    <w:rsid w:val="00DC4CB2"/>
    <w:rsid w:val="00DC503F"/>
    <w:rsid w:val="00DC53B6"/>
    <w:rsid w:val="00DC5645"/>
    <w:rsid w:val="00DC5F6A"/>
    <w:rsid w:val="00DC6F58"/>
    <w:rsid w:val="00DC700F"/>
    <w:rsid w:val="00DD10DE"/>
    <w:rsid w:val="00DD1719"/>
    <w:rsid w:val="00DD3000"/>
    <w:rsid w:val="00DD3085"/>
    <w:rsid w:val="00DD3AB0"/>
    <w:rsid w:val="00DD420B"/>
    <w:rsid w:val="00DD4607"/>
    <w:rsid w:val="00DD471C"/>
    <w:rsid w:val="00DD5AA7"/>
    <w:rsid w:val="00DD662C"/>
    <w:rsid w:val="00DD6631"/>
    <w:rsid w:val="00DE0557"/>
    <w:rsid w:val="00DE137A"/>
    <w:rsid w:val="00DE19D8"/>
    <w:rsid w:val="00DE205D"/>
    <w:rsid w:val="00DE233A"/>
    <w:rsid w:val="00DE2D1B"/>
    <w:rsid w:val="00DE322D"/>
    <w:rsid w:val="00DE4672"/>
    <w:rsid w:val="00DE4A25"/>
    <w:rsid w:val="00DE4E0C"/>
    <w:rsid w:val="00DE4FD6"/>
    <w:rsid w:val="00DE5D4C"/>
    <w:rsid w:val="00DE6D16"/>
    <w:rsid w:val="00DE7621"/>
    <w:rsid w:val="00DF0750"/>
    <w:rsid w:val="00DF0ED8"/>
    <w:rsid w:val="00DF4D68"/>
    <w:rsid w:val="00DF525A"/>
    <w:rsid w:val="00DF5463"/>
    <w:rsid w:val="00DF6634"/>
    <w:rsid w:val="00DF6939"/>
    <w:rsid w:val="00DF6F39"/>
    <w:rsid w:val="00DF7092"/>
    <w:rsid w:val="00DF7877"/>
    <w:rsid w:val="00DF7B71"/>
    <w:rsid w:val="00E007FC"/>
    <w:rsid w:val="00E00E8E"/>
    <w:rsid w:val="00E012EC"/>
    <w:rsid w:val="00E034FD"/>
    <w:rsid w:val="00E03B52"/>
    <w:rsid w:val="00E04AA1"/>
    <w:rsid w:val="00E05314"/>
    <w:rsid w:val="00E05F62"/>
    <w:rsid w:val="00E06247"/>
    <w:rsid w:val="00E105A3"/>
    <w:rsid w:val="00E11745"/>
    <w:rsid w:val="00E126B2"/>
    <w:rsid w:val="00E12B16"/>
    <w:rsid w:val="00E12B88"/>
    <w:rsid w:val="00E12C05"/>
    <w:rsid w:val="00E134B7"/>
    <w:rsid w:val="00E1520C"/>
    <w:rsid w:val="00E17300"/>
    <w:rsid w:val="00E173C2"/>
    <w:rsid w:val="00E173DE"/>
    <w:rsid w:val="00E17906"/>
    <w:rsid w:val="00E17A08"/>
    <w:rsid w:val="00E17AAC"/>
    <w:rsid w:val="00E17B5B"/>
    <w:rsid w:val="00E210D8"/>
    <w:rsid w:val="00E215BA"/>
    <w:rsid w:val="00E219F4"/>
    <w:rsid w:val="00E21C38"/>
    <w:rsid w:val="00E22161"/>
    <w:rsid w:val="00E23C18"/>
    <w:rsid w:val="00E240B1"/>
    <w:rsid w:val="00E25082"/>
    <w:rsid w:val="00E25231"/>
    <w:rsid w:val="00E2562E"/>
    <w:rsid w:val="00E2590A"/>
    <w:rsid w:val="00E27A29"/>
    <w:rsid w:val="00E27BED"/>
    <w:rsid w:val="00E30CE8"/>
    <w:rsid w:val="00E315AB"/>
    <w:rsid w:val="00E315CE"/>
    <w:rsid w:val="00E32B36"/>
    <w:rsid w:val="00E33ACB"/>
    <w:rsid w:val="00E34A3F"/>
    <w:rsid w:val="00E36BE9"/>
    <w:rsid w:val="00E373AC"/>
    <w:rsid w:val="00E37B98"/>
    <w:rsid w:val="00E4120F"/>
    <w:rsid w:val="00E424B5"/>
    <w:rsid w:val="00E424BD"/>
    <w:rsid w:val="00E435AA"/>
    <w:rsid w:val="00E437E9"/>
    <w:rsid w:val="00E4387B"/>
    <w:rsid w:val="00E44A18"/>
    <w:rsid w:val="00E45454"/>
    <w:rsid w:val="00E4550B"/>
    <w:rsid w:val="00E4580D"/>
    <w:rsid w:val="00E46125"/>
    <w:rsid w:val="00E50D14"/>
    <w:rsid w:val="00E5138E"/>
    <w:rsid w:val="00E51C95"/>
    <w:rsid w:val="00E530A0"/>
    <w:rsid w:val="00E537A6"/>
    <w:rsid w:val="00E53B3E"/>
    <w:rsid w:val="00E541C2"/>
    <w:rsid w:val="00E55CDE"/>
    <w:rsid w:val="00E579E1"/>
    <w:rsid w:val="00E6054C"/>
    <w:rsid w:val="00E6066C"/>
    <w:rsid w:val="00E62AF0"/>
    <w:rsid w:val="00E63390"/>
    <w:rsid w:val="00E64D60"/>
    <w:rsid w:val="00E65E18"/>
    <w:rsid w:val="00E66E49"/>
    <w:rsid w:val="00E678CB"/>
    <w:rsid w:val="00E67D6D"/>
    <w:rsid w:val="00E70333"/>
    <w:rsid w:val="00E70D1F"/>
    <w:rsid w:val="00E7169E"/>
    <w:rsid w:val="00E71C87"/>
    <w:rsid w:val="00E72F2F"/>
    <w:rsid w:val="00E7394A"/>
    <w:rsid w:val="00E73E66"/>
    <w:rsid w:val="00E7402C"/>
    <w:rsid w:val="00E749A6"/>
    <w:rsid w:val="00E74F61"/>
    <w:rsid w:val="00E75910"/>
    <w:rsid w:val="00E773C8"/>
    <w:rsid w:val="00E7788B"/>
    <w:rsid w:val="00E804A8"/>
    <w:rsid w:val="00E80971"/>
    <w:rsid w:val="00E8122A"/>
    <w:rsid w:val="00E82166"/>
    <w:rsid w:val="00E82608"/>
    <w:rsid w:val="00E82673"/>
    <w:rsid w:val="00E830A2"/>
    <w:rsid w:val="00E832BA"/>
    <w:rsid w:val="00E8443F"/>
    <w:rsid w:val="00E8451F"/>
    <w:rsid w:val="00E84D67"/>
    <w:rsid w:val="00E85FBB"/>
    <w:rsid w:val="00E8625E"/>
    <w:rsid w:val="00E86706"/>
    <w:rsid w:val="00E86FB9"/>
    <w:rsid w:val="00E91134"/>
    <w:rsid w:val="00E9504C"/>
    <w:rsid w:val="00E97497"/>
    <w:rsid w:val="00E97D1F"/>
    <w:rsid w:val="00EA21B5"/>
    <w:rsid w:val="00EA4570"/>
    <w:rsid w:val="00EA68AE"/>
    <w:rsid w:val="00EA6967"/>
    <w:rsid w:val="00EA75AD"/>
    <w:rsid w:val="00EA7D49"/>
    <w:rsid w:val="00EA7EC2"/>
    <w:rsid w:val="00EB0166"/>
    <w:rsid w:val="00EB08DA"/>
    <w:rsid w:val="00EB0C1D"/>
    <w:rsid w:val="00EB1D5E"/>
    <w:rsid w:val="00EB3AC5"/>
    <w:rsid w:val="00EB3F21"/>
    <w:rsid w:val="00EB4CBE"/>
    <w:rsid w:val="00EB54E1"/>
    <w:rsid w:val="00EB6494"/>
    <w:rsid w:val="00EB6A2B"/>
    <w:rsid w:val="00EB728C"/>
    <w:rsid w:val="00EB764C"/>
    <w:rsid w:val="00EB7809"/>
    <w:rsid w:val="00EB79FF"/>
    <w:rsid w:val="00EC0F6D"/>
    <w:rsid w:val="00EC14ED"/>
    <w:rsid w:val="00EC1762"/>
    <w:rsid w:val="00EC1BE7"/>
    <w:rsid w:val="00EC20DE"/>
    <w:rsid w:val="00EC26DE"/>
    <w:rsid w:val="00EC2A81"/>
    <w:rsid w:val="00EC38C4"/>
    <w:rsid w:val="00EC3CD6"/>
    <w:rsid w:val="00EC47DB"/>
    <w:rsid w:val="00EC63B6"/>
    <w:rsid w:val="00EC642E"/>
    <w:rsid w:val="00EC6A56"/>
    <w:rsid w:val="00EC7172"/>
    <w:rsid w:val="00EC7F29"/>
    <w:rsid w:val="00ED1A7A"/>
    <w:rsid w:val="00ED1E9E"/>
    <w:rsid w:val="00ED2566"/>
    <w:rsid w:val="00ED29F6"/>
    <w:rsid w:val="00ED398A"/>
    <w:rsid w:val="00ED3E68"/>
    <w:rsid w:val="00ED541D"/>
    <w:rsid w:val="00ED54B8"/>
    <w:rsid w:val="00ED5A88"/>
    <w:rsid w:val="00ED603C"/>
    <w:rsid w:val="00ED7AA6"/>
    <w:rsid w:val="00ED7D2F"/>
    <w:rsid w:val="00EE010A"/>
    <w:rsid w:val="00EE0BA4"/>
    <w:rsid w:val="00EE13F1"/>
    <w:rsid w:val="00EE25E3"/>
    <w:rsid w:val="00EE2CA1"/>
    <w:rsid w:val="00EE322E"/>
    <w:rsid w:val="00EE330B"/>
    <w:rsid w:val="00EE3595"/>
    <w:rsid w:val="00EE376D"/>
    <w:rsid w:val="00EE508C"/>
    <w:rsid w:val="00EF1B32"/>
    <w:rsid w:val="00EF279B"/>
    <w:rsid w:val="00EF2C46"/>
    <w:rsid w:val="00EF3477"/>
    <w:rsid w:val="00EF4156"/>
    <w:rsid w:val="00EF4BBA"/>
    <w:rsid w:val="00EF5403"/>
    <w:rsid w:val="00EF58E4"/>
    <w:rsid w:val="00EF65B8"/>
    <w:rsid w:val="00EF69B0"/>
    <w:rsid w:val="00EF7066"/>
    <w:rsid w:val="00EF76A9"/>
    <w:rsid w:val="00F00B79"/>
    <w:rsid w:val="00F00CE5"/>
    <w:rsid w:val="00F01B5D"/>
    <w:rsid w:val="00F01CAB"/>
    <w:rsid w:val="00F0283D"/>
    <w:rsid w:val="00F03968"/>
    <w:rsid w:val="00F03D1A"/>
    <w:rsid w:val="00F057D4"/>
    <w:rsid w:val="00F066A4"/>
    <w:rsid w:val="00F06926"/>
    <w:rsid w:val="00F06DDA"/>
    <w:rsid w:val="00F07DE7"/>
    <w:rsid w:val="00F07E3E"/>
    <w:rsid w:val="00F105DE"/>
    <w:rsid w:val="00F10656"/>
    <w:rsid w:val="00F11BD2"/>
    <w:rsid w:val="00F11EFA"/>
    <w:rsid w:val="00F135DB"/>
    <w:rsid w:val="00F1504E"/>
    <w:rsid w:val="00F1574B"/>
    <w:rsid w:val="00F15DBA"/>
    <w:rsid w:val="00F16AA8"/>
    <w:rsid w:val="00F1744E"/>
    <w:rsid w:val="00F207F9"/>
    <w:rsid w:val="00F20D43"/>
    <w:rsid w:val="00F21C53"/>
    <w:rsid w:val="00F229B3"/>
    <w:rsid w:val="00F23495"/>
    <w:rsid w:val="00F238BA"/>
    <w:rsid w:val="00F24767"/>
    <w:rsid w:val="00F256A7"/>
    <w:rsid w:val="00F25B04"/>
    <w:rsid w:val="00F25DDC"/>
    <w:rsid w:val="00F32568"/>
    <w:rsid w:val="00F325A7"/>
    <w:rsid w:val="00F3283E"/>
    <w:rsid w:val="00F32C92"/>
    <w:rsid w:val="00F3305C"/>
    <w:rsid w:val="00F33727"/>
    <w:rsid w:val="00F33FAE"/>
    <w:rsid w:val="00F34389"/>
    <w:rsid w:val="00F35D7A"/>
    <w:rsid w:val="00F37566"/>
    <w:rsid w:val="00F37F60"/>
    <w:rsid w:val="00F402E7"/>
    <w:rsid w:val="00F40BA1"/>
    <w:rsid w:val="00F41E4D"/>
    <w:rsid w:val="00F43961"/>
    <w:rsid w:val="00F43A25"/>
    <w:rsid w:val="00F44F70"/>
    <w:rsid w:val="00F466D6"/>
    <w:rsid w:val="00F51834"/>
    <w:rsid w:val="00F530E2"/>
    <w:rsid w:val="00F53A14"/>
    <w:rsid w:val="00F53F5B"/>
    <w:rsid w:val="00F56548"/>
    <w:rsid w:val="00F56B31"/>
    <w:rsid w:val="00F60B1F"/>
    <w:rsid w:val="00F60F9A"/>
    <w:rsid w:val="00F610B5"/>
    <w:rsid w:val="00F61E5A"/>
    <w:rsid w:val="00F62508"/>
    <w:rsid w:val="00F6267B"/>
    <w:rsid w:val="00F62FB8"/>
    <w:rsid w:val="00F64FF0"/>
    <w:rsid w:val="00F656B3"/>
    <w:rsid w:val="00F65D9B"/>
    <w:rsid w:val="00F70548"/>
    <w:rsid w:val="00F7066B"/>
    <w:rsid w:val="00F719C7"/>
    <w:rsid w:val="00F71BA2"/>
    <w:rsid w:val="00F723F9"/>
    <w:rsid w:val="00F741FB"/>
    <w:rsid w:val="00F748ED"/>
    <w:rsid w:val="00F74AAD"/>
    <w:rsid w:val="00F7578D"/>
    <w:rsid w:val="00F757ED"/>
    <w:rsid w:val="00F7675E"/>
    <w:rsid w:val="00F76E3C"/>
    <w:rsid w:val="00F76E96"/>
    <w:rsid w:val="00F770A9"/>
    <w:rsid w:val="00F773DC"/>
    <w:rsid w:val="00F80F44"/>
    <w:rsid w:val="00F82B1F"/>
    <w:rsid w:val="00F82F8B"/>
    <w:rsid w:val="00F8487F"/>
    <w:rsid w:val="00F84E8A"/>
    <w:rsid w:val="00F85C33"/>
    <w:rsid w:val="00F87F6E"/>
    <w:rsid w:val="00F90D40"/>
    <w:rsid w:val="00F911D8"/>
    <w:rsid w:val="00F91E64"/>
    <w:rsid w:val="00F94632"/>
    <w:rsid w:val="00F95BF4"/>
    <w:rsid w:val="00F95EB5"/>
    <w:rsid w:val="00F96B9E"/>
    <w:rsid w:val="00F975AD"/>
    <w:rsid w:val="00F97AD8"/>
    <w:rsid w:val="00F97D5B"/>
    <w:rsid w:val="00FA0154"/>
    <w:rsid w:val="00FA0573"/>
    <w:rsid w:val="00FA31AA"/>
    <w:rsid w:val="00FA33A8"/>
    <w:rsid w:val="00FA3714"/>
    <w:rsid w:val="00FA4752"/>
    <w:rsid w:val="00FA47CA"/>
    <w:rsid w:val="00FA4B4B"/>
    <w:rsid w:val="00FA5743"/>
    <w:rsid w:val="00FA5AAB"/>
    <w:rsid w:val="00FB0098"/>
    <w:rsid w:val="00FB027A"/>
    <w:rsid w:val="00FB062D"/>
    <w:rsid w:val="00FB14EE"/>
    <w:rsid w:val="00FB30BC"/>
    <w:rsid w:val="00FB3F10"/>
    <w:rsid w:val="00FB490A"/>
    <w:rsid w:val="00FB5C3B"/>
    <w:rsid w:val="00FB5DA8"/>
    <w:rsid w:val="00FB7075"/>
    <w:rsid w:val="00FB7A02"/>
    <w:rsid w:val="00FC2E0D"/>
    <w:rsid w:val="00FC2E8C"/>
    <w:rsid w:val="00FC30A3"/>
    <w:rsid w:val="00FC32B7"/>
    <w:rsid w:val="00FC3A24"/>
    <w:rsid w:val="00FC3AF3"/>
    <w:rsid w:val="00FC4095"/>
    <w:rsid w:val="00FC63C9"/>
    <w:rsid w:val="00FC6FA7"/>
    <w:rsid w:val="00FC72C6"/>
    <w:rsid w:val="00FC7603"/>
    <w:rsid w:val="00FC77B8"/>
    <w:rsid w:val="00FC7E15"/>
    <w:rsid w:val="00FD21CC"/>
    <w:rsid w:val="00FD3598"/>
    <w:rsid w:val="00FD39DB"/>
    <w:rsid w:val="00FD4047"/>
    <w:rsid w:val="00FD55A3"/>
    <w:rsid w:val="00FD6109"/>
    <w:rsid w:val="00FD7908"/>
    <w:rsid w:val="00FD7C14"/>
    <w:rsid w:val="00FE0265"/>
    <w:rsid w:val="00FE0300"/>
    <w:rsid w:val="00FE17B2"/>
    <w:rsid w:val="00FE1B2E"/>
    <w:rsid w:val="00FE5A14"/>
    <w:rsid w:val="00FE5AE2"/>
    <w:rsid w:val="00FE6A39"/>
    <w:rsid w:val="00FE7B9C"/>
    <w:rsid w:val="00FF093F"/>
    <w:rsid w:val="00FF1150"/>
    <w:rsid w:val="00FF200F"/>
    <w:rsid w:val="00FF25FE"/>
    <w:rsid w:val="00FF2D6A"/>
    <w:rsid w:val="00FF326E"/>
    <w:rsid w:val="00FF53E0"/>
    <w:rsid w:val="00FF580B"/>
    <w:rsid w:val="00FF590C"/>
    <w:rsid w:val="00FF67C0"/>
    <w:rsid w:val="00FF758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ACD449"/>
  <w14:defaultImageDpi w14:val="330"/>
  <w15:chartTrackingRefBased/>
  <w15:docId w15:val="{F035FF39-4E8B-4825-8711-F68BCE8D3F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1"/>
    <w:lsdException w:name="Grid Table 7 Colorful Accent 1" w:uiPriority="42"/>
    <w:lsdException w:name="Grid Table 1 Light Accent 2" w:uiPriority="43"/>
    <w:lsdException w:name="Grid Table 2 Accent 2" w:uiPriority="44"/>
    <w:lsdException w:name="Grid Table 3 Accent 2" w:uiPriority="45"/>
    <w:lsdException w:name="Grid Table 4 Accent 2" w:uiPriority="40"/>
    <w:lsdException w:name="Grid Table 5 Dark Accent 2" w:uiPriority="46"/>
    <w:lsdException w:name="Grid Table 6 Colorful Accent 2" w:uiPriority="47"/>
    <w:lsdException w:name="Grid Table 7 Colorful Accent 2" w:uiPriority="48"/>
    <w:lsdException w:name="Grid Table 1 Light Accent 3" w:uiPriority="49"/>
    <w:lsdException w:name="Grid Table 2 Accent 3" w:uiPriority="50"/>
    <w:lsdException w:name="Grid Table 3 Accent 3" w:uiPriority="51"/>
    <w:lsdException w:name="Grid Table 4 Accent 3" w:uiPriority="52"/>
    <w:lsdException w:name="Grid Table 5 Dark Accent 3" w:uiPriority="46"/>
    <w:lsdException w:name="Grid Table 6 Colorful Accent 3" w:uiPriority="47"/>
    <w:lsdException w:name="Grid Table 7 Colorful Accent 3" w:uiPriority="48"/>
    <w:lsdException w:name="Grid Table 1 Light Accent 4" w:uiPriority="49"/>
    <w:lsdException w:name="Grid Table 2 Accent 4" w:uiPriority="50"/>
    <w:lsdException w:name="Grid Table 3 Accent 4" w:uiPriority="51"/>
    <w:lsdException w:name="Grid Table 4 Accent 4" w:uiPriority="52"/>
    <w:lsdException w:name="Grid Table 5 Dark Accent 4" w:uiPriority="46"/>
    <w:lsdException w:name="Grid Table 6 Colorful Accent 4" w:uiPriority="47"/>
    <w:lsdException w:name="Grid Table 7 Colorful Accent 4" w:uiPriority="48"/>
    <w:lsdException w:name="Grid Table 1 Light Accent 5" w:uiPriority="49"/>
    <w:lsdException w:name="Grid Table 2 Accent 5" w:uiPriority="50"/>
    <w:lsdException w:name="Grid Table 3 Accent 5" w:uiPriority="51"/>
    <w:lsdException w:name="Grid Table 4 Accent 5" w:uiPriority="52"/>
    <w:lsdException w:name="Grid Table 5 Dark Accent 5" w:uiPriority="46"/>
    <w:lsdException w:name="Grid Table 6 Colorful Accent 5" w:uiPriority="47"/>
    <w:lsdException w:name="Grid Table 7 Colorful Accent 5" w:uiPriority="48"/>
    <w:lsdException w:name="Grid Table 1 Light Accent 6" w:uiPriority="49"/>
    <w:lsdException w:name="Grid Table 2 Accent 6" w:uiPriority="50"/>
    <w:lsdException w:name="Grid Table 3 Accent 6" w:uiPriority="51"/>
    <w:lsdException w:name="Grid Table 4 Accent 6" w:uiPriority="52"/>
    <w:lsdException w:name="Grid Table 5 Dark Accent 6" w:uiPriority="46"/>
    <w:lsdException w:name="Grid Table 6 Colorful Accent 6" w:uiPriority="47"/>
    <w:lsdException w:name="Grid Table 7 Colorful Accent 6" w:uiPriority="48"/>
    <w:lsdException w:name="List Table 1 Light" w:uiPriority="49"/>
    <w:lsdException w:name="List Table 2" w:uiPriority="50"/>
    <w:lsdException w:name="List Table 3" w:uiPriority="51"/>
    <w:lsdException w:name="List Table 4" w:uiPriority="52"/>
    <w:lsdException w:name="List Table 5 Dark" w:uiPriority="46"/>
    <w:lsdException w:name="List Table 6 Colorful" w:uiPriority="47"/>
    <w:lsdException w:name="List Table 7 Colorful" w:uiPriority="48"/>
    <w:lsdException w:name="List Table 1 Light Accent 1" w:uiPriority="49"/>
    <w:lsdException w:name="List Table 2 Accent 1" w:uiPriority="50"/>
    <w:lsdException w:name="List Table 3 Accent 1" w:uiPriority="51"/>
    <w:lsdException w:name="List Table 4 Accent 1" w:uiPriority="52"/>
    <w:lsdException w:name="List Table 5 Dark Accent 1" w:uiPriority="46"/>
    <w:lsdException w:name="List Table 6 Colorful Accent 1" w:uiPriority="47"/>
    <w:lsdException w:name="List Table 7 Colorful Accent 1" w:uiPriority="48"/>
    <w:lsdException w:name="List Table 1 Light Accent 2" w:uiPriority="49"/>
    <w:lsdException w:name="List Table 2 Accent 2" w:uiPriority="50"/>
    <w:lsdException w:name="List Table 3 Accent 2" w:uiPriority="51"/>
    <w:lsdException w:name="List Table 4 Accent 2" w:uiPriority="52"/>
    <w:lsdException w:name="List Table 5 Dark Accent 2" w:uiPriority="46"/>
    <w:lsdException w:name="List Table 6 Colorful Accent 2" w:uiPriority="47"/>
    <w:lsdException w:name="List Table 7 Colorful Accent 2" w:uiPriority="48"/>
    <w:lsdException w:name="List Table 1 Light Accent 3" w:uiPriority="49"/>
    <w:lsdException w:name="List Table 2 Accent 3" w:uiPriority="50"/>
    <w:lsdException w:name="List Table 3 Accent 3" w:uiPriority="51"/>
    <w:lsdException w:name="List Table 4 Accent 3" w:uiPriority="52"/>
    <w:lsdException w:name="List Table 5 Dark Accent 3" w:uiPriority="46"/>
    <w:lsdException w:name="List Table 6 Colorful Accent 3" w:uiPriority="47"/>
    <w:lsdException w:name="List Table 7 Colorful Accent 3" w:uiPriority="48"/>
    <w:lsdException w:name="List Table 1 Light Accent 4" w:uiPriority="49"/>
    <w:lsdException w:name="List Table 2 Accent 4" w:uiPriority="50"/>
    <w:lsdException w:name="List Table 3 Accent 4" w:uiPriority="51"/>
    <w:lsdException w:name="List Table 4 Accent 4" w:uiPriority="52"/>
    <w:lsdException w:name="List Table 5 Dark Accent 4" w:uiPriority="46"/>
    <w:lsdException w:name="List Table 6 Colorful Accent 4" w:uiPriority="47"/>
    <w:lsdException w:name="List Table 7 Colorful Accent 4" w:uiPriority="48"/>
    <w:lsdException w:name="List Table 1 Light Accent 5" w:uiPriority="49"/>
    <w:lsdException w:name="List Table 2 Accent 5" w:uiPriority="50"/>
    <w:lsdException w:name="List Table 3 Accent 5" w:uiPriority="51"/>
    <w:lsdException w:name="List Table 4 Accent 5" w:uiPriority="52"/>
    <w:lsdException w:name="List Table 5 Dark Accent 5" w:uiPriority="46"/>
    <w:lsdException w:name="List Table 6 Colorful Accent 5" w:uiPriority="47"/>
    <w:lsdException w:name="List Table 7 Colorful Accent 5" w:uiPriority="48"/>
    <w:lsdException w:name="List Table 1 Light Accent 6" w:uiPriority="49"/>
    <w:lsdException w:name="List Table 2 Accent 6" w:uiPriority="50"/>
    <w:lsdException w:name="List Table 3 Accent 6" w:uiPriority="51"/>
    <w:lsdException w:name="List Table 4 Accent 6" w:uiPriority="52"/>
    <w:lsdException w:name="List Table 5 Dark Accent 6" w:uiPriority="46"/>
    <w:lsdException w:name="List Table 6 Colorful Accent 6" w:uiPriority="47"/>
    <w:lsdException w:name="List Table 7 Colorful Accent 6" w:uiPriority="48"/>
  </w:latentStyles>
  <w:style w:type="paragraph" w:default="1" w:styleId="Normal">
    <w:name w:val="Normal"/>
    <w:qFormat/>
    <w:rsid w:val="008B4B9A"/>
    <w:rPr>
      <w:rFonts w:ascii="Arial" w:hAnsi="Arial"/>
      <w:sz w:val="22"/>
      <w:lang w:eastAsia="en-US"/>
    </w:rPr>
  </w:style>
  <w:style w:type="paragraph" w:styleId="Heading1">
    <w:name w:val="heading 1"/>
    <w:basedOn w:val="Normal"/>
    <w:link w:val="Heading1Char"/>
    <w:qFormat/>
    <w:rsid w:val="00972C0E"/>
    <w:pPr>
      <w:keepNext/>
      <w:spacing w:before="480" w:line="480" w:lineRule="auto"/>
      <w:jc w:val="both"/>
      <w:outlineLvl w:val="0"/>
    </w:pPr>
    <w:rPr>
      <w:b/>
    </w:rPr>
  </w:style>
  <w:style w:type="paragraph" w:styleId="Heading2">
    <w:name w:val="heading 2"/>
    <w:basedOn w:val="Heading1"/>
    <w:link w:val="Heading2Char"/>
    <w:qFormat/>
    <w:rsid w:val="00C64CC7"/>
    <w:pPr>
      <w:outlineLvl w:val="1"/>
    </w:pPr>
  </w:style>
  <w:style w:type="paragraph" w:styleId="Heading3">
    <w:name w:val="heading 3"/>
    <w:basedOn w:val="Normal"/>
    <w:link w:val="Heading3Char"/>
    <w:qFormat/>
    <w:rsid w:val="00C64CC7"/>
    <w:pPr>
      <w:keepNext/>
      <w:spacing w:before="240"/>
      <w:outlineLvl w:val="2"/>
    </w:pPr>
    <w:rPr>
      <w:i/>
    </w:rPr>
  </w:style>
  <w:style w:type="paragraph" w:styleId="Heading4">
    <w:name w:val="heading 4"/>
    <w:basedOn w:val="Normal"/>
    <w:link w:val="Heading4Char"/>
    <w:qFormat/>
    <w:rsid w:val="00C64CC7"/>
    <w:pPr>
      <w:keepNext/>
      <w:spacing w:before="240"/>
      <w:outlineLvl w:val="3"/>
    </w:pPr>
    <w:rPr>
      <w:u w:val="single"/>
    </w:rPr>
  </w:style>
  <w:style w:type="paragraph" w:styleId="Heading5">
    <w:name w:val="heading 5"/>
    <w:basedOn w:val="Normal"/>
    <w:link w:val="Heading5Char"/>
    <w:qFormat/>
    <w:rsid w:val="00293E4D"/>
    <w:pPr>
      <w:spacing w:before="240" w:after="60"/>
      <w:outlineLvl w:val="4"/>
    </w:pPr>
  </w:style>
  <w:style w:type="paragraph" w:styleId="Heading6">
    <w:name w:val="heading 6"/>
    <w:basedOn w:val="Normal"/>
    <w:link w:val="Heading6Char"/>
    <w:qFormat/>
    <w:rsid w:val="00293E4D"/>
    <w:pPr>
      <w:spacing w:before="240" w:after="60"/>
      <w:outlineLvl w:val="5"/>
    </w:pPr>
  </w:style>
  <w:style w:type="paragraph" w:styleId="Heading7">
    <w:name w:val="heading 7"/>
    <w:basedOn w:val="Normal"/>
    <w:link w:val="Heading7Char"/>
    <w:qFormat/>
    <w:rsid w:val="00293E4D"/>
    <w:pPr>
      <w:numPr>
        <w:ilvl w:val="6"/>
        <w:numId w:val="1"/>
      </w:numPr>
      <w:spacing w:before="240" w:after="60"/>
      <w:outlineLvl w:val="6"/>
    </w:pPr>
  </w:style>
  <w:style w:type="paragraph" w:styleId="Heading8">
    <w:name w:val="heading 8"/>
    <w:basedOn w:val="Normal"/>
    <w:link w:val="Heading8Char"/>
    <w:qFormat/>
    <w:rsid w:val="00293E4D"/>
    <w:pPr>
      <w:spacing w:before="240" w:after="60"/>
      <w:outlineLvl w:val="7"/>
    </w:pPr>
  </w:style>
  <w:style w:type="paragraph" w:styleId="Heading9">
    <w:name w:val="heading 9"/>
    <w:basedOn w:val="Normal"/>
    <w:link w:val="Heading9Char"/>
    <w:qFormat/>
    <w:rsid w:val="00293E4D"/>
    <w:pPr>
      <w:spacing w:before="240" w:after="6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rsid w:val="00C64CC7"/>
    <w:rPr>
      <w:rFonts w:ascii="Arial" w:hAnsi="Arial"/>
      <w:b/>
      <w:sz w:val="24"/>
      <w:lang w:val="en-ZA" w:eastAsia="en-US"/>
    </w:rPr>
  </w:style>
  <w:style w:type="paragraph" w:styleId="TOC2">
    <w:name w:val="toc 2"/>
    <w:basedOn w:val="Normal"/>
    <w:next w:val="Normal"/>
    <w:autoRedefine/>
    <w:uiPriority w:val="39"/>
    <w:unhideWhenUsed/>
    <w:rsid w:val="0063359E"/>
    <w:pPr>
      <w:ind w:left="240"/>
    </w:pPr>
    <w:rPr>
      <w:b/>
      <w:szCs w:val="24"/>
    </w:rPr>
  </w:style>
  <w:style w:type="paragraph" w:styleId="TOC3">
    <w:name w:val="toc 3"/>
    <w:basedOn w:val="Normal"/>
    <w:next w:val="Normal"/>
    <w:autoRedefine/>
    <w:uiPriority w:val="39"/>
    <w:unhideWhenUsed/>
    <w:rsid w:val="0063359E"/>
    <w:pPr>
      <w:ind w:left="480"/>
    </w:pPr>
    <w:rPr>
      <w:i/>
      <w:szCs w:val="24"/>
    </w:rPr>
  </w:style>
  <w:style w:type="paragraph" w:styleId="TOC4">
    <w:name w:val="toc 4"/>
    <w:basedOn w:val="Normal"/>
    <w:next w:val="Normal"/>
    <w:autoRedefine/>
    <w:uiPriority w:val="39"/>
    <w:rsid w:val="0063359E"/>
    <w:pPr>
      <w:ind w:left="720"/>
    </w:pPr>
    <w:rPr>
      <w:szCs w:val="24"/>
    </w:rPr>
  </w:style>
  <w:style w:type="character" w:customStyle="1" w:styleId="Heading1Char">
    <w:name w:val="Heading 1 Char"/>
    <w:link w:val="Heading1"/>
    <w:rsid w:val="00972C0E"/>
    <w:rPr>
      <w:rFonts w:ascii="Arial" w:hAnsi="Arial"/>
      <w:b/>
      <w:sz w:val="24"/>
      <w:lang w:val="en-ZA" w:eastAsia="en-US"/>
    </w:rPr>
  </w:style>
  <w:style w:type="character" w:customStyle="1" w:styleId="Heading3Char">
    <w:name w:val="Heading 3 Char"/>
    <w:link w:val="Heading3"/>
    <w:rsid w:val="00C64CC7"/>
    <w:rPr>
      <w:rFonts w:ascii="Arial" w:hAnsi="Arial"/>
      <w:i/>
      <w:sz w:val="24"/>
      <w:lang w:val="en-ZA" w:eastAsia="en-US"/>
    </w:rPr>
  </w:style>
  <w:style w:type="character" w:customStyle="1" w:styleId="Heading4Char">
    <w:name w:val="Heading 4 Char"/>
    <w:link w:val="Heading4"/>
    <w:rsid w:val="00C64CC7"/>
    <w:rPr>
      <w:rFonts w:ascii="Arial" w:hAnsi="Arial"/>
      <w:sz w:val="24"/>
      <w:u w:val="single"/>
      <w:lang w:val="en-ZA" w:eastAsia="en-US"/>
    </w:rPr>
  </w:style>
  <w:style w:type="character" w:customStyle="1" w:styleId="Heading5Char">
    <w:name w:val="Heading 5 Char"/>
    <w:link w:val="Heading5"/>
    <w:rsid w:val="00293E4D"/>
    <w:rPr>
      <w:rFonts w:ascii="Arial" w:hAnsi="Arial"/>
      <w:sz w:val="24"/>
      <w:lang w:val="en-ZA"/>
    </w:rPr>
  </w:style>
  <w:style w:type="character" w:customStyle="1" w:styleId="Heading6Char">
    <w:name w:val="Heading 6 Char"/>
    <w:link w:val="Heading6"/>
    <w:rsid w:val="00293E4D"/>
    <w:rPr>
      <w:rFonts w:ascii="Arial" w:hAnsi="Arial"/>
      <w:sz w:val="24"/>
      <w:lang w:val="en-ZA"/>
    </w:rPr>
  </w:style>
  <w:style w:type="character" w:customStyle="1" w:styleId="Heading7Char">
    <w:name w:val="Heading 7 Char"/>
    <w:link w:val="Heading7"/>
    <w:rsid w:val="00293E4D"/>
    <w:rPr>
      <w:rFonts w:ascii="Arial" w:hAnsi="Arial"/>
      <w:sz w:val="22"/>
      <w:lang w:val="en-ZA"/>
    </w:rPr>
  </w:style>
  <w:style w:type="character" w:customStyle="1" w:styleId="Heading8Char">
    <w:name w:val="Heading 8 Char"/>
    <w:link w:val="Heading8"/>
    <w:rsid w:val="00293E4D"/>
    <w:rPr>
      <w:rFonts w:ascii="Arial" w:hAnsi="Arial"/>
      <w:sz w:val="24"/>
      <w:lang w:val="en-ZA"/>
    </w:rPr>
  </w:style>
  <w:style w:type="character" w:customStyle="1" w:styleId="Heading9Char">
    <w:name w:val="Heading 9 Char"/>
    <w:link w:val="Heading9"/>
    <w:rsid w:val="00293E4D"/>
    <w:rPr>
      <w:rFonts w:ascii="Arial" w:hAnsi="Arial"/>
      <w:sz w:val="24"/>
      <w:lang w:val="en-ZA"/>
    </w:rPr>
  </w:style>
  <w:style w:type="paragraph" w:styleId="Title">
    <w:name w:val="Title"/>
    <w:basedOn w:val="Normal"/>
    <w:link w:val="TitleChar"/>
    <w:qFormat/>
    <w:rsid w:val="00293E4D"/>
    <w:pPr>
      <w:spacing w:before="120" w:after="120"/>
      <w:jc w:val="center"/>
    </w:pPr>
    <w:rPr>
      <w:rFonts w:cs="Arial"/>
      <w:b/>
      <w:bCs/>
    </w:rPr>
  </w:style>
  <w:style w:type="character" w:customStyle="1" w:styleId="TitleChar">
    <w:name w:val="Title Char"/>
    <w:link w:val="Title"/>
    <w:rsid w:val="00293E4D"/>
    <w:rPr>
      <w:rFonts w:ascii="Arial" w:hAnsi="Arial" w:cs="Arial"/>
      <w:b/>
      <w:bCs/>
      <w:sz w:val="24"/>
      <w:lang w:val="en-ZA"/>
    </w:rPr>
  </w:style>
  <w:style w:type="paragraph" w:customStyle="1" w:styleId="MediumGrid1-Accent21">
    <w:name w:val="Medium Grid 1 - Accent 21"/>
    <w:basedOn w:val="Normal"/>
    <w:uiPriority w:val="34"/>
    <w:qFormat/>
    <w:rsid w:val="00293E4D"/>
    <w:pPr>
      <w:ind w:left="720"/>
    </w:pPr>
  </w:style>
  <w:style w:type="paragraph" w:styleId="Subtitle">
    <w:name w:val="Subtitle"/>
    <w:basedOn w:val="Normal"/>
    <w:link w:val="SubtitleChar"/>
    <w:qFormat/>
    <w:rsid w:val="00293E4D"/>
    <w:pPr>
      <w:spacing w:line="480" w:lineRule="auto"/>
      <w:jc w:val="center"/>
    </w:pPr>
    <w:rPr>
      <w:u w:val="single"/>
    </w:rPr>
  </w:style>
  <w:style w:type="character" w:customStyle="1" w:styleId="SubtitleChar">
    <w:name w:val="Subtitle Char"/>
    <w:link w:val="Subtitle"/>
    <w:rsid w:val="00293E4D"/>
    <w:rPr>
      <w:rFonts w:ascii="Arial" w:hAnsi="Arial"/>
      <w:sz w:val="24"/>
      <w:u w:val="single"/>
      <w:lang w:val="en-ZA"/>
    </w:rPr>
  </w:style>
  <w:style w:type="paragraph" w:styleId="List">
    <w:name w:val="List"/>
    <w:basedOn w:val="Normal"/>
    <w:semiHidden/>
    <w:rsid w:val="00016426"/>
    <w:pPr>
      <w:tabs>
        <w:tab w:val="num" w:pos="510"/>
      </w:tabs>
      <w:spacing w:after="240" w:line="360" w:lineRule="auto"/>
      <w:ind w:left="510" w:hanging="510"/>
      <w:jc w:val="both"/>
      <w:outlineLvl w:val="0"/>
    </w:pPr>
    <w:rPr>
      <w:rFonts w:cs="Arial"/>
      <w:kern w:val="28"/>
      <w:szCs w:val="22"/>
      <w:lang w:val="en-GB"/>
    </w:rPr>
  </w:style>
  <w:style w:type="paragraph" w:styleId="BodyText">
    <w:name w:val="Body Text"/>
    <w:basedOn w:val="Normal"/>
    <w:link w:val="BodyTextChar"/>
    <w:uiPriority w:val="99"/>
    <w:semiHidden/>
    <w:unhideWhenUsed/>
    <w:rsid w:val="00016426"/>
    <w:pPr>
      <w:spacing w:after="120"/>
    </w:pPr>
  </w:style>
  <w:style w:type="character" w:customStyle="1" w:styleId="BodyTextChar">
    <w:name w:val="Body Text Char"/>
    <w:link w:val="BodyText"/>
    <w:uiPriority w:val="99"/>
    <w:semiHidden/>
    <w:rsid w:val="00016426"/>
    <w:rPr>
      <w:rFonts w:ascii="Arial" w:hAnsi="Arial"/>
      <w:sz w:val="24"/>
      <w:lang w:val="en-ZA"/>
    </w:rPr>
  </w:style>
  <w:style w:type="paragraph" w:styleId="Header">
    <w:name w:val="header"/>
    <w:basedOn w:val="Normal"/>
    <w:link w:val="HeaderChar"/>
    <w:uiPriority w:val="99"/>
    <w:semiHidden/>
    <w:unhideWhenUsed/>
    <w:rsid w:val="003B11DA"/>
    <w:pPr>
      <w:tabs>
        <w:tab w:val="center" w:pos="4680"/>
        <w:tab w:val="right" w:pos="9360"/>
      </w:tabs>
    </w:pPr>
  </w:style>
  <w:style w:type="character" w:customStyle="1" w:styleId="HeaderChar">
    <w:name w:val="Header Char"/>
    <w:link w:val="Header"/>
    <w:uiPriority w:val="99"/>
    <w:semiHidden/>
    <w:rsid w:val="003B11DA"/>
    <w:rPr>
      <w:rFonts w:ascii="Arial" w:hAnsi="Arial"/>
      <w:sz w:val="24"/>
      <w:lang w:val="en-ZA"/>
    </w:rPr>
  </w:style>
  <w:style w:type="paragraph" w:styleId="Footer">
    <w:name w:val="footer"/>
    <w:basedOn w:val="Normal"/>
    <w:link w:val="FooterChar"/>
    <w:uiPriority w:val="99"/>
    <w:unhideWhenUsed/>
    <w:rsid w:val="003B11DA"/>
    <w:pPr>
      <w:tabs>
        <w:tab w:val="center" w:pos="4680"/>
        <w:tab w:val="right" w:pos="9360"/>
      </w:tabs>
    </w:pPr>
  </w:style>
  <w:style w:type="character" w:customStyle="1" w:styleId="FooterChar">
    <w:name w:val="Footer Char"/>
    <w:link w:val="Footer"/>
    <w:uiPriority w:val="99"/>
    <w:rsid w:val="003B11DA"/>
    <w:rPr>
      <w:rFonts w:ascii="Arial" w:hAnsi="Arial"/>
      <w:sz w:val="24"/>
      <w:lang w:val="en-ZA"/>
    </w:rPr>
  </w:style>
  <w:style w:type="paragraph" w:customStyle="1" w:styleId="Level1">
    <w:name w:val="Level 1"/>
    <w:rsid w:val="00385EE4"/>
    <w:pPr>
      <w:autoSpaceDE w:val="0"/>
      <w:autoSpaceDN w:val="0"/>
      <w:adjustRightInd w:val="0"/>
      <w:ind w:left="720"/>
    </w:pPr>
    <w:rPr>
      <w:sz w:val="24"/>
      <w:szCs w:val="24"/>
      <w:lang w:val="en-US" w:eastAsia="en-US"/>
    </w:rPr>
  </w:style>
  <w:style w:type="paragraph" w:customStyle="1" w:styleId="Level2">
    <w:name w:val="Level 2"/>
    <w:rsid w:val="00385EE4"/>
    <w:pPr>
      <w:autoSpaceDE w:val="0"/>
      <w:autoSpaceDN w:val="0"/>
      <w:adjustRightInd w:val="0"/>
      <w:ind w:left="1440"/>
    </w:pPr>
    <w:rPr>
      <w:sz w:val="24"/>
      <w:szCs w:val="24"/>
      <w:lang w:val="en-US" w:eastAsia="en-US"/>
    </w:rPr>
  </w:style>
  <w:style w:type="character" w:styleId="CommentReference">
    <w:name w:val="annotation reference"/>
    <w:unhideWhenUsed/>
    <w:rsid w:val="00385EE4"/>
    <w:rPr>
      <w:sz w:val="16"/>
      <w:szCs w:val="16"/>
    </w:rPr>
  </w:style>
  <w:style w:type="paragraph" w:styleId="CommentText">
    <w:name w:val="annotation text"/>
    <w:basedOn w:val="Normal"/>
    <w:link w:val="CommentTextChar"/>
    <w:unhideWhenUsed/>
    <w:rsid w:val="00385EE4"/>
    <w:rPr>
      <w:sz w:val="20"/>
    </w:rPr>
  </w:style>
  <w:style w:type="character" w:customStyle="1" w:styleId="CommentTextChar">
    <w:name w:val="Comment Text Char"/>
    <w:link w:val="CommentText"/>
    <w:rsid w:val="00385EE4"/>
    <w:rPr>
      <w:rFonts w:ascii="Arial" w:hAnsi="Arial"/>
      <w:lang w:val="en-ZA"/>
    </w:rPr>
  </w:style>
  <w:style w:type="paragraph" w:styleId="FootnoteText">
    <w:name w:val="footnote text"/>
    <w:aliases w:val="FOOTNOTES,fn,single space,Footnotes,Footnote ak,ft,fn cafc,ALTS FOOTNOTE Char,Footnote Text Char1 Char,Footnote Text Char Char Char,Footnote Text Char1 Char Char Char,Footnote Text Char Char Char Char Char,ALTS FOOTNOTE,footnote text"/>
    <w:basedOn w:val="Normal"/>
    <w:link w:val="FootnoteTextChar"/>
    <w:unhideWhenUsed/>
    <w:qFormat/>
    <w:rsid w:val="00C040D3"/>
    <w:pPr>
      <w:tabs>
        <w:tab w:val="left" w:pos="720"/>
      </w:tabs>
      <w:spacing w:before="120"/>
      <w:ind w:left="567" w:hanging="567"/>
    </w:pPr>
    <w:rPr>
      <w:sz w:val="20"/>
    </w:rPr>
  </w:style>
  <w:style w:type="character" w:customStyle="1" w:styleId="FootnoteTextChar">
    <w:name w:val="Footnote Text Char"/>
    <w:aliases w:val="FOOTNOTES Char,fn Char,single space Char,Footnotes Char,Footnote ak Char,ft Char,fn cafc Char,ALTS FOOTNOTE Char Char,Footnote Text Char1 Char Char,Footnote Text Char Char Char Char,Footnote Text Char1 Char Char Char Char"/>
    <w:link w:val="FootnoteText"/>
    <w:rsid w:val="00C040D3"/>
    <w:rPr>
      <w:rFonts w:ascii="Arial" w:hAnsi="Arial"/>
      <w:lang w:val="en-ZA" w:eastAsia="en-US"/>
    </w:rPr>
  </w:style>
  <w:style w:type="character" w:styleId="FootnoteReference">
    <w:name w:val="footnote reference"/>
    <w:aliases w:val="Ref,de nota al pie,註腳內容,Heading 6 Char1,do not use4 Char1,Footnote symbol,(NECG) Footnote Reference,Style 12,Footnotes refss,Appel note de bas de page,fr,Footnote"/>
    <w:unhideWhenUsed/>
    <w:qFormat/>
    <w:rsid w:val="00385EE4"/>
    <w:rPr>
      <w:vertAlign w:val="superscript"/>
    </w:rPr>
  </w:style>
  <w:style w:type="paragraph" w:styleId="BalloonText">
    <w:name w:val="Balloon Text"/>
    <w:basedOn w:val="Normal"/>
    <w:link w:val="BalloonTextChar"/>
    <w:uiPriority w:val="99"/>
    <w:semiHidden/>
    <w:unhideWhenUsed/>
    <w:rsid w:val="00385EE4"/>
    <w:rPr>
      <w:rFonts w:ascii="Tahoma" w:hAnsi="Tahoma" w:cs="Tahoma"/>
      <w:sz w:val="16"/>
      <w:szCs w:val="16"/>
    </w:rPr>
  </w:style>
  <w:style w:type="character" w:customStyle="1" w:styleId="BalloonTextChar">
    <w:name w:val="Balloon Text Char"/>
    <w:link w:val="BalloonText"/>
    <w:uiPriority w:val="99"/>
    <w:semiHidden/>
    <w:rsid w:val="00385EE4"/>
    <w:rPr>
      <w:rFonts w:ascii="Tahoma" w:hAnsi="Tahoma" w:cs="Tahoma"/>
      <w:sz w:val="16"/>
      <w:szCs w:val="16"/>
      <w:lang w:val="en-ZA"/>
    </w:rPr>
  </w:style>
  <w:style w:type="paragraph" w:customStyle="1" w:styleId="h2">
    <w:name w:val="h2"/>
    <w:basedOn w:val="Normal"/>
    <w:rsid w:val="000028CA"/>
    <w:pPr>
      <w:keepNext/>
      <w:spacing w:before="240" w:line="480" w:lineRule="auto"/>
      <w:jc w:val="both"/>
    </w:pPr>
    <w:rPr>
      <w:rFonts w:cs="Arial"/>
      <w:b/>
      <w:szCs w:val="24"/>
      <w:lang w:val="en-GB"/>
    </w:rPr>
  </w:style>
  <w:style w:type="paragraph" w:customStyle="1" w:styleId="1">
    <w:name w:val="1"/>
    <w:qFormat/>
    <w:rsid w:val="008B4B9A"/>
    <w:pPr>
      <w:numPr>
        <w:numId w:val="2"/>
      </w:numPr>
      <w:spacing w:before="480" w:line="480" w:lineRule="auto"/>
      <w:jc w:val="both"/>
    </w:pPr>
    <w:rPr>
      <w:rFonts w:ascii="Arial" w:eastAsia="Calibri" w:hAnsi="Arial"/>
      <w:iCs/>
      <w:color w:val="000000"/>
      <w:sz w:val="22"/>
      <w:szCs w:val="22"/>
      <w:lang w:val="en-GB" w:eastAsia="en-US"/>
    </w:rPr>
  </w:style>
  <w:style w:type="paragraph" w:customStyle="1" w:styleId="2">
    <w:name w:val="2"/>
    <w:basedOn w:val="1"/>
    <w:qFormat/>
    <w:rsid w:val="008B4B9A"/>
    <w:pPr>
      <w:numPr>
        <w:ilvl w:val="1"/>
      </w:numPr>
      <w:spacing w:before="240"/>
    </w:pPr>
  </w:style>
  <w:style w:type="paragraph" w:customStyle="1" w:styleId="3">
    <w:name w:val="3"/>
    <w:basedOn w:val="2"/>
    <w:qFormat/>
    <w:rsid w:val="008B4B9A"/>
    <w:pPr>
      <w:numPr>
        <w:ilvl w:val="2"/>
      </w:numPr>
    </w:pPr>
  </w:style>
  <w:style w:type="paragraph" w:customStyle="1" w:styleId="MediumGrid2-Accent21">
    <w:name w:val="Medium Grid 2 - Accent 21"/>
    <w:link w:val="MediumGrid2-Accent2Char"/>
    <w:uiPriority w:val="29"/>
    <w:qFormat/>
    <w:rsid w:val="00D1538D"/>
    <w:pPr>
      <w:spacing w:before="240" w:line="480" w:lineRule="auto"/>
      <w:ind w:left="1701"/>
      <w:jc w:val="both"/>
    </w:pPr>
    <w:rPr>
      <w:rFonts w:ascii="Arial" w:eastAsia="Calibri" w:hAnsi="Arial"/>
      <w:i/>
      <w:iCs/>
      <w:color w:val="000000"/>
      <w:sz w:val="22"/>
      <w:szCs w:val="22"/>
      <w:lang w:val="en-GB" w:eastAsia="en-US"/>
    </w:rPr>
  </w:style>
  <w:style w:type="character" w:customStyle="1" w:styleId="MediumGrid2-Accent2Char">
    <w:name w:val="Medium Grid 2 - Accent 2 Char"/>
    <w:link w:val="MediumGrid2-Accent21"/>
    <w:uiPriority w:val="29"/>
    <w:rsid w:val="00D1538D"/>
    <w:rPr>
      <w:rFonts w:ascii="Arial" w:eastAsia="Calibri" w:hAnsi="Arial"/>
      <w:i/>
      <w:iCs/>
      <w:color w:val="000000"/>
      <w:sz w:val="22"/>
      <w:szCs w:val="22"/>
      <w:lang w:val="en-GB" w:eastAsia="en-US" w:bidi="ar-SA"/>
    </w:rPr>
  </w:style>
  <w:style w:type="paragraph" w:styleId="CommentSubject">
    <w:name w:val="annotation subject"/>
    <w:basedOn w:val="CommentText"/>
    <w:next w:val="CommentText"/>
    <w:link w:val="CommentSubjectChar"/>
    <w:uiPriority w:val="99"/>
    <w:semiHidden/>
    <w:unhideWhenUsed/>
    <w:rsid w:val="00701107"/>
    <w:rPr>
      <w:b/>
      <w:bCs/>
    </w:rPr>
  </w:style>
  <w:style w:type="character" w:customStyle="1" w:styleId="CommentSubjectChar">
    <w:name w:val="Comment Subject Char"/>
    <w:link w:val="CommentSubject"/>
    <w:uiPriority w:val="99"/>
    <w:semiHidden/>
    <w:rsid w:val="00701107"/>
    <w:rPr>
      <w:rFonts w:ascii="Arial" w:hAnsi="Arial"/>
      <w:b/>
      <w:bCs/>
      <w:lang w:val="en-ZA"/>
    </w:rPr>
  </w:style>
  <w:style w:type="paragraph" w:customStyle="1" w:styleId="h1">
    <w:name w:val="h1"/>
    <w:basedOn w:val="Normal"/>
    <w:rsid w:val="00FB3F10"/>
    <w:pPr>
      <w:keepNext/>
      <w:spacing w:before="480" w:line="480" w:lineRule="auto"/>
      <w:jc w:val="both"/>
    </w:pPr>
    <w:rPr>
      <w:rFonts w:ascii="Arial Bold" w:hAnsi="Arial Bold"/>
      <w:b/>
      <w:szCs w:val="24"/>
      <w:lang w:val="en-GB" w:eastAsia="en-GB"/>
    </w:rPr>
  </w:style>
  <w:style w:type="table" w:styleId="TableGrid">
    <w:name w:val="Table Grid"/>
    <w:basedOn w:val="TableNormal"/>
    <w:rsid w:val="005F39E7"/>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Heading1Bold1">
    <w:name w:val="Style Heading 1 + Bold1"/>
    <w:basedOn w:val="Heading1"/>
    <w:rsid w:val="0033004A"/>
    <w:pPr>
      <w:keepNext w:val="0"/>
      <w:spacing w:before="360"/>
    </w:pPr>
    <w:rPr>
      <w:rFonts w:cs="Arial"/>
      <w:bCs/>
      <w:szCs w:val="24"/>
      <w:lang w:val="en-GB" w:eastAsia="en-GB"/>
    </w:rPr>
  </w:style>
  <w:style w:type="paragraph" w:styleId="TOC1">
    <w:name w:val="toc 1"/>
    <w:basedOn w:val="Normal"/>
    <w:next w:val="Normal"/>
    <w:autoRedefine/>
    <w:uiPriority w:val="39"/>
    <w:unhideWhenUsed/>
    <w:rsid w:val="0063359E"/>
    <w:pPr>
      <w:spacing w:before="240"/>
    </w:pPr>
    <w:rPr>
      <w:b/>
    </w:rPr>
  </w:style>
  <w:style w:type="character" w:styleId="Hyperlink">
    <w:name w:val="Hyperlink"/>
    <w:uiPriority w:val="99"/>
    <w:unhideWhenUsed/>
    <w:rsid w:val="008203DC"/>
    <w:rPr>
      <w:color w:val="0000FF"/>
      <w:u w:val="single"/>
    </w:rPr>
  </w:style>
  <w:style w:type="paragraph" w:styleId="TOC5">
    <w:name w:val="toc 5"/>
    <w:basedOn w:val="Normal"/>
    <w:next w:val="Normal"/>
    <w:autoRedefine/>
    <w:uiPriority w:val="39"/>
    <w:unhideWhenUsed/>
    <w:rsid w:val="008203DC"/>
    <w:pPr>
      <w:spacing w:after="100" w:line="276" w:lineRule="auto"/>
      <w:ind w:left="880"/>
    </w:pPr>
    <w:rPr>
      <w:rFonts w:ascii="Calibri" w:hAnsi="Calibri"/>
      <w:szCs w:val="22"/>
      <w:lang w:val="en-GB" w:eastAsia="en-GB"/>
    </w:rPr>
  </w:style>
  <w:style w:type="paragraph" w:styleId="TOC6">
    <w:name w:val="toc 6"/>
    <w:basedOn w:val="Normal"/>
    <w:next w:val="Normal"/>
    <w:autoRedefine/>
    <w:uiPriority w:val="39"/>
    <w:unhideWhenUsed/>
    <w:rsid w:val="008203DC"/>
    <w:pPr>
      <w:spacing w:after="100" w:line="276" w:lineRule="auto"/>
      <w:ind w:left="1100"/>
    </w:pPr>
    <w:rPr>
      <w:rFonts w:ascii="Calibri" w:hAnsi="Calibri"/>
      <w:szCs w:val="22"/>
      <w:lang w:val="en-GB" w:eastAsia="en-GB"/>
    </w:rPr>
  </w:style>
  <w:style w:type="paragraph" w:styleId="TOC7">
    <w:name w:val="toc 7"/>
    <w:basedOn w:val="Normal"/>
    <w:next w:val="Normal"/>
    <w:autoRedefine/>
    <w:uiPriority w:val="39"/>
    <w:unhideWhenUsed/>
    <w:rsid w:val="008203DC"/>
    <w:pPr>
      <w:spacing w:after="100" w:line="276" w:lineRule="auto"/>
      <w:ind w:left="1320"/>
    </w:pPr>
    <w:rPr>
      <w:rFonts w:ascii="Calibri" w:hAnsi="Calibri"/>
      <w:szCs w:val="22"/>
      <w:lang w:val="en-GB" w:eastAsia="en-GB"/>
    </w:rPr>
  </w:style>
  <w:style w:type="paragraph" w:styleId="TOC8">
    <w:name w:val="toc 8"/>
    <w:basedOn w:val="Normal"/>
    <w:next w:val="Normal"/>
    <w:autoRedefine/>
    <w:uiPriority w:val="39"/>
    <w:unhideWhenUsed/>
    <w:rsid w:val="008203DC"/>
    <w:pPr>
      <w:spacing w:after="100" w:line="276" w:lineRule="auto"/>
      <w:ind w:left="1540"/>
    </w:pPr>
    <w:rPr>
      <w:rFonts w:ascii="Calibri" w:hAnsi="Calibri"/>
      <w:szCs w:val="22"/>
      <w:lang w:val="en-GB" w:eastAsia="en-GB"/>
    </w:rPr>
  </w:style>
  <w:style w:type="paragraph" w:styleId="TOC9">
    <w:name w:val="toc 9"/>
    <w:basedOn w:val="Normal"/>
    <w:next w:val="Normal"/>
    <w:autoRedefine/>
    <w:uiPriority w:val="39"/>
    <w:unhideWhenUsed/>
    <w:rsid w:val="008203DC"/>
    <w:pPr>
      <w:spacing w:after="100" w:line="276" w:lineRule="auto"/>
      <w:ind w:left="1760"/>
    </w:pPr>
    <w:rPr>
      <w:rFonts w:ascii="Calibri" w:hAnsi="Calibri"/>
      <w:szCs w:val="22"/>
      <w:lang w:val="en-GB" w:eastAsia="en-GB"/>
    </w:rPr>
  </w:style>
  <w:style w:type="character" w:customStyle="1" w:styleId="GridTable3-Accent11">
    <w:name w:val="Grid Table 3 - Accent 11"/>
    <w:uiPriority w:val="33"/>
    <w:qFormat/>
    <w:rsid w:val="00C64CC7"/>
    <w:rPr>
      <w:b/>
      <w:bCs/>
      <w:smallCaps/>
      <w:spacing w:val="5"/>
    </w:rPr>
  </w:style>
  <w:style w:type="paragraph" w:customStyle="1" w:styleId="WWHeading1">
    <w:name w:val="WW_Heading1"/>
    <w:basedOn w:val="Normal"/>
    <w:next w:val="Normal"/>
    <w:rsid w:val="0068110C"/>
    <w:pPr>
      <w:keepNext/>
      <w:numPr>
        <w:numId w:val="3"/>
      </w:numPr>
      <w:suppressAutoHyphens/>
      <w:spacing w:after="240" w:line="360" w:lineRule="auto"/>
      <w:jc w:val="both"/>
      <w:outlineLvl w:val="0"/>
    </w:pPr>
    <w:rPr>
      <w:b/>
      <w:szCs w:val="24"/>
      <w:lang w:eastAsia="en-GB"/>
    </w:rPr>
  </w:style>
  <w:style w:type="paragraph" w:customStyle="1" w:styleId="WWHeading2">
    <w:name w:val="WW_Heading2"/>
    <w:basedOn w:val="Normal"/>
    <w:next w:val="Normal"/>
    <w:rsid w:val="0068110C"/>
    <w:pPr>
      <w:keepNext/>
      <w:numPr>
        <w:ilvl w:val="1"/>
        <w:numId w:val="3"/>
      </w:numPr>
      <w:tabs>
        <w:tab w:val="left" w:pos="3572"/>
        <w:tab w:val="left" w:pos="4082"/>
      </w:tabs>
      <w:suppressAutoHyphens/>
      <w:spacing w:after="240" w:line="360" w:lineRule="auto"/>
      <w:jc w:val="both"/>
      <w:outlineLvl w:val="1"/>
    </w:pPr>
    <w:rPr>
      <w:b/>
      <w:szCs w:val="24"/>
      <w:lang w:eastAsia="en-GB"/>
    </w:rPr>
  </w:style>
  <w:style w:type="paragraph" w:customStyle="1" w:styleId="WWHeading3">
    <w:name w:val="WW_Heading3"/>
    <w:basedOn w:val="Normal"/>
    <w:next w:val="Normal"/>
    <w:rsid w:val="0068110C"/>
    <w:pPr>
      <w:keepNext/>
      <w:numPr>
        <w:ilvl w:val="2"/>
        <w:numId w:val="3"/>
      </w:numPr>
      <w:tabs>
        <w:tab w:val="left" w:pos="4082"/>
        <w:tab w:val="left" w:pos="4593"/>
      </w:tabs>
      <w:suppressAutoHyphens/>
      <w:spacing w:after="240" w:line="360" w:lineRule="auto"/>
      <w:jc w:val="both"/>
      <w:outlineLvl w:val="2"/>
    </w:pPr>
    <w:rPr>
      <w:b/>
      <w:szCs w:val="24"/>
      <w:lang w:eastAsia="en-GB"/>
    </w:rPr>
  </w:style>
  <w:style w:type="paragraph" w:customStyle="1" w:styleId="WWHeading4">
    <w:name w:val="WW_Heading4"/>
    <w:basedOn w:val="Normal"/>
    <w:next w:val="Normal"/>
    <w:rsid w:val="0068110C"/>
    <w:pPr>
      <w:keepNext/>
      <w:numPr>
        <w:ilvl w:val="3"/>
        <w:numId w:val="3"/>
      </w:numPr>
      <w:tabs>
        <w:tab w:val="left" w:pos="4593"/>
        <w:tab w:val="left" w:pos="5103"/>
      </w:tabs>
      <w:suppressAutoHyphens/>
      <w:spacing w:after="240" w:line="360" w:lineRule="auto"/>
      <w:jc w:val="both"/>
      <w:outlineLvl w:val="3"/>
    </w:pPr>
    <w:rPr>
      <w:b/>
      <w:szCs w:val="24"/>
      <w:lang w:eastAsia="en-GB"/>
    </w:rPr>
  </w:style>
  <w:style w:type="paragraph" w:customStyle="1" w:styleId="WWHeading5">
    <w:name w:val="WW_Heading5"/>
    <w:basedOn w:val="Normal"/>
    <w:next w:val="Normal"/>
    <w:rsid w:val="0068110C"/>
    <w:pPr>
      <w:keepNext/>
      <w:numPr>
        <w:ilvl w:val="4"/>
        <w:numId w:val="3"/>
      </w:numPr>
      <w:suppressAutoHyphens/>
      <w:spacing w:after="240" w:line="360" w:lineRule="auto"/>
      <w:jc w:val="both"/>
      <w:outlineLvl w:val="4"/>
    </w:pPr>
    <w:rPr>
      <w:b/>
      <w:szCs w:val="24"/>
      <w:lang w:eastAsia="en-GB"/>
    </w:rPr>
  </w:style>
  <w:style w:type="paragraph" w:customStyle="1" w:styleId="WWHeading6">
    <w:name w:val="WW_Heading6"/>
    <w:basedOn w:val="Normal"/>
    <w:next w:val="Normal"/>
    <w:rsid w:val="0068110C"/>
    <w:pPr>
      <w:keepNext/>
      <w:numPr>
        <w:ilvl w:val="5"/>
        <w:numId w:val="3"/>
      </w:numPr>
      <w:suppressAutoHyphens/>
      <w:spacing w:after="240" w:line="360" w:lineRule="auto"/>
      <w:jc w:val="both"/>
      <w:outlineLvl w:val="5"/>
    </w:pPr>
    <w:rPr>
      <w:b/>
      <w:szCs w:val="24"/>
      <w:lang w:eastAsia="en-GB"/>
    </w:rPr>
  </w:style>
  <w:style w:type="paragraph" w:customStyle="1" w:styleId="WWHeading7">
    <w:name w:val="WW_Heading7"/>
    <w:basedOn w:val="Normal"/>
    <w:next w:val="Normal"/>
    <w:rsid w:val="0068110C"/>
    <w:pPr>
      <w:keepNext/>
      <w:numPr>
        <w:ilvl w:val="6"/>
        <w:numId w:val="3"/>
      </w:numPr>
      <w:suppressAutoHyphens/>
      <w:spacing w:after="240" w:line="360" w:lineRule="auto"/>
      <w:jc w:val="both"/>
      <w:outlineLvl w:val="6"/>
    </w:pPr>
    <w:rPr>
      <w:b/>
      <w:szCs w:val="24"/>
      <w:lang w:eastAsia="en-GB"/>
    </w:rPr>
  </w:style>
  <w:style w:type="paragraph" w:customStyle="1" w:styleId="WWBodyText9">
    <w:name w:val="WW_BodyText9"/>
    <w:basedOn w:val="Normal"/>
    <w:rsid w:val="0068110C"/>
    <w:pPr>
      <w:suppressAutoHyphens/>
      <w:spacing w:after="240" w:line="360" w:lineRule="auto"/>
      <w:ind w:left="4593"/>
      <w:jc w:val="both"/>
    </w:pPr>
    <w:rPr>
      <w:szCs w:val="24"/>
      <w:lang w:eastAsia="en-GB"/>
    </w:rPr>
  </w:style>
  <w:style w:type="paragraph" w:customStyle="1" w:styleId="WWList1">
    <w:name w:val="WW_List1"/>
    <w:basedOn w:val="WWHeading1"/>
    <w:next w:val="Normal"/>
    <w:link w:val="WWList1Char"/>
    <w:rsid w:val="0068110C"/>
    <w:pPr>
      <w:keepNext w:val="0"/>
    </w:pPr>
    <w:rPr>
      <w:b w:val="0"/>
    </w:rPr>
  </w:style>
  <w:style w:type="character" w:customStyle="1" w:styleId="WWList1Char">
    <w:name w:val="WW_List1 Char"/>
    <w:link w:val="WWList1"/>
    <w:rsid w:val="0068110C"/>
    <w:rPr>
      <w:rFonts w:ascii="Arial" w:hAnsi="Arial"/>
      <w:sz w:val="22"/>
      <w:szCs w:val="24"/>
      <w:lang w:val="en-ZA" w:eastAsia="en-GB"/>
    </w:rPr>
  </w:style>
  <w:style w:type="paragraph" w:customStyle="1" w:styleId="WWBodyText2">
    <w:name w:val="WW_BodyText2"/>
    <w:basedOn w:val="Normal"/>
    <w:rsid w:val="00416399"/>
    <w:pPr>
      <w:tabs>
        <w:tab w:val="left" w:pos="3572"/>
        <w:tab w:val="left" w:pos="4082"/>
      </w:tabs>
      <w:suppressAutoHyphens/>
      <w:spacing w:after="240" w:line="360" w:lineRule="auto"/>
      <w:ind w:left="1021"/>
      <w:jc w:val="both"/>
    </w:pPr>
    <w:rPr>
      <w:szCs w:val="24"/>
      <w:lang w:eastAsia="en-GB"/>
    </w:rPr>
  </w:style>
  <w:style w:type="paragraph" w:customStyle="1" w:styleId="WWBodyText3">
    <w:name w:val="WW_BodyText3"/>
    <w:basedOn w:val="Normal"/>
    <w:rsid w:val="00416399"/>
    <w:pPr>
      <w:tabs>
        <w:tab w:val="left" w:pos="4082"/>
        <w:tab w:val="left" w:pos="4593"/>
      </w:tabs>
      <w:suppressAutoHyphens/>
      <w:spacing w:after="240" w:line="360" w:lineRule="auto"/>
      <w:ind w:left="1531"/>
      <w:jc w:val="both"/>
    </w:pPr>
    <w:rPr>
      <w:szCs w:val="24"/>
      <w:lang w:eastAsia="en-GB"/>
    </w:rPr>
  </w:style>
  <w:style w:type="character" w:customStyle="1" w:styleId="normal--char">
    <w:name w:val="normal--char"/>
    <w:basedOn w:val="DefaultParagraphFont"/>
    <w:rsid w:val="00507715"/>
  </w:style>
  <w:style w:type="character" w:customStyle="1" w:styleId="ju--005fpara----char--char">
    <w:name w:val="ju--005fpara----char--char"/>
    <w:basedOn w:val="DefaultParagraphFont"/>
    <w:rsid w:val="00507715"/>
  </w:style>
  <w:style w:type="character" w:styleId="Strong">
    <w:name w:val="Strong"/>
    <w:qFormat/>
    <w:rsid w:val="00BB6540"/>
    <w:rPr>
      <w:b/>
      <w:bCs/>
    </w:rPr>
  </w:style>
  <w:style w:type="character" w:customStyle="1" w:styleId="mc">
    <w:name w:val="mc"/>
    <w:basedOn w:val="DefaultParagraphFont"/>
    <w:rsid w:val="00DD471C"/>
  </w:style>
  <w:style w:type="paragraph" w:customStyle="1" w:styleId="MediumList2-Accent21">
    <w:name w:val="Medium List 2 - Accent 21"/>
    <w:hidden/>
    <w:uiPriority w:val="99"/>
    <w:semiHidden/>
    <w:rsid w:val="0085053D"/>
    <w:rPr>
      <w:rFonts w:ascii="Arial" w:hAnsi="Arial"/>
      <w:sz w:val="22"/>
      <w:lang w:eastAsia="en-US"/>
    </w:rPr>
  </w:style>
  <w:style w:type="paragraph" w:customStyle="1" w:styleId="GridTable5Dark-Accent11">
    <w:name w:val="Grid Table 5 Dark - Accent 11"/>
    <w:basedOn w:val="Heading1"/>
    <w:next w:val="Normal"/>
    <w:uiPriority w:val="39"/>
    <w:semiHidden/>
    <w:unhideWhenUsed/>
    <w:qFormat/>
    <w:rsid w:val="00F7066B"/>
    <w:pPr>
      <w:keepLines/>
      <w:spacing w:line="276" w:lineRule="auto"/>
      <w:jc w:val="left"/>
      <w:outlineLvl w:val="9"/>
    </w:pPr>
    <w:rPr>
      <w:rFonts w:ascii="Cambria" w:hAnsi="Cambria"/>
      <w:bCs/>
      <w:color w:val="365F91"/>
      <w:sz w:val="28"/>
      <w:szCs w:val="28"/>
      <w:lang w:val="en-US"/>
    </w:rPr>
  </w:style>
  <w:style w:type="character" w:styleId="PageNumber">
    <w:name w:val="page number"/>
    <w:uiPriority w:val="99"/>
    <w:semiHidden/>
    <w:unhideWhenUsed/>
    <w:rsid w:val="00EC38C4"/>
  </w:style>
  <w:style w:type="paragraph" w:customStyle="1" w:styleId="Parties">
    <w:name w:val="Parties"/>
    <w:basedOn w:val="Normal"/>
    <w:rsid w:val="00205593"/>
    <w:pPr>
      <w:tabs>
        <w:tab w:val="right" w:pos="9029"/>
      </w:tabs>
      <w:suppressAutoHyphens/>
      <w:jc w:val="both"/>
    </w:pPr>
    <w:rPr>
      <w:snapToGrid w:val="0"/>
      <w:sz w:val="24"/>
      <w:lang w:val="en-GB"/>
    </w:rPr>
  </w:style>
  <w:style w:type="paragraph" w:customStyle="1" w:styleId="TramLine">
    <w:name w:val="TramLine"/>
    <w:basedOn w:val="Normal"/>
    <w:rsid w:val="00205593"/>
    <w:pPr>
      <w:pBdr>
        <w:top w:val="single" w:sz="4" w:space="12" w:color="auto"/>
        <w:bottom w:val="single" w:sz="4" w:space="9" w:color="auto"/>
      </w:pBdr>
      <w:suppressAutoHyphens/>
      <w:jc w:val="both"/>
    </w:pPr>
    <w:rPr>
      <w:b/>
      <w:snapToGrid w:val="0"/>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04843">
      <w:bodyDiv w:val="1"/>
      <w:marLeft w:val="0"/>
      <w:marRight w:val="0"/>
      <w:marTop w:val="0"/>
      <w:marBottom w:val="0"/>
      <w:divBdr>
        <w:top w:val="none" w:sz="0" w:space="0" w:color="auto"/>
        <w:left w:val="none" w:sz="0" w:space="0" w:color="auto"/>
        <w:bottom w:val="none" w:sz="0" w:space="0" w:color="auto"/>
        <w:right w:val="none" w:sz="0" w:space="0" w:color="auto"/>
      </w:divBdr>
    </w:div>
    <w:div w:id="171339703">
      <w:bodyDiv w:val="1"/>
      <w:marLeft w:val="0"/>
      <w:marRight w:val="0"/>
      <w:marTop w:val="0"/>
      <w:marBottom w:val="0"/>
      <w:divBdr>
        <w:top w:val="none" w:sz="0" w:space="0" w:color="auto"/>
        <w:left w:val="none" w:sz="0" w:space="0" w:color="auto"/>
        <w:bottom w:val="none" w:sz="0" w:space="0" w:color="auto"/>
        <w:right w:val="none" w:sz="0" w:space="0" w:color="auto"/>
      </w:divBdr>
    </w:div>
    <w:div w:id="242683044">
      <w:bodyDiv w:val="1"/>
      <w:marLeft w:val="0"/>
      <w:marRight w:val="0"/>
      <w:marTop w:val="0"/>
      <w:marBottom w:val="0"/>
      <w:divBdr>
        <w:top w:val="none" w:sz="0" w:space="0" w:color="auto"/>
        <w:left w:val="none" w:sz="0" w:space="0" w:color="auto"/>
        <w:bottom w:val="none" w:sz="0" w:space="0" w:color="auto"/>
        <w:right w:val="none" w:sz="0" w:space="0" w:color="auto"/>
      </w:divBdr>
    </w:div>
    <w:div w:id="265967616">
      <w:bodyDiv w:val="1"/>
      <w:marLeft w:val="0"/>
      <w:marRight w:val="0"/>
      <w:marTop w:val="0"/>
      <w:marBottom w:val="0"/>
      <w:divBdr>
        <w:top w:val="none" w:sz="0" w:space="0" w:color="auto"/>
        <w:left w:val="none" w:sz="0" w:space="0" w:color="auto"/>
        <w:bottom w:val="none" w:sz="0" w:space="0" w:color="auto"/>
        <w:right w:val="none" w:sz="0" w:space="0" w:color="auto"/>
      </w:divBdr>
      <w:divsChild>
        <w:div w:id="414476434">
          <w:marLeft w:val="0"/>
          <w:marRight w:val="0"/>
          <w:marTop w:val="0"/>
          <w:marBottom w:val="0"/>
          <w:divBdr>
            <w:top w:val="none" w:sz="0" w:space="0" w:color="auto"/>
            <w:left w:val="none" w:sz="0" w:space="0" w:color="auto"/>
            <w:bottom w:val="none" w:sz="0" w:space="0" w:color="auto"/>
            <w:right w:val="none" w:sz="0" w:space="0" w:color="auto"/>
          </w:divBdr>
        </w:div>
        <w:div w:id="460265307">
          <w:marLeft w:val="0"/>
          <w:marRight w:val="0"/>
          <w:marTop w:val="0"/>
          <w:marBottom w:val="0"/>
          <w:divBdr>
            <w:top w:val="none" w:sz="0" w:space="0" w:color="auto"/>
            <w:left w:val="none" w:sz="0" w:space="0" w:color="auto"/>
            <w:bottom w:val="none" w:sz="0" w:space="0" w:color="auto"/>
            <w:right w:val="none" w:sz="0" w:space="0" w:color="auto"/>
          </w:divBdr>
        </w:div>
        <w:div w:id="485753314">
          <w:marLeft w:val="0"/>
          <w:marRight w:val="0"/>
          <w:marTop w:val="0"/>
          <w:marBottom w:val="0"/>
          <w:divBdr>
            <w:top w:val="none" w:sz="0" w:space="0" w:color="auto"/>
            <w:left w:val="none" w:sz="0" w:space="0" w:color="auto"/>
            <w:bottom w:val="none" w:sz="0" w:space="0" w:color="auto"/>
            <w:right w:val="none" w:sz="0" w:space="0" w:color="auto"/>
          </w:divBdr>
        </w:div>
        <w:div w:id="709572931">
          <w:marLeft w:val="0"/>
          <w:marRight w:val="0"/>
          <w:marTop w:val="0"/>
          <w:marBottom w:val="0"/>
          <w:divBdr>
            <w:top w:val="none" w:sz="0" w:space="0" w:color="auto"/>
            <w:left w:val="none" w:sz="0" w:space="0" w:color="auto"/>
            <w:bottom w:val="none" w:sz="0" w:space="0" w:color="auto"/>
            <w:right w:val="none" w:sz="0" w:space="0" w:color="auto"/>
          </w:divBdr>
        </w:div>
        <w:div w:id="850798971">
          <w:marLeft w:val="0"/>
          <w:marRight w:val="0"/>
          <w:marTop w:val="0"/>
          <w:marBottom w:val="0"/>
          <w:divBdr>
            <w:top w:val="none" w:sz="0" w:space="0" w:color="auto"/>
            <w:left w:val="none" w:sz="0" w:space="0" w:color="auto"/>
            <w:bottom w:val="none" w:sz="0" w:space="0" w:color="auto"/>
            <w:right w:val="none" w:sz="0" w:space="0" w:color="auto"/>
          </w:divBdr>
        </w:div>
        <w:div w:id="1046367829">
          <w:marLeft w:val="0"/>
          <w:marRight w:val="0"/>
          <w:marTop w:val="0"/>
          <w:marBottom w:val="0"/>
          <w:divBdr>
            <w:top w:val="none" w:sz="0" w:space="0" w:color="auto"/>
            <w:left w:val="none" w:sz="0" w:space="0" w:color="auto"/>
            <w:bottom w:val="none" w:sz="0" w:space="0" w:color="auto"/>
            <w:right w:val="none" w:sz="0" w:space="0" w:color="auto"/>
          </w:divBdr>
        </w:div>
        <w:div w:id="1072779794">
          <w:marLeft w:val="0"/>
          <w:marRight w:val="0"/>
          <w:marTop w:val="0"/>
          <w:marBottom w:val="0"/>
          <w:divBdr>
            <w:top w:val="none" w:sz="0" w:space="0" w:color="auto"/>
            <w:left w:val="none" w:sz="0" w:space="0" w:color="auto"/>
            <w:bottom w:val="none" w:sz="0" w:space="0" w:color="auto"/>
            <w:right w:val="none" w:sz="0" w:space="0" w:color="auto"/>
          </w:divBdr>
        </w:div>
        <w:div w:id="1082919439">
          <w:marLeft w:val="0"/>
          <w:marRight w:val="0"/>
          <w:marTop w:val="0"/>
          <w:marBottom w:val="0"/>
          <w:divBdr>
            <w:top w:val="none" w:sz="0" w:space="0" w:color="auto"/>
            <w:left w:val="none" w:sz="0" w:space="0" w:color="auto"/>
            <w:bottom w:val="none" w:sz="0" w:space="0" w:color="auto"/>
            <w:right w:val="none" w:sz="0" w:space="0" w:color="auto"/>
          </w:divBdr>
        </w:div>
        <w:div w:id="1272786703">
          <w:marLeft w:val="0"/>
          <w:marRight w:val="0"/>
          <w:marTop w:val="0"/>
          <w:marBottom w:val="0"/>
          <w:divBdr>
            <w:top w:val="none" w:sz="0" w:space="0" w:color="auto"/>
            <w:left w:val="none" w:sz="0" w:space="0" w:color="auto"/>
            <w:bottom w:val="none" w:sz="0" w:space="0" w:color="auto"/>
            <w:right w:val="none" w:sz="0" w:space="0" w:color="auto"/>
          </w:divBdr>
        </w:div>
        <w:div w:id="1436439401">
          <w:marLeft w:val="0"/>
          <w:marRight w:val="0"/>
          <w:marTop w:val="0"/>
          <w:marBottom w:val="0"/>
          <w:divBdr>
            <w:top w:val="none" w:sz="0" w:space="0" w:color="auto"/>
            <w:left w:val="none" w:sz="0" w:space="0" w:color="auto"/>
            <w:bottom w:val="none" w:sz="0" w:space="0" w:color="auto"/>
            <w:right w:val="none" w:sz="0" w:space="0" w:color="auto"/>
          </w:divBdr>
        </w:div>
        <w:div w:id="1629125798">
          <w:marLeft w:val="0"/>
          <w:marRight w:val="0"/>
          <w:marTop w:val="0"/>
          <w:marBottom w:val="0"/>
          <w:divBdr>
            <w:top w:val="none" w:sz="0" w:space="0" w:color="auto"/>
            <w:left w:val="none" w:sz="0" w:space="0" w:color="auto"/>
            <w:bottom w:val="none" w:sz="0" w:space="0" w:color="auto"/>
            <w:right w:val="none" w:sz="0" w:space="0" w:color="auto"/>
          </w:divBdr>
        </w:div>
        <w:div w:id="1845317766">
          <w:marLeft w:val="0"/>
          <w:marRight w:val="0"/>
          <w:marTop w:val="0"/>
          <w:marBottom w:val="0"/>
          <w:divBdr>
            <w:top w:val="none" w:sz="0" w:space="0" w:color="auto"/>
            <w:left w:val="none" w:sz="0" w:space="0" w:color="auto"/>
            <w:bottom w:val="none" w:sz="0" w:space="0" w:color="auto"/>
            <w:right w:val="none" w:sz="0" w:space="0" w:color="auto"/>
          </w:divBdr>
        </w:div>
        <w:div w:id="1852259103">
          <w:marLeft w:val="0"/>
          <w:marRight w:val="0"/>
          <w:marTop w:val="0"/>
          <w:marBottom w:val="0"/>
          <w:divBdr>
            <w:top w:val="none" w:sz="0" w:space="0" w:color="auto"/>
            <w:left w:val="none" w:sz="0" w:space="0" w:color="auto"/>
            <w:bottom w:val="none" w:sz="0" w:space="0" w:color="auto"/>
            <w:right w:val="none" w:sz="0" w:space="0" w:color="auto"/>
          </w:divBdr>
        </w:div>
      </w:divsChild>
    </w:div>
    <w:div w:id="300111756">
      <w:bodyDiv w:val="1"/>
      <w:marLeft w:val="0"/>
      <w:marRight w:val="0"/>
      <w:marTop w:val="0"/>
      <w:marBottom w:val="0"/>
      <w:divBdr>
        <w:top w:val="none" w:sz="0" w:space="0" w:color="auto"/>
        <w:left w:val="none" w:sz="0" w:space="0" w:color="auto"/>
        <w:bottom w:val="none" w:sz="0" w:space="0" w:color="auto"/>
        <w:right w:val="none" w:sz="0" w:space="0" w:color="auto"/>
      </w:divBdr>
      <w:divsChild>
        <w:div w:id="174535684">
          <w:marLeft w:val="0"/>
          <w:marRight w:val="0"/>
          <w:marTop w:val="0"/>
          <w:marBottom w:val="0"/>
          <w:divBdr>
            <w:top w:val="single" w:sz="4" w:space="2" w:color="6B90DA"/>
            <w:left w:val="none" w:sz="0" w:space="0" w:color="auto"/>
            <w:bottom w:val="none" w:sz="0" w:space="0" w:color="auto"/>
            <w:right w:val="none" w:sz="0" w:space="0" w:color="auto"/>
          </w:divBdr>
        </w:div>
      </w:divsChild>
    </w:div>
    <w:div w:id="411776612">
      <w:bodyDiv w:val="1"/>
      <w:marLeft w:val="0"/>
      <w:marRight w:val="0"/>
      <w:marTop w:val="0"/>
      <w:marBottom w:val="0"/>
      <w:divBdr>
        <w:top w:val="none" w:sz="0" w:space="0" w:color="auto"/>
        <w:left w:val="none" w:sz="0" w:space="0" w:color="auto"/>
        <w:bottom w:val="none" w:sz="0" w:space="0" w:color="auto"/>
        <w:right w:val="none" w:sz="0" w:space="0" w:color="auto"/>
      </w:divBdr>
      <w:divsChild>
        <w:div w:id="275990821">
          <w:marLeft w:val="0"/>
          <w:marRight w:val="0"/>
          <w:marTop w:val="0"/>
          <w:marBottom w:val="0"/>
          <w:divBdr>
            <w:top w:val="none" w:sz="0" w:space="0" w:color="auto"/>
            <w:left w:val="none" w:sz="0" w:space="0" w:color="auto"/>
            <w:bottom w:val="none" w:sz="0" w:space="0" w:color="auto"/>
            <w:right w:val="none" w:sz="0" w:space="0" w:color="auto"/>
          </w:divBdr>
        </w:div>
        <w:div w:id="479004320">
          <w:marLeft w:val="0"/>
          <w:marRight w:val="0"/>
          <w:marTop w:val="0"/>
          <w:marBottom w:val="0"/>
          <w:divBdr>
            <w:top w:val="none" w:sz="0" w:space="0" w:color="auto"/>
            <w:left w:val="none" w:sz="0" w:space="0" w:color="auto"/>
            <w:bottom w:val="none" w:sz="0" w:space="0" w:color="auto"/>
            <w:right w:val="none" w:sz="0" w:space="0" w:color="auto"/>
          </w:divBdr>
        </w:div>
        <w:div w:id="746342525">
          <w:marLeft w:val="0"/>
          <w:marRight w:val="0"/>
          <w:marTop w:val="0"/>
          <w:marBottom w:val="0"/>
          <w:divBdr>
            <w:top w:val="none" w:sz="0" w:space="0" w:color="auto"/>
            <w:left w:val="none" w:sz="0" w:space="0" w:color="auto"/>
            <w:bottom w:val="none" w:sz="0" w:space="0" w:color="auto"/>
            <w:right w:val="none" w:sz="0" w:space="0" w:color="auto"/>
          </w:divBdr>
        </w:div>
        <w:div w:id="920681621">
          <w:marLeft w:val="0"/>
          <w:marRight w:val="0"/>
          <w:marTop w:val="0"/>
          <w:marBottom w:val="0"/>
          <w:divBdr>
            <w:top w:val="none" w:sz="0" w:space="0" w:color="auto"/>
            <w:left w:val="none" w:sz="0" w:space="0" w:color="auto"/>
            <w:bottom w:val="none" w:sz="0" w:space="0" w:color="auto"/>
            <w:right w:val="none" w:sz="0" w:space="0" w:color="auto"/>
          </w:divBdr>
        </w:div>
        <w:div w:id="1156798214">
          <w:marLeft w:val="0"/>
          <w:marRight w:val="0"/>
          <w:marTop w:val="0"/>
          <w:marBottom w:val="0"/>
          <w:divBdr>
            <w:top w:val="none" w:sz="0" w:space="0" w:color="auto"/>
            <w:left w:val="none" w:sz="0" w:space="0" w:color="auto"/>
            <w:bottom w:val="none" w:sz="0" w:space="0" w:color="auto"/>
            <w:right w:val="none" w:sz="0" w:space="0" w:color="auto"/>
          </w:divBdr>
        </w:div>
        <w:div w:id="1652712151">
          <w:marLeft w:val="0"/>
          <w:marRight w:val="0"/>
          <w:marTop w:val="0"/>
          <w:marBottom w:val="0"/>
          <w:divBdr>
            <w:top w:val="none" w:sz="0" w:space="0" w:color="auto"/>
            <w:left w:val="none" w:sz="0" w:space="0" w:color="auto"/>
            <w:bottom w:val="none" w:sz="0" w:space="0" w:color="auto"/>
            <w:right w:val="none" w:sz="0" w:space="0" w:color="auto"/>
          </w:divBdr>
        </w:div>
        <w:div w:id="1864395078">
          <w:marLeft w:val="0"/>
          <w:marRight w:val="0"/>
          <w:marTop w:val="0"/>
          <w:marBottom w:val="0"/>
          <w:divBdr>
            <w:top w:val="none" w:sz="0" w:space="0" w:color="auto"/>
            <w:left w:val="none" w:sz="0" w:space="0" w:color="auto"/>
            <w:bottom w:val="none" w:sz="0" w:space="0" w:color="auto"/>
            <w:right w:val="none" w:sz="0" w:space="0" w:color="auto"/>
          </w:divBdr>
        </w:div>
      </w:divsChild>
    </w:div>
    <w:div w:id="829442489">
      <w:bodyDiv w:val="1"/>
      <w:marLeft w:val="0"/>
      <w:marRight w:val="0"/>
      <w:marTop w:val="0"/>
      <w:marBottom w:val="0"/>
      <w:divBdr>
        <w:top w:val="none" w:sz="0" w:space="0" w:color="auto"/>
        <w:left w:val="none" w:sz="0" w:space="0" w:color="auto"/>
        <w:bottom w:val="none" w:sz="0" w:space="0" w:color="auto"/>
        <w:right w:val="none" w:sz="0" w:space="0" w:color="auto"/>
      </w:divBdr>
    </w:div>
    <w:div w:id="833758757">
      <w:bodyDiv w:val="1"/>
      <w:marLeft w:val="0"/>
      <w:marRight w:val="0"/>
      <w:marTop w:val="0"/>
      <w:marBottom w:val="0"/>
      <w:divBdr>
        <w:top w:val="none" w:sz="0" w:space="0" w:color="auto"/>
        <w:left w:val="none" w:sz="0" w:space="0" w:color="auto"/>
        <w:bottom w:val="none" w:sz="0" w:space="0" w:color="auto"/>
        <w:right w:val="none" w:sz="0" w:space="0" w:color="auto"/>
      </w:divBdr>
    </w:div>
    <w:div w:id="1193693669">
      <w:bodyDiv w:val="1"/>
      <w:marLeft w:val="0"/>
      <w:marRight w:val="0"/>
      <w:marTop w:val="0"/>
      <w:marBottom w:val="0"/>
      <w:divBdr>
        <w:top w:val="none" w:sz="0" w:space="0" w:color="auto"/>
        <w:left w:val="none" w:sz="0" w:space="0" w:color="auto"/>
        <w:bottom w:val="none" w:sz="0" w:space="0" w:color="auto"/>
        <w:right w:val="none" w:sz="0" w:space="0" w:color="auto"/>
      </w:divBdr>
    </w:div>
    <w:div w:id="1286539359">
      <w:bodyDiv w:val="1"/>
      <w:marLeft w:val="0"/>
      <w:marRight w:val="0"/>
      <w:marTop w:val="0"/>
      <w:marBottom w:val="0"/>
      <w:divBdr>
        <w:top w:val="none" w:sz="0" w:space="0" w:color="auto"/>
        <w:left w:val="none" w:sz="0" w:space="0" w:color="auto"/>
        <w:bottom w:val="none" w:sz="0" w:space="0" w:color="auto"/>
        <w:right w:val="none" w:sz="0" w:space="0" w:color="auto"/>
      </w:divBdr>
      <w:divsChild>
        <w:div w:id="562060827">
          <w:marLeft w:val="0"/>
          <w:marRight w:val="0"/>
          <w:marTop w:val="0"/>
          <w:marBottom w:val="0"/>
          <w:divBdr>
            <w:top w:val="none" w:sz="0" w:space="0" w:color="auto"/>
            <w:left w:val="none" w:sz="0" w:space="0" w:color="auto"/>
            <w:bottom w:val="none" w:sz="0" w:space="0" w:color="auto"/>
            <w:right w:val="none" w:sz="0" w:space="0" w:color="auto"/>
          </w:divBdr>
        </w:div>
        <w:div w:id="1082874023">
          <w:marLeft w:val="0"/>
          <w:marRight w:val="0"/>
          <w:marTop w:val="0"/>
          <w:marBottom w:val="0"/>
          <w:divBdr>
            <w:top w:val="none" w:sz="0" w:space="0" w:color="auto"/>
            <w:left w:val="none" w:sz="0" w:space="0" w:color="auto"/>
            <w:bottom w:val="none" w:sz="0" w:space="0" w:color="auto"/>
            <w:right w:val="none" w:sz="0" w:space="0" w:color="auto"/>
          </w:divBdr>
        </w:div>
        <w:div w:id="1477649002">
          <w:marLeft w:val="0"/>
          <w:marRight w:val="0"/>
          <w:marTop w:val="0"/>
          <w:marBottom w:val="0"/>
          <w:divBdr>
            <w:top w:val="none" w:sz="0" w:space="0" w:color="auto"/>
            <w:left w:val="none" w:sz="0" w:space="0" w:color="auto"/>
            <w:bottom w:val="none" w:sz="0" w:space="0" w:color="auto"/>
            <w:right w:val="none" w:sz="0" w:space="0" w:color="auto"/>
          </w:divBdr>
        </w:div>
      </w:divsChild>
    </w:div>
    <w:div w:id="1417441370">
      <w:bodyDiv w:val="1"/>
      <w:marLeft w:val="0"/>
      <w:marRight w:val="0"/>
      <w:marTop w:val="0"/>
      <w:marBottom w:val="0"/>
      <w:divBdr>
        <w:top w:val="none" w:sz="0" w:space="0" w:color="auto"/>
        <w:left w:val="none" w:sz="0" w:space="0" w:color="auto"/>
        <w:bottom w:val="none" w:sz="0" w:space="0" w:color="auto"/>
        <w:right w:val="none" w:sz="0" w:space="0" w:color="auto"/>
      </w:divBdr>
    </w:div>
    <w:div w:id="1473987912">
      <w:bodyDiv w:val="1"/>
      <w:marLeft w:val="0"/>
      <w:marRight w:val="0"/>
      <w:marTop w:val="0"/>
      <w:marBottom w:val="0"/>
      <w:divBdr>
        <w:top w:val="none" w:sz="0" w:space="0" w:color="auto"/>
        <w:left w:val="none" w:sz="0" w:space="0" w:color="auto"/>
        <w:bottom w:val="none" w:sz="0" w:space="0" w:color="auto"/>
        <w:right w:val="none" w:sz="0" w:space="0" w:color="auto"/>
      </w:divBdr>
    </w:div>
    <w:div w:id="1748915270">
      <w:bodyDiv w:val="1"/>
      <w:marLeft w:val="0"/>
      <w:marRight w:val="0"/>
      <w:marTop w:val="0"/>
      <w:marBottom w:val="0"/>
      <w:divBdr>
        <w:top w:val="none" w:sz="0" w:space="0" w:color="auto"/>
        <w:left w:val="none" w:sz="0" w:space="0" w:color="auto"/>
        <w:bottom w:val="none" w:sz="0" w:space="0" w:color="auto"/>
        <w:right w:val="none" w:sz="0" w:space="0" w:color="auto"/>
      </w:divBdr>
    </w:div>
    <w:div w:id="1819959067">
      <w:bodyDiv w:val="1"/>
      <w:marLeft w:val="0"/>
      <w:marRight w:val="0"/>
      <w:marTop w:val="0"/>
      <w:marBottom w:val="0"/>
      <w:divBdr>
        <w:top w:val="none" w:sz="0" w:space="0" w:color="auto"/>
        <w:left w:val="none" w:sz="0" w:space="0" w:color="auto"/>
        <w:bottom w:val="none" w:sz="0" w:space="0" w:color="auto"/>
        <w:right w:val="none" w:sz="0" w:space="0" w:color="auto"/>
      </w:divBdr>
    </w:div>
    <w:div w:id="2119981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C594F2-3B94-49B3-8C98-96E1B2A94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51</Pages>
  <Words>6292</Words>
  <Characters>35865</Characters>
  <Application>Microsoft Office Word</Application>
  <DocSecurity>0</DocSecurity>
  <Lines>298</Lines>
  <Paragraphs>84</Paragraphs>
  <ScaleCrop>false</ScaleCrop>
  <HeadingPairs>
    <vt:vector size="2" baseType="variant">
      <vt:variant>
        <vt:lpstr>Title</vt:lpstr>
      </vt:variant>
      <vt:variant>
        <vt:i4>1</vt:i4>
      </vt:variant>
    </vt:vector>
  </HeadingPairs>
  <TitlesOfParts>
    <vt:vector size="1" baseType="lpstr">
      <vt:lpstr>IN THE NORTH GAUTENG HIGH COURT</vt:lpstr>
    </vt:vector>
  </TitlesOfParts>
  <Company/>
  <LinksUpToDate>false</LinksUpToDate>
  <CharactersWithSpaces>42073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 THE NORTH GAUTENG HIGH COURT</dc:title>
  <dc:subject/>
  <dc:creator>Kate Hofmeyr</dc:creator>
  <cp:keywords/>
  <cp:lastModifiedBy>Nzuzo Nzuza </cp:lastModifiedBy>
  <cp:revision>3</cp:revision>
  <cp:lastPrinted>2018-09-20T12:50:00Z</cp:lastPrinted>
  <dcterms:created xsi:type="dcterms:W3CDTF">2018-09-20T12:45:00Z</dcterms:created>
  <dcterms:modified xsi:type="dcterms:W3CDTF">2018-09-20T12:50:00Z</dcterms:modified>
</cp:coreProperties>
</file>