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E88BC3" w14:textId="77777777" w:rsidR="00F5283F" w:rsidRDefault="00CA458C" w:rsidP="00720ACA">
      <w:pPr>
        <w:jc w:val="center"/>
      </w:pPr>
      <w:r w:rsidRPr="00CA458C">
        <w:rPr>
          <w:noProof/>
          <w:lang w:eastAsia="en-ZA"/>
        </w:rPr>
        <w:drawing>
          <wp:inline distT="0" distB="0" distL="0" distR="0" wp14:anchorId="007DA579" wp14:editId="6F41D20B">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8" r:link="rId9"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2846894A" w14:textId="77777777" w:rsidR="00F5283F" w:rsidRDefault="00F5283F" w:rsidP="00720ACA">
      <w:pPr>
        <w:jc w:val="center"/>
      </w:pPr>
    </w:p>
    <w:p w14:paraId="350DA05E" w14:textId="77777777"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14:paraId="66CE10BC" w14:textId="77777777" w:rsidR="001E5F5A" w:rsidRPr="00100894" w:rsidRDefault="001E5F5A" w:rsidP="00AE4640"/>
    <w:p w14:paraId="0A64ED4B" w14:textId="680AB69E" w:rsidR="006966FC" w:rsidRPr="0007028D" w:rsidRDefault="006D38EE" w:rsidP="00587A53">
      <w:pPr>
        <w:jc w:val="center"/>
      </w:pPr>
      <w:r>
        <w:rPr>
          <w:b/>
        </w:rPr>
        <w:t xml:space="preserve">Competition Commission of South Africa </w:t>
      </w:r>
      <w:r w:rsidR="00C1701A">
        <w:rPr>
          <w:b/>
        </w:rPr>
        <w:t xml:space="preserve">v </w:t>
      </w:r>
      <w:r>
        <w:rPr>
          <w:b/>
        </w:rPr>
        <w:t>Media 24 (</w:t>
      </w:r>
      <w:r w:rsidR="003D72F3">
        <w:rPr>
          <w:b/>
        </w:rPr>
        <w:t>Pty</w:t>
      </w:r>
      <w:r w:rsidR="00877DFB">
        <w:rPr>
          <w:b/>
        </w:rPr>
        <w:t>) Limite</w:t>
      </w:r>
      <w:r>
        <w:rPr>
          <w:b/>
        </w:rPr>
        <w:t>d</w:t>
      </w:r>
    </w:p>
    <w:p w14:paraId="5CF0066C" w14:textId="77777777" w:rsidR="006966FC" w:rsidRDefault="006966FC" w:rsidP="006966FC">
      <w:pPr>
        <w:tabs>
          <w:tab w:val="right" w:pos="9360"/>
        </w:tabs>
        <w:ind w:right="284"/>
        <w:rPr>
          <w:bCs/>
          <w:sz w:val="26"/>
          <w:szCs w:val="26"/>
          <w:lang w:val="en-GB"/>
        </w:rPr>
      </w:pPr>
    </w:p>
    <w:p w14:paraId="7F335591" w14:textId="77777777" w:rsidR="00D40819" w:rsidRDefault="00D40819" w:rsidP="00077DB0">
      <w:pPr>
        <w:jc w:val="right"/>
        <w:rPr>
          <w:b/>
        </w:rPr>
      </w:pPr>
      <w:r w:rsidRPr="00100894">
        <w:rPr>
          <w:b/>
        </w:rPr>
        <w:t>CCT</w:t>
      </w:r>
      <w:r w:rsidR="00720ACA" w:rsidRPr="00100894">
        <w:rPr>
          <w:b/>
        </w:rPr>
        <w:t xml:space="preserve"> </w:t>
      </w:r>
      <w:r w:rsidR="006D38EE">
        <w:rPr>
          <w:b/>
        </w:rPr>
        <w:t>90</w:t>
      </w:r>
      <w:r w:rsidR="00C1701A">
        <w:rPr>
          <w:b/>
        </w:rPr>
        <w:t>/18</w:t>
      </w:r>
    </w:p>
    <w:p w14:paraId="6F6690F0" w14:textId="77777777" w:rsidR="00CF33A4" w:rsidRPr="00100894" w:rsidRDefault="00CF33A4" w:rsidP="00077DB0">
      <w:pPr>
        <w:jc w:val="right"/>
        <w:rPr>
          <w:b/>
        </w:rPr>
      </w:pPr>
    </w:p>
    <w:p w14:paraId="7F8EA0BA" w14:textId="22FEB387" w:rsidR="006D5000" w:rsidRDefault="006D5000" w:rsidP="00720ACA">
      <w:pPr>
        <w:jc w:val="right"/>
        <w:rPr>
          <w:b/>
        </w:rPr>
      </w:pPr>
      <w:r>
        <w:rPr>
          <w:b/>
        </w:rPr>
        <w:t>Date of hearing: 22 November 2018</w:t>
      </w:r>
    </w:p>
    <w:p w14:paraId="4CD32B5E" w14:textId="6C3D1D01" w:rsidR="00E07942" w:rsidRPr="00100894" w:rsidRDefault="006B3337" w:rsidP="00720ACA">
      <w:pPr>
        <w:jc w:val="right"/>
        <w:rPr>
          <w:b/>
        </w:rPr>
      </w:pPr>
      <w:r>
        <w:rPr>
          <w:b/>
        </w:rPr>
        <w:t>Date of hand down</w:t>
      </w:r>
      <w:r w:rsidR="00E07942" w:rsidRPr="00100894">
        <w:rPr>
          <w:b/>
        </w:rPr>
        <w:t xml:space="preserve">: </w:t>
      </w:r>
      <w:r w:rsidR="006D5000">
        <w:rPr>
          <w:b/>
        </w:rPr>
        <w:t>3</w:t>
      </w:r>
      <w:r w:rsidR="00FE0301">
        <w:rPr>
          <w:b/>
        </w:rPr>
        <w:t xml:space="preserve"> July</w:t>
      </w:r>
      <w:r w:rsidR="009B039A">
        <w:rPr>
          <w:b/>
        </w:rPr>
        <w:t xml:space="preserve"> </w:t>
      </w:r>
      <w:r>
        <w:rPr>
          <w:b/>
        </w:rPr>
        <w:t>2019</w:t>
      </w:r>
    </w:p>
    <w:p w14:paraId="5C338971" w14:textId="77777777" w:rsidR="00823B02" w:rsidRPr="00100894" w:rsidRDefault="00823B02" w:rsidP="00AE4640"/>
    <w:p w14:paraId="402C9B27" w14:textId="77777777" w:rsidR="001E5F5A" w:rsidRPr="00100894" w:rsidRDefault="00526226" w:rsidP="00AE4640">
      <w:r w:rsidRPr="00100894">
        <w:t>________________________________________________________________________</w:t>
      </w:r>
    </w:p>
    <w:p w14:paraId="0A48FE9D" w14:textId="77777777" w:rsidR="00526226" w:rsidRPr="00100894" w:rsidRDefault="00526226" w:rsidP="00526226">
      <w:pPr>
        <w:jc w:val="center"/>
        <w:rPr>
          <w:b/>
        </w:rPr>
      </w:pPr>
    </w:p>
    <w:p w14:paraId="2D5C7F8A" w14:textId="77777777" w:rsidR="00526226" w:rsidRPr="00100894" w:rsidRDefault="001E5F5A" w:rsidP="00526226">
      <w:pPr>
        <w:jc w:val="center"/>
        <w:rPr>
          <w:b/>
        </w:rPr>
      </w:pPr>
      <w:r w:rsidRPr="00100894">
        <w:rPr>
          <w:b/>
        </w:rPr>
        <w:t>MEDIA SUMMARY</w:t>
      </w:r>
    </w:p>
    <w:p w14:paraId="509594F1" w14:textId="77777777" w:rsidR="00526226" w:rsidRPr="00100894" w:rsidRDefault="00526226" w:rsidP="00526226">
      <w:pPr>
        <w:jc w:val="center"/>
      </w:pPr>
      <w:r w:rsidRPr="00100894">
        <w:t>________________________________________________________________________</w:t>
      </w:r>
    </w:p>
    <w:p w14:paraId="157FCA27" w14:textId="77777777" w:rsidR="001E5F5A" w:rsidRPr="00100894" w:rsidRDefault="001E5F5A" w:rsidP="008B532D">
      <w:pPr>
        <w:spacing w:line="360" w:lineRule="auto"/>
        <w:jc w:val="left"/>
      </w:pPr>
    </w:p>
    <w:p w14:paraId="627B0385" w14:textId="77777777" w:rsidR="001E5F5A" w:rsidRPr="00207693" w:rsidRDefault="001E5F5A" w:rsidP="006474CE">
      <w:pPr>
        <w:rPr>
          <w:i/>
          <w:sz w:val="26"/>
          <w:szCs w:val="26"/>
        </w:rPr>
      </w:pPr>
      <w:r w:rsidRPr="00207693">
        <w:rPr>
          <w:i/>
          <w:sz w:val="26"/>
          <w:szCs w:val="26"/>
        </w:rPr>
        <w:t xml:space="preserve">The following </w:t>
      </w:r>
      <w:r w:rsidR="008C3682" w:rsidRPr="00207693">
        <w:rPr>
          <w:i/>
          <w:sz w:val="26"/>
          <w:szCs w:val="26"/>
        </w:rPr>
        <w:t xml:space="preserve">explanatory note </w:t>
      </w:r>
      <w:r w:rsidRPr="00207693">
        <w:rPr>
          <w:i/>
          <w:sz w:val="26"/>
          <w:szCs w:val="26"/>
        </w:rPr>
        <w:t>is provided to assist the media in reporting this case and is not binding on the Constitutional Court or any member of the Court.</w:t>
      </w:r>
    </w:p>
    <w:p w14:paraId="2442FEDA" w14:textId="77777777" w:rsidR="001E5F5A" w:rsidRPr="00207693" w:rsidRDefault="001E5F5A" w:rsidP="006474CE">
      <w:pPr>
        <w:rPr>
          <w:sz w:val="26"/>
          <w:szCs w:val="26"/>
        </w:rPr>
      </w:pPr>
    </w:p>
    <w:p w14:paraId="3937BC80" w14:textId="0EF7F780" w:rsidR="00573DF3" w:rsidRPr="00207693" w:rsidRDefault="006474CE" w:rsidP="00870ADA">
      <w:pPr>
        <w:pStyle w:val="JUDGMENTNUMBERED"/>
        <w:spacing w:after="0" w:line="240" w:lineRule="auto"/>
        <w:jc w:val="both"/>
      </w:pPr>
      <w:r w:rsidRPr="00207693">
        <w:t>On</w:t>
      </w:r>
      <w:r w:rsidR="00CE5D79" w:rsidRPr="00207693">
        <w:t xml:space="preserve"> </w:t>
      </w:r>
      <w:r w:rsidR="006D5000">
        <w:t>Wednesday</w:t>
      </w:r>
      <w:r w:rsidR="00CC1C0E" w:rsidRPr="00207693">
        <w:t xml:space="preserve">, </w:t>
      </w:r>
      <w:r w:rsidR="006D5000">
        <w:t>3 July</w:t>
      </w:r>
      <w:r w:rsidR="008C26D3" w:rsidRPr="00207693">
        <w:t xml:space="preserve"> 2019 </w:t>
      </w:r>
      <w:r w:rsidR="00AC799A" w:rsidRPr="00207693">
        <w:t xml:space="preserve">at </w:t>
      </w:r>
      <w:r w:rsidR="0007028D" w:rsidRPr="00207693">
        <w:t>10</w:t>
      </w:r>
      <w:r w:rsidR="00AC799A" w:rsidRPr="00207693">
        <w:t>h00</w:t>
      </w:r>
      <w:r w:rsidR="00F0467F" w:rsidRPr="00207693">
        <w:t>,</w:t>
      </w:r>
      <w:r w:rsidR="00AC799A" w:rsidRPr="00207693">
        <w:t xml:space="preserve"> </w:t>
      </w:r>
      <w:r w:rsidR="000D35AE" w:rsidRPr="00207693">
        <w:t xml:space="preserve">the </w:t>
      </w:r>
      <w:r w:rsidR="008C3682" w:rsidRPr="00207693">
        <w:t xml:space="preserve">Constitutional Court </w:t>
      </w:r>
      <w:r w:rsidR="006D5000">
        <w:t>handed down j</w:t>
      </w:r>
      <w:r w:rsidR="006B3337" w:rsidRPr="00207693">
        <w:t>udgment in</w:t>
      </w:r>
      <w:r w:rsidR="000D35AE" w:rsidRPr="00207693">
        <w:t xml:space="preserve"> </w:t>
      </w:r>
      <w:r w:rsidR="00C1701A" w:rsidRPr="00207693">
        <w:t xml:space="preserve">an application </w:t>
      </w:r>
      <w:r w:rsidR="00590296" w:rsidRPr="00207693">
        <w:t xml:space="preserve">for leave to appeal against the judgment and order </w:t>
      </w:r>
      <w:r w:rsidR="00FC4BF9" w:rsidRPr="00207693">
        <w:t>of</w:t>
      </w:r>
      <w:r w:rsidR="00590296" w:rsidRPr="00207693">
        <w:t xml:space="preserve"> </w:t>
      </w:r>
      <w:r w:rsidR="00FC4BF9" w:rsidRPr="00207693">
        <w:t xml:space="preserve">the </w:t>
      </w:r>
      <w:r w:rsidR="006D38EE" w:rsidRPr="00207693">
        <w:t>Competition Appeal Court (C</w:t>
      </w:r>
      <w:r w:rsidR="00FC4BF9" w:rsidRPr="00207693">
        <w:t>AC)</w:t>
      </w:r>
      <w:r w:rsidR="00134BBE" w:rsidRPr="00207693">
        <w:t>,</w:t>
      </w:r>
      <w:r w:rsidR="00FC4BF9" w:rsidRPr="00207693">
        <w:t xml:space="preserve"> </w:t>
      </w:r>
      <w:r w:rsidR="006D38EE" w:rsidRPr="00207693">
        <w:t xml:space="preserve">which overruled a decision </w:t>
      </w:r>
      <w:r w:rsidR="003D72F3" w:rsidRPr="00207693">
        <w:t>of</w:t>
      </w:r>
      <w:r w:rsidR="006D38EE" w:rsidRPr="00207693">
        <w:t xml:space="preserve"> the Competition Tribunal (Tribunal</w:t>
      </w:r>
      <w:r w:rsidR="00D0739A" w:rsidRPr="00207693">
        <w:t>)</w:t>
      </w:r>
      <w:r w:rsidR="006D38EE" w:rsidRPr="00207693">
        <w:t xml:space="preserve"> relating to predatory pricing</w:t>
      </w:r>
      <w:r w:rsidR="00D0739A" w:rsidRPr="00207693">
        <w:t>.</w:t>
      </w:r>
    </w:p>
    <w:p w14:paraId="2A474308" w14:textId="77777777" w:rsidR="0010072C" w:rsidRPr="00207693" w:rsidRDefault="0010072C" w:rsidP="00870ADA">
      <w:pPr>
        <w:rPr>
          <w:sz w:val="26"/>
          <w:szCs w:val="26"/>
          <w:lang w:val="en-US"/>
        </w:rPr>
      </w:pPr>
    </w:p>
    <w:p w14:paraId="47EFEFC0" w14:textId="58368C0A" w:rsidR="00870ADA" w:rsidRPr="00870ADA" w:rsidRDefault="00207693" w:rsidP="00870ADA">
      <w:pPr>
        <w:rPr>
          <w:rFonts w:eastAsia="Calibri"/>
          <w:sz w:val="26"/>
          <w:szCs w:val="22"/>
        </w:rPr>
      </w:pPr>
      <w:r>
        <w:rPr>
          <w:rFonts w:eastAsia="Calibri"/>
          <w:sz w:val="26"/>
          <w:szCs w:val="22"/>
        </w:rPr>
        <w:t>The</w:t>
      </w:r>
      <w:r w:rsidR="00870ADA" w:rsidRPr="00870ADA">
        <w:rPr>
          <w:rFonts w:eastAsia="Calibri"/>
          <w:sz w:val="26"/>
          <w:szCs w:val="22"/>
        </w:rPr>
        <w:t xml:space="preserve"> application</w:t>
      </w:r>
      <w:r>
        <w:rPr>
          <w:rFonts w:eastAsia="Calibri"/>
          <w:sz w:val="26"/>
          <w:szCs w:val="22"/>
        </w:rPr>
        <w:t xml:space="preserve"> concerned</w:t>
      </w:r>
      <w:r w:rsidR="0038280C">
        <w:rPr>
          <w:rFonts w:eastAsia="Calibri"/>
          <w:sz w:val="26"/>
          <w:szCs w:val="22"/>
        </w:rPr>
        <w:t xml:space="preserve"> the jurisdiction of the Constitutional Court in relation to</w:t>
      </w:r>
      <w:r w:rsidR="00870ADA" w:rsidRPr="00870ADA">
        <w:rPr>
          <w:rFonts w:eastAsia="Calibri"/>
          <w:sz w:val="26"/>
          <w:szCs w:val="22"/>
        </w:rPr>
        <w:t xml:space="preserve"> Media24’s pricing behaviour in the Welkom newspaper market.  The original complaint that gave rise to this matter was lodged with the Competition Commission</w:t>
      </w:r>
      <w:r w:rsidR="00877DFB">
        <w:rPr>
          <w:rFonts w:eastAsia="Calibri"/>
          <w:sz w:val="26"/>
          <w:szCs w:val="22"/>
        </w:rPr>
        <w:t xml:space="preserve"> (Commission)</w:t>
      </w:r>
      <w:r w:rsidR="00870ADA" w:rsidRPr="00870ADA">
        <w:rPr>
          <w:rFonts w:eastAsia="Calibri"/>
          <w:sz w:val="26"/>
          <w:szCs w:val="22"/>
        </w:rPr>
        <w:t xml:space="preserve"> by Media24’s competitor, Gold Net News.  Between 1999 and 2009, Media24 owned two newspapers that were</w:t>
      </w:r>
      <w:r w:rsidR="00877DFB">
        <w:rPr>
          <w:rFonts w:eastAsia="Calibri"/>
          <w:sz w:val="26"/>
          <w:szCs w:val="22"/>
        </w:rPr>
        <w:t xml:space="preserve"> distributed in the Welkom area,</w:t>
      </w:r>
      <w:r w:rsidR="00870ADA" w:rsidRPr="00870ADA">
        <w:rPr>
          <w:rFonts w:eastAsia="Calibri"/>
          <w:sz w:val="26"/>
          <w:szCs w:val="22"/>
        </w:rPr>
        <w:t xml:space="preserve"> namely Vista and Forum.  Media24 was dominant in this ne</w:t>
      </w:r>
      <w:r w:rsidR="00BB4040">
        <w:rPr>
          <w:rFonts w:eastAsia="Calibri"/>
          <w:sz w:val="26"/>
          <w:szCs w:val="22"/>
        </w:rPr>
        <w:t>wspaper market while</w:t>
      </w:r>
      <w:r w:rsidR="00877DFB">
        <w:rPr>
          <w:rFonts w:eastAsia="Calibri"/>
          <w:sz w:val="26"/>
          <w:szCs w:val="22"/>
        </w:rPr>
        <w:t xml:space="preserve"> Gold Net </w:t>
      </w:r>
      <w:r w:rsidR="00870ADA" w:rsidRPr="00870ADA">
        <w:rPr>
          <w:rFonts w:eastAsia="Calibri"/>
          <w:sz w:val="26"/>
          <w:szCs w:val="22"/>
        </w:rPr>
        <w:t>News had a</w:t>
      </w:r>
      <w:r w:rsidR="0038280C">
        <w:rPr>
          <w:rFonts w:eastAsia="Calibri"/>
          <w:sz w:val="26"/>
          <w:szCs w:val="22"/>
        </w:rPr>
        <w:t>bout</w:t>
      </w:r>
      <w:r w:rsidR="006D5000">
        <w:rPr>
          <w:rFonts w:eastAsia="Calibri"/>
          <w:sz w:val="26"/>
          <w:szCs w:val="22"/>
        </w:rPr>
        <w:t xml:space="preserve"> a quarter </w:t>
      </w:r>
      <w:r w:rsidR="0038280C">
        <w:rPr>
          <w:rFonts w:eastAsia="Calibri"/>
          <w:sz w:val="26"/>
          <w:szCs w:val="22"/>
        </w:rPr>
        <w:t xml:space="preserve">of the </w:t>
      </w:r>
      <w:r w:rsidR="006D5000">
        <w:rPr>
          <w:rFonts w:eastAsia="Calibri"/>
          <w:sz w:val="26"/>
          <w:szCs w:val="22"/>
        </w:rPr>
        <w:t>market share</w:t>
      </w:r>
      <w:r w:rsidR="00870ADA" w:rsidRPr="00870ADA">
        <w:rPr>
          <w:rFonts w:eastAsia="Calibri"/>
          <w:sz w:val="26"/>
          <w:szCs w:val="22"/>
        </w:rPr>
        <w:t>.  Vista, Forum and Gold Net News were distributed for free in the Welkom area and made money by selling advertising space in the newspapers.  Between 2004 and 2009, Media24 drastically cut the rates which Forum was charging for its advertisements.  Gold Net News argued that the lowered prices were below Forum’s costs.  In January 2009, Gold Net News exited the market.  Nine months later, Media24 closed down Forum, leaving Vista as the only newspaper in the market.  After its</w:t>
      </w:r>
      <w:r w:rsidR="00877DFB">
        <w:rPr>
          <w:rFonts w:eastAsia="Calibri"/>
          <w:sz w:val="26"/>
          <w:szCs w:val="22"/>
        </w:rPr>
        <w:t xml:space="preserve"> investigation, the </w:t>
      </w:r>
      <w:r w:rsidR="00870ADA" w:rsidRPr="00870ADA">
        <w:rPr>
          <w:rFonts w:eastAsia="Calibri"/>
          <w:sz w:val="26"/>
          <w:szCs w:val="22"/>
        </w:rPr>
        <w:t>Commission referred a complaint regarding Media24’s alleged predatory pricing to the Tribunal.</w:t>
      </w:r>
    </w:p>
    <w:p w14:paraId="5ACD7B48" w14:textId="77777777" w:rsidR="00870ADA" w:rsidRPr="00870ADA" w:rsidRDefault="00870ADA" w:rsidP="00870ADA">
      <w:pPr>
        <w:rPr>
          <w:rFonts w:eastAsia="Calibri"/>
          <w:sz w:val="26"/>
          <w:szCs w:val="22"/>
        </w:rPr>
      </w:pPr>
    </w:p>
    <w:p w14:paraId="17FF4D87" w14:textId="705BEE65" w:rsidR="00870ADA" w:rsidRPr="00870ADA" w:rsidRDefault="00870ADA" w:rsidP="00870ADA">
      <w:pPr>
        <w:rPr>
          <w:rFonts w:eastAsia="Calibri"/>
          <w:sz w:val="26"/>
          <w:szCs w:val="22"/>
        </w:rPr>
      </w:pPr>
      <w:r w:rsidRPr="00870ADA">
        <w:rPr>
          <w:rFonts w:eastAsia="Calibri"/>
          <w:sz w:val="26"/>
          <w:szCs w:val="22"/>
        </w:rPr>
        <w:lastRenderedPageBreak/>
        <w:t>The Tribunal held that Media24’s pricing was not below either of the price standards contained in the Competition Act</w:t>
      </w:r>
      <w:r w:rsidR="006D5000">
        <w:rPr>
          <w:rFonts w:eastAsia="Calibri"/>
          <w:sz w:val="26"/>
          <w:szCs w:val="22"/>
        </w:rPr>
        <w:t>’s</w:t>
      </w:r>
      <w:r w:rsidRPr="00870ADA">
        <w:rPr>
          <w:rFonts w:eastAsia="Calibri"/>
          <w:sz w:val="26"/>
          <w:szCs w:val="22"/>
        </w:rPr>
        <w:t xml:space="preserve"> </w:t>
      </w:r>
      <w:r w:rsidR="006D5000">
        <w:rPr>
          <w:rFonts w:eastAsia="Calibri"/>
          <w:sz w:val="26"/>
          <w:szCs w:val="22"/>
        </w:rPr>
        <w:t>prohibition</w:t>
      </w:r>
      <w:r w:rsidRPr="00870ADA">
        <w:rPr>
          <w:rFonts w:eastAsia="Calibri"/>
          <w:sz w:val="26"/>
          <w:szCs w:val="22"/>
        </w:rPr>
        <w:t xml:space="preserve"> </w:t>
      </w:r>
      <w:r w:rsidR="006D5000">
        <w:rPr>
          <w:rFonts w:eastAsia="Calibri"/>
          <w:sz w:val="26"/>
          <w:szCs w:val="22"/>
        </w:rPr>
        <w:t xml:space="preserve">against </w:t>
      </w:r>
      <w:r w:rsidRPr="00870ADA">
        <w:rPr>
          <w:rFonts w:eastAsia="Calibri"/>
          <w:sz w:val="26"/>
          <w:szCs w:val="22"/>
        </w:rPr>
        <w:t>predatory pricing.  The Tribunal, however, found that Media24 had contravened the catch-all provision of the Act which prohibits exclusionary acts.  The Tribunal accepted that the average total cost of producing a product constituted an appropriate pricing threshold for the determination of predatory pricing.  The Tribunal held that Media24 had priced below its average total costs for the complaint per</w:t>
      </w:r>
      <w:r w:rsidR="00877DFB">
        <w:rPr>
          <w:rFonts w:eastAsia="Calibri"/>
          <w:sz w:val="26"/>
          <w:szCs w:val="22"/>
        </w:rPr>
        <w:t>iod.  This, together with Media</w:t>
      </w:r>
      <w:r w:rsidRPr="00870ADA">
        <w:rPr>
          <w:rFonts w:eastAsia="Calibri"/>
          <w:sz w:val="26"/>
          <w:szCs w:val="22"/>
        </w:rPr>
        <w:t>24’s intention to perform a predatory act, was held by the Tribunal to imply that Media24 was guilty of predatory pricing.</w:t>
      </w:r>
    </w:p>
    <w:p w14:paraId="384DFBC0" w14:textId="77777777" w:rsidR="00870ADA" w:rsidRPr="00870ADA" w:rsidRDefault="00870ADA" w:rsidP="00870ADA">
      <w:pPr>
        <w:rPr>
          <w:rFonts w:eastAsia="Calibri"/>
          <w:sz w:val="26"/>
          <w:szCs w:val="22"/>
        </w:rPr>
      </w:pPr>
    </w:p>
    <w:p w14:paraId="22BFC813" w14:textId="3B5CF68D" w:rsidR="00870ADA" w:rsidRPr="00870ADA" w:rsidRDefault="00870ADA" w:rsidP="00870ADA">
      <w:pPr>
        <w:rPr>
          <w:rFonts w:eastAsia="Calibri"/>
          <w:sz w:val="26"/>
          <w:szCs w:val="22"/>
        </w:rPr>
      </w:pPr>
      <w:r w:rsidRPr="00870ADA">
        <w:rPr>
          <w:rFonts w:eastAsia="Calibri"/>
          <w:sz w:val="26"/>
          <w:szCs w:val="22"/>
        </w:rPr>
        <w:t>On appe</w:t>
      </w:r>
      <w:r w:rsidR="006D5000">
        <w:rPr>
          <w:rFonts w:eastAsia="Calibri"/>
          <w:sz w:val="26"/>
          <w:szCs w:val="22"/>
        </w:rPr>
        <w:t>al, the CAC</w:t>
      </w:r>
      <w:r w:rsidRPr="00870ADA">
        <w:rPr>
          <w:rFonts w:eastAsia="Calibri"/>
          <w:sz w:val="26"/>
          <w:szCs w:val="22"/>
        </w:rPr>
        <w:t xml:space="preserve"> overturned the Tribunal’s finding for two key reasons.  First, </w:t>
      </w:r>
      <w:r w:rsidR="00BB4040">
        <w:rPr>
          <w:rFonts w:eastAsia="Calibri"/>
          <w:sz w:val="26"/>
          <w:szCs w:val="22"/>
        </w:rPr>
        <w:t>the CAC</w:t>
      </w:r>
      <w:r w:rsidR="006D5000">
        <w:rPr>
          <w:rFonts w:eastAsia="Calibri"/>
          <w:sz w:val="26"/>
          <w:szCs w:val="22"/>
        </w:rPr>
        <w:t xml:space="preserve"> </w:t>
      </w:r>
      <w:r w:rsidRPr="00870ADA">
        <w:rPr>
          <w:rFonts w:eastAsia="Calibri"/>
          <w:sz w:val="26"/>
          <w:szCs w:val="22"/>
        </w:rPr>
        <w:t>held that predatory pricing can only be proven through evidence of specific exclusionary conduct, and not evidence of the intention with which that conduct w</w:t>
      </w:r>
      <w:r w:rsidR="006D5000">
        <w:rPr>
          <w:rFonts w:eastAsia="Calibri"/>
          <w:sz w:val="26"/>
          <w:szCs w:val="22"/>
        </w:rPr>
        <w:t>as committed.  Second, the CAC</w:t>
      </w:r>
      <w:r w:rsidRPr="00870ADA">
        <w:rPr>
          <w:rFonts w:eastAsia="Calibri"/>
          <w:sz w:val="26"/>
          <w:szCs w:val="22"/>
        </w:rPr>
        <w:t xml:space="preserve"> held that the average total cost threshold advanced by the Tribunal was inappropriate.</w:t>
      </w:r>
    </w:p>
    <w:p w14:paraId="326B33C8" w14:textId="77777777" w:rsidR="00870ADA" w:rsidRPr="00870ADA" w:rsidRDefault="00870ADA" w:rsidP="00870ADA">
      <w:pPr>
        <w:rPr>
          <w:rFonts w:eastAsia="Calibri"/>
          <w:sz w:val="26"/>
          <w:szCs w:val="22"/>
        </w:rPr>
      </w:pPr>
    </w:p>
    <w:p w14:paraId="55AE3FF2" w14:textId="6A905638" w:rsidR="00870ADA" w:rsidRPr="00870ADA" w:rsidRDefault="00870ADA" w:rsidP="00870ADA">
      <w:pPr>
        <w:rPr>
          <w:rFonts w:eastAsia="Calibri"/>
          <w:sz w:val="26"/>
          <w:szCs w:val="22"/>
        </w:rPr>
      </w:pPr>
      <w:r w:rsidRPr="00870ADA">
        <w:rPr>
          <w:rFonts w:eastAsia="Calibri"/>
          <w:sz w:val="26"/>
          <w:szCs w:val="22"/>
        </w:rPr>
        <w:t>The Commissio</w:t>
      </w:r>
      <w:r w:rsidR="0038280C">
        <w:rPr>
          <w:rFonts w:eastAsia="Calibri"/>
          <w:sz w:val="26"/>
          <w:szCs w:val="22"/>
        </w:rPr>
        <w:t>n sought leave to appeal in the Constitutional</w:t>
      </w:r>
      <w:r w:rsidRPr="00870ADA">
        <w:rPr>
          <w:rFonts w:eastAsia="Calibri"/>
          <w:sz w:val="26"/>
          <w:szCs w:val="22"/>
        </w:rPr>
        <w:t xml:space="preserve"> Court against the</w:t>
      </w:r>
      <w:r w:rsidR="006D5000">
        <w:rPr>
          <w:rFonts w:eastAsia="Calibri"/>
          <w:sz w:val="26"/>
          <w:szCs w:val="22"/>
        </w:rPr>
        <w:t xml:space="preserve"> CAC</w:t>
      </w:r>
      <w:r w:rsidRPr="00870ADA">
        <w:rPr>
          <w:rFonts w:eastAsia="Calibri"/>
          <w:sz w:val="26"/>
          <w:szCs w:val="22"/>
        </w:rPr>
        <w:t xml:space="preserve">’s judgment and order.  The </w:t>
      </w:r>
      <w:r w:rsidR="0038280C">
        <w:rPr>
          <w:rFonts w:eastAsia="Calibri"/>
          <w:sz w:val="26"/>
          <w:szCs w:val="22"/>
        </w:rPr>
        <w:t>Commission argued that the CAC</w:t>
      </w:r>
      <w:r w:rsidRPr="00870ADA">
        <w:rPr>
          <w:rFonts w:eastAsia="Calibri"/>
          <w:sz w:val="26"/>
          <w:szCs w:val="22"/>
        </w:rPr>
        <w:t>’s findings were contrary to the purpose and objectives of the Competition Act.  The Commission also re</w:t>
      </w:r>
      <w:r w:rsidR="0038280C">
        <w:rPr>
          <w:rFonts w:eastAsia="Calibri"/>
          <w:sz w:val="26"/>
          <w:szCs w:val="22"/>
        </w:rPr>
        <w:t xml:space="preserve">quested clarification from the Constitutional </w:t>
      </w:r>
      <w:r w:rsidRPr="00870ADA">
        <w:rPr>
          <w:rFonts w:eastAsia="Calibri"/>
          <w:sz w:val="26"/>
          <w:szCs w:val="22"/>
        </w:rPr>
        <w:t>Court regarding the appropriate cost threshold for the determination of whether low prices constitute predatory pricing.  Conversely, Media24 supported the</w:t>
      </w:r>
      <w:r w:rsidR="006D5000">
        <w:rPr>
          <w:rFonts w:eastAsia="Calibri"/>
          <w:sz w:val="26"/>
          <w:szCs w:val="22"/>
        </w:rPr>
        <w:t xml:space="preserve"> CAC</w:t>
      </w:r>
      <w:r w:rsidRPr="00870ADA">
        <w:rPr>
          <w:rFonts w:eastAsia="Calibri"/>
          <w:sz w:val="26"/>
          <w:szCs w:val="22"/>
        </w:rPr>
        <w:t>’s approach to the determination of predatory pricing.</w:t>
      </w:r>
    </w:p>
    <w:p w14:paraId="18D7FAE9" w14:textId="77777777" w:rsidR="00870ADA" w:rsidRPr="00870ADA" w:rsidRDefault="00870ADA" w:rsidP="00870ADA">
      <w:pPr>
        <w:rPr>
          <w:rFonts w:eastAsia="Calibri"/>
          <w:sz w:val="26"/>
          <w:szCs w:val="22"/>
        </w:rPr>
      </w:pPr>
    </w:p>
    <w:p w14:paraId="30C187E0" w14:textId="335A42EF" w:rsidR="00870ADA" w:rsidRPr="00870ADA" w:rsidRDefault="00870ADA" w:rsidP="00870ADA">
      <w:pPr>
        <w:rPr>
          <w:rFonts w:eastAsia="Calibri"/>
          <w:sz w:val="26"/>
          <w:szCs w:val="22"/>
        </w:rPr>
      </w:pPr>
      <w:r w:rsidRPr="00870ADA">
        <w:rPr>
          <w:rFonts w:eastAsia="Calibri"/>
          <w:sz w:val="26"/>
          <w:szCs w:val="22"/>
        </w:rPr>
        <w:t>The first judgment</w:t>
      </w:r>
      <w:r w:rsidR="007A6543">
        <w:rPr>
          <w:rFonts w:eastAsia="Calibri"/>
          <w:sz w:val="26"/>
          <w:szCs w:val="22"/>
        </w:rPr>
        <w:t>,</w:t>
      </w:r>
      <w:r w:rsidRPr="00870ADA">
        <w:rPr>
          <w:rFonts w:eastAsia="Calibri"/>
          <w:sz w:val="26"/>
          <w:szCs w:val="22"/>
        </w:rPr>
        <w:t xml:space="preserve"> penned by Goliath AJ, and concurred in by Mogoeng CJ and Dlodlo AJ, h</w:t>
      </w:r>
      <w:r w:rsidR="00C95C28">
        <w:rPr>
          <w:rFonts w:eastAsia="Calibri"/>
          <w:sz w:val="26"/>
          <w:szCs w:val="22"/>
        </w:rPr>
        <w:t>eld</w:t>
      </w:r>
      <w:r w:rsidRPr="00870ADA">
        <w:rPr>
          <w:rFonts w:eastAsia="Calibri"/>
          <w:sz w:val="26"/>
          <w:szCs w:val="22"/>
        </w:rPr>
        <w:t xml:space="preserve"> that </w:t>
      </w:r>
      <w:r w:rsidR="00C95C28">
        <w:rPr>
          <w:rFonts w:eastAsia="Calibri"/>
          <w:sz w:val="26"/>
          <w:szCs w:val="22"/>
        </w:rPr>
        <w:t>the</w:t>
      </w:r>
      <w:r w:rsidR="006F4789">
        <w:rPr>
          <w:rFonts w:eastAsia="Calibri"/>
          <w:sz w:val="26"/>
          <w:szCs w:val="22"/>
        </w:rPr>
        <w:t xml:space="preserve"> application raised</w:t>
      </w:r>
      <w:r w:rsidRPr="00870ADA">
        <w:rPr>
          <w:rFonts w:eastAsia="Calibri"/>
          <w:sz w:val="26"/>
          <w:szCs w:val="22"/>
        </w:rPr>
        <w:t xml:space="preserve"> </w:t>
      </w:r>
      <w:r w:rsidR="00877DFB">
        <w:rPr>
          <w:rFonts w:eastAsia="Calibri"/>
          <w:sz w:val="26"/>
          <w:szCs w:val="22"/>
        </w:rPr>
        <w:t xml:space="preserve">both </w:t>
      </w:r>
      <w:r w:rsidRPr="00870ADA">
        <w:rPr>
          <w:rFonts w:eastAsia="Calibri"/>
          <w:sz w:val="26"/>
          <w:szCs w:val="22"/>
        </w:rPr>
        <w:t xml:space="preserve">a </w:t>
      </w:r>
      <w:r w:rsidR="0038280C">
        <w:rPr>
          <w:rFonts w:eastAsia="Calibri"/>
          <w:sz w:val="26"/>
          <w:szCs w:val="22"/>
        </w:rPr>
        <w:t>constitutional issue within the Constitutional</w:t>
      </w:r>
      <w:r w:rsidRPr="00870ADA">
        <w:rPr>
          <w:rFonts w:eastAsia="Calibri"/>
          <w:sz w:val="26"/>
          <w:szCs w:val="22"/>
        </w:rPr>
        <w:t xml:space="preserve"> Court’s jurisdiction and an arguable point of law of general </w:t>
      </w:r>
      <w:r w:rsidR="006F4789">
        <w:rPr>
          <w:rFonts w:eastAsia="Calibri"/>
          <w:sz w:val="26"/>
          <w:szCs w:val="22"/>
        </w:rPr>
        <w:t xml:space="preserve">public importance that ought to </w:t>
      </w:r>
      <w:r w:rsidRPr="00870ADA">
        <w:rPr>
          <w:rFonts w:eastAsia="Calibri"/>
          <w:sz w:val="26"/>
          <w:szCs w:val="22"/>
        </w:rPr>
        <w:t xml:space="preserve">be considered by this Court.  On the merits, the first judgment </w:t>
      </w:r>
      <w:r w:rsidR="00C95C28">
        <w:rPr>
          <w:rFonts w:eastAsia="Calibri"/>
          <w:sz w:val="26"/>
          <w:szCs w:val="22"/>
        </w:rPr>
        <w:t>found</w:t>
      </w:r>
      <w:r w:rsidRPr="00870ADA">
        <w:rPr>
          <w:rFonts w:eastAsia="Calibri"/>
          <w:sz w:val="26"/>
          <w:szCs w:val="22"/>
        </w:rPr>
        <w:t xml:space="preserve"> that the decision</w:t>
      </w:r>
      <w:r w:rsidR="00BB4040">
        <w:rPr>
          <w:rFonts w:eastAsia="Calibri"/>
          <w:sz w:val="26"/>
          <w:szCs w:val="22"/>
        </w:rPr>
        <w:t xml:space="preserve"> of the CAC</w:t>
      </w:r>
      <w:r w:rsidRPr="00870ADA">
        <w:rPr>
          <w:rFonts w:eastAsia="Calibri"/>
          <w:sz w:val="26"/>
          <w:szCs w:val="22"/>
        </w:rPr>
        <w:t xml:space="preserve"> limits the prosecut</w:t>
      </w:r>
      <w:r w:rsidR="00877DFB">
        <w:rPr>
          <w:rFonts w:eastAsia="Calibri"/>
          <w:sz w:val="26"/>
          <w:szCs w:val="22"/>
        </w:rPr>
        <w:t xml:space="preserve">orial powers of the </w:t>
      </w:r>
      <w:r w:rsidRPr="00870ADA">
        <w:rPr>
          <w:rFonts w:eastAsia="Calibri"/>
          <w:sz w:val="26"/>
          <w:szCs w:val="22"/>
        </w:rPr>
        <w:t xml:space="preserve">Commission and wrongly disregards all evidence of a dominant firm’s predatory intention as being irrelevant.  The first judgment further </w:t>
      </w:r>
      <w:r w:rsidR="00C95C28">
        <w:rPr>
          <w:rFonts w:eastAsia="Calibri"/>
          <w:sz w:val="26"/>
          <w:szCs w:val="22"/>
        </w:rPr>
        <w:t>found</w:t>
      </w:r>
      <w:r w:rsidR="00877DFB">
        <w:rPr>
          <w:rFonts w:eastAsia="Calibri"/>
          <w:sz w:val="26"/>
          <w:szCs w:val="22"/>
        </w:rPr>
        <w:t xml:space="preserve"> that the</w:t>
      </w:r>
      <w:r w:rsidRPr="00870ADA">
        <w:rPr>
          <w:rFonts w:eastAsia="Calibri"/>
          <w:sz w:val="26"/>
          <w:szCs w:val="22"/>
        </w:rPr>
        <w:t xml:space="preserve"> Commission should be empowered to plead whatever costs benchmark best suits the facts of the case.  According to the first judgment, this should include the average total cost standard when there is sufficient additional evidence which illustrates that pricing was lowered by a dominant firm for no rational reason besides to force the exit of its competitor.  The first judgment would have upheld the appeal.</w:t>
      </w:r>
    </w:p>
    <w:p w14:paraId="0B865DF1" w14:textId="77777777" w:rsidR="00870ADA" w:rsidRPr="00870ADA" w:rsidRDefault="00870ADA" w:rsidP="00870ADA">
      <w:pPr>
        <w:rPr>
          <w:rFonts w:eastAsia="Calibri"/>
          <w:sz w:val="26"/>
          <w:szCs w:val="22"/>
        </w:rPr>
      </w:pPr>
    </w:p>
    <w:p w14:paraId="3CCE978E" w14:textId="57441CC7" w:rsidR="00870ADA" w:rsidRPr="00870ADA" w:rsidRDefault="00870ADA" w:rsidP="00870ADA">
      <w:pPr>
        <w:rPr>
          <w:rFonts w:eastAsia="Calibri"/>
          <w:sz w:val="26"/>
          <w:szCs w:val="22"/>
        </w:rPr>
      </w:pPr>
      <w:r w:rsidRPr="00870ADA">
        <w:rPr>
          <w:rFonts w:eastAsia="Calibri"/>
          <w:sz w:val="26"/>
          <w:szCs w:val="22"/>
        </w:rPr>
        <w:t xml:space="preserve">A second judgment penned by Froneman J, Cameron J and Khampepe J, and concurred in by Petse AJ, </w:t>
      </w:r>
      <w:r w:rsidR="00C95C28">
        <w:rPr>
          <w:rFonts w:eastAsia="Calibri"/>
          <w:sz w:val="26"/>
          <w:szCs w:val="22"/>
        </w:rPr>
        <w:t>found</w:t>
      </w:r>
      <w:r w:rsidRPr="00870ADA">
        <w:rPr>
          <w:rFonts w:eastAsia="Calibri"/>
          <w:sz w:val="26"/>
          <w:szCs w:val="22"/>
        </w:rPr>
        <w:t xml:space="preserve"> that</w:t>
      </w:r>
      <w:r w:rsidR="001B5355">
        <w:rPr>
          <w:rFonts w:eastAsia="Calibri"/>
          <w:sz w:val="26"/>
          <w:szCs w:val="22"/>
        </w:rPr>
        <w:t xml:space="preserve"> it was</w:t>
      </w:r>
      <w:r w:rsidRPr="00870ADA">
        <w:rPr>
          <w:rFonts w:eastAsia="Calibri"/>
          <w:sz w:val="26"/>
          <w:szCs w:val="22"/>
        </w:rPr>
        <w:t xml:space="preserve"> not in the interest</w:t>
      </w:r>
      <w:r w:rsidR="001B5355">
        <w:rPr>
          <w:rFonts w:eastAsia="Calibri"/>
          <w:sz w:val="26"/>
          <w:szCs w:val="22"/>
        </w:rPr>
        <w:t>s</w:t>
      </w:r>
      <w:r w:rsidR="0038280C">
        <w:rPr>
          <w:rFonts w:eastAsia="Calibri"/>
          <w:sz w:val="26"/>
          <w:szCs w:val="22"/>
        </w:rPr>
        <w:t xml:space="preserve"> of justice for the Constitutional</w:t>
      </w:r>
      <w:r w:rsidRPr="00870ADA">
        <w:rPr>
          <w:rFonts w:eastAsia="Calibri"/>
          <w:sz w:val="26"/>
          <w:szCs w:val="22"/>
        </w:rPr>
        <w:t xml:space="preserve"> Court to engage in the enquiry regarding predatory pricing benchmarks.  The second judgment </w:t>
      </w:r>
      <w:r w:rsidR="00C95C28">
        <w:rPr>
          <w:rFonts w:eastAsia="Calibri"/>
          <w:sz w:val="26"/>
          <w:szCs w:val="22"/>
        </w:rPr>
        <w:t>held</w:t>
      </w:r>
      <w:r w:rsidRPr="00870ADA">
        <w:rPr>
          <w:rFonts w:eastAsia="Calibri"/>
          <w:sz w:val="26"/>
          <w:szCs w:val="22"/>
        </w:rPr>
        <w:t xml:space="preserve"> that this</w:t>
      </w:r>
      <w:r w:rsidR="001B5355">
        <w:rPr>
          <w:rFonts w:eastAsia="Calibri"/>
          <w:sz w:val="26"/>
          <w:szCs w:val="22"/>
        </w:rPr>
        <w:t xml:space="preserve"> application did</w:t>
      </w:r>
      <w:r w:rsidRPr="00870ADA">
        <w:rPr>
          <w:rFonts w:eastAsia="Calibri"/>
          <w:sz w:val="26"/>
          <w:szCs w:val="22"/>
        </w:rPr>
        <w:t xml:space="preserve"> not raise a purely legal issue, but rather one of mixed fact and law.  According to the second judgment, the appropriate benchmarks for predatory pricing under the Competition Act </w:t>
      </w:r>
      <w:r w:rsidRPr="00870ADA">
        <w:rPr>
          <w:rFonts w:eastAsia="Calibri"/>
          <w:sz w:val="26"/>
          <w:szCs w:val="22"/>
        </w:rPr>
        <w:lastRenderedPageBreak/>
        <w:t>inevitably depend</w:t>
      </w:r>
      <w:r w:rsidR="001B5355">
        <w:rPr>
          <w:rFonts w:eastAsia="Calibri"/>
          <w:sz w:val="26"/>
          <w:szCs w:val="22"/>
        </w:rPr>
        <w:t>ed</w:t>
      </w:r>
      <w:r w:rsidRPr="00870ADA">
        <w:rPr>
          <w:rFonts w:eastAsia="Calibri"/>
          <w:sz w:val="26"/>
          <w:szCs w:val="22"/>
        </w:rPr>
        <w:t xml:space="preserve"> on an assessment of the relative merits of expert evidence.  The </w:t>
      </w:r>
      <w:r w:rsidR="00C95C28">
        <w:rPr>
          <w:rFonts w:eastAsia="Calibri"/>
          <w:sz w:val="26"/>
          <w:szCs w:val="22"/>
        </w:rPr>
        <w:t>second judgment held</w:t>
      </w:r>
      <w:r w:rsidRPr="00870ADA">
        <w:rPr>
          <w:rFonts w:eastAsia="Calibri"/>
          <w:sz w:val="26"/>
          <w:szCs w:val="22"/>
        </w:rPr>
        <w:t xml:space="preserve"> that this assessment </w:t>
      </w:r>
      <w:r w:rsidR="001B5355">
        <w:rPr>
          <w:rFonts w:eastAsia="Calibri"/>
          <w:sz w:val="26"/>
          <w:szCs w:val="22"/>
        </w:rPr>
        <w:t>fell</w:t>
      </w:r>
      <w:r w:rsidRPr="00870ADA">
        <w:rPr>
          <w:rFonts w:eastAsia="Calibri"/>
          <w:sz w:val="26"/>
          <w:szCs w:val="22"/>
        </w:rPr>
        <w:t xml:space="preserve"> beyond the functional competence of this Court.  For that reason, the second judgment </w:t>
      </w:r>
      <w:r w:rsidR="00C95C28">
        <w:rPr>
          <w:rFonts w:eastAsia="Calibri"/>
          <w:sz w:val="26"/>
          <w:szCs w:val="22"/>
        </w:rPr>
        <w:t>held</w:t>
      </w:r>
      <w:r w:rsidRPr="00870ADA">
        <w:rPr>
          <w:rFonts w:eastAsia="Calibri"/>
          <w:sz w:val="26"/>
          <w:szCs w:val="22"/>
        </w:rPr>
        <w:t xml:space="preserve"> that this Court canno</w:t>
      </w:r>
      <w:r w:rsidR="00877DFB">
        <w:rPr>
          <w:rFonts w:eastAsia="Calibri"/>
          <w:sz w:val="26"/>
          <w:szCs w:val="22"/>
        </w:rPr>
        <w:t>t exercise its jurisdiction as it does</w:t>
      </w:r>
      <w:r w:rsidRPr="00870ADA">
        <w:rPr>
          <w:rFonts w:eastAsia="Calibri"/>
          <w:sz w:val="26"/>
          <w:szCs w:val="22"/>
        </w:rPr>
        <w:t xml:space="preserve"> in those rare instances where purely legal issues of interpretation arise in the work of the Tribunal </w:t>
      </w:r>
      <w:r w:rsidR="006D5000">
        <w:rPr>
          <w:rFonts w:eastAsia="Calibri"/>
          <w:sz w:val="26"/>
          <w:szCs w:val="22"/>
        </w:rPr>
        <w:t>and the CAC</w:t>
      </w:r>
      <w:r w:rsidRPr="00870ADA">
        <w:rPr>
          <w:rFonts w:eastAsia="Calibri"/>
          <w:sz w:val="26"/>
          <w:szCs w:val="22"/>
        </w:rPr>
        <w:t>.  The second judgment would have dismissed this application for leave to appeal.</w:t>
      </w:r>
    </w:p>
    <w:p w14:paraId="5C98F47B" w14:textId="77777777" w:rsidR="00870ADA" w:rsidRPr="00870ADA" w:rsidRDefault="00870ADA" w:rsidP="00870ADA">
      <w:pPr>
        <w:rPr>
          <w:rFonts w:eastAsia="Calibri"/>
          <w:sz w:val="26"/>
          <w:szCs w:val="22"/>
        </w:rPr>
      </w:pPr>
    </w:p>
    <w:p w14:paraId="72E800FA" w14:textId="26FF8062" w:rsidR="00870ADA" w:rsidRPr="00870ADA" w:rsidRDefault="00C95C28" w:rsidP="00870ADA">
      <w:pPr>
        <w:rPr>
          <w:rFonts w:eastAsia="Calibri"/>
          <w:sz w:val="26"/>
          <w:szCs w:val="26"/>
        </w:rPr>
      </w:pPr>
      <w:r>
        <w:rPr>
          <w:rFonts w:eastAsia="Calibri"/>
          <w:sz w:val="26"/>
          <w:szCs w:val="22"/>
        </w:rPr>
        <w:t>A third judgment, penned by Theron J and concurred in by Basson AJ, found</w:t>
      </w:r>
      <w:r w:rsidR="00870ADA" w:rsidRPr="00870ADA">
        <w:rPr>
          <w:rFonts w:eastAsia="Calibri"/>
          <w:sz w:val="26"/>
          <w:szCs w:val="22"/>
        </w:rPr>
        <w:t xml:space="preserve"> that although t</w:t>
      </w:r>
      <w:r w:rsidR="001B5355">
        <w:rPr>
          <w:rFonts w:eastAsia="Calibri"/>
          <w:sz w:val="26"/>
          <w:szCs w:val="22"/>
        </w:rPr>
        <w:t>his matter did</w:t>
      </w:r>
      <w:r w:rsidR="00870ADA" w:rsidRPr="00870ADA">
        <w:rPr>
          <w:rFonts w:eastAsia="Calibri"/>
          <w:sz w:val="26"/>
          <w:szCs w:val="22"/>
        </w:rPr>
        <w:t xml:space="preserve"> not raise </w:t>
      </w:r>
      <w:r w:rsidR="001B5355">
        <w:rPr>
          <w:rFonts w:eastAsia="Calibri"/>
          <w:sz w:val="26"/>
          <w:szCs w:val="22"/>
        </w:rPr>
        <w:t>a constitutional matter, it did</w:t>
      </w:r>
      <w:r w:rsidR="00870ADA" w:rsidRPr="00870ADA">
        <w:rPr>
          <w:rFonts w:eastAsia="Calibri"/>
          <w:sz w:val="26"/>
          <w:szCs w:val="22"/>
        </w:rPr>
        <w:t xml:space="preserve"> raise an arguable point of law of general public i</w:t>
      </w:r>
      <w:r w:rsidR="006F4789">
        <w:rPr>
          <w:rFonts w:eastAsia="Calibri"/>
          <w:sz w:val="26"/>
          <w:szCs w:val="22"/>
        </w:rPr>
        <w:t>mportance that ought to</w:t>
      </w:r>
      <w:r w:rsidR="00F03802">
        <w:rPr>
          <w:rFonts w:eastAsia="Calibri"/>
          <w:sz w:val="26"/>
          <w:szCs w:val="22"/>
        </w:rPr>
        <w:t xml:space="preserve"> </w:t>
      </w:r>
      <w:r w:rsidR="00870ADA" w:rsidRPr="00870ADA">
        <w:rPr>
          <w:rFonts w:eastAsia="Calibri"/>
          <w:sz w:val="26"/>
          <w:szCs w:val="22"/>
        </w:rPr>
        <w:t xml:space="preserve">be considered by </w:t>
      </w:r>
      <w:r w:rsidR="0038280C">
        <w:rPr>
          <w:rFonts w:eastAsia="Calibri"/>
          <w:sz w:val="26"/>
          <w:szCs w:val="26"/>
        </w:rPr>
        <w:t>the Constitutional</w:t>
      </w:r>
      <w:r w:rsidR="00870ADA" w:rsidRPr="00870ADA">
        <w:rPr>
          <w:rFonts w:eastAsia="Calibri"/>
          <w:sz w:val="26"/>
          <w:szCs w:val="26"/>
        </w:rPr>
        <w:t xml:space="preserve"> Court.  </w:t>
      </w:r>
      <w:r w:rsidR="001B5355">
        <w:rPr>
          <w:rFonts w:eastAsia="Calibri"/>
          <w:sz w:val="26"/>
          <w:szCs w:val="26"/>
        </w:rPr>
        <w:t xml:space="preserve">According to </w:t>
      </w:r>
      <w:r w:rsidR="006D5000">
        <w:rPr>
          <w:rFonts w:eastAsia="Calibri"/>
          <w:sz w:val="26"/>
          <w:szCs w:val="26"/>
        </w:rPr>
        <w:t>the third judgment</w:t>
      </w:r>
      <w:r w:rsidR="001B5355">
        <w:rPr>
          <w:rFonts w:eastAsia="Calibri"/>
          <w:sz w:val="26"/>
          <w:szCs w:val="26"/>
        </w:rPr>
        <w:t>, the application raised</w:t>
      </w:r>
      <w:r w:rsidR="00870ADA" w:rsidRPr="00870ADA">
        <w:rPr>
          <w:rFonts w:eastAsia="Calibri"/>
          <w:sz w:val="26"/>
          <w:szCs w:val="26"/>
        </w:rPr>
        <w:t xml:space="preserve"> a po</w:t>
      </w:r>
      <w:r w:rsidR="0038280C">
        <w:rPr>
          <w:rFonts w:eastAsia="Calibri"/>
          <w:sz w:val="26"/>
          <w:szCs w:val="26"/>
        </w:rPr>
        <w:t xml:space="preserve">int of law regarding whether </w:t>
      </w:r>
      <w:r w:rsidR="00870ADA" w:rsidRPr="00870ADA">
        <w:rPr>
          <w:rFonts w:eastAsia="Calibri"/>
          <w:sz w:val="26"/>
          <w:szCs w:val="26"/>
        </w:rPr>
        <w:t xml:space="preserve">it </w:t>
      </w:r>
      <w:r w:rsidR="0038280C">
        <w:rPr>
          <w:rFonts w:eastAsia="Calibri"/>
          <w:sz w:val="26"/>
          <w:szCs w:val="26"/>
        </w:rPr>
        <w:t xml:space="preserve">is </w:t>
      </w:r>
      <w:r w:rsidR="00870ADA" w:rsidRPr="00870ADA">
        <w:rPr>
          <w:rFonts w:eastAsia="Calibri"/>
          <w:sz w:val="26"/>
          <w:szCs w:val="26"/>
        </w:rPr>
        <w:t xml:space="preserve">appropriate to determine if prices are predatory by considering the average total cost standard and the intention of a dominant firm to predate.  As for the merits of this matter, </w:t>
      </w:r>
      <w:r>
        <w:rPr>
          <w:rFonts w:eastAsia="Calibri"/>
          <w:sz w:val="26"/>
          <w:szCs w:val="26"/>
        </w:rPr>
        <w:t>the</w:t>
      </w:r>
      <w:r w:rsidR="00870ADA" w:rsidRPr="00870ADA">
        <w:rPr>
          <w:rFonts w:eastAsia="Calibri"/>
          <w:sz w:val="26"/>
          <w:szCs w:val="26"/>
        </w:rPr>
        <w:t xml:space="preserve"> </w:t>
      </w:r>
      <w:r w:rsidR="0038280C">
        <w:rPr>
          <w:rFonts w:eastAsia="Calibri"/>
          <w:sz w:val="26"/>
          <w:szCs w:val="26"/>
        </w:rPr>
        <w:t xml:space="preserve">third </w:t>
      </w:r>
      <w:r w:rsidR="00870ADA" w:rsidRPr="00870ADA">
        <w:rPr>
          <w:rFonts w:eastAsia="Calibri"/>
          <w:sz w:val="26"/>
          <w:szCs w:val="26"/>
        </w:rPr>
        <w:t>judgment</w:t>
      </w:r>
      <w:r>
        <w:rPr>
          <w:rFonts w:eastAsia="Calibri"/>
          <w:sz w:val="26"/>
          <w:szCs w:val="26"/>
        </w:rPr>
        <w:t xml:space="preserve"> held</w:t>
      </w:r>
      <w:r w:rsidR="00870ADA" w:rsidRPr="00870ADA">
        <w:rPr>
          <w:rFonts w:eastAsia="Calibri"/>
          <w:sz w:val="26"/>
          <w:szCs w:val="26"/>
        </w:rPr>
        <w:t xml:space="preserve"> that the average total cost standard is an inappropriate measure for assessing predatory pricing.  </w:t>
      </w:r>
      <w:r w:rsidR="006D5000">
        <w:rPr>
          <w:rFonts w:eastAsia="Calibri"/>
          <w:sz w:val="26"/>
          <w:szCs w:val="26"/>
        </w:rPr>
        <w:t>The third judgment</w:t>
      </w:r>
      <w:r>
        <w:rPr>
          <w:rFonts w:eastAsia="Calibri"/>
          <w:sz w:val="26"/>
          <w:szCs w:val="26"/>
        </w:rPr>
        <w:t xml:space="preserve"> held</w:t>
      </w:r>
      <w:r w:rsidR="00870ADA" w:rsidRPr="00870ADA">
        <w:rPr>
          <w:rFonts w:eastAsia="Calibri"/>
          <w:sz w:val="26"/>
          <w:szCs w:val="26"/>
        </w:rPr>
        <w:t xml:space="preserve"> that the interpretation </w:t>
      </w:r>
      <w:r w:rsidR="00877DFB">
        <w:rPr>
          <w:rFonts w:eastAsia="Calibri"/>
          <w:sz w:val="26"/>
          <w:szCs w:val="26"/>
        </w:rPr>
        <w:t xml:space="preserve">of the Competition Act </w:t>
      </w:r>
      <w:r w:rsidR="00870ADA" w:rsidRPr="00870ADA">
        <w:rPr>
          <w:rFonts w:eastAsia="Calibri"/>
          <w:sz w:val="26"/>
          <w:szCs w:val="26"/>
        </w:rPr>
        <w:t>adopted by the first judgment is contrary to the objectives of the Act a</w:t>
      </w:r>
      <w:bookmarkStart w:id="0" w:name="_GoBack"/>
      <w:bookmarkEnd w:id="0"/>
      <w:r w:rsidR="00870ADA" w:rsidRPr="00870ADA">
        <w:rPr>
          <w:rFonts w:eastAsia="Calibri"/>
          <w:sz w:val="26"/>
          <w:szCs w:val="26"/>
        </w:rPr>
        <w:t xml:space="preserve">nd may severely undermine price competition and in so doing harm consumer welfare.  </w:t>
      </w:r>
      <w:r w:rsidR="003D3A6E">
        <w:rPr>
          <w:rFonts w:eastAsia="Calibri"/>
          <w:sz w:val="26"/>
          <w:szCs w:val="26"/>
        </w:rPr>
        <w:t>T</w:t>
      </w:r>
      <w:r w:rsidR="006D5000">
        <w:rPr>
          <w:rFonts w:eastAsia="Calibri"/>
          <w:sz w:val="26"/>
          <w:szCs w:val="26"/>
        </w:rPr>
        <w:t>he third judgment</w:t>
      </w:r>
      <w:r w:rsidR="00870ADA" w:rsidRPr="00870ADA">
        <w:rPr>
          <w:rFonts w:eastAsia="Calibri"/>
          <w:sz w:val="26"/>
          <w:szCs w:val="26"/>
        </w:rPr>
        <w:t xml:space="preserve"> also </w:t>
      </w:r>
      <w:r>
        <w:rPr>
          <w:rFonts w:eastAsia="Calibri"/>
          <w:sz w:val="26"/>
          <w:szCs w:val="26"/>
        </w:rPr>
        <w:t>found</w:t>
      </w:r>
      <w:r w:rsidR="00870ADA" w:rsidRPr="00870ADA">
        <w:rPr>
          <w:rFonts w:eastAsia="Calibri"/>
          <w:sz w:val="26"/>
          <w:szCs w:val="26"/>
        </w:rPr>
        <w:t xml:space="preserve"> that predatory intent is irrelevant to the objective, outcomes based assessment of predation.  </w:t>
      </w:r>
      <w:r>
        <w:rPr>
          <w:rFonts w:eastAsia="Calibri"/>
          <w:sz w:val="26"/>
          <w:szCs w:val="26"/>
        </w:rPr>
        <w:t>The third</w:t>
      </w:r>
      <w:r w:rsidR="00870ADA" w:rsidRPr="00870ADA">
        <w:rPr>
          <w:rFonts w:eastAsia="Calibri"/>
          <w:sz w:val="26"/>
          <w:szCs w:val="26"/>
        </w:rPr>
        <w:t xml:space="preserve"> judgment would </w:t>
      </w:r>
      <w:r>
        <w:rPr>
          <w:rFonts w:eastAsia="Calibri"/>
          <w:sz w:val="26"/>
          <w:szCs w:val="26"/>
        </w:rPr>
        <w:t>have</w:t>
      </w:r>
      <w:r w:rsidR="00870ADA" w:rsidRPr="00870ADA">
        <w:rPr>
          <w:rFonts w:eastAsia="Calibri"/>
          <w:sz w:val="26"/>
          <w:szCs w:val="26"/>
        </w:rPr>
        <w:t xml:space="preserve"> dismiss</w:t>
      </w:r>
      <w:r>
        <w:rPr>
          <w:rFonts w:eastAsia="Calibri"/>
          <w:sz w:val="26"/>
          <w:szCs w:val="26"/>
        </w:rPr>
        <w:t>ed</w:t>
      </w:r>
      <w:r w:rsidR="000B4A21">
        <w:rPr>
          <w:rFonts w:eastAsia="Calibri"/>
          <w:sz w:val="26"/>
          <w:szCs w:val="26"/>
        </w:rPr>
        <w:t xml:space="preserve"> the </w:t>
      </w:r>
      <w:r w:rsidR="00870ADA" w:rsidRPr="00870ADA">
        <w:rPr>
          <w:rFonts w:eastAsia="Calibri"/>
          <w:sz w:val="26"/>
          <w:szCs w:val="26"/>
        </w:rPr>
        <w:t>Commission’s appeal.</w:t>
      </w:r>
    </w:p>
    <w:p w14:paraId="497A5F0C" w14:textId="77777777" w:rsidR="00870ADA" w:rsidRPr="00870ADA" w:rsidRDefault="00870ADA" w:rsidP="00870ADA">
      <w:pPr>
        <w:rPr>
          <w:rFonts w:eastAsia="Calibri"/>
          <w:sz w:val="26"/>
          <w:szCs w:val="26"/>
        </w:rPr>
      </w:pPr>
    </w:p>
    <w:p w14:paraId="769D1C4F" w14:textId="1B5E5197" w:rsidR="00870ADA" w:rsidRPr="00870ADA" w:rsidRDefault="00870ADA" w:rsidP="00870ADA">
      <w:pPr>
        <w:rPr>
          <w:rFonts w:eastAsia="Calibri"/>
          <w:sz w:val="26"/>
          <w:szCs w:val="26"/>
        </w:rPr>
      </w:pPr>
      <w:r w:rsidRPr="00870ADA">
        <w:rPr>
          <w:rFonts w:eastAsia="Calibri"/>
          <w:sz w:val="26"/>
          <w:szCs w:val="26"/>
        </w:rPr>
        <w:t xml:space="preserve">In a further judgment, Mhlantla J </w:t>
      </w:r>
      <w:r w:rsidR="001B5355">
        <w:rPr>
          <w:rFonts w:eastAsia="Calibri"/>
          <w:sz w:val="26"/>
          <w:szCs w:val="26"/>
        </w:rPr>
        <w:t>concurred</w:t>
      </w:r>
      <w:r w:rsidRPr="00870ADA">
        <w:rPr>
          <w:rFonts w:eastAsia="Calibri"/>
          <w:sz w:val="26"/>
          <w:szCs w:val="26"/>
        </w:rPr>
        <w:t xml:space="preserve"> with the first judgment on the merits of this matter</w:t>
      </w:r>
      <w:r w:rsidR="001B5355">
        <w:rPr>
          <w:rFonts w:eastAsia="Calibri"/>
          <w:sz w:val="26"/>
          <w:szCs w:val="26"/>
        </w:rPr>
        <w:t xml:space="preserve"> and with the third</w:t>
      </w:r>
      <w:r w:rsidRPr="00870ADA">
        <w:rPr>
          <w:rFonts w:eastAsia="Calibri"/>
          <w:sz w:val="26"/>
          <w:szCs w:val="26"/>
        </w:rPr>
        <w:t xml:space="preserve"> judgment on the issue of jurisdiction and leave to appeal.</w:t>
      </w:r>
    </w:p>
    <w:p w14:paraId="0453F172" w14:textId="77777777" w:rsidR="00870ADA" w:rsidRPr="00870ADA" w:rsidRDefault="00870ADA" w:rsidP="00870ADA">
      <w:pPr>
        <w:rPr>
          <w:rFonts w:eastAsia="Calibri"/>
          <w:sz w:val="26"/>
          <w:szCs w:val="26"/>
        </w:rPr>
      </w:pPr>
    </w:p>
    <w:p w14:paraId="01728607" w14:textId="70147939" w:rsidR="000F73F3" w:rsidRPr="006D5000" w:rsidRDefault="00870ADA" w:rsidP="00FB48F5">
      <w:pPr>
        <w:rPr>
          <w:rFonts w:eastAsia="Calibri"/>
          <w:sz w:val="26"/>
          <w:szCs w:val="22"/>
        </w:rPr>
      </w:pPr>
      <w:r w:rsidRPr="00870ADA">
        <w:rPr>
          <w:rFonts w:eastAsia="Calibri"/>
          <w:sz w:val="26"/>
          <w:szCs w:val="26"/>
        </w:rPr>
        <w:t>The effect of these fo</w:t>
      </w:r>
      <w:r w:rsidR="0038280C">
        <w:rPr>
          <w:rFonts w:eastAsia="Calibri"/>
          <w:sz w:val="26"/>
          <w:szCs w:val="26"/>
        </w:rPr>
        <w:t>ur judgments is that six members</w:t>
      </w:r>
      <w:r w:rsidR="00B44292">
        <w:rPr>
          <w:rFonts w:eastAsia="Calibri"/>
          <w:sz w:val="26"/>
          <w:szCs w:val="26"/>
        </w:rPr>
        <w:t xml:space="preserve"> of the Constitutional</w:t>
      </w:r>
      <w:r w:rsidRPr="00870ADA">
        <w:rPr>
          <w:rFonts w:eastAsia="Calibri"/>
          <w:sz w:val="26"/>
          <w:szCs w:val="26"/>
        </w:rPr>
        <w:t xml:space="preserve"> Court </w:t>
      </w:r>
      <w:r w:rsidR="001B5355">
        <w:rPr>
          <w:rFonts w:eastAsia="Calibri"/>
          <w:sz w:val="26"/>
          <w:szCs w:val="26"/>
        </w:rPr>
        <w:t>held</w:t>
      </w:r>
      <w:r w:rsidR="006F4789">
        <w:rPr>
          <w:rFonts w:eastAsia="Calibri"/>
          <w:sz w:val="26"/>
          <w:szCs w:val="26"/>
        </w:rPr>
        <w:t xml:space="preserve"> that this application raised</w:t>
      </w:r>
      <w:r w:rsidRPr="00870ADA">
        <w:rPr>
          <w:rFonts w:eastAsia="Calibri"/>
          <w:sz w:val="26"/>
          <w:szCs w:val="26"/>
        </w:rPr>
        <w:t xml:space="preserve"> an arguable point of law of gene</w:t>
      </w:r>
      <w:r w:rsidR="00B44292">
        <w:rPr>
          <w:rFonts w:eastAsia="Calibri"/>
          <w:sz w:val="26"/>
          <w:szCs w:val="26"/>
        </w:rPr>
        <w:t>ral public importance within this Court’s</w:t>
      </w:r>
      <w:r w:rsidRPr="00870ADA">
        <w:rPr>
          <w:rFonts w:eastAsia="Calibri"/>
          <w:sz w:val="26"/>
          <w:szCs w:val="26"/>
        </w:rPr>
        <w:t xml:space="preserve"> jurisdiction and</w:t>
      </w:r>
      <w:r w:rsidRPr="00870ADA">
        <w:rPr>
          <w:rFonts w:eastAsia="Calibri"/>
          <w:sz w:val="26"/>
          <w:szCs w:val="22"/>
        </w:rPr>
        <w:t xml:space="preserve"> grant</w:t>
      </w:r>
      <w:r w:rsidR="00BB4040">
        <w:rPr>
          <w:rFonts w:eastAsia="Calibri"/>
          <w:sz w:val="26"/>
          <w:szCs w:val="22"/>
        </w:rPr>
        <w:t>ed</w:t>
      </w:r>
      <w:r w:rsidRPr="00870ADA">
        <w:rPr>
          <w:rFonts w:eastAsia="Calibri"/>
          <w:sz w:val="26"/>
          <w:szCs w:val="22"/>
        </w:rPr>
        <w:t xml:space="preserve"> leave to appeal against the judgment and order</w:t>
      </w:r>
      <w:r w:rsidR="0038280C">
        <w:rPr>
          <w:rFonts w:eastAsia="Calibri"/>
          <w:sz w:val="26"/>
          <w:szCs w:val="22"/>
        </w:rPr>
        <w:t xml:space="preserve"> of the CAC</w:t>
      </w:r>
      <w:r w:rsidRPr="00870ADA">
        <w:rPr>
          <w:rFonts w:eastAsia="Calibri"/>
          <w:sz w:val="26"/>
          <w:szCs w:val="22"/>
        </w:rPr>
        <w:t>.  O</w:t>
      </w:r>
      <w:r w:rsidR="0038280C">
        <w:rPr>
          <w:rFonts w:eastAsia="Calibri"/>
          <w:sz w:val="26"/>
          <w:szCs w:val="22"/>
        </w:rPr>
        <w:t>n the merits, six members</w:t>
      </w:r>
      <w:r w:rsidR="00BB4040">
        <w:rPr>
          <w:rFonts w:eastAsia="Calibri"/>
          <w:sz w:val="26"/>
          <w:szCs w:val="22"/>
        </w:rPr>
        <w:t xml:space="preserve"> of this</w:t>
      </w:r>
      <w:r w:rsidRPr="00870ADA">
        <w:rPr>
          <w:rFonts w:eastAsia="Calibri"/>
          <w:sz w:val="26"/>
          <w:szCs w:val="22"/>
        </w:rPr>
        <w:t xml:space="preserve"> Court </w:t>
      </w:r>
      <w:r w:rsidR="001B5355">
        <w:rPr>
          <w:rFonts w:eastAsia="Calibri"/>
          <w:sz w:val="26"/>
          <w:szCs w:val="22"/>
        </w:rPr>
        <w:t>did</w:t>
      </w:r>
      <w:r w:rsidRPr="00870ADA">
        <w:rPr>
          <w:rFonts w:eastAsia="Calibri"/>
          <w:sz w:val="26"/>
          <w:szCs w:val="22"/>
        </w:rPr>
        <w:t xml:space="preserve"> </w:t>
      </w:r>
      <w:r w:rsidR="001B5355">
        <w:rPr>
          <w:rFonts w:eastAsia="Calibri"/>
          <w:sz w:val="26"/>
          <w:szCs w:val="22"/>
        </w:rPr>
        <w:t>not uphold the appeal.  There was</w:t>
      </w:r>
      <w:r w:rsidRPr="00870ADA">
        <w:rPr>
          <w:rFonts w:eastAsia="Calibri"/>
          <w:sz w:val="26"/>
          <w:szCs w:val="22"/>
        </w:rPr>
        <w:t xml:space="preserve"> thus a majority decis</w:t>
      </w:r>
      <w:r w:rsidR="006F4789">
        <w:rPr>
          <w:rFonts w:eastAsia="Calibri"/>
          <w:sz w:val="26"/>
          <w:szCs w:val="22"/>
        </w:rPr>
        <w:t>ion that the</w:t>
      </w:r>
      <w:r w:rsidR="001B5355">
        <w:rPr>
          <w:rFonts w:eastAsia="Calibri"/>
          <w:sz w:val="26"/>
          <w:szCs w:val="22"/>
        </w:rPr>
        <w:t xml:space="preserve"> application raised</w:t>
      </w:r>
      <w:r w:rsidRPr="00870ADA">
        <w:rPr>
          <w:rFonts w:eastAsia="Calibri"/>
          <w:sz w:val="26"/>
          <w:szCs w:val="22"/>
        </w:rPr>
        <w:t xml:space="preserve"> an arguable point of law of general public importance within this Court’s jurisdiction, </w:t>
      </w:r>
      <w:r w:rsidR="00013686">
        <w:rPr>
          <w:rFonts w:eastAsia="Calibri"/>
          <w:sz w:val="26"/>
          <w:szCs w:val="22"/>
        </w:rPr>
        <w:t>that</w:t>
      </w:r>
      <w:r w:rsidRPr="00870ADA">
        <w:rPr>
          <w:rFonts w:eastAsia="Calibri"/>
          <w:sz w:val="26"/>
          <w:szCs w:val="22"/>
        </w:rPr>
        <w:t xml:space="preserve"> leave to appeal should be granted,</w:t>
      </w:r>
      <w:r w:rsidR="006F4789">
        <w:rPr>
          <w:rFonts w:eastAsia="Calibri"/>
          <w:sz w:val="26"/>
          <w:szCs w:val="22"/>
        </w:rPr>
        <w:t xml:space="preserve"> and</w:t>
      </w:r>
      <w:r w:rsidRPr="00870ADA">
        <w:rPr>
          <w:rFonts w:eastAsia="Calibri"/>
          <w:sz w:val="26"/>
          <w:szCs w:val="22"/>
        </w:rPr>
        <w:t xml:space="preserve"> </w:t>
      </w:r>
      <w:r w:rsidR="00013686">
        <w:rPr>
          <w:rFonts w:eastAsia="Calibri"/>
          <w:sz w:val="26"/>
          <w:szCs w:val="22"/>
        </w:rPr>
        <w:t xml:space="preserve">that </w:t>
      </w:r>
      <w:r w:rsidRPr="00870ADA">
        <w:rPr>
          <w:rFonts w:eastAsia="Calibri"/>
          <w:sz w:val="26"/>
          <w:szCs w:val="22"/>
        </w:rPr>
        <w:t>the appeal must be dismissed</w:t>
      </w:r>
      <w:r w:rsidR="00013686">
        <w:rPr>
          <w:rFonts w:eastAsia="Calibri"/>
          <w:sz w:val="26"/>
          <w:szCs w:val="22"/>
        </w:rPr>
        <w:t xml:space="preserve"> with costs</w:t>
      </w:r>
      <w:r w:rsidRPr="00870ADA">
        <w:rPr>
          <w:rFonts w:eastAsia="Calibri"/>
          <w:sz w:val="26"/>
          <w:szCs w:val="22"/>
        </w:rPr>
        <w:t>.</w:t>
      </w:r>
    </w:p>
    <w:sectPr w:rsidR="000F73F3" w:rsidRPr="006D5000"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659BFD" w14:textId="77777777" w:rsidR="000E13AD" w:rsidRDefault="000E13AD" w:rsidP="00E436A1">
      <w:r>
        <w:separator/>
      </w:r>
    </w:p>
  </w:endnote>
  <w:endnote w:type="continuationSeparator" w:id="0">
    <w:p w14:paraId="77F3563D" w14:textId="77777777" w:rsidR="000E13AD" w:rsidRDefault="000E13AD" w:rsidP="00E436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AE5CF9" w14:textId="77777777" w:rsidR="000E13AD" w:rsidRDefault="000E13AD" w:rsidP="00E436A1">
      <w:r>
        <w:separator/>
      </w:r>
    </w:p>
  </w:footnote>
  <w:footnote w:type="continuationSeparator" w:id="0">
    <w:p w14:paraId="161B8FF0" w14:textId="77777777" w:rsidR="000E13AD" w:rsidRDefault="000E13AD" w:rsidP="00E436A1">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C30AD0BA"/>
    <w:lvl w:ilvl="0" w:tplc="0CD23EA0">
      <w:start w:val="1"/>
      <w:numFmt w:val="decimal"/>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54C4"/>
    <w:rsid w:val="00013686"/>
    <w:rsid w:val="00017302"/>
    <w:rsid w:val="00023FA7"/>
    <w:rsid w:val="0003383F"/>
    <w:rsid w:val="00044771"/>
    <w:rsid w:val="00044EA4"/>
    <w:rsid w:val="000473D2"/>
    <w:rsid w:val="000548D7"/>
    <w:rsid w:val="00055B29"/>
    <w:rsid w:val="00056476"/>
    <w:rsid w:val="00057A6A"/>
    <w:rsid w:val="000654B1"/>
    <w:rsid w:val="0006619F"/>
    <w:rsid w:val="000674AB"/>
    <w:rsid w:val="0007028D"/>
    <w:rsid w:val="00070E99"/>
    <w:rsid w:val="00077DB0"/>
    <w:rsid w:val="000806AE"/>
    <w:rsid w:val="00091F8C"/>
    <w:rsid w:val="00093E39"/>
    <w:rsid w:val="00094E7C"/>
    <w:rsid w:val="000A1F53"/>
    <w:rsid w:val="000A36D1"/>
    <w:rsid w:val="000A36F3"/>
    <w:rsid w:val="000A65F2"/>
    <w:rsid w:val="000A7AC8"/>
    <w:rsid w:val="000B3904"/>
    <w:rsid w:val="000B476B"/>
    <w:rsid w:val="000B4A21"/>
    <w:rsid w:val="000B4C30"/>
    <w:rsid w:val="000D09EA"/>
    <w:rsid w:val="000D2DCB"/>
    <w:rsid w:val="000D3059"/>
    <w:rsid w:val="000D35AE"/>
    <w:rsid w:val="000E13AD"/>
    <w:rsid w:val="000E4C62"/>
    <w:rsid w:val="000E4FA8"/>
    <w:rsid w:val="000F73F3"/>
    <w:rsid w:val="0010072C"/>
    <w:rsid w:val="00100894"/>
    <w:rsid w:val="0010618B"/>
    <w:rsid w:val="00107D3E"/>
    <w:rsid w:val="00113454"/>
    <w:rsid w:val="00117D6B"/>
    <w:rsid w:val="00122E3D"/>
    <w:rsid w:val="00125BE8"/>
    <w:rsid w:val="00127D6F"/>
    <w:rsid w:val="00134BBE"/>
    <w:rsid w:val="00140AA6"/>
    <w:rsid w:val="0015307D"/>
    <w:rsid w:val="00155F80"/>
    <w:rsid w:val="00170F00"/>
    <w:rsid w:val="0017186C"/>
    <w:rsid w:val="00172A2C"/>
    <w:rsid w:val="00182C1A"/>
    <w:rsid w:val="001A24C8"/>
    <w:rsid w:val="001B5355"/>
    <w:rsid w:val="001D4CD5"/>
    <w:rsid w:val="001E0217"/>
    <w:rsid w:val="001E195D"/>
    <w:rsid w:val="001E31D8"/>
    <w:rsid w:val="001E57F4"/>
    <w:rsid w:val="001E5F5A"/>
    <w:rsid w:val="001E7604"/>
    <w:rsid w:val="00200AB8"/>
    <w:rsid w:val="002013A4"/>
    <w:rsid w:val="00207693"/>
    <w:rsid w:val="00215823"/>
    <w:rsid w:val="002348C0"/>
    <w:rsid w:val="002435AB"/>
    <w:rsid w:val="0024559C"/>
    <w:rsid w:val="00250C27"/>
    <w:rsid w:val="00253986"/>
    <w:rsid w:val="00260391"/>
    <w:rsid w:val="002623A1"/>
    <w:rsid w:val="00263B4E"/>
    <w:rsid w:val="002705A8"/>
    <w:rsid w:val="00270BD5"/>
    <w:rsid w:val="0027251B"/>
    <w:rsid w:val="00293CEC"/>
    <w:rsid w:val="002964E0"/>
    <w:rsid w:val="002C61EF"/>
    <w:rsid w:val="002D184B"/>
    <w:rsid w:val="002D7582"/>
    <w:rsid w:val="002E17E9"/>
    <w:rsid w:val="002E4B21"/>
    <w:rsid w:val="00305423"/>
    <w:rsid w:val="0031792A"/>
    <w:rsid w:val="00323149"/>
    <w:rsid w:val="00324D75"/>
    <w:rsid w:val="003255EA"/>
    <w:rsid w:val="0032682A"/>
    <w:rsid w:val="00330315"/>
    <w:rsid w:val="00334E0F"/>
    <w:rsid w:val="00343880"/>
    <w:rsid w:val="00357788"/>
    <w:rsid w:val="0037720A"/>
    <w:rsid w:val="003807A5"/>
    <w:rsid w:val="0038280C"/>
    <w:rsid w:val="003845A8"/>
    <w:rsid w:val="003850ED"/>
    <w:rsid w:val="00386254"/>
    <w:rsid w:val="003A072F"/>
    <w:rsid w:val="003A1F6F"/>
    <w:rsid w:val="003B4484"/>
    <w:rsid w:val="003C40ED"/>
    <w:rsid w:val="003D1CF1"/>
    <w:rsid w:val="003D3A6E"/>
    <w:rsid w:val="003D54C4"/>
    <w:rsid w:val="003D72F3"/>
    <w:rsid w:val="003E7FBB"/>
    <w:rsid w:val="003F0347"/>
    <w:rsid w:val="003F1959"/>
    <w:rsid w:val="003F3E2F"/>
    <w:rsid w:val="004036FB"/>
    <w:rsid w:val="004041F7"/>
    <w:rsid w:val="00405470"/>
    <w:rsid w:val="004065B7"/>
    <w:rsid w:val="00410075"/>
    <w:rsid w:val="004179B7"/>
    <w:rsid w:val="004302FD"/>
    <w:rsid w:val="0043071F"/>
    <w:rsid w:val="00430C6F"/>
    <w:rsid w:val="004426F8"/>
    <w:rsid w:val="00453F26"/>
    <w:rsid w:val="00454E4B"/>
    <w:rsid w:val="004628F1"/>
    <w:rsid w:val="00467CE6"/>
    <w:rsid w:val="00490F2C"/>
    <w:rsid w:val="004A0610"/>
    <w:rsid w:val="004A1AEE"/>
    <w:rsid w:val="004A5A74"/>
    <w:rsid w:val="004C11E3"/>
    <w:rsid w:val="004C5AD8"/>
    <w:rsid w:val="004C7EF7"/>
    <w:rsid w:val="004D716D"/>
    <w:rsid w:val="004E03C2"/>
    <w:rsid w:val="0050190E"/>
    <w:rsid w:val="005038A1"/>
    <w:rsid w:val="0050472A"/>
    <w:rsid w:val="00513D5D"/>
    <w:rsid w:val="0051428C"/>
    <w:rsid w:val="00523416"/>
    <w:rsid w:val="00524F3A"/>
    <w:rsid w:val="005257B9"/>
    <w:rsid w:val="00526226"/>
    <w:rsid w:val="005307A5"/>
    <w:rsid w:val="005329DD"/>
    <w:rsid w:val="0053527E"/>
    <w:rsid w:val="00537F26"/>
    <w:rsid w:val="0054145D"/>
    <w:rsid w:val="00554E80"/>
    <w:rsid w:val="0055726C"/>
    <w:rsid w:val="005613A9"/>
    <w:rsid w:val="00571CD9"/>
    <w:rsid w:val="00573AEA"/>
    <w:rsid w:val="00573C8B"/>
    <w:rsid w:val="00573DF3"/>
    <w:rsid w:val="00587A53"/>
    <w:rsid w:val="00590296"/>
    <w:rsid w:val="00594B56"/>
    <w:rsid w:val="005979C2"/>
    <w:rsid w:val="005B2F2F"/>
    <w:rsid w:val="005B51EB"/>
    <w:rsid w:val="005D4DE7"/>
    <w:rsid w:val="005E52AC"/>
    <w:rsid w:val="005E557D"/>
    <w:rsid w:val="005F0001"/>
    <w:rsid w:val="005F26E1"/>
    <w:rsid w:val="005F322E"/>
    <w:rsid w:val="00600D6C"/>
    <w:rsid w:val="00601B95"/>
    <w:rsid w:val="00605690"/>
    <w:rsid w:val="00616848"/>
    <w:rsid w:val="00624185"/>
    <w:rsid w:val="00624FFE"/>
    <w:rsid w:val="00630AA9"/>
    <w:rsid w:val="00642528"/>
    <w:rsid w:val="00642D52"/>
    <w:rsid w:val="006474CE"/>
    <w:rsid w:val="006524D4"/>
    <w:rsid w:val="006543E3"/>
    <w:rsid w:val="006735C9"/>
    <w:rsid w:val="00674452"/>
    <w:rsid w:val="006749D6"/>
    <w:rsid w:val="00676CFE"/>
    <w:rsid w:val="006819C8"/>
    <w:rsid w:val="00685C91"/>
    <w:rsid w:val="006879F3"/>
    <w:rsid w:val="00694175"/>
    <w:rsid w:val="006966FC"/>
    <w:rsid w:val="006A0290"/>
    <w:rsid w:val="006A561C"/>
    <w:rsid w:val="006B3337"/>
    <w:rsid w:val="006C1387"/>
    <w:rsid w:val="006C76EB"/>
    <w:rsid w:val="006D1783"/>
    <w:rsid w:val="006D38EE"/>
    <w:rsid w:val="006D5000"/>
    <w:rsid w:val="006E12BC"/>
    <w:rsid w:val="006E6A2F"/>
    <w:rsid w:val="006F3771"/>
    <w:rsid w:val="006F4789"/>
    <w:rsid w:val="007037E8"/>
    <w:rsid w:val="007106E2"/>
    <w:rsid w:val="00712458"/>
    <w:rsid w:val="00715453"/>
    <w:rsid w:val="00716FAA"/>
    <w:rsid w:val="007173D5"/>
    <w:rsid w:val="00720ACA"/>
    <w:rsid w:val="00750F83"/>
    <w:rsid w:val="00752C8F"/>
    <w:rsid w:val="00762738"/>
    <w:rsid w:val="007659FF"/>
    <w:rsid w:val="007719DD"/>
    <w:rsid w:val="00771D7F"/>
    <w:rsid w:val="007746CE"/>
    <w:rsid w:val="00775169"/>
    <w:rsid w:val="00780874"/>
    <w:rsid w:val="007816E0"/>
    <w:rsid w:val="0078535D"/>
    <w:rsid w:val="0078546A"/>
    <w:rsid w:val="00794231"/>
    <w:rsid w:val="007A6543"/>
    <w:rsid w:val="007B3F9A"/>
    <w:rsid w:val="007C65D9"/>
    <w:rsid w:val="007D5165"/>
    <w:rsid w:val="007D6DF5"/>
    <w:rsid w:val="007E266B"/>
    <w:rsid w:val="007F0EF4"/>
    <w:rsid w:val="007F7DCD"/>
    <w:rsid w:val="00801124"/>
    <w:rsid w:val="0080619E"/>
    <w:rsid w:val="00810E45"/>
    <w:rsid w:val="0081741F"/>
    <w:rsid w:val="00823B02"/>
    <w:rsid w:val="00825355"/>
    <w:rsid w:val="0083215D"/>
    <w:rsid w:val="00834D25"/>
    <w:rsid w:val="008351C8"/>
    <w:rsid w:val="00843289"/>
    <w:rsid w:val="0086048D"/>
    <w:rsid w:val="00866508"/>
    <w:rsid w:val="00867767"/>
    <w:rsid w:val="0087005B"/>
    <w:rsid w:val="00870ADA"/>
    <w:rsid w:val="00871640"/>
    <w:rsid w:val="00877DFB"/>
    <w:rsid w:val="00881D33"/>
    <w:rsid w:val="00882096"/>
    <w:rsid w:val="00883D6C"/>
    <w:rsid w:val="008943E7"/>
    <w:rsid w:val="008A5FDC"/>
    <w:rsid w:val="008B1777"/>
    <w:rsid w:val="008B532D"/>
    <w:rsid w:val="008C26D3"/>
    <w:rsid w:val="008C2B79"/>
    <w:rsid w:val="008C3682"/>
    <w:rsid w:val="008C75EF"/>
    <w:rsid w:val="008D24BC"/>
    <w:rsid w:val="008D25CA"/>
    <w:rsid w:val="008D3D39"/>
    <w:rsid w:val="008E54C8"/>
    <w:rsid w:val="008F036F"/>
    <w:rsid w:val="008F4B8F"/>
    <w:rsid w:val="0090690C"/>
    <w:rsid w:val="00910F26"/>
    <w:rsid w:val="00911DB9"/>
    <w:rsid w:val="00931535"/>
    <w:rsid w:val="009554D5"/>
    <w:rsid w:val="0096072E"/>
    <w:rsid w:val="009642D7"/>
    <w:rsid w:val="00970B3D"/>
    <w:rsid w:val="00977B58"/>
    <w:rsid w:val="00992CAE"/>
    <w:rsid w:val="00997440"/>
    <w:rsid w:val="0099744D"/>
    <w:rsid w:val="009B039A"/>
    <w:rsid w:val="009B7D1B"/>
    <w:rsid w:val="009E7D9D"/>
    <w:rsid w:val="00A0140F"/>
    <w:rsid w:val="00A068AF"/>
    <w:rsid w:val="00A11EF9"/>
    <w:rsid w:val="00A125FD"/>
    <w:rsid w:val="00A13C4B"/>
    <w:rsid w:val="00A142B7"/>
    <w:rsid w:val="00A1725C"/>
    <w:rsid w:val="00A17C7F"/>
    <w:rsid w:val="00A37027"/>
    <w:rsid w:val="00A44359"/>
    <w:rsid w:val="00A47D4A"/>
    <w:rsid w:val="00A51C04"/>
    <w:rsid w:val="00A52FBD"/>
    <w:rsid w:val="00A531CB"/>
    <w:rsid w:val="00A55B9B"/>
    <w:rsid w:val="00A60829"/>
    <w:rsid w:val="00A65920"/>
    <w:rsid w:val="00A81378"/>
    <w:rsid w:val="00A950AF"/>
    <w:rsid w:val="00AA17C0"/>
    <w:rsid w:val="00AA3378"/>
    <w:rsid w:val="00AB6147"/>
    <w:rsid w:val="00AC4A5D"/>
    <w:rsid w:val="00AC5170"/>
    <w:rsid w:val="00AC799A"/>
    <w:rsid w:val="00AD14A5"/>
    <w:rsid w:val="00AE4640"/>
    <w:rsid w:val="00AF0A36"/>
    <w:rsid w:val="00AF0AEC"/>
    <w:rsid w:val="00AF151E"/>
    <w:rsid w:val="00AF4065"/>
    <w:rsid w:val="00AF67D4"/>
    <w:rsid w:val="00B156D5"/>
    <w:rsid w:val="00B26802"/>
    <w:rsid w:val="00B3177F"/>
    <w:rsid w:val="00B31B92"/>
    <w:rsid w:val="00B33B4B"/>
    <w:rsid w:val="00B36F54"/>
    <w:rsid w:val="00B42687"/>
    <w:rsid w:val="00B428BE"/>
    <w:rsid w:val="00B44292"/>
    <w:rsid w:val="00B4658E"/>
    <w:rsid w:val="00B53B47"/>
    <w:rsid w:val="00B61C74"/>
    <w:rsid w:val="00B6224C"/>
    <w:rsid w:val="00B630F2"/>
    <w:rsid w:val="00B74DB6"/>
    <w:rsid w:val="00B75813"/>
    <w:rsid w:val="00B80F33"/>
    <w:rsid w:val="00B87938"/>
    <w:rsid w:val="00B95E22"/>
    <w:rsid w:val="00BA2B07"/>
    <w:rsid w:val="00BB4040"/>
    <w:rsid w:val="00BC1705"/>
    <w:rsid w:val="00BE6FBD"/>
    <w:rsid w:val="00BE71AE"/>
    <w:rsid w:val="00C0152C"/>
    <w:rsid w:val="00C01B5A"/>
    <w:rsid w:val="00C02CA7"/>
    <w:rsid w:val="00C14E9E"/>
    <w:rsid w:val="00C15790"/>
    <w:rsid w:val="00C1701A"/>
    <w:rsid w:val="00C34429"/>
    <w:rsid w:val="00C43D8A"/>
    <w:rsid w:val="00C44D82"/>
    <w:rsid w:val="00C45BBE"/>
    <w:rsid w:val="00C45F8A"/>
    <w:rsid w:val="00C472C5"/>
    <w:rsid w:val="00C4741D"/>
    <w:rsid w:val="00C47F29"/>
    <w:rsid w:val="00C500F8"/>
    <w:rsid w:val="00C51AFC"/>
    <w:rsid w:val="00C536E8"/>
    <w:rsid w:val="00C55A66"/>
    <w:rsid w:val="00C616DF"/>
    <w:rsid w:val="00C64FFD"/>
    <w:rsid w:val="00C70B69"/>
    <w:rsid w:val="00C81F96"/>
    <w:rsid w:val="00C85429"/>
    <w:rsid w:val="00C85626"/>
    <w:rsid w:val="00C95C28"/>
    <w:rsid w:val="00C96321"/>
    <w:rsid w:val="00CA21ED"/>
    <w:rsid w:val="00CA458C"/>
    <w:rsid w:val="00CB2E3D"/>
    <w:rsid w:val="00CC1C0E"/>
    <w:rsid w:val="00CC2B6C"/>
    <w:rsid w:val="00CC5EA6"/>
    <w:rsid w:val="00CE15E2"/>
    <w:rsid w:val="00CE51A0"/>
    <w:rsid w:val="00CE5D79"/>
    <w:rsid w:val="00CF33A4"/>
    <w:rsid w:val="00D055F0"/>
    <w:rsid w:val="00D0739A"/>
    <w:rsid w:val="00D12501"/>
    <w:rsid w:val="00D200E8"/>
    <w:rsid w:val="00D356A3"/>
    <w:rsid w:val="00D40819"/>
    <w:rsid w:val="00D55744"/>
    <w:rsid w:val="00D618F7"/>
    <w:rsid w:val="00D64E65"/>
    <w:rsid w:val="00D659C5"/>
    <w:rsid w:val="00D81F8F"/>
    <w:rsid w:val="00D86239"/>
    <w:rsid w:val="00D87A20"/>
    <w:rsid w:val="00D948E1"/>
    <w:rsid w:val="00D97345"/>
    <w:rsid w:val="00DB011F"/>
    <w:rsid w:val="00DB12FA"/>
    <w:rsid w:val="00DB1A44"/>
    <w:rsid w:val="00DC21A3"/>
    <w:rsid w:val="00DD5682"/>
    <w:rsid w:val="00DE0053"/>
    <w:rsid w:val="00DE5133"/>
    <w:rsid w:val="00DE7B41"/>
    <w:rsid w:val="00DF67B5"/>
    <w:rsid w:val="00E001FA"/>
    <w:rsid w:val="00E07942"/>
    <w:rsid w:val="00E27310"/>
    <w:rsid w:val="00E436A1"/>
    <w:rsid w:val="00E545EA"/>
    <w:rsid w:val="00E661EE"/>
    <w:rsid w:val="00E736CB"/>
    <w:rsid w:val="00E8342B"/>
    <w:rsid w:val="00E86C7F"/>
    <w:rsid w:val="00E87ECF"/>
    <w:rsid w:val="00E93F86"/>
    <w:rsid w:val="00EA0A07"/>
    <w:rsid w:val="00EA113C"/>
    <w:rsid w:val="00EA5947"/>
    <w:rsid w:val="00EA6C5E"/>
    <w:rsid w:val="00EB3D04"/>
    <w:rsid w:val="00EC2B68"/>
    <w:rsid w:val="00EC30F9"/>
    <w:rsid w:val="00EC3DF4"/>
    <w:rsid w:val="00ED5B69"/>
    <w:rsid w:val="00EE10EC"/>
    <w:rsid w:val="00EE617A"/>
    <w:rsid w:val="00EE7EF0"/>
    <w:rsid w:val="00F03802"/>
    <w:rsid w:val="00F04568"/>
    <w:rsid w:val="00F0467F"/>
    <w:rsid w:val="00F237A1"/>
    <w:rsid w:val="00F43565"/>
    <w:rsid w:val="00F43ADD"/>
    <w:rsid w:val="00F4503E"/>
    <w:rsid w:val="00F462EF"/>
    <w:rsid w:val="00F50679"/>
    <w:rsid w:val="00F5283F"/>
    <w:rsid w:val="00F56E0D"/>
    <w:rsid w:val="00F66CEC"/>
    <w:rsid w:val="00F70E31"/>
    <w:rsid w:val="00F71D15"/>
    <w:rsid w:val="00F74A3C"/>
    <w:rsid w:val="00F77A10"/>
    <w:rsid w:val="00F83308"/>
    <w:rsid w:val="00F8696C"/>
    <w:rsid w:val="00F91C22"/>
    <w:rsid w:val="00F93685"/>
    <w:rsid w:val="00FA50BC"/>
    <w:rsid w:val="00FB2AFF"/>
    <w:rsid w:val="00FB43E0"/>
    <w:rsid w:val="00FB48F5"/>
    <w:rsid w:val="00FC21C8"/>
    <w:rsid w:val="00FC2754"/>
    <w:rsid w:val="00FC4BF9"/>
    <w:rsid w:val="00FD2D52"/>
    <w:rsid w:val="00FE00A5"/>
    <w:rsid w:val="00FE0301"/>
    <w:rsid w:val="00FE6A97"/>
    <w:rsid w:val="00FF106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646D6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customStyle="1" w:styleId="JUDGMENTNUMBERED">
    <w:name w:val="JUDGMENT NUMBERED"/>
    <w:basedOn w:val="Normal"/>
    <w:next w:val="Normal"/>
    <w:link w:val="JUDGMENTNUMBEREDChar"/>
    <w:qFormat/>
    <w:rsid w:val="00C1701A"/>
    <w:pPr>
      <w:spacing w:after="200" w:line="360" w:lineRule="auto"/>
      <w:jc w:val="left"/>
    </w:pPr>
    <w:rPr>
      <w:rFonts w:eastAsia="Calibri"/>
      <w:color w:val="000000"/>
      <w:sz w:val="26"/>
      <w:szCs w:val="26"/>
      <w:lang w:val="en-US"/>
      <w14:scene3d>
        <w14:camera w14:prst="orthographicFront"/>
        <w14:lightRig w14:rig="threePt" w14:dir="t">
          <w14:rot w14:lat="0" w14:lon="0" w14:rev="0"/>
        </w14:lightRig>
      </w14:scene3d>
    </w:rPr>
  </w:style>
  <w:style w:type="character" w:customStyle="1" w:styleId="JUDGMENTNUMBEREDChar">
    <w:name w:val="JUDGMENT NUMBERED Char"/>
    <w:basedOn w:val="DefaultParagraphFont"/>
    <w:link w:val="JUDGMENTNUMBERED"/>
    <w:rsid w:val="00C1701A"/>
    <w:rPr>
      <w:rFonts w:eastAsia="Calibri"/>
      <w:color w:val="000000"/>
      <w:sz w:val="26"/>
      <w:szCs w:val="26"/>
      <w:lang w:val="en-US" w:eastAsia="en-US"/>
      <w14:scene3d>
        <w14:camera w14:prst="orthographicFront"/>
        <w14:lightRig w14:rig="threePt" w14:dir="t">
          <w14:rot w14:lat="0" w14:lon="0" w14:rev="0"/>
        </w14:lightRig>
      </w14:scene3d>
    </w:rPr>
  </w:style>
  <w:style w:type="paragraph" w:customStyle="1" w:styleId="JUDGMENTCONTINUED">
    <w:name w:val="JUDGMENT CONTINUED"/>
    <w:basedOn w:val="JUDGMENTNUMBERED"/>
    <w:next w:val="JUDGMENTNUMBERED"/>
    <w:qFormat/>
    <w:rsid w:val="00C1701A"/>
    <w:pPr>
      <w:spacing w:after="0"/>
      <w:jc w:val="both"/>
    </w:pPr>
    <w:rPr>
      <w:color w:val="auto"/>
      <w:szCs w:val="22"/>
      <w:lang w:val="en-ZA"/>
    </w:rPr>
  </w:style>
  <w:style w:type="paragraph" w:styleId="Header">
    <w:name w:val="header"/>
    <w:basedOn w:val="Normal"/>
    <w:link w:val="HeaderChar"/>
    <w:unhideWhenUsed/>
    <w:rsid w:val="00E436A1"/>
    <w:pPr>
      <w:tabs>
        <w:tab w:val="center" w:pos="4513"/>
        <w:tab w:val="right" w:pos="9026"/>
      </w:tabs>
    </w:pPr>
  </w:style>
  <w:style w:type="character" w:customStyle="1" w:styleId="HeaderChar">
    <w:name w:val="Header Char"/>
    <w:basedOn w:val="DefaultParagraphFont"/>
    <w:link w:val="Header"/>
    <w:rsid w:val="00E436A1"/>
    <w:rPr>
      <w:sz w:val="24"/>
      <w:szCs w:val="24"/>
      <w:lang w:eastAsia="en-US"/>
    </w:rPr>
  </w:style>
  <w:style w:type="paragraph" w:styleId="Footer">
    <w:name w:val="footer"/>
    <w:basedOn w:val="Normal"/>
    <w:link w:val="FooterChar"/>
    <w:unhideWhenUsed/>
    <w:rsid w:val="00E436A1"/>
    <w:pPr>
      <w:tabs>
        <w:tab w:val="center" w:pos="4513"/>
        <w:tab w:val="right" w:pos="9026"/>
      </w:tabs>
    </w:pPr>
  </w:style>
  <w:style w:type="character" w:customStyle="1" w:styleId="FooterChar">
    <w:name w:val="Footer Char"/>
    <w:basedOn w:val="DefaultParagraphFont"/>
    <w:link w:val="Footer"/>
    <w:rsid w:val="00E436A1"/>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21175568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cid:image001.png@01CF121A.2263A8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AE52BC3-96D1-4422-BE80-D2F2C06BDB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1081</Words>
  <Characters>6162</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2019-07-02T15:26:00Z</dcterms:created>
  <dcterms:modified xsi:type="dcterms:W3CDTF">2019-07-02T15:27:00Z</dcterms:modified>
</cp:coreProperties>
</file>