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283F" w:rsidRDefault="00CA458C" w:rsidP="00720ACA">
      <w:pPr>
        <w:jc w:val="center"/>
      </w:pPr>
      <w:bookmarkStart w:id="0" w:name="_GoBack"/>
      <w:bookmarkEnd w:id="0"/>
      <w:r w:rsidRPr="00CA458C">
        <w:rPr>
          <w:noProof/>
          <w:lang w:eastAsia="en-ZA"/>
        </w:rPr>
        <w:drawing>
          <wp:inline distT="0" distB="0" distL="0" distR="0">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rsidR="00F5283F" w:rsidRDefault="00F5283F" w:rsidP="00720ACA">
      <w:pPr>
        <w:jc w:val="center"/>
      </w:pPr>
    </w:p>
    <w:p w:rsidR="001E5F5A" w:rsidRPr="00100894" w:rsidRDefault="001E5F5A" w:rsidP="00720ACA">
      <w:pPr>
        <w:jc w:val="center"/>
        <w:rPr>
          <w:b/>
        </w:rPr>
      </w:pPr>
      <w:r w:rsidRPr="00100894">
        <w:rPr>
          <w:b/>
        </w:rPr>
        <w:t>CONSTIT</w:t>
      </w:r>
      <w:r w:rsidR="00676CFE" w:rsidRPr="00100894">
        <w:rPr>
          <w:b/>
        </w:rPr>
        <w:t>UT</w:t>
      </w:r>
      <w:r w:rsidRPr="00100894">
        <w:rPr>
          <w:b/>
        </w:rPr>
        <w:t>IONAL COURT OF SOUTH AFRICA</w:t>
      </w:r>
    </w:p>
    <w:p w:rsidR="001E5F5A" w:rsidRPr="00100894" w:rsidRDefault="001E5F5A" w:rsidP="00AE4640"/>
    <w:p w:rsidR="006966FC" w:rsidRPr="0045433A" w:rsidRDefault="0045433A" w:rsidP="0045433A">
      <w:pPr>
        <w:jc w:val="center"/>
        <w:rPr>
          <w:b/>
        </w:rPr>
      </w:pPr>
      <w:r>
        <w:rPr>
          <w:b/>
        </w:rPr>
        <w:t>Gelyk</w:t>
      </w:r>
      <w:r w:rsidR="00D546B7">
        <w:rPr>
          <w:b/>
        </w:rPr>
        <w:t>e Kanse and Others v Chairperson of the Senate, Chairperson</w:t>
      </w:r>
      <w:r w:rsidR="00281BFB">
        <w:rPr>
          <w:b/>
        </w:rPr>
        <w:t xml:space="preserve"> of </w:t>
      </w:r>
      <w:r w:rsidR="00D546B7">
        <w:rPr>
          <w:b/>
        </w:rPr>
        <w:t xml:space="preserve">the </w:t>
      </w:r>
      <w:r w:rsidR="00281BFB">
        <w:rPr>
          <w:b/>
        </w:rPr>
        <w:t xml:space="preserve">Council and </w:t>
      </w:r>
      <w:r>
        <w:rPr>
          <w:b/>
        </w:rPr>
        <w:t>the University of Stellenbosch</w:t>
      </w:r>
    </w:p>
    <w:p w:rsidR="0045433A" w:rsidRDefault="0045433A" w:rsidP="0045433A">
      <w:pPr>
        <w:jc w:val="center"/>
        <w:rPr>
          <w:bCs/>
          <w:sz w:val="26"/>
          <w:szCs w:val="26"/>
          <w:lang w:val="en-GB"/>
        </w:rPr>
      </w:pPr>
    </w:p>
    <w:p w:rsidR="00E07942" w:rsidRPr="008376A5" w:rsidRDefault="00D40819" w:rsidP="00720ACA">
      <w:pPr>
        <w:jc w:val="right"/>
        <w:rPr>
          <w:b/>
        </w:rPr>
      </w:pPr>
      <w:r w:rsidRPr="008376A5">
        <w:rPr>
          <w:b/>
        </w:rPr>
        <w:t>CCT</w:t>
      </w:r>
      <w:r w:rsidR="00720ACA" w:rsidRPr="008376A5">
        <w:rPr>
          <w:b/>
        </w:rPr>
        <w:t xml:space="preserve"> </w:t>
      </w:r>
      <w:r w:rsidR="0045433A">
        <w:rPr>
          <w:b/>
        </w:rPr>
        <w:t>311/17</w:t>
      </w:r>
    </w:p>
    <w:p w:rsidR="00D40819" w:rsidRPr="008376A5" w:rsidRDefault="00D40819" w:rsidP="00720ACA">
      <w:pPr>
        <w:jc w:val="right"/>
        <w:rPr>
          <w:b/>
        </w:rPr>
      </w:pPr>
    </w:p>
    <w:p w:rsidR="00F96C14" w:rsidRDefault="00F96C14" w:rsidP="00720ACA">
      <w:pPr>
        <w:jc w:val="right"/>
        <w:rPr>
          <w:b/>
        </w:rPr>
      </w:pPr>
      <w:r>
        <w:rPr>
          <w:b/>
        </w:rPr>
        <w:t>Date of Hearing: 8 August 2019</w:t>
      </w:r>
    </w:p>
    <w:p w:rsidR="00E07942" w:rsidRPr="00100894" w:rsidRDefault="00BB4674" w:rsidP="00720ACA">
      <w:pPr>
        <w:jc w:val="right"/>
        <w:rPr>
          <w:b/>
        </w:rPr>
      </w:pPr>
      <w:r>
        <w:rPr>
          <w:b/>
        </w:rPr>
        <w:t>Date of Judgment</w:t>
      </w:r>
      <w:r w:rsidR="00E07942" w:rsidRPr="008376A5">
        <w:rPr>
          <w:b/>
        </w:rPr>
        <w:t xml:space="preserve">: </w:t>
      </w:r>
      <w:r>
        <w:rPr>
          <w:b/>
        </w:rPr>
        <w:t>10 Octobe</w:t>
      </w:r>
      <w:r w:rsidR="00504A71">
        <w:rPr>
          <w:b/>
        </w:rPr>
        <w:t>r</w:t>
      </w:r>
      <w:r w:rsidR="008376A5" w:rsidRPr="008376A5">
        <w:rPr>
          <w:b/>
        </w:rPr>
        <w:t xml:space="preserve"> 2019</w:t>
      </w:r>
    </w:p>
    <w:p w:rsidR="00823B02" w:rsidRPr="00100894" w:rsidRDefault="00823B02" w:rsidP="00AE4640"/>
    <w:p w:rsidR="001E5F5A" w:rsidRPr="00100894" w:rsidRDefault="00526226" w:rsidP="00AE4640">
      <w:r w:rsidRPr="00100894">
        <w:t>________________________________________________________________________</w:t>
      </w:r>
    </w:p>
    <w:p w:rsidR="00526226" w:rsidRPr="00100894" w:rsidRDefault="00526226" w:rsidP="00526226">
      <w:pPr>
        <w:jc w:val="center"/>
        <w:rPr>
          <w:b/>
        </w:rPr>
      </w:pPr>
    </w:p>
    <w:p w:rsidR="00526226" w:rsidRPr="00100894" w:rsidRDefault="001E5F5A" w:rsidP="00526226">
      <w:pPr>
        <w:jc w:val="center"/>
        <w:rPr>
          <w:b/>
        </w:rPr>
      </w:pPr>
      <w:r w:rsidRPr="00100894">
        <w:rPr>
          <w:b/>
        </w:rPr>
        <w:t>MEDIA SUMMARY</w:t>
      </w:r>
    </w:p>
    <w:p w:rsidR="00526226" w:rsidRPr="00100894" w:rsidRDefault="00526226" w:rsidP="00526226">
      <w:pPr>
        <w:jc w:val="center"/>
      </w:pPr>
      <w:r w:rsidRPr="00100894">
        <w:t>________________________________________________________________________</w:t>
      </w:r>
    </w:p>
    <w:p w:rsidR="001E5F5A" w:rsidRPr="00100894" w:rsidRDefault="001E5F5A" w:rsidP="008B532D">
      <w:pPr>
        <w:spacing w:line="360" w:lineRule="auto"/>
        <w:jc w:val="left"/>
      </w:pPr>
    </w:p>
    <w:p w:rsidR="001E5F5A" w:rsidRPr="00100894" w:rsidRDefault="001E5F5A" w:rsidP="006474CE">
      <w:pPr>
        <w:rPr>
          <w:i/>
        </w:rPr>
      </w:pPr>
      <w:r w:rsidRPr="00100894">
        <w:rPr>
          <w:i/>
        </w:rPr>
        <w:t xml:space="preserve">The following </w:t>
      </w:r>
      <w:r w:rsidR="008C3682" w:rsidRPr="00100894">
        <w:rPr>
          <w:i/>
        </w:rPr>
        <w:t xml:space="preserve">explanatory note </w:t>
      </w:r>
      <w:r w:rsidRPr="00100894">
        <w:rPr>
          <w:i/>
        </w:rPr>
        <w:t>is provided to assist the media in reporting this case and is not binding on the Constitutional Court or any member of the Court.</w:t>
      </w:r>
    </w:p>
    <w:p w:rsidR="001E5F5A" w:rsidRPr="00100894" w:rsidRDefault="001E5F5A" w:rsidP="006474CE">
      <w:pPr>
        <w:rPr>
          <w:sz w:val="28"/>
          <w:szCs w:val="28"/>
        </w:rPr>
      </w:pPr>
    </w:p>
    <w:p w:rsidR="00F70A8F" w:rsidRDefault="006474CE" w:rsidP="00A6302E">
      <w:r>
        <w:t xml:space="preserve">On </w:t>
      </w:r>
      <w:r w:rsidR="006B4E8F">
        <w:t xml:space="preserve">Thursday, </w:t>
      </w:r>
      <w:r w:rsidR="00BB4674">
        <w:t>10 October</w:t>
      </w:r>
      <w:r w:rsidR="008376A5">
        <w:t xml:space="preserve"> 2019 </w:t>
      </w:r>
      <w:r w:rsidR="00AC799A">
        <w:t xml:space="preserve">at </w:t>
      </w:r>
      <w:r w:rsidR="0007028D" w:rsidRPr="008D66B8">
        <w:t>10</w:t>
      </w:r>
      <w:r w:rsidR="00AC799A" w:rsidRPr="008D66B8">
        <w:t>h00</w:t>
      </w:r>
      <w:r w:rsidR="006B4E8F">
        <w:t>,</w:t>
      </w:r>
      <w:r w:rsidR="00AC799A">
        <w:t xml:space="preserve"> </w:t>
      </w:r>
      <w:r w:rsidR="000D35AE" w:rsidRPr="00100894">
        <w:t xml:space="preserve">the </w:t>
      </w:r>
      <w:r w:rsidR="008C3682" w:rsidRPr="00100894">
        <w:t xml:space="preserve">Constitutional Court </w:t>
      </w:r>
      <w:r w:rsidR="00BB4674">
        <w:t>handed down judgment in</w:t>
      </w:r>
      <w:r w:rsidR="000D35AE" w:rsidRPr="00100894">
        <w:t xml:space="preserve"> </w:t>
      </w:r>
      <w:r w:rsidR="008376A5">
        <w:t xml:space="preserve">an </w:t>
      </w:r>
      <w:r w:rsidR="008376A5" w:rsidRPr="008376A5">
        <w:t xml:space="preserve">application for leave to appeal </w:t>
      </w:r>
      <w:r w:rsidR="000B2008">
        <w:t xml:space="preserve">directly to it </w:t>
      </w:r>
      <w:r w:rsidR="008376A5" w:rsidRPr="008376A5">
        <w:t>against the judgment and order</w:t>
      </w:r>
      <w:r w:rsidR="00A6302E">
        <w:t xml:space="preserve"> of the High Court of South Africa, Western Cape Division, Cape Town (High Court)</w:t>
      </w:r>
      <w:r w:rsidR="008376A5">
        <w:t xml:space="preserve">. </w:t>
      </w:r>
      <w:r w:rsidR="009D59D3">
        <w:t xml:space="preserve"> </w:t>
      </w:r>
      <w:r w:rsidR="00BB4674">
        <w:t xml:space="preserve">This </w:t>
      </w:r>
      <w:r w:rsidR="000259C5">
        <w:t>application</w:t>
      </w:r>
      <w:r w:rsidR="00BB4674">
        <w:t xml:space="preserve"> concerned</w:t>
      </w:r>
      <w:r w:rsidR="00A6302E">
        <w:t xml:space="preserve"> the decision</w:t>
      </w:r>
      <w:r w:rsidR="002E6040">
        <w:t>s</w:t>
      </w:r>
      <w:r w:rsidR="00A6302E">
        <w:t xml:space="preserve"> of the Senate and Council of </w:t>
      </w:r>
      <w:r w:rsidR="00C60031">
        <w:t xml:space="preserve">the University of Stellenbosch </w:t>
      </w:r>
      <w:r w:rsidR="00A6302E">
        <w:t>(University) to adopt a new language policy for the University (2016 Policy)</w:t>
      </w:r>
      <w:r w:rsidR="00F70A8F">
        <w:t xml:space="preserve">.  The 2016 Policy was adopted under </w:t>
      </w:r>
      <w:r w:rsidR="00A6302E">
        <w:t xml:space="preserve">the Higher Education Act </w:t>
      </w:r>
      <w:r w:rsidR="00D83A48">
        <w:t>and the National Language Policy for Higher Education (LPHE)</w:t>
      </w:r>
      <w:r w:rsidR="006B4E8F">
        <w:t>.</w:t>
      </w:r>
    </w:p>
    <w:p w:rsidR="00F70A8F" w:rsidRDefault="00F70A8F" w:rsidP="00A6302E"/>
    <w:p w:rsidR="00F7021F" w:rsidRDefault="00177B18" w:rsidP="00A6302E">
      <w:r>
        <w:t>The 2016 Policy</w:t>
      </w:r>
      <w:r w:rsidR="00F7021F">
        <w:t xml:space="preserve"> </w:t>
      </w:r>
      <w:r>
        <w:t>creates three language specifications</w:t>
      </w:r>
      <w:r w:rsidR="00F70A8F">
        <w:t>:</w:t>
      </w:r>
      <w:r>
        <w:t xml:space="preserve"> parallel medium, dual medium and single medium.  </w:t>
      </w:r>
      <w:r w:rsidR="00F70A8F">
        <w:t xml:space="preserve">Its </w:t>
      </w:r>
      <w:r>
        <w:t xml:space="preserve">effect </w:t>
      </w:r>
      <w:r w:rsidR="00390C2B">
        <w:t xml:space="preserve">is </w:t>
      </w:r>
      <w:r w:rsidR="00F70A8F">
        <w:t xml:space="preserve">to adopt </w:t>
      </w:r>
      <w:r w:rsidR="00F7021F">
        <w:t xml:space="preserve">a preference for </w:t>
      </w:r>
      <w:r w:rsidR="00F7021F" w:rsidRPr="00D70EE9">
        <w:t xml:space="preserve">English in certain circumstances </w:t>
      </w:r>
      <w:r w:rsidR="00F70A8F">
        <w:t xml:space="preserve">so as </w:t>
      </w:r>
      <w:r w:rsidR="00F7021F" w:rsidRPr="00D70EE9">
        <w:t xml:space="preserve">to advance the University’s goals of equal access, </w:t>
      </w:r>
      <w:r w:rsidR="00D70EE9" w:rsidRPr="00D70EE9">
        <w:t xml:space="preserve">multilingualism </w:t>
      </w:r>
      <w:r w:rsidR="00F7021F" w:rsidRPr="00D70EE9">
        <w:t xml:space="preserve">and integration while </w:t>
      </w:r>
      <w:r w:rsidR="006B4E8F">
        <w:t xml:space="preserve">also </w:t>
      </w:r>
      <w:r w:rsidR="00F7021F" w:rsidRPr="00D70EE9">
        <w:t>maintain</w:t>
      </w:r>
      <w:r w:rsidRPr="00D70EE9">
        <w:t>ing</w:t>
      </w:r>
      <w:r w:rsidR="00F7021F" w:rsidRPr="00D70EE9">
        <w:t xml:space="preserve"> and preserving Afrikaans</w:t>
      </w:r>
      <w:r w:rsidR="00390C2B" w:rsidRPr="00D70EE9">
        <w:t>,</w:t>
      </w:r>
      <w:r w:rsidR="00F7021F" w:rsidRPr="00D70EE9">
        <w:t xml:space="preserve"> subject to demand</w:t>
      </w:r>
      <w:r w:rsidR="00F70A8F">
        <w:t xml:space="preserve"> </w:t>
      </w:r>
      <w:r w:rsidR="00F7021F" w:rsidRPr="00D70EE9">
        <w:t xml:space="preserve">and </w:t>
      </w:r>
      <w:r w:rsidR="006B4E8F">
        <w:t>within</w:t>
      </w:r>
      <w:r w:rsidR="00F70A8F">
        <w:t xml:space="preserve"> </w:t>
      </w:r>
      <w:r w:rsidR="00F7021F" w:rsidRPr="00D70EE9">
        <w:t>the University’s available resources.</w:t>
      </w:r>
      <w:r w:rsidR="00F4438F">
        <w:t xml:space="preserve">  The University </w:t>
      </w:r>
      <w:r w:rsidR="00BB4674">
        <w:t>contended</w:t>
      </w:r>
      <w:r w:rsidR="006B4E8F">
        <w:t xml:space="preserve"> that</w:t>
      </w:r>
      <w:r w:rsidR="00F4438F">
        <w:t xml:space="preserve"> the 2016 Policy, in contrast to the 2014 Policy</w:t>
      </w:r>
      <w:r w:rsidR="009D2A3D">
        <w:t xml:space="preserve"> that preceded it</w:t>
      </w:r>
      <w:r w:rsidR="00F4438F">
        <w:t>, doe</w:t>
      </w:r>
      <w:r w:rsidR="00A9489A">
        <w:t>s not exclude black and English-</w:t>
      </w:r>
      <w:r w:rsidR="00F4438F">
        <w:t>speaking students from full and equitable access to the University.</w:t>
      </w:r>
      <w:r w:rsidR="00A405FC">
        <w:t xml:space="preserve">  While the Afrikaans language provision under the 2014 Policy could be preserved by fully parallel medium tuition, the cost </w:t>
      </w:r>
      <w:r w:rsidR="00A405FC" w:rsidRPr="000D1B18">
        <w:t xml:space="preserve">would </w:t>
      </w:r>
      <w:r w:rsidR="00A405FC">
        <w:t xml:space="preserve">total </w:t>
      </w:r>
      <w:r w:rsidR="00A405FC" w:rsidRPr="000D1B18">
        <w:t xml:space="preserve">about R640 million in infrastructure </w:t>
      </w:r>
      <w:r w:rsidR="00A405FC">
        <w:t xml:space="preserve">(including additional classrooms), plus </w:t>
      </w:r>
      <w:r w:rsidR="00A405FC" w:rsidRPr="000D1B18">
        <w:t xml:space="preserve">about R78 million </w:t>
      </w:r>
      <w:r w:rsidR="00A405FC">
        <w:t xml:space="preserve">per year thereafter, in </w:t>
      </w:r>
      <w:r w:rsidR="00A405FC" w:rsidRPr="000D1B18">
        <w:t xml:space="preserve">additional </w:t>
      </w:r>
      <w:r w:rsidR="00A405FC">
        <w:t xml:space="preserve">teaching and other </w:t>
      </w:r>
      <w:r w:rsidR="00A405FC" w:rsidRPr="000D1B18">
        <w:t>personnel</w:t>
      </w:r>
      <w:r w:rsidR="00A405FC">
        <w:t xml:space="preserve"> costs</w:t>
      </w:r>
      <w:r w:rsidR="00A405FC" w:rsidRPr="000D1B18">
        <w:t xml:space="preserve">.  This would entail a 20% increase in fees, </w:t>
      </w:r>
      <w:r w:rsidR="00A405FC">
        <w:t xml:space="preserve">an additional </w:t>
      </w:r>
      <w:r w:rsidR="00A405FC" w:rsidRPr="000D1B18">
        <w:t>R8100</w:t>
      </w:r>
      <w:r w:rsidR="00A405FC">
        <w:t xml:space="preserve"> on top of the approximately R40 000 per year students on average pay now.</w:t>
      </w:r>
    </w:p>
    <w:p w:rsidR="00F7021F" w:rsidRDefault="00F7021F" w:rsidP="00A6302E"/>
    <w:p w:rsidR="00F7021F" w:rsidRDefault="00E06552" w:rsidP="00F7021F">
      <w:pPr>
        <w:tabs>
          <w:tab w:val="left" w:pos="8550"/>
          <w:tab w:val="right" w:pos="8640"/>
        </w:tabs>
      </w:pPr>
      <w:r>
        <w:lastRenderedPageBreak/>
        <w:t xml:space="preserve">Gelyke Kanse is </w:t>
      </w:r>
      <w:r w:rsidR="00F7021F">
        <w:t>a voluntary associatio</w:t>
      </w:r>
      <w:r w:rsidR="00D83A48">
        <w:t xml:space="preserve">n </w:t>
      </w:r>
      <w:r w:rsidR="0089493D">
        <w:t xml:space="preserve">originally </w:t>
      </w:r>
      <w:r w:rsidR="00447C73">
        <w:t xml:space="preserve">formed to oppose the 2016 Policy but </w:t>
      </w:r>
      <w:r w:rsidR="00D83A48">
        <w:t xml:space="preserve">which </w:t>
      </w:r>
      <w:r w:rsidR="00447C73">
        <w:t xml:space="preserve">now has broader goals </w:t>
      </w:r>
      <w:r w:rsidR="0089493D">
        <w:t xml:space="preserve">in </w:t>
      </w:r>
      <w:r w:rsidR="00447C73">
        <w:t xml:space="preserve">seeking </w:t>
      </w:r>
      <w:r w:rsidR="00D83A48">
        <w:t>to promote</w:t>
      </w:r>
      <w:r w:rsidR="0084732B">
        <w:t xml:space="preserve"> Afrikaans</w:t>
      </w:r>
      <w:r w:rsidR="00F7021F">
        <w:t xml:space="preserve"> mother-tongue education</w:t>
      </w:r>
      <w:r w:rsidR="00564881">
        <w:t xml:space="preserve"> and the acceptance of mother-tongue education </w:t>
      </w:r>
      <w:r w:rsidR="0084732B">
        <w:t xml:space="preserve">as indispensable to </w:t>
      </w:r>
      <w:r w:rsidR="00564881">
        <w:t>community development</w:t>
      </w:r>
      <w:r w:rsidR="00504A71">
        <w:t xml:space="preserve">.  </w:t>
      </w:r>
      <w:r>
        <w:t xml:space="preserve">Along </w:t>
      </w:r>
      <w:r w:rsidR="00BB4674">
        <w:t xml:space="preserve">with </w:t>
      </w:r>
      <w:r>
        <w:t xml:space="preserve">individual </w:t>
      </w:r>
      <w:r w:rsidR="00561E47">
        <w:t>applicants</w:t>
      </w:r>
      <w:r>
        <w:t>, including</w:t>
      </w:r>
      <w:r w:rsidR="00143EB9">
        <w:t xml:space="preserve"> </w:t>
      </w:r>
      <w:r w:rsidR="00DD01C6">
        <w:t>black</w:t>
      </w:r>
      <w:r w:rsidR="005B52B8">
        <w:t>, brown</w:t>
      </w:r>
      <w:r w:rsidR="00DD01C6">
        <w:t xml:space="preserve"> and white </w:t>
      </w:r>
      <w:r w:rsidR="00F7021F">
        <w:t xml:space="preserve">students </w:t>
      </w:r>
      <w:r w:rsidR="009F4977">
        <w:t xml:space="preserve">affected </w:t>
      </w:r>
      <w:r w:rsidR="00F62C7C">
        <w:t xml:space="preserve">by the 2016 </w:t>
      </w:r>
      <w:r w:rsidR="00447C73">
        <w:t>Policy</w:t>
      </w:r>
      <w:r w:rsidR="00504A71">
        <w:t>,</w:t>
      </w:r>
      <w:r w:rsidR="009F4977">
        <w:t xml:space="preserve"> </w:t>
      </w:r>
      <w:r>
        <w:t xml:space="preserve">Gelyke Kanse </w:t>
      </w:r>
      <w:r w:rsidR="009F4977">
        <w:t>approached the High Court seeking an order reviewing and setting aside the 2016 Policy and reinstating the 2014 Policy.</w:t>
      </w:r>
      <w:r>
        <w:t xml:space="preserve"> </w:t>
      </w:r>
    </w:p>
    <w:p w:rsidR="009F4977" w:rsidRDefault="009F4977" w:rsidP="00F7021F">
      <w:pPr>
        <w:tabs>
          <w:tab w:val="left" w:pos="8550"/>
          <w:tab w:val="right" w:pos="8640"/>
        </w:tabs>
      </w:pPr>
    </w:p>
    <w:p w:rsidR="00A405FC" w:rsidRDefault="00EC292B" w:rsidP="00A6302E">
      <w:r>
        <w:t xml:space="preserve">The High Court </w:t>
      </w:r>
      <w:r w:rsidR="007449BC">
        <w:t>dismissed the application</w:t>
      </w:r>
      <w:r w:rsidR="00F50B37">
        <w:t xml:space="preserve">. </w:t>
      </w:r>
      <w:r w:rsidR="00FE2136">
        <w:t xml:space="preserve">It held </w:t>
      </w:r>
      <w:r w:rsidR="005B52B8">
        <w:t xml:space="preserve">that the University’s obligations under section 29(2) of the </w:t>
      </w:r>
      <w:r w:rsidR="00FE2136">
        <w:t xml:space="preserve">Bill of Rights </w:t>
      </w:r>
      <w:r w:rsidR="005B52B8">
        <w:t>are limited to providing Afrikaans education where reasonably practicable and through reasonable educational alternatives.</w:t>
      </w:r>
      <w:r w:rsidR="00FE2136">
        <w:t xml:space="preserve">  In </w:t>
      </w:r>
      <w:r w:rsidR="00201DA8">
        <w:t xml:space="preserve">determining whether </w:t>
      </w:r>
      <w:r w:rsidR="00FE2136">
        <w:t>providing</w:t>
      </w:r>
      <w:r w:rsidR="006B4E8F">
        <w:t xml:space="preserve"> </w:t>
      </w:r>
      <w:r w:rsidR="00201DA8">
        <w:t>education in an</w:t>
      </w:r>
      <w:r w:rsidR="006B4E8F">
        <w:t xml:space="preserve"> official </w:t>
      </w:r>
      <w:r w:rsidR="00201DA8">
        <w:t>language of choice is</w:t>
      </w:r>
      <w:r w:rsidR="006B4E8F">
        <w:t xml:space="preserve"> “reasonably practicable”</w:t>
      </w:r>
      <w:r w:rsidR="00201DA8">
        <w:t xml:space="preserve">, </w:t>
      </w:r>
      <w:r w:rsidR="009F4977">
        <w:t xml:space="preserve">the State </w:t>
      </w:r>
      <w:r w:rsidR="00571586">
        <w:t xml:space="preserve">must </w:t>
      </w:r>
      <w:r w:rsidR="000D2FDE">
        <w:t>take into account what is fair, feasible and satisfies the need to remedy the result</w:t>
      </w:r>
      <w:r w:rsidR="00390C2B">
        <w:t>s</w:t>
      </w:r>
      <w:r w:rsidR="000D2FDE">
        <w:t xml:space="preserve"> of past discriminatory laws and practices.</w:t>
      </w:r>
      <w:r w:rsidR="005B52B8">
        <w:t xml:space="preserve">  </w:t>
      </w:r>
      <w:r w:rsidR="00FE2136">
        <w:t>Further</w:t>
      </w:r>
      <w:r w:rsidR="000D2FDE">
        <w:t xml:space="preserve">, </w:t>
      </w:r>
      <w:r w:rsidR="00FE2136">
        <w:t xml:space="preserve">assessing </w:t>
      </w:r>
      <w:r w:rsidR="000D2FDE">
        <w:t xml:space="preserve">what is reasonably practicable </w:t>
      </w:r>
      <w:r w:rsidR="000436C5" w:rsidRPr="000436C5">
        <w:t xml:space="preserve">requires consideration both of resource constraints and logistics (the factual criterion), and </w:t>
      </w:r>
      <w:r w:rsidR="0089493D">
        <w:t>of equity, redress</w:t>
      </w:r>
      <w:r w:rsidR="000436C5" w:rsidRPr="000436C5">
        <w:t xml:space="preserve"> and non-racialism (the constitutional criterion). </w:t>
      </w:r>
      <w:r w:rsidR="0089493D">
        <w:t xml:space="preserve"> </w:t>
      </w:r>
    </w:p>
    <w:p w:rsidR="00A405FC" w:rsidRDefault="00A405FC" w:rsidP="00A6302E"/>
    <w:p w:rsidR="00037731" w:rsidRDefault="000D2FDE" w:rsidP="00A6302E">
      <w:r w:rsidRPr="000436C5">
        <w:t>The</w:t>
      </w:r>
      <w:r>
        <w:t xml:space="preserve"> High Court found that the 2014 </w:t>
      </w:r>
      <w:r w:rsidR="00CD0D63">
        <w:t>P</w:t>
      </w:r>
      <w:r>
        <w:t>olicy was</w:t>
      </w:r>
      <w:r w:rsidR="00A9489A">
        <w:t xml:space="preserve"> not equitable as it denied b</w:t>
      </w:r>
      <w:r>
        <w:t xml:space="preserve">lack students </w:t>
      </w:r>
      <w:r w:rsidR="00A405FC">
        <w:t xml:space="preserve">not conversant in Afrikaans full </w:t>
      </w:r>
      <w:r>
        <w:t>access to the University.</w:t>
      </w:r>
      <w:r w:rsidR="005B52B8">
        <w:t xml:space="preserve">  </w:t>
      </w:r>
      <w:r w:rsidR="00A405FC">
        <w:t xml:space="preserve">It also held that </w:t>
      </w:r>
      <w:r w:rsidR="00037731" w:rsidRPr="00806FE0">
        <w:t>the LPHE</w:t>
      </w:r>
      <w:r w:rsidR="00A405FC">
        <w:t>, which promised extension of Afrikaans tertiary education,</w:t>
      </w:r>
      <w:r w:rsidR="00037731" w:rsidRPr="00806FE0">
        <w:t xml:space="preserve"> was important</w:t>
      </w:r>
      <w:r w:rsidR="001C01B7">
        <w:t xml:space="preserve"> as a guiding document</w:t>
      </w:r>
      <w:r w:rsidR="00F523EA">
        <w:t xml:space="preserve"> but</w:t>
      </w:r>
      <w:r w:rsidR="00037731" w:rsidRPr="00806FE0">
        <w:t xml:space="preserve"> it was not binding</w:t>
      </w:r>
      <w:r w:rsidR="00CC4E80">
        <w:t xml:space="preserve">.  </w:t>
      </w:r>
      <w:r w:rsidR="00A405FC">
        <w:t xml:space="preserve">The </w:t>
      </w:r>
      <w:r w:rsidR="00D83A48">
        <w:t xml:space="preserve">University </w:t>
      </w:r>
      <w:r w:rsidR="00037731">
        <w:t>adequately ju</w:t>
      </w:r>
      <w:r w:rsidR="00142D49">
        <w:t>stif</w:t>
      </w:r>
      <w:r w:rsidR="00D83A48">
        <w:t xml:space="preserve">ied </w:t>
      </w:r>
      <w:r w:rsidR="00A405FC">
        <w:t xml:space="preserve">departing </w:t>
      </w:r>
      <w:r w:rsidR="00CC4E80">
        <w:t xml:space="preserve">from the LPHE.  </w:t>
      </w:r>
      <w:r w:rsidR="00F97B44">
        <w:t>In any event</w:t>
      </w:r>
      <w:r w:rsidR="00D83A48">
        <w:t xml:space="preserve">, </w:t>
      </w:r>
      <w:r w:rsidR="00142D49">
        <w:t xml:space="preserve">the 2016 </w:t>
      </w:r>
      <w:r w:rsidR="007449BC">
        <w:t>P</w:t>
      </w:r>
      <w:r w:rsidR="00142D49">
        <w:t xml:space="preserve">olicy </w:t>
      </w:r>
      <w:r w:rsidR="000259C5">
        <w:t>was found to be</w:t>
      </w:r>
      <w:r w:rsidR="00142D49">
        <w:t xml:space="preserve"> consistent with the LPHE, which focuses on ensuring equitable access.</w:t>
      </w:r>
    </w:p>
    <w:p w:rsidR="00EC292B" w:rsidRDefault="00EC292B" w:rsidP="00A6302E"/>
    <w:p w:rsidR="00110D92" w:rsidRDefault="00CB0690" w:rsidP="006474CE">
      <w:r w:rsidRPr="00CB0690">
        <w:t>The applicants approached the Constitutional Court for direct leave to appeal</w:t>
      </w:r>
      <w:r>
        <w:t xml:space="preserve">.  They </w:t>
      </w:r>
      <w:r w:rsidR="00A405FC">
        <w:t xml:space="preserve">asked the Court to set </w:t>
      </w:r>
      <w:r w:rsidR="00C047B6">
        <w:t>aside the 2016 Policy on</w:t>
      </w:r>
      <w:r w:rsidR="00AC64D1">
        <w:t xml:space="preserve"> ground</w:t>
      </w:r>
      <w:r w:rsidR="00C047B6">
        <w:t>s</w:t>
      </w:r>
      <w:r w:rsidR="00AC64D1">
        <w:t xml:space="preserve"> that </w:t>
      </w:r>
      <w:r w:rsidR="00C047B6">
        <w:t xml:space="preserve">it </w:t>
      </w:r>
      <w:r w:rsidR="00C047B6" w:rsidRPr="00C047B6">
        <w:t>violates</w:t>
      </w:r>
      <w:r w:rsidR="00C047B6">
        <w:t xml:space="preserve"> section 29(2), and also</w:t>
      </w:r>
      <w:r w:rsidR="00C047B6" w:rsidRPr="00C047B6">
        <w:t xml:space="preserve"> contravenes other constitutional provisions, including section 6(2), section 6(4), the equality clause and other provisions of the Bill of Rights.</w:t>
      </w:r>
    </w:p>
    <w:p w:rsidR="00C047B6" w:rsidRDefault="00C047B6" w:rsidP="006474CE"/>
    <w:p w:rsidR="00880886" w:rsidRPr="00456193" w:rsidRDefault="00C047B6" w:rsidP="006474CE">
      <w:r>
        <w:t xml:space="preserve">In a unanimous </w:t>
      </w:r>
      <w:r w:rsidRPr="006A4644">
        <w:t>judgment penned by Cameron J</w:t>
      </w:r>
      <w:r w:rsidR="004D1716" w:rsidRPr="006A4644">
        <w:t>,</w:t>
      </w:r>
      <w:r w:rsidR="00BF6AF9" w:rsidRPr="006A4644">
        <w:t xml:space="preserve"> </w:t>
      </w:r>
      <w:r w:rsidR="00A405FC">
        <w:t xml:space="preserve">the Court </w:t>
      </w:r>
      <w:r w:rsidR="00BF6AF9" w:rsidRPr="006A4644">
        <w:t>dismissed</w:t>
      </w:r>
      <w:r w:rsidRPr="006A4644">
        <w:t xml:space="preserve"> the appeal</w:t>
      </w:r>
      <w:r w:rsidR="00A405FC">
        <w:t>.  T</w:t>
      </w:r>
      <w:r w:rsidRPr="006A4644">
        <w:t xml:space="preserve">he Court found that the </w:t>
      </w:r>
      <w:r w:rsidR="00C76984" w:rsidRPr="006A4644">
        <w:t xml:space="preserve">2016 Policy was constitutionally justified. </w:t>
      </w:r>
      <w:r w:rsidR="00880886" w:rsidRPr="006A4644">
        <w:t xml:space="preserve"> </w:t>
      </w:r>
      <w:r w:rsidR="00A405FC">
        <w:t xml:space="preserve">“Reasonably </w:t>
      </w:r>
      <w:r w:rsidR="00880886" w:rsidRPr="006A4644">
        <w:t>practicable” in section 29(2) involves both a factual and normative (constitutional) element.  The constitutional criterion of reasonable practicability is to be judged objectively, and requires an approach</w:t>
      </w:r>
      <w:r w:rsidR="005B52B8">
        <w:t xml:space="preserve"> founded in evidence.</w:t>
      </w:r>
    </w:p>
    <w:p w:rsidR="00880886" w:rsidRPr="00456193" w:rsidRDefault="00880886" w:rsidP="006474CE"/>
    <w:p w:rsidR="00C047B6" w:rsidRDefault="00C76984" w:rsidP="006474CE">
      <w:r>
        <w:t xml:space="preserve">In this case, </w:t>
      </w:r>
      <w:r w:rsidR="005B52B8">
        <w:t xml:space="preserve">the University’s judgment on </w:t>
      </w:r>
      <w:r w:rsidR="00E34DF6">
        <w:t xml:space="preserve">the cost of preserving Afrikaans tuition at the level in the 2014 Policy </w:t>
      </w:r>
      <w:r w:rsidR="005B52B8">
        <w:t xml:space="preserve">satisfies both the factual and normative </w:t>
      </w:r>
      <w:r w:rsidR="00E34DF6">
        <w:t>elements in section 29(2)</w:t>
      </w:r>
      <w:r w:rsidR="005B52B8">
        <w:t xml:space="preserve">.  </w:t>
      </w:r>
      <w:r w:rsidR="00C047B6" w:rsidRPr="00C047B6">
        <w:t xml:space="preserve">The </w:t>
      </w:r>
      <w:r>
        <w:t>University showed</w:t>
      </w:r>
      <w:r w:rsidR="00C047B6" w:rsidRPr="00C047B6">
        <w:t xml:space="preserve"> that, near-universally, brown and white-Afrikaans-speaking first-year entrants to the University are able to be taught in English.  </w:t>
      </w:r>
      <w:r w:rsidR="00E34DF6">
        <w:t xml:space="preserve">Though </w:t>
      </w:r>
      <w:r w:rsidR="00C047B6" w:rsidRPr="00C047B6">
        <w:t>most entrants are able to receive tuition in Afrikaans, a significant minority cannot.</w:t>
      </w:r>
      <w:r w:rsidR="00F1329F">
        <w:t xml:space="preserve">  T</w:t>
      </w:r>
      <w:r w:rsidR="00C047B6">
        <w:t xml:space="preserve">he 2014 Policy created an exclusionary hurdle for specifically black students.  The University </w:t>
      </w:r>
      <w:r>
        <w:t>also show</w:t>
      </w:r>
      <w:r w:rsidR="004D1716">
        <w:t xml:space="preserve">ed that </w:t>
      </w:r>
      <w:r w:rsidR="00C047B6" w:rsidRPr="00C047B6">
        <w:t>classes conducted in Afrikaans, with interpreting from Afrikaans into English, made black students not conversant in Afrikaans feel marginalised, excluded and stigmatised.</w:t>
      </w:r>
    </w:p>
    <w:p w:rsidR="004D1716" w:rsidRDefault="004D1716" w:rsidP="006474CE"/>
    <w:p w:rsidR="004D1716" w:rsidRDefault="004D1716" w:rsidP="006474CE">
      <w:r w:rsidRPr="004D1716">
        <w:t>Th</w:t>
      </w:r>
      <w:r w:rsidR="000259C5">
        <w:t>is</w:t>
      </w:r>
      <w:r w:rsidRPr="004D1716">
        <w:t xml:space="preserve"> </w:t>
      </w:r>
      <w:r>
        <w:t>Court found that</w:t>
      </w:r>
      <w:r w:rsidR="003D5E45">
        <w:t xml:space="preserve"> the University’s </w:t>
      </w:r>
      <w:r w:rsidR="00BF1B03">
        <w:t xml:space="preserve">process in </w:t>
      </w:r>
      <w:r w:rsidR="003D5E45">
        <w:t>adopting the 2016 Policy was thorough, exhaustive, inclusive and properly deliberative.  T</w:t>
      </w:r>
      <w:r>
        <w:t xml:space="preserve">he </w:t>
      </w:r>
      <w:r w:rsidRPr="004D1716">
        <w:t xml:space="preserve">University’s determinative motivation for introducing the </w:t>
      </w:r>
      <w:r w:rsidR="00AC091F">
        <w:t xml:space="preserve">new </w:t>
      </w:r>
      <w:r w:rsidRPr="004D1716">
        <w:t>Policy was to facilitate equi</w:t>
      </w:r>
      <w:r w:rsidR="00880886">
        <w:t xml:space="preserve">table access to its campus, </w:t>
      </w:r>
      <w:r w:rsidRPr="004D1716">
        <w:t xml:space="preserve">its teaching </w:t>
      </w:r>
      <w:r w:rsidRPr="004D1716">
        <w:lastRenderedPageBreak/>
        <w:t xml:space="preserve">and learning opportunities by black students not conversant in Afrikaans.  The University’s decision-making structures, with a scrupulous eye on racial equity, access and inclusiveness, judged </w:t>
      </w:r>
      <w:r w:rsidR="00C76984">
        <w:t>that</w:t>
      </w:r>
      <w:r w:rsidRPr="004D1716">
        <w:t xml:space="preserve"> a downward adjustment of Afrikaans, without by any means elimin</w:t>
      </w:r>
      <w:r w:rsidR="00C76984">
        <w:t>ating it, was warranted</w:t>
      </w:r>
      <w:r w:rsidR="00AC091F">
        <w:t xml:space="preserve">.  The University also determined that </w:t>
      </w:r>
      <w:r w:rsidRPr="004D1716">
        <w:t xml:space="preserve">the cost of avoiding down-adjustment </w:t>
      </w:r>
      <w:r w:rsidR="00AC091F">
        <w:t xml:space="preserve">of Afrikaans </w:t>
      </w:r>
      <w:r w:rsidRPr="004D1716">
        <w:t>was too high.</w:t>
      </w:r>
      <w:r w:rsidR="00C76984">
        <w:t xml:space="preserve">  </w:t>
      </w:r>
      <w:r w:rsidR="00AC091F">
        <w:t xml:space="preserve">This </w:t>
      </w:r>
      <w:r w:rsidR="00C76984">
        <w:t>evidence</w:t>
      </w:r>
      <w:r w:rsidR="00AC091F">
        <w:t xml:space="preserve"> established </w:t>
      </w:r>
      <w:r w:rsidR="00C76984">
        <w:t xml:space="preserve">that </w:t>
      </w:r>
      <w:r w:rsidR="00AC091F">
        <w:t xml:space="preserve">continuing with </w:t>
      </w:r>
      <w:r w:rsidRPr="004D1716">
        <w:t xml:space="preserve">the 2014 Policy was not </w:t>
      </w:r>
      <w:r w:rsidR="00AC091F">
        <w:t>“</w:t>
      </w:r>
      <w:r w:rsidRPr="004D1716">
        <w:t>reasonably practicable</w:t>
      </w:r>
      <w:r w:rsidR="00AC091F">
        <w:t>”</w:t>
      </w:r>
      <w:r w:rsidRPr="004D1716">
        <w:t>.</w:t>
      </w:r>
    </w:p>
    <w:p w:rsidR="000066CE" w:rsidRDefault="000066CE" w:rsidP="006474CE"/>
    <w:p w:rsidR="00415A47" w:rsidRDefault="00DB1445" w:rsidP="00924C2F">
      <w:r>
        <w:t xml:space="preserve">The </w:t>
      </w:r>
      <w:r w:rsidR="00C4027E">
        <w:t>Court noted</w:t>
      </w:r>
      <w:r w:rsidR="00924C2F">
        <w:t xml:space="preserve"> that the flood-tide of English </w:t>
      </w:r>
      <w:r w:rsidR="008C66A2">
        <w:t xml:space="preserve">predominance </w:t>
      </w:r>
      <w:r w:rsidR="00924C2F">
        <w:t>risk</w:t>
      </w:r>
      <w:r w:rsidR="00456193">
        <w:t xml:space="preserve">s </w:t>
      </w:r>
      <w:r w:rsidR="00924C2F">
        <w:t xml:space="preserve">jeopardising </w:t>
      </w:r>
      <w:r w:rsidR="008C66A2">
        <w:t xml:space="preserve">South Africa’s </w:t>
      </w:r>
      <w:r w:rsidR="00924C2F">
        <w:t xml:space="preserve">entire indigenous linguistic heritage.  </w:t>
      </w:r>
      <w:r w:rsidR="00B439EB">
        <w:t>This is because the march of history both in South Africa and globally seems relentlessly hostile to minority languages, including Afrikaans</w:t>
      </w:r>
      <w:r w:rsidR="00537575" w:rsidRPr="000E4414">
        <w:rPr>
          <w:szCs w:val="26"/>
        </w:rPr>
        <w:t xml:space="preserve">, which is the mother-tongue of some seven million on a planet inhabited by </w:t>
      </w:r>
      <w:r w:rsidR="000259C5">
        <w:rPr>
          <w:szCs w:val="26"/>
        </w:rPr>
        <w:t>seven</w:t>
      </w:r>
      <w:r w:rsidR="00537575" w:rsidRPr="000E4414">
        <w:rPr>
          <w:szCs w:val="26"/>
        </w:rPr>
        <w:t xml:space="preserve"> billion people</w:t>
      </w:r>
      <w:r w:rsidR="00B439EB">
        <w:t xml:space="preserve">.  </w:t>
      </w:r>
      <w:r w:rsidR="00C4027E">
        <w:t xml:space="preserve">But this </w:t>
      </w:r>
      <w:r w:rsidR="00537575">
        <w:t xml:space="preserve">could not be made </w:t>
      </w:r>
      <w:r w:rsidR="00C4027E">
        <w:t>the University’s burden.</w:t>
      </w:r>
    </w:p>
    <w:p w:rsidR="004D1716" w:rsidRDefault="004D1716" w:rsidP="006474CE"/>
    <w:p w:rsidR="004D1716" w:rsidRDefault="004D1716" w:rsidP="004D1716">
      <w:pPr>
        <w:rPr>
          <w:lang w:val="en-US"/>
        </w:rPr>
      </w:pPr>
      <w:r w:rsidRPr="004D1716">
        <w:rPr>
          <w:lang w:val="en-US"/>
        </w:rPr>
        <w:t xml:space="preserve">A </w:t>
      </w:r>
      <w:r w:rsidR="002E62AC">
        <w:rPr>
          <w:lang w:val="en-US"/>
        </w:rPr>
        <w:t xml:space="preserve">separate </w:t>
      </w:r>
      <w:r w:rsidRPr="004D1716">
        <w:rPr>
          <w:lang w:val="en-US"/>
        </w:rPr>
        <w:t xml:space="preserve">concurrence by the Chief Justice </w:t>
      </w:r>
      <w:r w:rsidR="00F13E24">
        <w:rPr>
          <w:lang w:val="en-US"/>
        </w:rPr>
        <w:t xml:space="preserve">(with Cameron J concurring) </w:t>
      </w:r>
      <w:r w:rsidRPr="004D1716">
        <w:rPr>
          <w:lang w:val="en-US"/>
        </w:rPr>
        <w:t xml:space="preserve">agreed that it was neither reasonably practicable nor equitable to maintain the position as it was before the </w:t>
      </w:r>
      <w:r w:rsidR="002E62AC">
        <w:rPr>
          <w:lang w:val="en-US"/>
        </w:rPr>
        <w:t>2016</w:t>
      </w:r>
      <w:r w:rsidRPr="004D1716">
        <w:rPr>
          <w:lang w:val="en-US"/>
        </w:rPr>
        <w:t xml:space="preserve"> Policy came into being.  Additionally, the understanding and application of reasonable practicability and the need for equitable a</w:t>
      </w:r>
      <w:r w:rsidR="000344FF">
        <w:rPr>
          <w:lang w:val="en-US"/>
        </w:rPr>
        <w:t xml:space="preserve">ccess to education, stood to be </w:t>
      </w:r>
      <w:r w:rsidRPr="004D1716">
        <w:rPr>
          <w:lang w:val="en-US"/>
        </w:rPr>
        <w:t xml:space="preserve">guided by this Court’s articulation of these principles in </w:t>
      </w:r>
      <w:r w:rsidRPr="004D1716">
        <w:rPr>
          <w:i/>
          <w:lang w:val="en-US"/>
        </w:rPr>
        <w:t>AfriForum v Free State University</w:t>
      </w:r>
      <w:r w:rsidRPr="004D1716">
        <w:rPr>
          <w:lang w:val="en-US"/>
        </w:rPr>
        <w:t xml:space="preserve">.  </w:t>
      </w:r>
      <w:r w:rsidR="002E62AC">
        <w:rPr>
          <w:lang w:val="en-US"/>
        </w:rPr>
        <w:t xml:space="preserve">The separate concurrence </w:t>
      </w:r>
      <w:r w:rsidRPr="004D1716">
        <w:rPr>
          <w:lang w:val="en-US"/>
        </w:rPr>
        <w:t>also emphasized the need to develop all indigenous language</w:t>
      </w:r>
      <w:r w:rsidR="0078630E">
        <w:rPr>
          <w:lang w:val="en-US"/>
        </w:rPr>
        <w:t>s</w:t>
      </w:r>
      <w:r w:rsidRPr="004D1716">
        <w:rPr>
          <w:lang w:val="en-US"/>
        </w:rPr>
        <w:t xml:space="preserve"> including the spoken languages of the First Nation people.</w:t>
      </w:r>
    </w:p>
    <w:p w:rsidR="00C36E0C" w:rsidRDefault="00C36E0C" w:rsidP="004D1716">
      <w:pPr>
        <w:rPr>
          <w:lang w:val="en-US"/>
        </w:rPr>
      </w:pPr>
    </w:p>
    <w:p w:rsidR="00C36E0C" w:rsidRPr="00C36E0C" w:rsidRDefault="00C36E0C" w:rsidP="00C36E0C">
      <w:r w:rsidRPr="00C36E0C">
        <w:t>The concurrence also appeals to corporate citizens</w:t>
      </w:r>
      <w:r w:rsidR="006C1AEE">
        <w:t>’ spirit of generosity</w:t>
      </w:r>
      <w:r w:rsidRPr="00C36E0C">
        <w:t xml:space="preserve"> to help preserve Afrikaans</w:t>
      </w:r>
      <w:r w:rsidR="006C1AEE">
        <w:t>,</w:t>
      </w:r>
      <w:r w:rsidRPr="00C36E0C">
        <w:t xml:space="preserve"> </w:t>
      </w:r>
      <w:r w:rsidR="006C1AEE">
        <w:t xml:space="preserve">and develop other indigenous languages, </w:t>
      </w:r>
      <w:r w:rsidRPr="00C36E0C">
        <w:t>as essential tool</w:t>
      </w:r>
      <w:r w:rsidR="006C1AEE">
        <w:t>s</w:t>
      </w:r>
      <w:r w:rsidRPr="00C36E0C">
        <w:t xml:space="preserve"> for knowledge impartation and comprehension, by deploying resources to the establishment of private learning institutions envisaged by section 29(3) of the Constitution.</w:t>
      </w:r>
    </w:p>
    <w:p w:rsidR="00C36E0C" w:rsidRPr="004D1716" w:rsidRDefault="00C36E0C" w:rsidP="004D1716">
      <w:pPr>
        <w:rPr>
          <w:lang w:val="en-US"/>
        </w:rPr>
      </w:pPr>
    </w:p>
    <w:p w:rsidR="00F13E24" w:rsidRPr="00415A47" w:rsidRDefault="00F13E24" w:rsidP="00F13E24">
      <w:r w:rsidRPr="00415A47">
        <w:t xml:space="preserve">In a separate concurring judgment, Froneman J </w:t>
      </w:r>
      <w:r>
        <w:t xml:space="preserve">(with Cameron J concurring) </w:t>
      </w:r>
      <w:r w:rsidRPr="00415A47">
        <w:t>agreed with the reasoning and outcome of the first judgment.  The concurring judgment draws out the implications of the entrenchment of English’s dominance as a medium of instruction for the diminished use and protection of minority indigenous languages.</w:t>
      </w:r>
    </w:p>
    <w:p w:rsidR="004D1716" w:rsidRDefault="004D1716" w:rsidP="006474CE"/>
    <w:sectPr w:rsidR="004D1716" w:rsidSect="00883D6C">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46F8" w:rsidRDefault="005646F8" w:rsidP="004A5089">
      <w:r>
        <w:separator/>
      </w:r>
    </w:p>
  </w:endnote>
  <w:endnote w:type="continuationSeparator" w:id="0">
    <w:p w:rsidR="005646F8" w:rsidRDefault="005646F8" w:rsidP="004A50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46F8" w:rsidRDefault="005646F8" w:rsidP="004A5089">
      <w:r>
        <w:separator/>
      </w:r>
    </w:p>
  </w:footnote>
  <w:footnote w:type="continuationSeparator" w:id="0">
    <w:p w:rsidR="005646F8" w:rsidRDefault="005646F8" w:rsidP="004A508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5F5A"/>
    <w:rsid w:val="000066CE"/>
    <w:rsid w:val="00017302"/>
    <w:rsid w:val="00023FA7"/>
    <w:rsid w:val="000259C5"/>
    <w:rsid w:val="00026DB2"/>
    <w:rsid w:val="0003383F"/>
    <w:rsid w:val="000344FF"/>
    <w:rsid w:val="00037731"/>
    <w:rsid w:val="00041CDC"/>
    <w:rsid w:val="000436C5"/>
    <w:rsid w:val="00044771"/>
    <w:rsid w:val="00051410"/>
    <w:rsid w:val="000548D7"/>
    <w:rsid w:val="00055B29"/>
    <w:rsid w:val="000654B1"/>
    <w:rsid w:val="0007028D"/>
    <w:rsid w:val="00070E99"/>
    <w:rsid w:val="000806AE"/>
    <w:rsid w:val="0008432E"/>
    <w:rsid w:val="00087485"/>
    <w:rsid w:val="00091F8C"/>
    <w:rsid w:val="00093E39"/>
    <w:rsid w:val="00094E7C"/>
    <w:rsid w:val="000975EC"/>
    <w:rsid w:val="000A36D1"/>
    <w:rsid w:val="000A36F3"/>
    <w:rsid w:val="000A5B15"/>
    <w:rsid w:val="000B2008"/>
    <w:rsid w:val="000C560B"/>
    <w:rsid w:val="000D09EA"/>
    <w:rsid w:val="000D2FDE"/>
    <w:rsid w:val="000D35AE"/>
    <w:rsid w:val="000D4AC0"/>
    <w:rsid w:val="000D4DC0"/>
    <w:rsid w:val="000E0C85"/>
    <w:rsid w:val="00100894"/>
    <w:rsid w:val="00110D92"/>
    <w:rsid w:val="00113454"/>
    <w:rsid w:val="00117D6B"/>
    <w:rsid w:val="00122E3D"/>
    <w:rsid w:val="00125BE8"/>
    <w:rsid w:val="00136988"/>
    <w:rsid w:val="00142D49"/>
    <w:rsid w:val="00143EB9"/>
    <w:rsid w:val="0015307D"/>
    <w:rsid w:val="00172A2C"/>
    <w:rsid w:val="00177B18"/>
    <w:rsid w:val="001A24C8"/>
    <w:rsid w:val="001B667D"/>
    <w:rsid w:val="001C01B7"/>
    <w:rsid w:val="001E31D8"/>
    <w:rsid w:val="001E57F4"/>
    <w:rsid w:val="001E5F5A"/>
    <w:rsid w:val="001E7604"/>
    <w:rsid w:val="001F276B"/>
    <w:rsid w:val="00200AB8"/>
    <w:rsid w:val="00201DA8"/>
    <w:rsid w:val="00212368"/>
    <w:rsid w:val="00215823"/>
    <w:rsid w:val="002348C0"/>
    <w:rsid w:val="002435AB"/>
    <w:rsid w:val="00243F11"/>
    <w:rsid w:val="00250C27"/>
    <w:rsid w:val="00253986"/>
    <w:rsid w:val="002705A8"/>
    <w:rsid w:val="0027251B"/>
    <w:rsid w:val="00281BFB"/>
    <w:rsid w:val="002C7A7D"/>
    <w:rsid w:val="002D184B"/>
    <w:rsid w:val="002D3B26"/>
    <w:rsid w:val="002D7582"/>
    <w:rsid w:val="002E6040"/>
    <w:rsid w:val="002E62AC"/>
    <w:rsid w:val="002F6B27"/>
    <w:rsid w:val="00305423"/>
    <w:rsid w:val="0031792A"/>
    <w:rsid w:val="00323149"/>
    <w:rsid w:val="003255EA"/>
    <w:rsid w:val="0032682A"/>
    <w:rsid w:val="00334E0F"/>
    <w:rsid w:val="003537C4"/>
    <w:rsid w:val="00357788"/>
    <w:rsid w:val="0037720A"/>
    <w:rsid w:val="003807A5"/>
    <w:rsid w:val="00381454"/>
    <w:rsid w:val="003845A8"/>
    <w:rsid w:val="00385062"/>
    <w:rsid w:val="003850ED"/>
    <w:rsid w:val="00386254"/>
    <w:rsid w:val="00390C2B"/>
    <w:rsid w:val="003B4484"/>
    <w:rsid w:val="003C40ED"/>
    <w:rsid w:val="003D1703"/>
    <w:rsid w:val="003D1CF1"/>
    <w:rsid w:val="003D5E45"/>
    <w:rsid w:val="003F0347"/>
    <w:rsid w:val="003F1959"/>
    <w:rsid w:val="003F3E2F"/>
    <w:rsid w:val="0040270E"/>
    <w:rsid w:val="004036FB"/>
    <w:rsid w:val="004065B7"/>
    <w:rsid w:val="00406A51"/>
    <w:rsid w:val="00410075"/>
    <w:rsid w:val="004125F9"/>
    <w:rsid w:val="00415A47"/>
    <w:rsid w:val="004302FD"/>
    <w:rsid w:val="00430C6F"/>
    <w:rsid w:val="00433FFD"/>
    <w:rsid w:val="004426F8"/>
    <w:rsid w:val="00447C73"/>
    <w:rsid w:val="004509E2"/>
    <w:rsid w:val="004523F9"/>
    <w:rsid w:val="0045433A"/>
    <w:rsid w:val="00456193"/>
    <w:rsid w:val="00474BAB"/>
    <w:rsid w:val="00490F2C"/>
    <w:rsid w:val="004A1AEE"/>
    <w:rsid w:val="004A5089"/>
    <w:rsid w:val="004C5AD8"/>
    <w:rsid w:val="004C7EF7"/>
    <w:rsid w:val="004D1716"/>
    <w:rsid w:val="004D716D"/>
    <w:rsid w:val="004E4EBE"/>
    <w:rsid w:val="004E5F11"/>
    <w:rsid w:val="004F7EDA"/>
    <w:rsid w:val="00501D3C"/>
    <w:rsid w:val="005038A1"/>
    <w:rsid w:val="00504A71"/>
    <w:rsid w:val="005239FA"/>
    <w:rsid w:val="00524F3A"/>
    <w:rsid w:val="005257B9"/>
    <w:rsid w:val="00526226"/>
    <w:rsid w:val="00527304"/>
    <w:rsid w:val="005307A5"/>
    <w:rsid w:val="0053527E"/>
    <w:rsid w:val="00537575"/>
    <w:rsid w:val="005463A4"/>
    <w:rsid w:val="00553914"/>
    <w:rsid w:val="00560FCF"/>
    <w:rsid w:val="00561E47"/>
    <w:rsid w:val="005646F8"/>
    <w:rsid w:val="00564881"/>
    <w:rsid w:val="00571586"/>
    <w:rsid w:val="00571CD9"/>
    <w:rsid w:val="005729E2"/>
    <w:rsid w:val="00573AEA"/>
    <w:rsid w:val="0058263C"/>
    <w:rsid w:val="00587A53"/>
    <w:rsid w:val="00594B56"/>
    <w:rsid w:val="00596826"/>
    <w:rsid w:val="005A173C"/>
    <w:rsid w:val="005B2F2F"/>
    <w:rsid w:val="005B51EB"/>
    <w:rsid w:val="005B52B8"/>
    <w:rsid w:val="005D2A0D"/>
    <w:rsid w:val="005E469E"/>
    <w:rsid w:val="005E52AC"/>
    <w:rsid w:val="005E557D"/>
    <w:rsid w:val="005F322E"/>
    <w:rsid w:val="005F5AD6"/>
    <w:rsid w:val="0061020D"/>
    <w:rsid w:val="00616848"/>
    <w:rsid w:val="00624FFE"/>
    <w:rsid w:val="00630AA9"/>
    <w:rsid w:val="00642528"/>
    <w:rsid w:val="006474CE"/>
    <w:rsid w:val="006524D4"/>
    <w:rsid w:val="006543E3"/>
    <w:rsid w:val="006735C9"/>
    <w:rsid w:val="00674452"/>
    <w:rsid w:val="006749D6"/>
    <w:rsid w:val="00676CFE"/>
    <w:rsid w:val="00685C91"/>
    <w:rsid w:val="00687470"/>
    <w:rsid w:val="006879F3"/>
    <w:rsid w:val="00694175"/>
    <w:rsid w:val="006966FC"/>
    <w:rsid w:val="006A4644"/>
    <w:rsid w:val="006B4E8F"/>
    <w:rsid w:val="006C1AEE"/>
    <w:rsid w:val="006D73C4"/>
    <w:rsid w:val="006E2C05"/>
    <w:rsid w:val="006E6A2F"/>
    <w:rsid w:val="00703564"/>
    <w:rsid w:val="007106E2"/>
    <w:rsid w:val="00712458"/>
    <w:rsid w:val="00716FAA"/>
    <w:rsid w:val="00720ACA"/>
    <w:rsid w:val="007430A9"/>
    <w:rsid w:val="007449BC"/>
    <w:rsid w:val="00744BFE"/>
    <w:rsid w:val="00750F83"/>
    <w:rsid w:val="00752C8F"/>
    <w:rsid w:val="00762738"/>
    <w:rsid w:val="007659FF"/>
    <w:rsid w:val="007746CE"/>
    <w:rsid w:val="00775169"/>
    <w:rsid w:val="00780874"/>
    <w:rsid w:val="0078535D"/>
    <w:rsid w:val="00785C81"/>
    <w:rsid w:val="0078630E"/>
    <w:rsid w:val="0078640C"/>
    <w:rsid w:val="007A0609"/>
    <w:rsid w:val="007A7ECE"/>
    <w:rsid w:val="007C65D9"/>
    <w:rsid w:val="007D6DF5"/>
    <w:rsid w:val="007E1BE7"/>
    <w:rsid w:val="007F0EF4"/>
    <w:rsid w:val="007F7DCD"/>
    <w:rsid w:val="00801124"/>
    <w:rsid w:val="008057B3"/>
    <w:rsid w:val="00806FE0"/>
    <w:rsid w:val="008100F5"/>
    <w:rsid w:val="0081741F"/>
    <w:rsid w:val="00822346"/>
    <w:rsid w:val="00823B02"/>
    <w:rsid w:val="0083215D"/>
    <w:rsid w:val="00834D25"/>
    <w:rsid w:val="008351C8"/>
    <w:rsid w:val="008376A5"/>
    <w:rsid w:val="0084732B"/>
    <w:rsid w:val="0086048D"/>
    <w:rsid w:val="00866508"/>
    <w:rsid w:val="00867767"/>
    <w:rsid w:val="0087005B"/>
    <w:rsid w:val="00880886"/>
    <w:rsid w:val="00881797"/>
    <w:rsid w:val="00881D33"/>
    <w:rsid w:val="00882096"/>
    <w:rsid w:val="00883D6C"/>
    <w:rsid w:val="008943E7"/>
    <w:rsid w:val="0089493D"/>
    <w:rsid w:val="0089555A"/>
    <w:rsid w:val="008A5FDC"/>
    <w:rsid w:val="008B1777"/>
    <w:rsid w:val="008B532D"/>
    <w:rsid w:val="008C3682"/>
    <w:rsid w:val="008C66A2"/>
    <w:rsid w:val="008D24BC"/>
    <w:rsid w:val="008D3D39"/>
    <w:rsid w:val="008D66B8"/>
    <w:rsid w:val="008E54C8"/>
    <w:rsid w:val="008E772D"/>
    <w:rsid w:val="008F4B8F"/>
    <w:rsid w:val="00902D53"/>
    <w:rsid w:val="0090690C"/>
    <w:rsid w:val="00910F26"/>
    <w:rsid w:val="00911DB9"/>
    <w:rsid w:val="00924C2F"/>
    <w:rsid w:val="00935735"/>
    <w:rsid w:val="0096072E"/>
    <w:rsid w:val="009642D7"/>
    <w:rsid w:val="00980CF5"/>
    <w:rsid w:val="009838A9"/>
    <w:rsid w:val="00992CAE"/>
    <w:rsid w:val="009A504B"/>
    <w:rsid w:val="009B7D1B"/>
    <w:rsid w:val="009D2A3D"/>
    <w:rsid w:val="009D3FBF"/>
    <w:rsid w:val="009D59D3"/>
    <w:rsid w:val="009E0F0E"/>
    <w:rsid w:val="009E7D9D"/>
    <w:rsid w:val="009F4977"/>
    <w:rsid w:val="009F6F42"/>
    <w:rsid w:val="00A0140F"/>
    <w:rsid w:val="00A12101"/>
    <w:rsid w:val="00A142B7"/>
    <w:rsid w:val="00A37027"/>
    <w:rsid w:val="00A405FC"/>
    <w:rsid w:val="00A47D4A"/>
    <w:rsid w:val="00A51C04"/>
    <w:rsid w:val="00A55B9B"/>
    <w:rsid w:val="00A6302E"/>
    <w:rsid w:val="00A65A96"/>
    <w:rsid w:val="00A766CB"/>
    <w:rsid w:val="00A81378"/>
    <w:rsid w:val="00A86BFF"/>
    <w:rsid w:val="00A9489A"/>
    <w:rsid w:val="00AA17C0"/>
    <w:rsid w:val="00AA3378"/>
    <w:rsid w:val="00AB468E"/>
    <w:rsid w:val="00AC091F"/>
    <w:rsid w:val="00AC5170"/>
    <w:rsid w:val="00AC64D1"/>
    <w:rsid w:val="00AC799A"/>
    <w:rsid w:val="00AD14A5"/>
    <w:rsid w:val="00AE4640"/>
    <w:rsid w:val="00AF0A36"/>
    <w:rsid w:val="00AF67D4"/>
    <w:rsid w:val="00AF6BB4"/>
    <w:rsid w:val="00B24485"/>
    <w:rsid w:val="00B3177F"/>
    <w:rsid w:val="00B31898"/>
    <w:rsid w:val="00B31B92"/>
    <w:rsid w:val="00B34BA4"/>
    <w:rsid w:val="00B36F54"/>
    <w:rsid w:val="00B428BE"/>
    <w:rsid w:val="00B439EB"/>
    <w:rsid w:val="00B4658E"/>
    <w:rsid w:val="00B630F2"/>
    <w:rsid w:val="00B75813"/>
    <w:rsid w:val="00B80F33"/>
    <w:rsid w:val="00B86A3A"/>
    <w:rsid w:val="00BB4674"/>
    <w:rsid w:val="00BC7FB5"/>
    <w:rsid w:val="00BD051A"/>
    <w:rsid w:val="00BD56D1"/>
    <w:rsid w:val="00BE6FBD"/>
    <w:rsid w:val="00BF1B03"/>
    <w:rsid w:val="00BF240E"/>
    <w:rsid w:val="00BF6AF9"/>
    <w:rsid w:val="00C047B6"/>
    <w:rsid w:val="00C14E9E"/>
    <w:rsid w:val="00C15790"/>
    <w:rsid w:val="00C15C44"/>
    <w:rsid w:val="00C15CC2"/>
    <w:rsid w:val="00C36E0C"/>
    <w:rsid w:val="00C4027E"/>
    <w:rsid w:val="00C43D8A"/>
    <w:rsid w:val="00C44D82"/>
    <w:rsid w:val="00C45F8A"/>
    <w:rsid w:val="00C47E27"/>
    <w:rsid w:val="00C47F29"/>
    <w:rsid w:val="00C51545"/>
    <w:rsid w:val="00C51AFC"/>
    <w:rsid w:val="00C536E8"/>
    <w:rsid w:val="00C55A66"/>
    <w:rsid w:val="00C60031"/>
    <w:rsid w:val="00C616DF"/>
    <w:rsid w:val="00C658CA"/>
    <w:rsid w:val="00C70B69"/>
    <w:rsid w:val="00C76984"/>
    <w:rsid w:val="00C85429"/>
    <w:rsid w:val="00C96321"/>
    <w:rsid w:val="00CA21ED"/>
    <w:rsid w:val="00CA458C"/>
    <w:rsid w:val="00CB0690"/>
    <w:rsid w:val="00CB2E3D"/>
    <w:rsid w:val="00CC0372"/>
    <w:rsid w:val="00CC0A76"/>
    <w:rsid w:val="00CC3931"/>
    <w:rsid w:val="00CC4E80"/>
    <w:rsid w:val="00CD0D63"/>
    <w:rsid w:val="00CD6D61"/>
    <w:rsid w:val="00CE51A0"/>
    <w:rsid w:val="00D01F19"/>
    <w:rsid w:val="00D12501"/>
    <w:rsid w:val="00D200E8"/>
    <w:rsid w:val="00D33D8A"/>
    <w:rsid w:val="00D356A3"/>
    <w:rsid w:val="00D40819"/>
    <w:rsid w:val="00D42F14"/>
    <w:rsid w:val="00D52A9A"/>
    <w:rsid w:val="00D546B7"/>
    <w:rsid w:val="00D602C8"/>
    <w:rsid w:val="00D64E65"/>
    <w:rsid w:val="00D659C5"/>
    <w:rsid w:val="00D70EE9"/>
    <w:rsid w:val="00D721FB"/>
    <w:rsid w:val="00D812C0"/>
    <w:rsid w:val="00D81F8F"/>
    <w:rsid w:val="00D83A48"/>
    <w:rsid w:val="00D86239"/>
    <w:rsid w:val="00D870FF"/>
    <w:rsid w:val="00DB011F"/>
    <w:rsid w:val="00DB12FA"/>
    <w:rsid w:val="00DB1445"/>
    <w:rsid w:val="00DB1A44"/>
    <w:rsid w:val="00DC2184"/>
    <w:rsid w:val="00DD01C6"/>
    <w:rsid w:val="00DD5682"/>
    <w:rsid w:val="00DE5133"/>
    <w:rsid w:val="00DE7B41"/>
    <w:rsid w:val="00E05A39"/>
    <w:rsid w:val="00E06552"/>
    <w:rsid w:val="00E07716"/>
    <w:rsid w:val="00E07942"/>
    <w:rsid w:val="00E24106"/>
    <w:rsid w:val="00E2466D"/>
    <w:rsid w:val="00E27310"/>
    <w:rsid w:val="00E34DF6"/>
    <w:rsid w:val="00E545EA"/>
    <w:rsid w:val="00E661EE"/>
    <w:rsid w:val="00E736CB"/>
    <w:rsid w:val="00E8342B"/>
    <w:rsid w:val="00E83F3E"/>
    <w:rsid w:val="00E93F86"/>
    <w:rsid w:val="00EA113C"/>
    <w:rsid w:val="00EB65A0"/>
    <w:rsid w:val="00EB6601"/>
    <w:rsid w:val="00EC292B"/>
    <w:rsid w:val="00EC2FC5"/>
    <w:rsid w:val="00EC30F9"/>
    <w:rsid w:val="00EC3DF4"/>
    <w:rsid w:val="00EC3E4B"/>
    <w:rsid w:val="00ED5B69"/>
    <w:rsid w:val="00EE10EC"/>
    <w:rsid w:val="00EE7EF0"/>
    <w:rsid w:val="00EF0D07"/>
    <w:rsid w:val="00F04568"/>
    <w:rsid w:val="00F07D72"/>
    <w:rsid w:val="00F1329F"/>
    <w:rsid w:val="00F13E24"/>
    <w:rsid w:val="00F43565"/>
    <w:rsid w:val="00F43ADD"/>
    <w:rsid w:val="00F4438F"/>
    <w:rsid w:val="00F50679"/>
    <w:rsid w:val="00F50B37"/>
    <w:rsid w:val="00F523EA"/>
    <w:rsid w:val="00F5283F"/>
    <w:rsid w:val="00F60DC6"/>
    <w:rsid w:val="00F611C6"/>
    <w:rsid w:val="00F62C7C"/>
    <w:rsid w:val="00F7021F"/>
    <w:rsid w:val="00F70A8F"/>
    <w:rsid w:val="00F70E31"/>
    <w:rsid w:val="00F74A3C"/>
    <w:rsid w:val="00F77A10"/>
    <w:rsid w:val="00F80218"/>
    <w:rsid w:val="00F91C22"/>
    <w:rsid w:val="00F96C14"/>
    <w:rsid w:val="00F97B44"/>
    <w:rsid w:val="00FA18A0"/>
    <w:rsid w:val="00FB2AFF"/>
    <w:rsid w:val="00FB43E0"/>
    <w:rsid w:val="00FC0022"/>
    <w:rsid w:val="00FC0C8C"/>
    <w:rsid w:val="00FC2754"/>
    <w:rsid w:val="00FD2D52"/>
    <w:rsid w:val="00FE00A5"/>
    <w:rsid w:val="00FE2136"/>
    <w:rsid w:val="00FE514A"/>
    <w:rsid w:val="00FF0ACE"/>
    <w:rsid w:val="00FF6F6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C3A267D-B088-48A2-BEE5-2A01D0C076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Normal"/>
    <w:link w:val="FootnoteTextChar"/>
    <w:uiPriority w:val="99"/>
    <w:unhideWhenUsed/>
    <w:qFormat/>
    <w:rsid w:val="004A5089"/>
    <w:pPr>
      <w:jc w:val="left"/>
    </w:pPr>
    <w:rPr>
      <w:rFonts w:asciiTheme="minorHAnsi" w:eastAsiaTheme="minorHAnsi" w:hAnsiTheme="minorHAnsi" w:cstheme="minorBidi"/>
      <w:sz w:val="20"/>
      <w:szCs w:val="20"/>
    </w:rPr>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uiPriority w:val="99"/>
    <w:rsid w:val="004A5089"/>
    <w:rPr>
      <w:rFonts w:asciiTheme="minorHAnsi" w:eastAsiaTheme="minorHAnsi" w:hAnsiTheme="minorHAnsi" w:cstheme="minorBidi"/>
      <w:lang w:eastAsia="en-US"/>
    </w:rPr>
  </w:style>
  <w:style w:type="character" w:styleId="FootnoteReference">
    <w:name w:val="footnote reference"/>
    <w:basedOn w:val="DefaultParagraphFont"/>
    <w:unhideWhenUsed/>
    <w:rsid w:val="004A508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7464441">
      <w:bodyDiv w:val="1"/>
      <w:marLeft w:val="0"/>
      <w:marRight w:val="0"/>
      <w:marTop w:val="0"/>
      <w:marBottom w:val="0"/>
      <w:divBdr>
        <w:top w:val="none" w:sz="0" w:space="0" w:color="auto"/>
        <w:left w:val="none" w:sz="0" w:space="0" w:color="auto"/>
        <w:bottom w:val="none" w:sz="0" w:space="0" w:color="auto"/>
        <w:right w:val="none" w:sz="0" w:space="0" w:color="auto"/>
      </w:divBdr>
    </w:div>
    <w:div w:id="996104695">
      <w:bodyDiv w:val="1"/>
      <w:marLeft w:val="0"/>
      <w:marRight w:val="0"/>
      <w:marTop w:val="0"/>
      <w:marBottom w:val="0"/>
      <w:divBdr>
        <w:top w:val="none" w:sz="0" w:space="0" w:color="auto"/>
        <w:left w:val="none" w:sz="0" w:space="0" w:color="auto"/>
        <w:bottom w:val="none" w:sz="0" w:space="0" w:color="auto"/>
        <w:right w:val="none" w:sz="0" w:space="0" w:color="auto"/>
      </w:divBdr>
    </w:div>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 w:id="1292980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1B8C1DB-B1A5-473F-9333-3916B3516DDF}">
  <ds:schemaRefs>
    <ds:schemaRef ds:uri="http://schemas.openxmlformats.org/officeDocument/2006/bibliography"/>
  </ds:schemaRefs>
</ds:datastoreItem>
</file>

<file path=customXml/itemProps2.xml><?xml version="1.0" encoding="utf-8"?>
<ds:datastoreItem xmlns:ds="http://schemas.openxmlformats.org/officeDocument/2006/customXml" ds:itemID="{C513117C-7094-4C1D-9B84-09090FB07F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1150</Words>
  <Characters>6556</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CONSTITIONAL COURT OF SOUTH AFRICA</vt:lpstr>
    </vt:vector>
  </TitlesOfParts>
  <Company>Court</Company>
  <LinksUpToDate>false</LinksUpToDate>
  <CharactersWithSpaces>7691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CONSTITIONAL COURT OF SOUTH AFRICA</dc:title>
  <dc:creator/>
  <cp:lastModifiedBy>Helen Taylor</cp:lastModifiedBy>
  <cp:revision>5</cp:revision>
  <cp:lastPrinted>2019-10-09T11:50:00Z</cp:lastPrinted>
  <dcterms:created xsi:type="dcterms:W3CDTF">2019-10-10T04:27:00Z</dcterms:created>
  <dcterms:modified xsi:type="dcterms:W3CDTF">2019-10-10T10:38:00Z</dcterms:modified>
</cp:coreProperties>
</file>