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42A5" w:rsidRPr="00484C8F" w:rsidRDefault="008142A5" w:rsidP="00A32C39">
      <w:pPr>
        <w:jc w:val="center"/>
        <w:rPr>
          <w:lang w:val="en-GB"/>
        </w:rPr>
      </w:pPr>
      <w:r w:rsidRPr="00484C8F">
        <w:rPr>
          <w:noProof/>
          <w:lang w:val="en-US"/>
        </w:rPr>
        <w:drawing>
          <wp:inline distT="0" distB="0" distL="0" distR="0" wp14:anchorId="6DBBB7E8" wp14:editId="558B35AB">
            <wp:extent cx="981075" cy="790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81075" cy="790575"/>
                    </a:xfrm>
                    <a:prstGeom prst="rect">
                      <a:avLst/>
                    </a:prstGeom>
                    <a:noFill/>
                    <a:ln>
                      <a:noFill/>
                    </a:ln>
                  </pic:spPr>
                </pic:pic>
              </a:graphicData>
            </a:graphic>
          </wp:inline>
        </w:drawing>
      </w:r>
    </w:p>
    <w:p w:rsidR="008142A5" w:rsidRPr="00484C8F" w:rsidRDefault="008142A5" w:rsidP="00A32C39">
      <w:pPr>
        <w:jc w:val="center"/>
        <w:rPr>
          <w:lang w:val="en-GB"/>
        </w:rPr>
      </w:pPr>
    </w:p>
    <w:p w:rsidR="008142A5" w:rsidRPr="00484C8F" w:rsidRDefault="008142A5" w:rsidP="00A32C39">
      <w:pPr>
        <w:jc w:val="center"/>
        <w:rPr>
          <w:b/>
          <w:lang w:val="en-GB"/>
        </w:rPr>
      </w:pPr>
      <w:r w:rsidRPr="00484C8F">
        <w:rPr>
          <w:b/>
          <w:lang w:val="en-GB"/>
        </w:rPr>
        <w:t>CONSTITUTIONAL COURT OF SOUTH AFRICA</w:t>
      </w:r>
    </w:p>
    <w:p w:rsidR="008142A5" w:rsidRPr="00484C8F" w:rsidRDefault="008142A5" w:rsidP="00A32C39">
      <w:pPr>
        <w:rPr>
          <w:lang w:val="en-GB"/>
        </w:rPr>
      </w:pPr>
    </w:p>
    <w:p w:rsidR="008142A5" w:rsidRPr="00484C8F" w:rsidRDefault="003C401B" w:rsidP="00A32C39">
      <w:pPr>
        <w:tabs>
          <w:tab w:val="right" w:pos="9360"/>
        </w:tabs>
        <w:jc w:val="center"/>
        <w:rPr>
          <w:b/>
          <w:bCs/>
          <w:lang w:val="en-GB"/>
        </w:rPr>
      </w:pPr>
      <w:r>
        <w:rPr>
          <w:b/>
          <w:bCs/>
          <w:lang w:val="en-GB"/>
        </w:rPr>
        <w:t xml:space="preserve">Phaahla v Minister of </w:t>
      </w:r>
      <w:r w:rsidR="00695096">
        <w:rPr>
          <w:b/>
          <w:bCs/>
          <w:lang w:val="en-GB"/>
        </w:rPr>
        <w:t xml:space="preserve">Justice and </w:t>
      </w:r>
      <w:r>
        <w:rPr>
          <w:b/>
          <w:bCs/>
          <w:lang w:val="en-GB"/>
        </w:rPr>
        <w:t>Correctional Services and Another (Tlhakanye Intervening)</w:t>
      </w:r>
    </w:p>
    <w:p w:rsidR="00183FB4" w:rsidRPr="00484C8F" w:rsidRDefault="00183FB4" w:rsidP="00A32C39">
      <w:pPr>
        <w:tabs>
          <w:tab w:val="right" w:pos="8647"/>
        </w:tabs>
        <w:rPr>
          <w:b/>
          <w:szCs w:val="26"/>
        </w:rPr>
      </w:pPr>
      <w:r w:rsidRPr="00484C8F">
        <w:rPr>
          <w:b/>
          <w:bCs/>
          <w:lang w:val="en-GB"/>
        </w:rPr>
        <w:tab/>
      </w:r>
    </w:p>
    <w:p w:rsidR="00FA739A" w:rsidRPr="00484C8F" w:rsidRDefault="00280DCB" w:rsidP="00A32C39">
      <w:pPr>
        <w:tabs>
          <w:tab w:val="right" w:pos="9029"/>
        </w:tabs>
        <w:jc w:val="right"/>
        <w:rPr>
          <w:b/>
          <w:szCs w:val="26"/>
        </w:rPr>
      </w:pPr>
      <w:r w:rsidRPr="00484C8F">
        <w:rPr>
          <w:b/>
          <w:szCs w:val="26"/>
        </w:rPr>
        <w:t xml:space="preserve">CCT </w:t>
      </w:r>
      <w:r w:rsidR="003C401B">
        <w:rPr>
          <w:b/>
          <w:szCs w:val="26"/>
        </w:rPr>
        <w:t>44</w:t>
      </w:r>
      <w:r w:rsidR="00A45486">
        <w:rPr>
          <w:b/>
          <w:szCs w:val="26"/>
        </w:rPr>
        <w:t>/1</w:t>
      </w:r>
      <w:r w:rsidR="003C401B">
        <w:rPr>
          <w:b/>
          <w:szCs w:val="26"/>
        </w:rPr>
        <w:t>8</w:t>
      </w:r>
    </w:p>
    <w:p w:rsidR="00FA739A" w:rsidRPr="00484C8F" w:rsidRDefault="00FA739A" w:rsidP="00A32C39">
      <w:pPr>
        <w:tabs>
          <w:tab w:val="right" w:pos="9029"/>
        </w:tabs>
        <w:jc w:val="right"/>
        <w:rPr>
          <w:b/>
          <w:szCs w:val="26"/>
        </w:rPr>
      </w:pPr>
    </w:p>
    <w:p w:rsidR="003C401B" w:rsidRDefault="003C401B" w:rsidP="00A32C39">
      <w:pPr>
        <w:jc w:val="right"/>
        <w:rPr>
          <w:b/>
          <w:lang w:val="en-GB"/>
        </w:rPr>
      </w:pPr>
      <w:r>
        <w:rPr>
          <w:b/>
          <w:lang w:val="en-GB"/>
        </w:rPr>
        <w:t>Date of hearing: 8 November 2018</w:t>
      </w:r>
    </w:p>
    <w:p w:rsidR="008142A5" w:rsidRPr="00484C8F" w:rsidRDefault="008142A5" w:rsidP="00A32C39">
      <w:pPr>
        <w:jc w:val="right"/>
        <w:rPr>
          <w:b/>
          <w:lang w:val="en-GB"/>
        </w:rPr>
      </w:pPr>
      <w:r w:rsidRPr="00484C8F">
        <w:rPr>
          <w:b/>
          <w:lang w:val="en-GB"/>
        </w:rPr>
        <w:t xml:space="preserve">Date of </w:t>
      </w:r>
      <w:r w:rsidR="005A22A4" w:rsidRPr="00484C8F">
        <w:rPr>
          <w:b/>
          <w:lang w:val="en-GB"/>
        </w:rPr>
        <w:t>judgment</w:t>
      </w:r>
      <w:r w:rsidR="00E75AC1">
        <w:rPr>
          <w:b/>
          <w:lang w:val="en-GB"/>
        </w:rPr>
        <w:t>:</w:t>
      </w:r>
      <w:r w:rsidR="00654D57">
        <w:rPr>
          <w:b/>
          <w:lang w:val="en-GB"/>
        </w:rPr>
        <w:t xml:space="preserve"> </w:t>
      </w:r>
      <w:r w:rsidR="00B00924">
        <w:rPr>
          <w:b/>
          <w:lang w:val="en-GB"/>
        </w:rPr>
        <w:t>3 May</w:t>
      </w:r>
      <w:r w:rsidR="003C401B">
        <w:rPr>
          <w:b/>
          <w:lang w:val="en-GB"/>
        </w:rPr>
        <w:t xml:space="preserve"> 2019</w:t>
      </w:r>
    </w:p>
    <w:p w:rsidR="00183FB4" w:rsidRPr="00484C8F" w:rsidRDefault="00183FB4" w:rsidP="00A32C39">
      <w:pPr>
        <w:jc w:val="right"/>
        <w:rPr>
          <w:b/>
          <w:lang w:val="en-GB"/>
        </w:rPr>
      </w:pPr>
    </w:p>
    <w:p w:rsidR="008142A5" w:rsidRPr="00484C8F" w:rsidRDefault="008142A5" w:rsidP="00A32C39">
      <w:pPr>
        <w:rPr>
          <w:lang w:val="en-GB"/>
        </w:rPr>
      </w:pPr>
      <w:r w:rsidRPr="00484C8F">
        <w:rPr>
          <w:lang w:val="en-GB"/>
        </w:rPr>
        <w:t>________________________________________________________________________</w:t>
      </w:r>
    </w:p>
    <w:p w:rsidR="008142A5" w:rsidRPr="00484C8F" w:rsidRDefault="008142A5" w:rsidP="00A32C39">
      <w:pPr>
        <w:jc w:val="center"/>
        <w:rPr>
          <w:b/>
          <w:lang w:val="en-GB"/>
        </w:rPr>
      </w:pPr>
    </w:p>
    <w:p w:rsidR="008142A5" w:rsidRPr="00484C8F" w:rsidRDefault="008142A5" w:rsidP="00A32C39">
      <w:pPr>
        <w:jc w:val="center"/>
        <w:rPr>
          <w:b/>
          <w:lang w:val="en-GB"/>
        </w:rPr>
      </w:pPr>
      <w:r w:rsidRPr="00484C8F">
        <w:rPr>
          <w:b/>
          <w:lang w:val="en-GB"/>
        </w:rPr>
        <w:t>MEDIA SUMMARY</w:t>
      </w:r>
    </w:p>
    <w:p w:rsidR="008142A5" w:rsidRPr="00484C8F" w:rsidRDefault="008142A5" w:rsidP="00A32C39">
      <w:pPr>
        <w:jc w:val="center"/>
        <w:rPr>
          <w:lang w:val="en-GB"/>
        </w:rPr>
      </w:pPr>
      <w:r w:rsidRPr="00484C8F">
        <w:rPr>
          <w:lang w:val="en-GB"/>
        </w:rPr>
        <w:t>________________________________________________________________________</w:t>
      </w:r>
    </w:p>
    <w:p w:rsidR="008142A5" w:rsidRPr="00484C8F" w:rsidRDefault="008142A5" w:rsidP="00A32C39">
      <w:pPr>
        <w:rPr>
          <w:i/>
          <w:lang w:val="en-GB"/>
        </w:rPr>
      </w:pPr>
    </w:p>
    <w:p w:rsidR="006C2714" w:rsidRPr="00484C8F" w:rsidRDefault="008142A5" w:rsidP="00A32C39">
      <w:pPr>
        <w:rPr>
          <w:i/>
          <w:lang w:val="en-GB"/>
        </w:rPr>
      </w:pPr>
      <w:r w:rsidRPr="00484C8F">
        <w:rPr>
          <w:i/>
          <w:lang w:val="en-GB"/>
        </w:rPr>
        <w:t>The following explanatory note is provided to assist the media in reporting this case and is not binding on the Constitutional Court or any member of the Court.</w:t>
      </w:r>
    </w:p>
    <w:p w:rsidR="00A610DD" w:rsidRDefault="00A610DD" w:rsidP="00A32C39">
      <w:pPr>
        <w:spacing w:line="276" w:lineRule="auto"/>
      </w:pPr>
    </w:p>
    <w:p w:rsidR="007A2A43" w:rsidRDefault="00A610DD" w:rsidP="00A32C39">
      <w:r>
        <w:t xml:space="preserve">On </w:t>
      </w:r>
      <w:r w:rsidR="00B00924">
        <w:t>Friday</w:t>
      </w:r>
      <w:r w:rsidR="003C401B">
        <w:t xml:space="preserve">, </w:t>
      </w:r>
      <w:r w:rsidR="00B00924">
        <w:t>3 May</w:t>
      </w:r>
      <w:r>
        <w:t xml:space="preserve"> 2019</w:t>
      </w:r>
      <w:r w:rsidRPr="00A610DD">
        <w:t xml:space="preserve"> at 10h00</w:t>
      </w:r>
      <w:r w:rsidR="00B00924">
        <w:t>,</w:t>
      </w:r>
      <w:r w:rsidRPr="00A610DD">
        <w:t xml:space="preserve"> the Constitutional Court handed down judgment</w:t>
      </w:r>
      <w:r>
        <w:t xml:space="preserve"> in an application for </w:t>
      </w:r>
      <w:r w:rsidR="003C401B">
        <w:t xml:space="preserve">confirmation of a declaration of constitutional invalidity </w:t>
      </w:r>
      <w:r w:rsidR="0021484B">
        <w:t>by the</w:t>
      </w:r>
      <w:r>
        <w:t xml:space="preserve"> </w:t>
      </w:r>
      <w:r w:rsidR="0021484B">
        <w:t>High </w:t>
      </w:r>
      <w:r w:rsidR="003C401B">
        <w:t>Court of South Africa, Gauteng Division</w:t>
      </w:r>
      <w:r w:rsidR="007A2A43">
        <w:t xml:space="preserve">, </w:t>
      </w:r>
      <w:r>
        <w:t xml:space="preserve">Pretoria (High Court).  </w:t>
      </w:r>
      <w:r w:rsidR="007A2A43">
        <w:t>The High Court declared invalid section 136(1) of t</w:t>
      </w:r>
      <w:r w:rsidR="00687CD1">
        <w:t xml:space="preserve">he Correctional Services Act </w:t>
      </w:r>
      <w:r w:rsidR="007A2A43">
        <w:t>of 1998 (1998 Act) on the grounds that the impugned provision breach</w:t>
      </w:r>
      <w:r w:rsidR="00193F55">
        <w:t>es</w:t>
      </w:r>
      <w:r w:rsidR="007A2A43">
        <w:t xml:space="preserve"> the </w:t>
      </w:r>
      <w:r w:rsidR="007E2633">
        <w:t xml:space="preserve">constitutional </w:t>
      </w:r>
      <w:r w:rsidR="007A2A43">
        <w:lastRenderedPageBreak/>
        <w:t>right</w:t>
      </w:r>
      <w:r w:rsidR="006A560B">
        <w:t>s</w:t>
      </w:r>
      <w:r w:rsidR="007A2A43">
        <w:t xml:space="preserve"> to equal treatment by the law and not to be discriminated against unfairly.</w:t>
      </w:r>
    </w:p>
    <w:p w:rsidR="007A2A43" w:rsidRDefault="007A2A43" w:rsidP="00A32C39"/>
    <w:p w:rsidR="00687CD1" w:rsidRDefault="00687CD1" w:rsidP="00A32C39">
      <w:r>
        <w:t>Under</w:t>
      </w:r>
      <w:r w:rsidR="007A2A43">
        <w:t xml:space="preserve"> the </w:t>
      </w:r>
      <w:r>
        <w:t>previous Correctional Services</w:t>
      </w:r>
      <w:r w:rsidR="007A2A43">
        <w:t xml:space="preserve"> Act</w:t>
      </w:r>
      <w:r w:rsidR="003D335B">
        <w:t xml:space="preserve"> of 1959 (1959 Act)</w:t>
      </w:r>
      <w:r w:rsidR="00193F55">
        <w:t>,</w:t>
      </w:r>
      <w:r w:rsidR="007A2A43">
        <w:t xml:space="preserve"> anyone sentenced to life imprisonment</w:t>
      </w:r>
      <w:r>
        <w:t xml:space="preserve"> was eligible to apply for parole after serving</w:t>
      </w:r>
      <w:r w:rsidR="001540FC">
        <w:t xml:space="preserve"> a minimum of</w:t>
      </w:r>
      <w:r>
        <w:t xml:space="preserve"> 20 years.  In terms of the 1998 Act, however, someone serving a life sentence </w:t>
      </w:r>
      <w:r w:rsidR="0021484B">
        <w:t xml:space="preserve">is </w:t>
      </w:r>
      <w:r>
        <w:t xml:space="preserve">eligible for parole </w:t>
      </w:r>
      <w:r w:rsidR="00193F55">
        <w:t xml:space="preserve">only </w:t>
      </w:r>
      <w:r>
        <w:t>once they have served</w:t>
      </w:r>
      <w:r w:rsidR="001540FC">
        <w:t xml:space="preserve"> a minimum of</w:t>
      </w:r>
      <w:r>
        <w:t xml:space="preserve"> 25 years.  Section 136(1) of the 1998 Act governs the transition </w:t>
      </w:r>
      <w:r w:rsidR="00FF3FAF">
        <w:t xml:space="preserve">from the </w:t>
      </w:r>
      <w:r w:rsidR="003D335B">
        <w:t xml:space="preserve">parole eligibility requirements </w:t>
      </w:r>
      <w:r w:rsidR="00FF3FAF">
        <w:t xml:space="preserve">under </w:t>
      </w:r>
      <w:r w:rsidR="003D335B">
        <w:t xml:space="preserve">the 1959 Act </w:t>
      </w:r>
      <w:r w:rsidR="001C0D15">
        <w:t>to</w:t>
      </w:r>
      <w:r w:rsidR="003D335B">
        <w:t xml:space="preserve"> </w:t>
      </w:r>
      <w:r w:rsidR="00FF3FAF">
        <w:t xml:space="preserve">those under </w:t>
      </w:r>
      <w:r w:rsidR="003D335B">
        <w:t>the 1998 Act</w:t>
      </w:r>
      <w:r>
        <w:t xml:space="preserve">.  </w:t>
      </w:r>
      <w:r w:rsidR="003D335B">
        <w:t xml:space="preserve">Section 136(1) </w:t>
      </w:r>
      <w:r>
        <w:t xml:space="preserve">provides </w:t>
      </w:r>
      <w:r w:rsidR="001540FC">
        <w:t xml:space="preserve">that inmates </w:t>
      </w:r>
      <w:r w:rsidR="001540FC" w:rsidRPr="00023648">
        <w:t>sentenced</w:t>
      </w:r>
      <w:r w:rsidR="001540FC">
        <w:t xml:space="preserve"> before 1 </w:t>
      </w:r>
      <w:r>
        <w:t xml:space="preserve">October 2004 are subject to the 1959 Act and must serve </w:t>
      </w:r>
      <w:r w:rsidR="0021484B">
        <w:t xml:space="preserve">a minimum of </w:t>
      </w:r>
      <w:r>
        <w:t xml:space="preserve">20 years, </w:t>
      </w:r>
      <w:r w:rsidR="00FF3FAF">
        <w:t xml:space="preserve">but </w:t>
      </w:r>
      <w:r>
        <w:t xml:space="preserve">inmates sentenced after 1 October 2004 are subject to </w:t>
      </w:r>
      <w:r w:rsidR="0021484B">
        <w:t xml:space="preserve">the </w:t>
      </w:r>
      <w:r>
        <w:t>199</w:t>
      </w:r>
      <w:r w:rsidR="003D335B">
        <w:t xml:space="preserve">8 Act and must </w:t>
      </w:r>
      <w:r w:rsidR="00FF3FAF">
        <w:t xml:space="preserve">therefore </w:t>
      </w:r>
      <w:r w:rsidR="003D335B">
        <w:t xml:space="preserve">serve </w:t>
      </w:r>
      <w:r w:rsidR="0021484B">
        <w:t xml:space="preserve">a minimum of </w:t>
      </w:r>
      <w:r w:rsidR="003D335B">
        <w:t>25 years.</w:t>
      </w:r>
    </w:p>
    <w:p w:rsidR="00687CD1" w:rsidRDefault="00687CD1" w:rsidP="00A32C39"/>
    <w:p w:rsidR="00FF3FAF" w:rsidRDefault="007A2A43" w:rsidP="00A32C39">
      <w:r>
        <w:t>The applicant</w:t>
      </w:r>
      <w:r w:rsidR="0007396E">
        <w:t>,</w:t>
      </w:r>
      <w:r>
        <w:t xml:space="preserve"> Mr Phaahla</w:t>
      </w:r>
      <w:r w:rsidR="0007396E">
        <w:t>,</w:t>
      </w:r>
      <w:r>
        <w:t xml:space="preserve"> is an inmate</w:t>
      </w:r>
      <w:r w:rsidR="003D335B">
        <w:t xml:space="preserve"> serving a sentence of life imprisonment.  He was convicted on 25 September 2004 </w:t>
      </w:r>
      <w:r w:rsidR="00FF3FAF">
        <w:t xml:space="preserve">for a crime committed earlier, </w:t>
      </w:r>
      <w:r w:rsidR="003D335B">
        <w:t xml:space="preserve">but was sentenced </w:t>
      </w:r>
      <w:r w:rsidR="00FF3FAF">
        <w:t xml:space="preserve">only </w:t>
      </w:r>
      <w:r w:rsidR="003D335B">
        <w:t xml:space="preserve">on </w:t>
      </w:r>
      <w:r w:rsidR="0021484B">
        <w:t>5</w:t>
      </w:r>
      <w:r w:rsidR="003D335B">
        <w:t xml:space="preserve"> October 2004.  This means that he is required to serve 25 years before he may apply for parole. </w:t>
      </w:r>
      <w:r w:rsidR="001540FC">
        <w:t xml:space="preserve"> </w:t>
      </w:r>
      <w:r w:rsidR="0021484B">
        <w:t>If</w:t>
      </w:r>
      <w:r w:rsidR="003D335B">
        <w:t xml:space="preserve"> </w:t>
      </w:r>
      <w:r w:rsidR="0021484B">
        <w:t>Mr Phaahla</w:t>
      </w:r>
      <w:r w:rsidR="003D335B">
        <w:t xml:space="preserve"> had been sentenced a few days earlier, he would have had to serve </w:t>
      </w:r>
      <w:r w:rsidR="001540FC">
        <w:t xml:space="preserve">only </w:t>
      </w:r>
      <w:r w:rsidR="003D335B">
        <w:t xml:space="preserve">20 years </w:t>
      </w:r>
      <w:r w:rsidR="0021484B">
        <w:t xml:space="preserve">before </w:t>
      </w:r>
      <w:r w:rsidR="00B00924">
        <w:t xml:space="preserve">being </w:t>
      </w:r>
      <w:r w:rsidR="00FF3FAF">
        <w:t>eligib</w:t>
      </w:r>
      <w:r w:rsidR="00B00924">
        <w:t>le</w:t>
      </w:r>
      <w:r w:rsidR="00FF3FAF">
        <w:t xml:space="preserve"> </w:t>
      </w:r>
      <w:r w:rsidR="0021484B">
        <w:t>for parole</w:t>
      </w:r>
      <w:r w:rsidR="003D335B">
        <w:t>.  Mr Phaahla challeng</w:t>
      </w:r>
      <w:r w:rsidR="00036FC5">
        <w:t>ed</w:t>
      </w:r>
      <w:r w:rsidR="003D335B">
        <w:t xml:space="preserve"> section</w:t>
      </w:r>
      <w:r w:rsidR="0007396E">
        <w:t> </w:t>
      </w:r>
      <w:r w:rsidR="003D335B">
        <w:t xml:space="preserve">136(1) </w:t>
      </w:r>
      <w:r w:rsidR="00036FC5">
        <w:t xml:space="preserve">in the High Court </w:t>
      </w:r>
      <w:r w:rsidR="003D335B">
        <w:t>on the grounds that the use of the date of sentenc</w:t>
      </w:r>
      <w:r w:rsidR="00C923E4">
        <w:t>e</w:t>
      </w:r>
      <w:r w:rsidR="003D335B">
        <w:t xml:space="preserve"> rather than the date of commission of</w:t>
      </w:r>
      <w:r w:rsidR="0007396E">
        <w:t xml:space="preserve"> </w:t>
      </w:r>
      <w:r w:rsidR="003D335B">
        <w:t>offence violat</w:t>
      </w:r>
      <w:r w:rsidR="00FF3FAF">
        <w:t>ed</w:t>
      </w:r>
      <w:r w:rsidR="003D335B">
        <w:t xml:space="preserve"> his fair trial right under sectio</w:t>
      </w:r>
      <w:r w:rsidR="0021484B">
        <w:t xml:space="preserve">n 35(3)(n) of the Constitution.  Section 35(3)(n) </w:t>
      </w:r>
      <w:r w:rsidR="00FF3FAF">
        <w:t xml:space="preserve">of the </w:t>
      </w:r>
      <w:r w:rsidR="00A3699D">
        <w:t>Constitution</w:t>
      </w:r>
      <w:r w:rsidR="00FF3FAF">
        <w:t xml:space="preserve"> </w:t>
      </w:r>
      <w:r w:rsidR="003D335B">
        <w:t xml:space="preserve">provides that where the prescribed punishment for an offence has changed between the </w:t>
      </w:r>
      <w:r w:rsidR="00036FC5">
        <w:t>time</w:t>
      </w:r>
      <w:r w:rsidR="003D335B">
        <w:t xml:space="preserve"> the offence was committed and the </w:t>
      </w:r>
      <w:r w:rsidR="00036FC5">
        <w:t>time</w:t>
      </w:r>
      <w:r w:rsidR="003D335B">
        <w:t xml:space="preserve"> of sentencing, </w:t>
      </w:r>
      <w:r w:rsidR="007E2633">
        <w:t>an accused person</w:t>
      </w:r>
      <w:r w:rsidR="003D335B">
        <w:t xml:space="preserve"> has the right to the benefit of the least severe of the prescribed punishments.</w:t>
      </w:r>
    </w:p>
    <w:p w:rsidR="00FF3FAF" w:rsidRDefault="00FF3FAF" w:rsidP="00A32C39"/>
    <w:p w:rsidR="00FF3FAF" w:rsidRDefault="003D335B" w:rsidP="00A32C39">
      <w:r>
        <w:lastRenderedPageBreak/>
        <w:t xml:space="preserve">Mr Phaahla also </w:t>
      </w:r>
      <w:r w:rsidR="0021484B">
        <w:t>argued that</w:t>
      </w:r>
      <w:r>
        <w:t xml:space="preserve"> section 136(1) breaches his right to equal protection of the law and the right not to be unfairly discriminated against in terms of section 9 of the Constitution.</w:t>
      </w:r>
    </w:p>
    <w:p w:rsidR="00FF3FAF" w:rsidRDefault="00FF3FAF" w:rsidP="00A32C39"/>
    <w:p w:rsidR="00695096" w:rsidRDefault="003D335B" w:rsidP="00A32C39">
      <w:r>
        <w:t xml:space="preserve">The High Court upheld Mr Phaahla’s challenge </w:t>
      </w:r>
      <w:r w:rsidR="00695096">
        <w:t xml:space="preserve">and declared section 136(1) constitutionally invalid </w:t>
      </w:r>
      <w:r>
        <w:t xml:space="preserve">on the basis </w:t>
      </w:r>
      <w:r w:rsidR="00695096">
        <w:t>that it breached his right to equality,</w:t>
      </w:r>
      <w:r>
        <w:t xml:space="preserve"> but held that section 35(3)(n) was not applicable because parole i</w:t>
      </w:r>
      <w:r w:rsidR="00695096">
        <w:t>s not a part of punishment.</w:t>
      </w:r>
    </w:p>
    <w:p w:rsidR="00695096" w:rsidRDefault="00695096" w:rsidP="00A32C39"/>
    <w:p w:rsidR="003D335B" w:rsidRDefault="00695096" w:rsidP="00A32C39">
      <w:r>
        <w:t>Mr Phaahla applied to the Constitutional Court for confirmation of the High Court’s declaration of invalidity.  The Minister of Justice and Correctional Services and the National Commissioner of Correctional Services (respondents) opposed the application for confirmation</w:t>
      </w:r>
      <w:r w:rsidR="00FF3FAF">
        <w:t xml:space="preserve"> and appealed against the High Court order</w:t>
      </w:r>
      <w:r>
        <w:t>.  Another inmate</w:t>
      </w:r>
      <w:r w:rsidR="00FF3FAF">
        <w:t xml:space="preserve"> in the same position</w:t>
      </w:r>
      <w:r>
        <w:t>, Mr Tlhakanye, successfully applied to be admitted as an intervening party.</w:t>
      </w:r>
    </w:p>
    <w:p w:rsidR="00695096" w:rsidRDefault="00695096" w:rsidP="00A32C39"/>
    <w:p w:rsidR="00CC0EA2" w:rsidRDefault="00695096" w:rsidP="00A32C39">
      <w:r>
        <w:t xml:space="preserve">In a judgment penned by Dlodlo AJ, the Constitutional Court </w:t>
      </w:r>
      <w:r w:rsidR="000D7F11">
        <w:t xml:space="preserve">unanimously </w:t>
      </w:r>
      <w:r w:rsidR="007E2633">
        <w:t xml:space="preserve">confirmed </w:t>
      </w:r>
      <w:r>
        <w:t>the High Court’s declaration of invalidity</w:t>
      </w:r>
      <w:r w:rsidR="000D7F11">
        <w:t>.  The majority held the impugned provisions invalid</w:t>
      </w:r>
      <w:r>
        <w:t xml:space="preserve"> on the grounds that </w:t>
      </w:r>
      <w:r w:rsidR="00F240CD">
        <w:t>the use of date of sentence in section 136(1), rather than</w:t>
      </w:r>
      <w:r w:rsidR="0007396E">
        <w:t xml:space="preserve"> the</w:t>
      </w:r>
      <w:r w:rsidR="00F240CD">
        <w:t xml:space="preserve"> date of</w:t>
      </w:r>
      <w:r w:rsidR="0007396E">
        <w:t xml:space="preserve"> commission of </w:t>
      </w:r>
      <w:r w:rsidR="00F240CD">
        <w:t>offence,</w:t>
      </w:r>
      <w:r>
        <w:t xml:space="preserve"> breaches the</w:t>
      </w:r>
      <w:r w:rsidR="00F240CD">
        <w:t xml:space="preserve"> constitutional</w:t>
      </w:r>
      <w:r>
        <w:t xml:space="preserve"> right to equal protection of the law</w:t>
      </w:r>
      <w:r w:rsidR="007E2633">
        <w:t xml:space="preserve"> and</w:t>
      </w:r>
      <w:r>
        <w:t xml:space="preserve"> </w:t>
      </w:r>
      <w:r w:rsidR="00CC0EA2">
        <w:t xml:space="preserve">also the right to </w:t>
      </w:r>
      <w:r w:rsidR="007E2633">
        <w:t xml:space="preserve">the </w:t>
      </w:r>
      <w:r>
        <w:t>benefit of the least severe punishment</w:t>
      </w:r>
      <w:r w:rsidR="0007396E">
        <w:t xml:space="preserve">.  The majority held that it </w:t>
      </w:r>
      <w:r w:rsidR="00CE172E">
        <w:t>amounts to retroactive application of the law</w:t>
      </w:r>
      <w:r w:rsidR="0007396E">
        <w:t>,</w:t>
      </w:r>
      <w:r w:rsidR="00CE172E">
        <w:t xml:space="preserve"> which violates section 35(3)(n)</w:t>
      </w:r>
      <w:r w:rsidR="003A0CEF">
        <w:t xml:space="preserve"> and the principle of legality</w:t>
      </w:r>
      <w:r>
        <w:t>.</w:t>
      </w:r>
    </w:p>
    <w:p w:rsidR="00CC0EA2" w:rsidRDefault="00CC0EA2" w:rsidP="00A32C39"/>
    <w:p w:rsidR="00F240CD" w:rsidRDefault="00695096" w:rsidP="00A32C39">
      <w:r>
        <w:t xml:space="preserve">Dlodlo AJ </w:t>
      </w:r>
      <w:r w:rsidR="00EF1054">
        <w:t>held</w:t>
      </w:r>
      <w:r>
        <w:t xml:space="preserve"> that </w:t>
      </w:r>
      <w:r w:rsidR="00F240CD">
        <w:t>parole</w:t>
      </w:r>
      <w:r>
        <w:t xml:space="preserve"> is part of the punishment</w:t>
      </w:r>
      <w:r w:rsidR="00F240CD">
        <w:t xml:space="preserve"> and therefore</w:t>
      </w:r>
      <w:r w:rsidR="0007396E">
        <w:t xml:space="preserve"> that</w:t>
      </w:r>
      <w:r w:rsidR="00F240CD">
        <w:t xml:space="preserve"> rules lengthening non</w:t>
      </w:r>
      <w:r w:rsidR="00B00924">
        <w:noBreakHyphen/>
      </w:r>
      <w:r w:rsidR="00F240CD">
        <w:t>parole periods increase the severity of the punishment</w:t>
      </w:r>
      <w:r>
        <w:t xml:space="preserve">.  </w:t>
      </w:r>
      <w:r w:rsidR="00F240CD">
        <w:t>S</w:t>
      </w:r>
      <w:r w:rsidR="00EF1054">
        <w:t xml:space="preserve">ection 136(1) differentiates </w:t>
      </w:r>
      <w:r w:rsidR="00EF1054">
        <w:lastRenderedPageBreak/>
        <w:t xml:space="preserve">between inmates sentenced before </w:t>
      </w:r>
      <w:r w:rsidR="00355DF4">
        <w:t xml:space="preserve">and after </w:t>
      </w:r>
      <w:r w:rsidR="00EF1054">
        <w:t xml:space="preserve">1 October 2004 by imposing a harsher punishment on the latter.  </w:t>
      </w:r>
      <w:r w:rsidR="0005467B">
        <w:t>F</w:t>
      </w:r>
      <w:r w:rsidR="00EF1054">
        <w:t xml:space="preserve">or </w:t>
      </w:r>
      <w:r w:rsidR="0005467B">
        <w:t xml:space="preserve">this </w:t>
      </w:r>
      <w:r w:rsidR="00EF1054">
        <w:t>differentiation to pass constitutional muster under section 9(1) of the Constitution, it must be shown by the respondents to be rationally connected to a legitimate government purpose.  The respondents argued that the</w:t>
      </w:r>
      <w:r>
        <w:t xml:space="preserve"> purpose of us</w:t>
      </w:r>
      <w:r w:rsidR="0005467B">
        <w:t>ing</w:t>
      </w:r>
      <w:r>
        <w:t xml:space="preserve"> the date of sentenc</w:t>
      </w:r>
      <w:r w:rsidR="0007396E">
        <w:t>e</w:t>
      </w:r>
      <w:r>
        <w:t xml:space="preserve"> is </w:t>
      </w:r>
      <w:r w:rsidR="00EF1054">
        <w:t xml:space="preserve">to </w:t>
      </w:r>
      <w:r>
        <w:t>protect inmates</w:t>
      </w:r>
      <w:r w:rsidR="00EF1054">
        <w:t xml:space="preserve"> sentenced before 1 October 2004</w:t>
      </w:r>
      <w:r>
        <w:t xml:space="preserve"> from a prejudicial retroactive application of the criminal law.  </w:t>
      </w:r>
      <w:r w:rsidR="00EF1054">
        <w:t>However, Dlodlo AJ found that differentiation for the purpose of protecting only one group of inmates</w:t>
      </w:r>
      <w:r w:rsidR="001540FC">
        <w:t xml:space="preserve"> rather than all inmates</w:t>
      </w:r>
      <w:r w:rsidR="00EF1054">
        <w:t xml:space="preserve"> from retroactive application of the law violates the rule of law, a cornerstone of our constitutional democracy, and that a government purpose contrary to the rule of law </w:t>
      </w:r>
      <w:r w:rsidR="001540FC">
        <w:t>can</w:t>
      </w:r>
      <w:r w:rsidR="00EF1054">
        <w:t xml:space="preserve"> never be legitimate.  On these grounds, Dlodlo AJ held that section 136(1) violates sec</w:t>
      </w:r>
      <w:r w:rsidR="0021484B">
        <w:t>tion 9(1)</w:t>
      </w:r>
      <w:r w:rsidR="001540FC">
        <w:t>.</w:t>
      </w:r>
    </w:p>
    <w:p w:rsidR="00F240CD" w:rsidRDefault="00F240CD" w:rsidP="00A32C39"/>
    <w:p w:rsidR="0021484B" w:rsidRDefault="00EF1054" w:rsidP="00A32C39">
      <w:r>
        <w:t xml:space="preserve">Further, Dlodlo AJ </w:t>
      </w:r>
      <w:r w:rsidR="00F240CD">
        <w:t xml:space="preserve">emphasised the self-standing </w:t>
      </w:r>
      <w:r w:rsidR="001540FC">
        <w:t>pedigree</w:t>
      </w:r>
      <w:r w:rsidR="00F240CD">
        <w:t xml:space="preserve"> of section 35(3)(n)</w:t>
      </w:r>
      <w:r w:rsidR="0007396E">
        <w:t>,</w:t>
      </w:r>
      <w:r w:rsidR="001540FC">
        <w:t xml:space="preserve"> </w:t>
      </w:r>
      <w:r w:rsidR="00F240CD">
        <w:t xml:space="preserve">which entrenches the principle of legality in the criminal law by prohibiting the retroactive application of a punishment that is more severe than </w:t>
      </w:r>
      <w:r w:rsidR="00F63003">
        <w:t>t</w:t>
      </w:r>
      <w:r w:rsidR="00F240CD">
        <w:t xml:space="preserve">hat </w:t>
      </w:r>
      <w:r w:rsidR="001540FC">
        <w:t>prescribed</w:t>
      </w:r>
      <w:r w:rsidR="00F240CD">
        <w:t xml:space="preserve"> when the offence was committed.  Because rules lengthening non-parole periods increase the severity of a sentence of life-imprisonment, the effect of section 136(1) is to impose a punishment that is more severe than what was applicable at the time the offence was committed.</w:t>
      </w:r>
      <w:r w:rsidR="0021484B">
        <w:t xml:space="preserve">  This amounts to a retroactive application of the law and violates </w:t>
      </w:r>
      <w:r w:rsidR="00F63003">
        <w:t xml:space="preserve">both </w:t>
      </w:r>
      <w:r w:rsidR="0021484B">
        <w:t>the principle of legality and section 35(3)(n) of the Constitution</w:t>
      </w:r>
      <w:r w:rsidR="001540FC">
        <w:t>.</w:t>
      </w:r>
    </w:p>
    <w:p w:rsidR="0034606D" w:rsidRDefault="0034606D" w:rsidP="00A32C39"/>
    <w:p w:rsidR="0034606D" w:rsidRPr="0034606D" w:rsidRDefault="002D6078" w:rsidP="00A32C39">
      <w:r>
        <w:t>In a</w:t>
      </w:r>
      <w:r w:rsidR="0034606D" w:rsidRPr="0034606D">
        <w:t xml:space="preserve"> separate concurring judgment</w:t>
      </w:r>
      <w:r w:rsidR="0007396E">
        <w:t>,</w:t>
      </w:r>
      <w:r w:rsidR="0034606D" w:rsidRPr="0034606D">
        <w:t xml:space="preserve"> </w:t>
      </w:r>
      <w:r>
        <w:t xml:space="preserve">penned by </w:t>
      </w:r>
      <w:r w:rsidR="0034606D" w:rsidRPr="0034606D">
        <w:t xml:space="preserve">Cameron J </w:t>
      </w:r>
      <w:r>
        <w:t xml:space="preserve">and concurred in by Dlodlo AJ, Cameron J </w:t>
      </w:r>
      <w:r w:rsidR="0034606D" w:rsidRPr="0034606D">
        <w:t>found</w:t>
      </w:r>
      <w:r>
        <w:t xml:space="preserve"> favour with the first judgment.</w:t>
      </w:r>
      <w:r w:rsidR="0034606D" w:rsidRPr="0034606D">
        <w:t xml:space="preserve"> </w:t>
      </w:r>
      <w:r>
        <w:t xml:space="preserve"> He pointed</w:t>
      </w:r>
      <w:r w:rsidR="00A000F5">
        <w:t xml:space="preserve"> out that </w:t>
      </w:r>
      <w:r>
        <w:t xml:space="preserve">bringing the new parole regime into effect on any arbitrarily chosen date, as 1 October 2004 was, and then to tie its application to date </w:t>
      </w:r>
      <w:r>
        <w:lastRenderedPageBreak/>
        <w:t xml:space="preserve">of sentence, rather than date of </w:t>
      </w:r>
      <w:r w:rsidR="007437C4">
        <w:t xml:space="preserve">commission of </w:t>
      </w:r>
      <w:r>
        <w:t xml:space="preserve">offence, creates irrational, absurd and capricious disparities between those sentenced before and after the date the new regime comes into force.  This </w:t>
      </w:r>
      <w:r w:rsidR="00A000F5">
        <w:t xml:space="preserve">was </w:t>
      </w:r>
      <w:r w:rsidR="00A000F5" w:rsidRPr="00A000F5">
        <w:t xml:space="preserve">no more rational than if the legislation had </w:t>
      </w:r>
      <w:bookmarkStart w:id="0" w:name="_GoBack"/>
      <w:bookmarkEnd w:id="0"/>
      <w:r w:rsidR="00A000F5">
        <w:t>subjected those with</w:t>
      </w:r>
      <w:r w:rsidR="00A000F5" w:rsidRPr="00A000F5">
        <w:t xml:space="preserve"> blue eyes to the old parole regime, </w:t>
      </w:r>
      <w:r w:rsidR="00DE4012">
        <w:t xml:space="preserve">but </w:t>
      </w:r>
      <w:r w:rsidR="00A000F5" w:rsidRPr="00A000F5">
        <w:t xml:space="preserve">those with black eyes </w:t>
      </w:r>
      <w:r w:rsidR="00A000F5">
        <w:t xml:space="preserve">to </w:t>
      </w:r>
      <w:r w:rsidR="00A000F5" w:rsidRPr="00A000F5">
        <w:t>the new</w:t>
      </w:r>
      <w:r>
        <w:t xml:space="preserve"> parole regime.</w:t>
      </w:r>
    </w:p>
    <w:p w:rsidR="0034606D" w:rsidRPr="0034606D" w:rsidRDefault="0034606D" w:rsidP="00A32C39"/>
    <w:p w:rsidR="0034606D" w:rsidRPr="0034606D" w:rsidRDefault="002D6078" w:rsidP="00A32C39">
      <w:r>
        <w:t xml:space="preserve">Regarding government’s reason for </w:t>
      </w:r>
      <w:r w:rsidR="0034606D" w:rsidRPr="0034606D">
        <w:t xml:space="preserve">employing the date of sentence, rather than date of </w:t>
      </w:r>
      <w:r w:rsidR="00B00924">
        <w:t xml:space="preserve">commission of </w:t>
      </w:r>
      <w:r w:rsidR="0007396E">
        <w:t>offence</w:t>
      </w:r>
      <w:r w:rsidR="00DE4012">
        <w:t>,</w:t>
      </w:r>
      <w:r w:rsidR="0034606D" w:rsidRPr="0034606D">
        <w:t xml:space="preserve"> Cameron J </w:t>
      </w:r>
      <w:r w:rsidR="004710F7">
        <w:t xml:space="preserve">considered </w:t>
      </w:r>
      <w:r w:rsidR="0034606D" w:rsidRPr="0034606D">
        <w:t xml:space="preserve">the Supreme Court of Appeal judgment </w:t>
      </w:r>
      <w:r w:rsidR="004710F7">
        <w:t xml:space="preserve">in </w:t>
      </w:r>
      <w:r w:rsidR="0034606D" w:rsidRPr="0034606D">
        <w:rPr>
          <w:i/>
        </w:rPr>
        <w:t>Minister of Correctional Services v Seganoe</w:t>
      </w:r>
      <w:r>
        <w:t>.</w:t>
      </w:r>
      <w:r w:rsidR="004710F7">
        <w:t xml:space="preserve"> </w:t>
      </w:r>
      <w:r>
        <w:t xml:space="preserve"> This </w:t>
      </w:r>
      <w:r w:rsidR="004710F7">
        <w:t xml:space="preserve">held that using the date when the </w:t>
      </w:r>
      <w:r w:rsidR="0007396E">
        <w:t xml:space="preserve">offence </w:t>
      </w:r>
      <w:r w:rsidR="004710F7">
        <w:t>was committed</w:t>
      </w:r>
      <w:r>
        <w:t>, instead of date of sentence,</w:t>
      </w:r>
      <w:r w:rsidR="004710F7">
        <w:t xml:space="preserve"> was </w:t>
      </w:r>
      <w:r w:rsidR="004710F7" w:rsidRPr="004710F7">
        <w:t>beset by practical difficulties and could yield absurd results</w:t>
      </w:r>
      <w:r w:rsidR="004710F7">
        <w:t xml:space="preserve"> that the Legislature could not have contemplated</w:t>
      </w:r>
      <w:r w:rsidR="0034606D" w:rsidRPr="0034606D">
        <w:rPr>
          <w:i/>
        </w:rPr>
        <w:t xml:space="preserve">. </w:t>
      </w:r>
      <w:r w:rsidR="0034606D" w:rsidRPr="0034606D">
        <w:t xml:space="preserve"> The reasoning in </w:t>
      </w:r>
      <w:r w:rsidR="0034606D" w:rsidRPr="0034606D">
        <w:rPr>
          <w:i/>
        </w:rPr>
        <w:t>Seganoe</w:t>
      </w:r>
      <w:r w:rsidR="0034606D" w:rsidRPr="0034606D">
        <w:t>, Cameron J held, cannot stand</w:t>
      </w:r>
      <w:r w:rsidR="004710F7">
        <w:t>.</w:t>
      </w:r>
      <w:r w:rsidR="0034606D" w:rsidRPr="0034606D">
        <w:t xml:space="preserve"> </w:t>
      </w:r>
      <w:r w:rsidR="004869B1">
        <w:t xml:space="preserve"> </w:t>
      </w:r>
      <w:r>
        <w:rPr>
          <w:i/>
        </w:rPr>
        <w:t xml:space="preserve">Seganoe </w:t>
      </w:r>
      <w:r>
        <w:t>presupposes that additionally burdensome parole conditions legislatively imposed after the offence is committed, like those here, are not a more severe “punishment” violating the fair trial guarantee in the Bill of Rights.  But the first judgment rightly holds the contrary.  The consequence is that i</w:t>
      </w:r>
      <w:r w:rsidR="0034606D" w:rsidRPr="0034606D">
        <w:t>t cannot be rational for government to tie the imposition of a more burdensome parole regime to the avoidance of a result that itself violates the Bill of Rights.</w:t>
      </w:r>
    </w:p>
    <w:p w:rsidR="0021484B" w:rsidRDefault="0021484B" w:rsidP="00A32C39"/>
    <w:p w:rsidR="0021484B" w:rsidRPr="0098376D" w:rsidRDefault="0098376D" w:rsidP="00A32C39">
      <w:r w:rsidRPr="00A3699D">
        <w:t>In a separate concurr</w:t>
      </w:r>
      <w:r w:rsidR="005929CD">
        <w:t>ing judgment</w:t>
      </w:r>
      <w:r w:rsidRPr="00A3699D">
        <w:t xml:space="preserve">, Froneman J </w:t>
      </w:r>
      <w:r w:rsidR="005929CD">
        <w:t xml:space="preserve">agreed with the outcome of the first judgment but </w:t>
      </w:r>
      <w:r w:rsidRPr="00A3699D">
        <w:t xml:space="preserve">differed on the </w:t>
      </w:r>
      <w:r w:rsidR="004710F7">
        <w:t xml:space="preserve">particular </w:t>
      </w:r>
      <w:r w:rsidRPr="00A3699D">
        <w:t xml:space="preserve">question </w:t>
      </w:r>
      <w:r w:rsidR="005929CD">
        <w:t xml:space="preserve">of </w:t>
      </w:r>
      <w:r w:rsidRPr="00A3699D">
        <w:t xml:space="preserve">whether the impugned provisions infringe section 9(1) of the Constitution.  Froneman J held that government’s proffered purpose in tying parole </w:t>
      </w:r>
      <w:r w:rsidR="004710F7">
        <w:t xml:space="preserve">regime </w:t>
      </w:r>
      <w:r w:rsidRPr="00A3699D">
        <w:t>changes to the date of sentenc</w:t>
      </w:r>
      <w:r w:rsidR="005929CD">
        <w:t>e</w:t>
      </w:r>
      <w:r w:rsidRPr="00A3699D">
        <w:t xml:space="preserve"> was to avoid imposing a harsher punishment on people who were already incarcerated, and to do so in a way that facilitated efficient and workable implementation.  The transitional arrangements sought to provide legal certainty and clarity for determining the applicable parole </w:t>
      </w:r>
      <w:r w:rsidRPr="00A3699D">
        <w:lastRenderedPageBreak/>
        <w:t xml:space="preserve">regime, and </w:t>
      </w:r>
      <w:r w:rsidR="000D7F11">
        <w:t xml:space="preserve">thus </w:t>
      </w:r>
      <w:r w:rsidRPr="00A3699D">
        <w:t>bear a rational connection to a defensible purpose.</w:t>
      </w:r>
    </w:p>
    <w:p w:rsidR="0021484B" w:rsidRDefault="0021484B" w:rsidP="00A32C39"/>
    <w:p w:rsidR="00747CE0" w:rsidRPr="00D51CE2" w:rsidRDefault="0021484B" w:rsidP="00A32C39">
      <w:pPr>
        <w:rPr>
          <w:lang w:val="en-GB"/>
        </w:rPr>
      </w:pPr>
      <w:r>
        <w:t>In the result, the High Court’s order of constitutional invalidity was confirmed.</w:t>
      </w:r>
    </w:p>
    <w:sectPr w:rsidR="00747CE0" w:rsidRPr="00D51CE2" w:rsidSect="003377D3">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4B1E" w:rsidRDefault="00F14B1E">
      <w:r>
        <w:separator/>
      </w:r>
    </w:p>
  </w:endnote>
  <w:endnote w:type="continuationSeparator" w:id="0">
    <w:p w:rsidR="00F14B1E" w:rsidRDefault="00F14B1E">
      <w:r>
        <w:continuationSeparator/>
      </w:r>
    </w:p>
  </w:endnote>
  <w:endnote w:type="continuationNotice" w:id="1">
    <w:p w:rsidR="00F14B1E" w:rsidRDefault="00F14B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3C5E" w:rsidRDefault="00C53C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84B" w:rsidRDefault="0021484B">
    <w:pPr>
      <w:pStyle w:val="Footer"/>
      <w:jc w:val="center"/>
    </w:pPr>
    <w:r>
      <w:fldChar w:fldCharType="begin"/>
    </w:r>
    <w:r>
      <w:instrText xml:space="preserve"> PAGE   \* MERGEFORMAT </w:instrText>
    </w:r>
    <w:r>
      <w:fldChar w:fldCharType="separate"/>
    </w:r>
    <w:r w:rsidR="00C53C5E">
      <w:rPr>
        <w:noProof/>
      </w:rPr>
      <w:t>3</w:t>
    </w:r>
    <w:r>
      <w:fldChar w:fldCharType="end"/>
    </w:r>
  </w:p>
  <w:p w:rsidR="0021484B" w:rsidRDefault="0021484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3C5E" w:rsidRDefault="00C53C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4B1E" w:rsidRDefault="00F14B1E">
      <w:r>
        <w:separator/>
      </w:r>
    </w:p>
  </w:footnote>
  <w:footnote w:type="continuationSeparator" w:id="0">
    <w:p w:rsidR="00F14B1E" w:rsidRDefault="00F14B1E">
      <w:r>
        <w:continuationSeparator/>
      </w:r>
    </w:p>
  </w:footnote>
  <w:footnote w:type="continuationNotice" w:id="1">
    <w:p w:rsidR="00F14B1E" w:rsidRDefault="00F14B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3C5E" w:rsidRDefault="00C53C5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3C5E" w:rsidRDefault="00C53C5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3C5E" w:rsidRDefault="00C53C5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32B3D81"/>
    <w:multiLevelType w:val="hybridMultilevel"/>
    <w:tmpl w:val="E2428DBC"/>
    <w:lvl w:ilvl="0" w:tplc="ED384354">
      <w:start w:val="1"/>
      <w:numFmt w:val="decimal"/>
      <w:lvlText w:val="%1"/>
      <w:lvlJc w:val="left"/>
      <w:pPr>
        <w:ind w:left="1069" w:hanging="360"/>
      </w:pPr>
      <w:rPr>
        <w:rFonts w:ascii="Times New Roman" w:eastAsia="Calibri" w:hAnsi="Times New Roman" w:cs="Times New Roman"/>
      </w:rPr>
    </w:lvl>
    <w:lvl w:ilvl="1" w:tplc="1C09000F">
      <w:start w:val="1"/>
      <w:numFmt w:val="decimal"/>
      <w:lvlText w:val="%2."/>
      <w:lvlJc w:val="left"/>
      <w:pPr>
        <w:ind w:left="1069"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2A5"/>
    <w:rsid w:val="00001669"/>
    <w:rsid w:val="00003959"/>
    <w:rsid w:val="00006DF6"/>
    <w:rsid w:val="0001058F"/>
    <w:rsid w:val="000141FF"/>
    <w:rsid w:val="00015DF3"/>
    <w:rsid w:val="00023648"/>
    <w:rsid w:val="000244B9"/>
    <w:rsid w:val="00024FDD"/>
    <w:rsid w:val="00027354"/>
    <w:rsid w:val="00031079"/>
    <w:rsid w:val="00035BCE"/>
    <w:rsid w:val="00036FC5"/>
    <w:rsid w:val="000423C6"/>
    <w:rsid w:val="000429D8"/>
    <w:rsid w:val="0005467B"/>
    <w:rsid w:val="00061666"/>
    <w:rsid w:val="00063B94"/>
    <w:rsid w:val="000711C2"/>
    <w:rsid w:val="0007396E"/>
    <w:rsid w:val="00075ABB"/>
    <w:rsid w:val="00081D8A"/>
    <w:rsid w:val="00091339"/>
    <w:rsid w:val="00092DB0"/>
    <w:rsid w:val="000B07A6"/>
    <w:rsid w:val="000B20E0"/>
    <w:rsid w:val="000C7457"/>
    <w:rsid w:val="000D7F11"/>
    <w:rsid w:val="000F4321"/>
    <w:rsid w:val="000F4A89"/>
    <w:rsid w:val="000F52C3"/>
    <w:rsid w:val="00116815"/>
    <w:rsid w:val="00126C61"/>
    <w:rsid w:val="00130474"/>
    <w:rsid w:val="00136DB3"/>
    <w:rsid w:val="001431C5"/>
    <w:rsid w:val="00146664"/>
    <w:rsid w:val="001477EA"/>
    <w:rsid w:val="00147A09"/>
    <w:rsid w:val="001501BC"/>
    <w:rsid w:val="0015197F"/>
    <w:rsid w:val="001520B7"/>
    <w:rsid w:val="001540FC"/>
    <w:rsid w:val="001564C7"/>
    <w:rsid w:val="0017096F"/>
    <w:rsid w:val="001738A8"/>
    <w:rsid w:val="00174DF9"/>
    <w:rsid w:val="001769B8"/>
    <w:rsid w:val="00181392"/>
    <w:rsid w:val="00183FB4"/>
    <w:rsid w:val="00193106"/>
    <w:rsid w:val="00193F55"/>
    <w:rsid w:val="00194BFC"/>
    <w:rsid w:val="0019570A"/>
    <w:rsid w:val="00196CF1"/>
    <w:rsid w:val="001A72B0"/>
    <w:rsid w:val="001B69C6"/>
    <w:rsid w:val="001C0D15"/>
    <w:rsid w:val="001C5DDF"/>
    <w:rsid w:val="001C659E"/>
    <w:rsid w:val="001D2332"/>
    <w:rsid w:val="001E588E"/>
    <w:rsid w:val="001F47D6"/>
    <w:rsid w:val="00203CE0"/>
    <w:rsid w:val="00203E3D"/>
    <w:rsid w:val="00205910"/>
    <w:rsid w:val="00205A7F"/>
    <w:rsid w:val="002068E3"/>
    <w:rsid w:val="002119B0"/>
    <w:rsid w:val="0021393F"/>
    <w:rsid w:val="0021484B"/>
    <w:rsid w:val="00223DD9"/>
    <w:rsid w:val="00233B81"/>
    <w:rsid w:val="00236BB6"/>
    <w:rsid w:val="002403D2"/>
    <w:rsid w:val="00242A0E"/>
    <w:rsid w:val="002438B7"/>
    <w:rsid w:val="00255488"/>
    <w:rsid w:val="00264414"/>
    <w:rsid w:val="002734CB"/>
    <w:rsid w:val="00277D12"/>
    <w:rsid w:val="00280DCB"/>
    <w:rsid w:val="0028581D"/>
    <w:rsid w:val="00287955"/>
    <w:rsid w:val="00294DB1"/>
    <w:rsid w:val="002A61BB"/>
    <w:rsid w:val="002B3D0B"/>
    <w:rsid w:val="002C1B76"/>
    <w:rsid w:val="002C34F2"/>
    <w:rsid w:val="002C5A59"/>
    <w:rsid w:val="002D1C00"/>
    <w:rsid w:val="002D6078"/>
    <w:rsid w:val="002E02F2"/>
    <w:rsid w:val="002E750B"/>
    <w:rsid w:val="002E7A52"/>
    <w:rsid w:val="002F3A2E"/>
    <w:rsid w:val="002F3F36"/>
    <w:rsid w:val="002F7949"/>
    <w:rsid w:val="00305457"/>
    <w:rsid w:val="00321FC7"/>
    <w:rsid w:val="00322E45"/>
    <w:rsid w:val="00327061"/>
    <w:rsid w:val="003270B2"/>
    <w:rsid w:val="003344FC"/>
    <w:rsid w:val="003377D3"/>
    <w:rsid w:val="00345B52"/>
    <w:rsid w:val="0034606D"/>
    <w:rsid w:val="00350949"/>
    <w:rsid w:val="00355DF4"/>
    <w:rsid w:val="00361B1F"/>
    <w:rsid w:val="0036613D"/>
    <w:rsid w:val="00376B22"/>
    <w:rsid w:val="00381504"/>
    <w:rsid w:val="003816DC"/>
    <w:rsid w:val="00383560"/>
    <w:rsid w:val="003908E7"/>
    <w:rsid w:val="00391136"/>
    <w:rsid w:val="003A0CEF"/>
    <w:rsid w:val="003B43CF"/>
    <w:rsid w:val="003C401B"/>
    <w:rsid w:val="003C7BFD"/>
    <w:rsid w:val="003D0608"/>
    <w:rsid w:val="003D335B"/>
    <w:rsid w:val="003D465C"/>
    <w:rsid w:val="003E2C07"/>
    <w:rsid w:val="003F4075"/>
    <w:rsid w:val="003F50BD"/>
    <w:rsid w:val="00411103"/>
    <w:rsid w:val="00421934"/>
    <w:rsid w:val="0042272B"/>
    <w:rsid w:val="00435E87"/>
    <w:rsid w:val="00443705"/>
    <w:rsid w:val="00446389"/>
    <w:rsid w:val="004504B6"/>
    <w:rsid w:val="0045198D"/>
    <w:rsid w:val="00461496"/>
    <w:rsid w:val="00465841"/>
    <w:rsid w:val="004677EC"/>
    <w:rsid w:val="004710F7"/>
    <w:rsid w:val="00475DD0"/>
    <w:rsid w:val="0048400A"/>
    <w:rsid w:val="00484C8F"/>
    <w:rsid w:val="004869B1"/>
    <w:rsid w:val="004A0542"/>
    <w:rsid w:val="004A0EAF"/>
    <w:rsid w:val="004A47AD"/>
    <w:rsid w:val="004A53E1"/>
    <w:rsid w:val="004A6479"/>
    <w:rsid w:val="004B46DA"/>
    <w:rsid w:val="004C3DB1"/>
    <w:rsid w:val="004C6558"/>
    <w:rsid w:val="004D07FD"/>
    <w:rsid w:val="004E0D91"/>
    <w:rsid w:val="004E2C21"/>
    <w:rsid w:val="004E3F56"/>
    <w:rsid w:val="004E5C93"/>
    <w:rsid w:val="00500F9E"/>
    <w:rsid w:val="00505802"/>
    <w:rsid w:val="00506887"/>
    <w:rsid w:val="00511991"/>
    <w:rsid w:val="005135A7"/>
    <w:rsid w:val="0053288B"/>
    <w:rsid w:val="0054239C"/>
    <w:rsid w:val="005519B9"/>
    <w:rsid w:val="00560A41"/>
    <w:rsid w:val="00562DFE"/>
    <w:rsid w:val="00563BF0"/>
    <w:rsid w:val="00572193"/>
    <w:rsid w:val="00577301"/>
    <w:rsid w:val="00580961"/>
    <w:rsid w:val="0058621E"/>
    <w:rsid w:val="00587E45"/>
    <w:rsid w:val="00590F15"/>
    <w:rsid w:val="005929CD"/>
    <w:rsid w:val="005A22A4"/>
    <w:rsid w:val="005A2619"/>
    <w:rsid w:val="005A5CB2"/>
    <w:rsid w:val="005A77A1"/>
    <w:rsid w:val="005A7D3F"/>
    <w:rsid w:val="005A7DAF"/>
    <w:rsid w:val="005B58B3"/>
    <w:rsid w:val="005C2C52"/>
    <w:rsid w:val="005C2D27"/>
    <w:rsid w:val="005D4F25"/>
    <w:rsid w:val="005D7CA1"/>
    <w:rsid w:val="005E18EB"/>
    <w:rsid w:val="005F0DDC"/>
    <w:rsid w:val="005F2CC8"/>
    <w:rsid w:val="005F605E"/>
    <w:rsid w:val="005F696B"/>
    <w:rsid w:val="00603CD1"/>
    <w:rsid w:val="0061604A"/>
    <w:rsid w:val="00623E5B"/>
    <w:rsid w:val="00626BBF"/>
    <w:rsid w:val="00642B65"/>
    <w:rsid w:val="00644AE3"/>
    <w:rsid w:val="0065412B"/>
    <w:rsid w:val="00654D57"/>
    <w:rsid w:val="00655725"/>
    <w:rsid w:val="00662527"/>
    <w:rsid w:val="0066367D"/>
    <w:rsid w:val="006704BC"/>
    <w:rsid w:val="00670DA6"/>
    <w:rsid w:val="00687CD1"/>
    <w:rsid w:val="00695096"/>
    <w:rsid w:val="006A560B"/>
    <w:rsid w:val="006A65F2"/>
    <w:rsid w:val="006B21C0"/>
    <w:rsid w:val="006B321C"/>
    <w:rsid w:val="006B60F2"/>
    <w:rsid w:val="006B6BA4"/>
    <w:rsid w:val="006B729F"/>
    <w:rsid w:val="006C2447"/>
    <w:rsid w:val="006C2714"/>
    <w:rsid w:val="006E0DD0"/>
    <w:rsid w:val="006E49DA"/>
    <w:rsid w:val="006F200D"/>
    <w:rsid w:val="006F2946"/>
    <w:rsid w:val="006F40A7"/>
    <w:rsid w:val="006F5FB8"/>
    <w:rsid w:val="007051AD"/>
    <w:rsid w:val="007147DF"/>
    <w:rsid w:val="00714892"/>
    <w:rsid w:val="00720398"/>
    <w:rsid w:val="00720C7F"/>
    <w:rsid w:val="0072581C"/>
    <w:rsid w:val="007301B8"/>
    <w:rsid w:val="007437C4"/>
    <w:rsid w:val="00747CE0"/>
    <w:rsid w:val="00751653"/>
    <w:rsid w:val="0075366C"/>
    <w:rsid w:val="00756E09"/>
    <w:rsid w:val="007579C5"/>
    <w:rsid w:val="007628C5"/>
    <w:rsid w:val="00772E16"/>
    <w:rsid w:val="00775A01"/>
    <w:rsid w:val="00776DA5"/>
    <w:rsid w:val="00776DD9"/>
    <w:rsid w:val="007A2A43"/>
    <w:rsid w:val="007A7759"/>
    <w:rsid w:val="007B3817"/>
    <w:rsid w:val="007C021F"/>
    <w:rsid w:val="007C1726"/>
    <w:rsid w:val="007C262F"/>
    <w:rsid w:val="007C4AD5"/>
    <w:rsid w:val="007D1649"/>
    <w:rsid w:val="007D17D3"/>
    <w:rsid w:val="007D7580"/>
    <w:rsid w:val="007E2633"/>
    <w:rsid w:val="0080276D"/>
    <w:rsid w:val="00803B97"/>
    <w:rsid w:val="008142A5"/>
    <w:rsid w:val="00821038"/>
    <w:rsid w:val="00823167"/>
    <w:rsid w:val="008305F5"/>
    <w:rsid w:val="008321CC"/>
    <w:rsid w:val="00833895"/>
    <w:rsid w:val="00835F33"/>
    <w:rsid w:val="00845BA3"/>
    <w:rsid w:val="008519E6"/>
    <w:rsid w:val="00852196"/>
    <w:rsid w:val="0087085D"/>
    <w:rsid w:val="00883568"/>
    <w:rsid w:val="00886265"/>
    <w:rsid w:val="00895B46"/>
    <w:rsid w:val="0089609C"/>
    <w:rsid w:val="008A542F"/>
    <w:rsid w:val="008A5964"/>
    <w:rsid w:val="008A7535"/>
    <w:rsid w:val="008A75DB"/>
    <w:rsid w:val="008B3F3A"/>
    <w:rsid w:val="008B633A"/>
    <w:rsid w:val="008B7B43"/>
    <w:rsid w:val="008B7B60"/>
    <w:rsid w:val="008D0257"/>
    <w:rsid w:val="008D2063"/>
    <w:rsid w:val="008D71F0"/>
    <w:rsid w:val="008E0178"/>
    <w:rsid w:val="008E1AB8"/>
    <w:rsid w:val="008F0CFA"/>
    <w:rsid w:val="008F4BF0"/>
    <w:rsid w:val="008F52D4"/>
    <w:rsid w:val="008F5845"/>
    <w:rsid w:val="008F7A4E"/>
    <w:rsid w:val="00902A84"/>
    <w:rsid w:val="00907287"/>
    <w:rsid w:val="00910C3C"/>
    <w:rsid w:val="009110D6"/>
    <w:rsid w:val="009232A8"/>
    <w:rsid w:val="00935511"/>
    <w:rsid w:val="00945DBE"/>
    <w:rsid w:val="009575EE"/>
    <w:rsid w:val="00966041"/>
    <w:rsid w:val="0097246C"/>
    <w:rsid w:val="0098376D"/>
    <w:rsid w:val="00997887"/>
    <w:rsid w:val="009A1597"/>
    <w:rsid w:val="009A50EC"/>
    <w:rsid w:val="009A5288"/>
    <w:rsid w:val="009A6276"/>
    <w:rsid w:val="009A712C"/>
    <w:rsid w:val="009B17B3"/>
    <w:rsid w:val="009C00E5"/>
    <w:rsid w:val="009C327E"/>
    <w:rsid w:val="009C42AB"/>
    <w:rsid w:val="009D6105"/>
    <w:rsid w:val="009E1972"/>
    <w:rsid w:val="009E4CE9"/>
    <w:rsid w:val="009E69D5"/>
    <w:rsid w:val="009F06EE"/>
    <w:rsid w:val="009F0FCF"/>
    <w:rsid w:val="009F48FF"/>
    <w:rsid w:val="009F5322"/>
    <w:rsid w:val="00A000F5"/>
    <w:rsid w:val="00A11F6B"/>
    <w:rsid w:val="00A155D8"/>
    <w:rsid w:val="00A22C3B"/>
    <w:rsid w:val="00A32A8F"/>
    <w:rsid w:val="00A32C39"/>
    <w:rsid w:val="00A3699D"/>
    <w:rsid w:val="00A4402C"/>
    <w:rsid w:val="00A45486"/>
    <w:rsid w:val="00A610DD"/>
    <w:rsid w:val="00A625D3"/>
    <w:rsid w:val="00A628B4"/>
    <w:rsid w:val="00A67B2B"/>
    <w:rsid w:val="00A712C7"/>
    <w:rsid w:val="00A73048"/>
    <w:rsid w:val="00A773B9"/>
    <w:rsid w:val="00A77821"/>
    <w:rsid w:val="00A81443"/>
    <w:rsid w:val="00A8390D"/>
    <w:rsid w:val="00A91955"/>
    <w:rsid w:val="00A930CD"/>
    <w:rsid w:val="00A93B0E"/>
    <w:rsid w:val="00AA0780"/>
    <w:rsid w:val="00AA3C35"/>
    <w:rsid w:val="00AA4C44"/>
    <w:rsid w:val="00AC1C02"/>
    <w:rsid w:val="00AC6026"/>
    <w:rsid w:val="00AD1D91"/>
    <w:rsid w:val="00AD2FC3"/>
    <w:rsid w:val="00AD73ED"/>
    <w:rsid w:val="00AE0CE5"/>
    <w:rsid w:val="00AE60D4"/>
    <w:rsid w:val="00B00326"/>
    <w:rsid w:val="00B00924"/>
    <w:rsid w:val="00B017D9"/>
    <w:rsid w:val="00B10B11"/>
    <w:rsid w:val="00B21500"/>
    <w:rsid w:val="00B26DA0"/>
    <w:rsid w:val="00B26DB7"/>
    <w:rsid w:val="00B3191F"/>
    <w:rsid w:val="00B31EA8"/>
    <w:rsid w:val="00B342F3"/>
    <w:rsid w:val="00B4173B"/>
    <w:rsid w:val="00B46571"/>
    <w:rsid w:val="00B47425"/>
    <w:rsid w:val="00B501F9"/>
    <w:rsid w:val="00B7619C"/>
    <w:rsid w:val="00B87270"/>
    <w:rsid w:val="00B87AE3"/>
    <w:rsid w:val="00B925B7"/>
    <w:rsid w:val="00B977EA"/>
    <w:rsid w:val="00BB4F70"/>
    <w:rsid w:val="00BC6D65"/>
    <w:rsid w:val="00BC715D"/>
    <w:rsid w:val="00BD0AB0"/>
    <w:rsid w:val="00BE57EE"/>
    <w:rsid w:val="00BF5F16"/>
    <w:rsid w:val="00BF7332"/>
    <w:rsid w:val="00C00C72"/>
    <w:rsid w:val="00C05836"/>
    <w:rsid w:val="00C05AE3"/>
    <w:rsid w:val="00C14C18"/>
    <w:rsid w:val="00C2200C"/>
    <w:rsid w:val="00C22FBD"/>
    <w:rsid w:val="00C2310D"/>
    <w:rsid w:val="00C26285"/>
    <w:rsid w:val="00C30EAA"/>
    <w:rsid w:val="00C44061"/>
    <w:rsid w:val="00C4606E"/>
    <w:rsid w:val="00C50867"/>
    <w:rsid w:val="00C521A1"/>
    <w:rsid w:val="00C52C47"/>
    <w:rsid w:val="00C53C5E"/>
    <w:rsid w:val="00C55005"/>
    <w:rsid w:val="00C554C0"/>
    <w:rsid w:val="00C77AD5"/>
    <w:rsid w:val="00C8040D"/>
    <w:rsid w:val="00C90614"/>
    <w:rsid w:val="00C91FC3"/>
    <w:rsid w:val="00C923E4"/>
    <w:rsid w:val="00C92808"/>
    <w:rsid w:val="00CA6717"/>
    <w:rsid w:val="00CA6E92"/>
    <w:rsid w:val="00CB3584"/>
    <w:rsid w:val="00CB4B83"/>
    <w:rsid w:val="00CC0EA2"/>
    <w:rsid w:val="00CC388E"/>
    <w:rsid w:val="00CD3711"/>
    <w:rsid w:val="00CE14C3"/>
    <w:rsid w:val="00CE172E"/>
    <w:rsid w:val="00CF3277"/>
    <w:rsid w:val="00D04930"/>
    <w:rsid w:val="00D05810"/>
    <w:rsid w:val="00D071CC"/>
    <w:rsid w:val="00D16601"/>
    <w:rsid w:val="00D223BF"/>
    <w:rsid w:val="00D22B59"/>
    <w:rsid w:val="00D310CB"/>
    <w:rsid w:val="00D51CE2"/>
    <w:rsid w:val="00D60A48"/>
    <w:rsid w:val="00D612CE"/>
    <w:rsid w:val="00D6536B"/>
    <w:rsid w:val="00D71C42"/>
    <w:rsid w:val="00D75F3D"/>
    <w:rsid w:val="00D777B0"/>
    <w:rsid w:val="00D81D42"/>
    <w:rsid w:val="00D848D7"/>
    <w:rsid w:val="00D94E7B"/>
    <w:rsid w:val="00D96CD8"/>
    <w:rsid w:val="00DA455D"/>
    <w:rsid w:val="00DB093D"/>
    <w:rsid w:val="00DC28BB"/>
    <w:rsid w:val="00DC3520"/>
    <w:rsid w:val="00DC49C2"/>
    <w:rsid w:val="00DC7C7D"/>
    <w:rsid w:val="00DE1FB5"/>
    <w:rsid w:val="00DE4012"/>
    <w:rsid w:val="00DE409B"/>
    <w:rsid w:val="00DE693F"/>
    <w:rsid w:val="00E04BEA"/>
    <w:rsid w:val="00E1534F"/>
    <w:rsid w:val="00E17A72"/>
    <w:rsid w:val="00E32921"/>
    <w:rsid w:val="00E350E1"/>
    <w:rsid w:val="00E460BD"/>
    <w:rsid w:val="00E51118"/>
    <w:rsid w:val="00E52291"/>
    <w:rsid w:val="00E52C30"/>
    <w:rsid w:val="00E52D2A"/>
    <w:rsid w:val="00E6108F"/>
    <w:rsid w:val="00E62971"/>
    <w:rsid w:val="00E63141"/>
    <w:rsid w:val="00E63326"/>
    <w:rsid w:val="00E66B34"/>
    <w:rsid w:val="00E729E9"/>
    <w:rsid w:val="00E73054"/>
    <w:rsid w:val="00E75AC1"/>
    <w:rsid w:val="00E76CC8"/>
    <w:rsid w:val="00E837FF"/>
    <w:rsid w:val="00E83B83"/>
    <w:rsid w:val="00E84A2B"/>
    <w:rsid w:val="00E85366"/>
    <w:rsid w:val="00E87814"/>
    <w:rsid w:val="00E91A85"/>
    <w:rsid w:val="00E948AB"/>
    <w:rsid w:val="00E94BB7"/>
    <w:rsid w:val="00E9773A"/>
    <w:rsid w:val="00EA0DF8"/>
    <w:rsid w:val="00EA198C"/>
    <w:rsid w:val="00EA49F6"/>
    <w:rsid w:val="00EB022F"/>
    <w:rsid w:val="00EB383C"/>
    <w:rsid w:val="00ED0054"/>
    <w:rsid w:val="00ED0609"/>
    <w:rsid w:val="00ED0E92"/>
    <w:rsid w:val="00ED3573"/>
    <w:rsid w:val="00EE304D"/>
    <w:rsid w:val="00EF0A23"/>
    <w:rsid w:val="00EF1054"/>
    <w:rsid w:val="00EF184F"/>
    <w:rsid w:val="00EF2267"/>
    <w:rsid w:val="00EF25E6"/>
    <w:rsid w:val="00F06B9D"/>
    <w:rsid w:val="00F10C65"/>
    <w:rsid w:val="00F119CA"/>
    <w:rsid w:val="00F124C0"/>
    <w:rsid w:val="00F14B1E"/>
    <w:rsid w:val="00F240CD"/>
    <w:rsid w:val="00F24B83"/>
    <w:rsid w:val="00F26FC0"/>
    <w:rsid w:val="00F36BFE"/>
    <w:rsid w:val="00F614AB"/>
    <w:rsid w:val="00F63003"/>
    <w:rsid w:val="00F7130E"/>
    <w:rsid w:val="00F71D30"/>
    <w:rsid w:val="00F73E0F"/>
    <w:rsid w:val="00F74EA6"/>
    <w:rsid w:val="00F7587C"/>
    <w:rsid w:val="00F807D7"/>
    <w:rsid w:val="00F81F48"/>
    <w:rsid w:val="00F868E3"/>
    <w:rsid w:val="00F872CD"/>
    <w:rsid w:val="00F93B63"/>
    <w:rsid w:val="00F972EB"/>
    <w:rsid w:val="00FA739A"/>
    <w:rsid w:val="00FB1F78"/>
    <w:rsid w:val="00FC042C"/>
    <w:rsid w:val="00FD795B"/>
    <w:rsid w:val="00FE25F7"/>
    <w:rsid w:val="00FE4E3D"/>
    <w:rsid w:val="00FE7ACA"/>
    <w:rsid w:val="00FF24A8"/>
    <w:rsid w:val="00FF33EC"/>
    <w:rsid w:val="00FF3FAF"/>
    <w:rsid w:val="00FF5377"/>
    <w:rsid w:val="00FF5B9E"/>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42A5"/>
    <w:pPr>
      <w:spacing w:after="0" w:line="240" w:lineRule="auto"/>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8142A5"/>
    <w:rPr>
      <w:sz w:val="20"/>
      <w:szCs w:val="20"/>
    </w:rPr>
  </w:style>
  <w:style w:type="character" w:customStyle="1" w:styleId="CommentTextChar">
    <w:name w:val="Comment Text Char"/>
    <w:basedOn w:val="DefaultParagraphFont"/>
    <w:link w:val="CommentText"/>
    <w:uiPriority w:val="99"/>
    <w:rsid w:val="008142A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142A5"/>
    <w:pPr>
      <w:tabs>
        <w:tab w:val="center" w:pos="4513"/>
        <w:tab w:val="right" w:pos="9026"/>
      </w:tabs>
    </w:pPr>
  </w:style>
  <w:style w:type="character" w:customStyle="1" w:styleId="FooterChar">
    <w:name w:val="Footer Char"/>
    <w:basedOn w:val="DefaultParagraphFont"/>
    <w:link w:val="Footer"/>
    <w:uiPriority w:val="99"/>
    <w:rsid w:val="008142A5"/>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0032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0326"/>
    <w:rPr>
      <w:rFonts w:ascii="Segoe UI" w:eastAsia="Times New Roman" w:hAnsi="Segoe UI" w:cs="Segoe UI"/>
      <w:sz w:val="18"/>
      <w:szCs w:val="18"/>
    </w:rPr>
  </w:style>
  <w:style w:type="paragraph" w:customStyle="1" w:styleId="JUDGMENTNUMBERED">
    <w:name w:val="JUDGMENT NUMBERED"/>
    <w:basedOn w:val="Normal"/>
    <w:next w:val="JUDGMENTCONTINUED"/>
    <w:link w:val="JUDGMENTNUMBEREDChar"/>
    <w:qFormat/>
    <w:rsid w:val="006C2714"/>
    <w:pPr>
      <w:numPr>
        <w:numId w:val="1"/>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6C2714"/>
    <w:pPr>
      <w:numPr>
        <w:numId w:val="0"/>
      </w:numPr>
    </w:pPr>
  </w:style>
  <w:style w:type="character" w:customStyle="1" w:styleId="JUDGMENTNUMBEREDChar">
    <w:name w:val="JUDGMENT NUMBERED Char"/>
    <w:basedOn w:val="DefaultParagraphFont"/>
    <w:link w:val="JUDGMENTNUMBERED"/>
    <w:rsid w:val="006C2714"/>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A67B2B"/>
    <w:rPr>
      <w:sz w:val="16"/>
      <w:szCs w:val="16"/>
    </w:rPr>
  </w:style>
  <w:style w:type="paragraph" w:styleId="CommentSubject">
    <w:name w:val="annotation subject"/>
    <w:basedOn w:val="CommentText"/>
    <w:next w:val="CommentText"/>
    <w:link w:val="CommentSubjectChar"/>
    <w:uiPriority w:val="99"/>
    <w:semiHidden/>
    <w:unhideWhenUsed/>
    <w:rsid w:val="00A67B2B"/>
    <w:rPr>
      <w:b/>
      <w:bCs/>
    </w:rPr>
  </w:style>
  <w:style w:type="character" w:customStyle="1" w:styleId="CommentSubjectChar">
    <w:name w:val="Comment Subject Char"/>
    <w:basedOn w:val="CommentTextChar"/>
    <w:link w:val="CommentSubject"/>
    <w:uiPriority w:val="99"/>
    <w:semiHidden/>
    <w:rsid w:val="00A67B2B"/>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E83B83"/>
    <w:pPr>
      <w:spacing w:before="100" w:beforeAutospacing="1" w:after="100" w:afterAutospacing="1"/>
      <w:jc w:val="left"/>
    </w:pPr>
    <w:rPr>
      <w:lang w:eastAsia="en-ZA"/>
    </w:rPr>
  </w:style>
  <w:style w:type="paragraph" w:styleId="FootnoteText">
    <w:name w:val="footnote text"/>
    <w:basedOn w:val="Normal"/>
    <w:link w:val="FootnoteTextChar"/>
    <w:unhideWhenUsed/>
    <w:rsid w:val="00174DF9"/>
    <w:pPr>
      <w:spacing w:after="120"/>
    </w:pPr>
    <w:rPr>
      <w:rFonts w:eastAsia="Calibri"/>
      <w:sz w:val="20"/>
      <w:szCs w:val="22"/>
    </w:rPr>
  </w:style>
  <w:style w:type="character" w:customStyle="1" w:styleId="FootnoteTextChar">
    <w:name w:val="Footnote Text Char"/>
    <w:basedOn w:val="DefaultParagraphFont"/>
    <w:link w:val="FootnoteText"/>
    <w:rsid w:val="00174DF9"/>
    <w:rPr>
      <w:rFonts w:ascii="Times New Roman" w:eastAsia="Calibri" w:hAnsi="Times New Roman" w:cs="Times New Roman"/>
      <w:sz w:val="20"/>
    </w:rPr>
  </w:style>
  <w:style w:type="character" w:styleId="FootnoteReference">
    <w:name w:val="footnote reference"/>
    <w:basedOn w:val="DefaultParagraphFont"/>
    <w:uiPriority w:val="99"/>
    <w:semiHidden/>
    <w:unhideWhenUsed/>
    <w:rsid w:val="00174DF9"/>
    <w:rPr>
      <w:vertAlign w:val="superscript"/>
    </w:rPr>
  </w:style>
  <w:style w:type="paragraph" w:customStyle="1" w:styleId="gmail-p4">
    <w:name w:val="gmail-p4"/>
    <w:basedOn w:val="Normal"/>
    <w:rsid w:val="00B31EA8"/>
    <w:pPr>
      <w:spacing w:before="100" w:beforeAutospacing="1" w:after="100" w:afterAutospacing="1"/>
      <w:jc w:val="left"/>
    </w:pPr>
    <w:rPr>
      <w:rFonts w:eastAsiaTheme="minorHAnsi"/>
      <w:lang w:eastAsia="en-ZA"/>
    </w:rPr>
  </w:style>
  <w:style w:type="character" w:customStyle="1" w:styleId="gmail-s1">
    <w:name w:val="gmail-s1"/>
    <w:basedOn w:val="DefaultParagraphFont"/>
    <w:rsid w:val="00B31EA8"/>
  </w:style>
  <w:style w:type="character" w:customStyle="1" w:styleId="gmail-apple-converted-space">
    <w:name w:val="gmail-apple-converted-space"/>
    <w:basedOn w:val="DefaultParagraphFont"/>
    <w:rsid w:val="00B31EA8"/>
  </w:style>
  <w:style w:type="paragraph" w:customStyle="1" w:styleId="gmail-p3">
    <w:name w:val="gmail-p3"/>
    <w:basedOn w:val="Normal"/>
    <w:rsid w:val="009A6276"/>
    <w:pPr>
      <w:spacing w:before="100" w:beforeAutospacing="1" w:after="100" w:afterAutospacing="1"/>
      <w:jc w:val="left"/>
    </w:pPr>
    <w:rPr>
      <w:rFonts w:eastAsiaTheme="minorHAnsi"/>
      <w:lang w:eastAsia="en-ZA"/>
    </w:rPr>
  </w:style>
  <w:style w:type="paragraph" w:customStyle="1" w:styleId="Default">
    <w:name w:val="Default"/>
    <w:rsid w:val="00361B1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3D0608"/>
    <w:pPr>
      <w:tabs>
        <w:tab w:val="center" w:pos="4513"/>
        <w:tab w:val="right" w:pos="9026"/>
      </w:tabs>
    </w:pPr>
  </w:style>
  <w:style w:type="character" w:customStyle="1" w:styleId="HeaderChar">
    <w:name w:val="Header Char"/>
    <w:basedOn w:val="DefaultParagraphFont"/>
    <w:link w:val="Header"/>
    <w:uiPriority w:val="99"/>
    <w:rsid w:val="003D0608"/>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8587396">
      <w:bodyDiv w:val="1"/>
      <w:marLeft w:val="0"/>
      <w:marRight w:val="0"/>
      <w:marTop w:val="0"/>
      <w:marBottom w:val="0"/>
      <w:divBdr>
        <w:top w:val="none" w:sz="0" w:space="0" w:color="auto"/>
        <w:left w:val="none" w:sz="0" w:space="0" w:color="auto"/>
        <w:bottom w:val="none" w:sz="0" w:space="0" w:color="auto"/>
        <w:right w:val="none" w:sz="0" w:space="0" w:color="auto"/>
      </w:divBdr>
    </w:div>
    <w:div w:id="82543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566FC-C027-412C-A68C-4E603C92B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1217</Words>
  <Characters>6942</Characters>
  <Application>Microsoft Office Word</Application>
  <DocSecurity>0</DocSecurity>
  <Lines>57</Lines>
  <Paragraphs>16</Paragraphs>
  <ScaleCrop>false</ScaleCrop>
  <Company/>
  <LinksUpToDate>false</LinksUpToDate>
  <CharactersWithSpaces>8143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2019-05-02T15:40:00Z</dcterms:created>
  <dcterms:modified xsi:type="dcterms:W3CDTF">2019-05-02T15:40:00Z</dcterms:modified>
</cp:coreProperties>
</file>