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18CF" w:rsidRDefault="0003374F" w:rsidP="003A18CF">
      <w:pPr>
        <w:spacing w:line="240" w:lineRule="auto"/>
        <w:jc w:val="center"/>
        <w:outlineLvl w:val="0"/>
      </w:pPr>
      <w:bookmarkStart w:id="0" w:name="_GoBack"/>
      <w:bookmarkEnd w:id="0"/>
      <w:r w:rsidRPr="0003374F">
        <w:rPr>
          <w:b/>
          <w:bCs/>
          <w:noProof/>
          <w:color w:val="1F497D"/>
          <w:lang w:eastAsia="en-ZA"/>
        </w:rPr>
        <w:drawing>
          <wp:inline distT="0" distB="0" distL="0" distR="0" wp14:anchorId="6055D581" wp14:editId="57EC9AF1">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3A18CF" w:rsidRDefault="003A18CF" w:rsidP="003A18CF">
      <w:pPr>
        <w:spacing w:line="240" w:lineRule="auto"/>
        <w:jc w:val="center"/>
        <w:outlineLvl w:val="0"/>
      </w:pPr>
    </w:p>
    <w:p w:rsidR="003A18CF" w:rsidRPr="00271C49" w:rsidRDefault="003A18CF" w:rsidP="003A18CF">
      <w:pPr>
        <w:spacing w:line="240" w:lineRule="auto"/>
        <w:jc w:val="center"/>
        <w:outlineLvl w:val="0"/>
        <w:rPr>
          <w:b/>
        </w:rPr>
      </w:pPr>
      <w:r w:rsidRPr="00271C49">
        <w:rPr>
          <w:b/>
        </w:rPr>
        <w:t>CONSTITUTIONAL COURT OF SOUTH AFRICA</w:t>
      </w:r>
    </w:p>
    <w:p w:rsidR="003A18CF" w:rsidRDefault="003A18CF" w:rsidP="003A18CF">
      <w:pPr>
        <w:spacing w:line="240" w:lineRule="auto"/>
      </w:pPr>
    </w:p>
    <w:p w:rsidR="003A18CF" w:rsidRPr="009C3888" w:rsidRDefault="003A18CF" w:rsidP="003A18CF">
      <w:pPr>
        <w:spacing w:line="240" w:lineRule="auto"/>
      </w:pPr>
    </w:p>
    <w:p w:rsidR="003A18CF" w:rsidRPr="00961263" w:rsidRDefault="003A18CF" w:rsidP="003A18CF">
      <w:pPr>
        <w:tabs>
          <w:tab w:val="right" w:pos="9029"/>
        </w:tabs>
        <w:spacing w:line="240" w:lineRule="auto"/>
      </w:pPr>
      <w:r w:rsidRPr="00961263">
        <w:tab/>
        <w:t xml:space="preserve">Case CCT </w:t>
      </w:r>
      <w:r w:rsidR="008B567E" w:rsidRPr="008B567E">
        <w:t>2</w:t>
      </w:r>
      <w:r w:rsidR="00B25E4C">
        <w:t>24</w:t>
      </w:r>
      <w:r w:rsidRPr="008B567E">
        <w:t>/</w:t>
      </w:r>
      <w:r w:rsidR="008B567E" w:rsidRPr="008B567E">
        <w:t>17</w:t>
      </w:r>
    </w:p>
    <w:p w:rsidR="003A18CF" w:rsidRDefault="003A18CF" w:rsidP="003A18CF">
      <w:pPr>
        <w:tabs>
          <w:tab w:val="left" w:pos="8998"/>
        </w:tabs>
        <w:spacing w:line="240" w:lineRule="auto"/>
      </w:pPr>
    </w:p>
    <w:p w:rsidR="003A18CF" w:rsidRPr="00E6071A" w:rsidRDefault="003A18CF" w:rsidP="003A18CF">
      <w:pPr>
        <w:tabs>
          <w:tab w:val="left" w:pos="8998"/>
        </w:tabs>
        <w:spacing w:line="240" w:lineRule="auto"/>
      </w:pPr>
      <w:r w:rsidRPr="00E6071A">
        <w:t>In the matter between:</w:t>
      </w:r>
    </w:p>
    <w:p w:rsidR="003A18CF" w:rsidRDefault="003A18CF" w:rsidP="003A18CF">
      <w:pPr>
        <w:tabs>
          <w:tab w:val="left" w:pos="8998"/>
        </w:tabs>
        <w:spacing w:line="240" w:lineRule="auto"/>
      </w:pPr>
    </w:p>
    <w:p w:rsidR="003A18CF" w:rsidRPr="009C3888" w:rsidRDefault="003A18CF" w:rsidP="003A18CF">
      <w:pPr>
        <w:tabs>
          <w:tab w:val="left" w:pos="8998"/>
        </w:tabs>
        <w:spacing w:line="240" w:lineRule="auto"/>
      </w:pPr>
    </w:p>
    <w:p w:rsidR="008B567E" w:rsidRPr="008B567E" w:rsidRDefault="00B25E4C" w:rsidP="008B567E">
      <w:pPr>
        <w:tabs>
          <w:tab w:val="right" w:pos="9029"/>
        </w:tabs>
        <w:spacing w:line="240" w:lineRule="auto"/>
        <w:rPr>
          <w:szCs w:val="26"/>
        </w:rPr>
      </w:pPr>
      <w:r>
        <w:rPr>
          <w:b/>
          <w:szCs w:val="26"/>
        </w:rPr>
        <w:t>DANE CONRADIE</w:t>
      </w:r>
      <w:r w:rsidR="008B567E" w:rsidRPr="008B567E">
        <w:rPr>
          <w:szCs w:val="26"/>
        </w:rPr>
        <w:tab/>
        <w:t>Applicant</w:t>
      </w:r>
    </w:p>
    <w:p w:rsidR="003A18CF" w:rsidRPr="00EE02D5" w:rsidRDefault="003A18CF" w:rsidP="003A18CF">
      <w:pPr>
        <w:spacing w:line="240" w:lineRule="auto"/>
        <w:rPr>
          <w:szCs w:val="26"/>
        </w:rPr>
      </w:pPr>
    </w:p>
    <w:p w:rsidR="003A18CF" w:rsidRPr="00EE02D5" w:rsidRDefault="003A18CF" w:rsidP="003A18CF">
      <w:pPr>
        <w:spacing w:line="240" w:lineRule="auto"/>
        <w:rPr>
          <w:szCs w:val="26"/>
        </w:rPr>
      </w:pPr>
      <w:r w:rsidRPr="00EE02D5">
        <w:rPr>
          <w:szCs w:val="26"/>
        </w:rPr>
        <w:t>and</w:t>
      </w:r>
    </w:p>
    <w:p w:rsidR="003A18CF" w:rsidRPr="00EE02D5" w:rsidRDefault="003A18CF" w:rsidP="003A18CF">
      <w:pPr>
        <w:spacing w:line="240" w:lineRule="auto"/>
        <w:rPr>
          <w:szCs w:val="26"/>
        </w:rPr>
      </w:pPr>
    </w:p>
    <w:p w:rsidR="008B567E" w:rsidRPr="008B567E" w:rsidRDefault="00AF3B08" w:rsidP="008B567E">
      <w:pPr>
        <w:tabs>
          <w:tab w:val="right" w:pos="9029"/>
        </w:tabs>
        <w:spacing w:line="240" w:lineRule="auto"/>
        <w:rPr>
          <w:szCs w:val="26"/>
        </w:rPr>
      </w:pPr>
      <w:r>
        <w:rPr>
          <w:b/>
          <w:szCs w:val="26"/>
        </w:rPr>
        <w:t xml:space="preserve">THE </w:t>
      </w:r>
      <w:r w:rsidR="00B25E4C">
        <w:rPr>
          <w:b/>
          <w:szCs w:val="26"/>
        </w:rPr>
        <w:t>STATE</w:t>
      </w:r>
      <w:r w:rsidR="008B567E" w:rsidRPr="008B567E">
        <w:rPr>
          <w:szCs w:val="26"/>
        </w:rPr>
        <w:tab/>
        <w:t>Respondent</w:t>
      </w:r>
    </w:p>
    <w:p w:rsidR="003A18CF" w:rsidRDefault="003A18CF" w:rsidP="003A18CF">
      <w:pPr>
        <w:spacing w:line="240" w:lineRule="auto"/>
      </w:pPr>
    </w:p>
    <w:p w:rsidR="003A18CF" w:rsidRPr="009C3888" w:rsidRDefault="003A18CF" w:rsidP="003A18CF">
      <w:pPr>
        <w:spacing w:line="240" w:lineRule="auto"/>
      </w:pPr>
    </w:p>
    <w:p w:rsidR="003A18CF" w:rsidRPr="009C3888" w:rsidRDefault="003A18CF" w:rsidP="003A18CF">
      <w:pPr>
        <w:spacing w:line="240" w:lineRule="auto"/>
      </w:pPr>
    </w:p>
    <w:p w:rsidR="003A18CF" w:rsidRPr="00F05BBD" w:rsidRDefault="003A18CF" w:rsidP="003A18CF">
      <w:pPr>
        <w:spacing w:line="240" w:lineRule="auto"/>
        <w:ind w:left="2160" w:hanging="2160"/>
      </w:pPr>
      <w:r w:rsidRPr="008B40EE">
        <w:rPr>
          <w:b/>
        </w:rPr>
        <w:t>Neutral citation:</w:t>
      </w:r>
      <w:r>
        <w:tab/>
      </w:r>
      <w:r w:rsidR="00AF3B08" w:rsidRPr="00895A76">
        <w:rPr>
          <w:i/>
        </w:rPr>
        <w:t>Conradie</w:t>
      </w:r>
      <w:r w:rsidRPr="00895A76">
        <w:rPr>
          <w:i/>
        </w:rPr>
        <w:t xml:space="preserve"> v</w:t>
      </w:r>
      <w:r w:rsidR="00AF3B08" w:rsidRPr="00895A76">
        <w:rPr>
          <w:i/>
        </w:rPr>
        <w:t xml:space="preserve"> </w:t>
      </w:r>
      <w:r w:rsidR="003C283C" w:rsidRPr="00895A76">
        <w:rPr>
          <w:i/>
        </w:rPr>
        <w:t>S</w:t>
      </w:r>
      <w:r>
        <w:rPr>
          <w:i/>
        </w:rPr>
        <w:t xml:space="preserve"> </w:t>
      </w:r>
      <w:r>
        <w:t>[</w:t>
      </w:r>
      <w:r w:rsidR="00AF3B08">
        <w:t>2018</w:t>
      </w:r>
      <w:r>
        <w:t xml:space="preserve">] ZACC </w:t>
      </w:r>
      <w:r w:rsidR="00FD102D">
        <w:t>12</w:t>
      </w:r>
    </w:p>
    <w:p w:rsidR="003A18CF" w:rsidRDefault="003A18CF" w:rsidP="003A18CF">
      <w:pPr>
        <w:spacing w:line="240" w:lineRule="auto"/>
      </w:pPr>
    </w:p>
    <w:p w:rsidR="003A18CF" w:rsidRDefault="003A18CF" w:rsidP="003A18CF">
      <w:pPr>
        <w:spacing w:line="240" w:lineRule="auto"/>
        <w:ind w:left="2160" w:hanging="2160"/>
      </w:pPr>
      <w:r w:rsidRPr="008B40EE">
        <w:rPr>
          <w:b/>
        </w:rPr>
        <w:t>Coram:</w:t>
      </w:r>
      <w:r>
        <w:tab/>
      </w:r>
      <w:r w:rsidR="008B567E" w:rsidRPr="008B567E">
        <w:t>Mogoeng CJ, Zondo DCJ, Cameron J, Froneman J, Jafta J, Kollapen AJ, Kathree</w:t>
      </w:r>
      <w:r w:rsidR="008B567E" w:rsidRPr="008B567E">
        <w:noBreakHyphen/>
        <w:t>Setiloane AJ, Madlanga J, Mhlantla J, Theron J and Zondi AJ</w:t>
      </w:r>
    </w:p>
    <w:p w:rsidR="003A18CF" w:rsidRDefault="003A18CF" w:rsidP="003A18CF">
      <w:pPr>
        <w:spacing w:line="240" w:lineRule="auto"/>
      </w:pPr>
    </w:p>
    <w:p w:rsidR="00697319" w:rsidRDefault="00697319" w:rsidP="003A18CF">
      <w:pPr>
        <w:spacing w:line="240" w:lineRule="auto"/>
      </w:pPr>
    </w:p>
    <w:p w:rsidR="00AE7143" w:rsidRDefault="00AE7143" w:rsidP="005E5AD4">
      <w:pPr>
        <w:spacing w:line="240" w:lineRule="auto"/>
        <w:ind w:left="2160" w:hanging="2160"/>
      </w:pPr>
      <w:r>
        <w:rPr>
          <w:b/>
        </w:rPr>
        <w:t>Judgments</w:t>
      </w:r>
      <w:r w:rsidRPr="008B40EE">
        <w:rPr>
          <w:b/>
        </w:rPr>
        <w:t>:</w:t>
      </w:r>
      <w:r>
        <w:tab/>
      </w:r>
      <w:r w:rsidR="005E5AD4" w:rsidRPr="00FD102D">
        <w:t>Froneman J</w:t>
      </w:r>
      <w:r w:rsidR="00FD102D">
        <w:t xml:space="preserve"> (unanimous)</w:t>
      </w:r>
    </w:p>
    <w:p w:rsidR="003A18CF" w:rsidRPr="009C3888" w:rsidRDefault="003A18CF" w:rsidP="00FD102D">
      <w:pPr>
        <w:spacing w:line="240" w:lineRule="auto"/>
      </w:pPr>
    </w:p>
    <w:p w:rsidR="003A18CF" w:rsidRDefault="003A18CF" w:rsidP="0044313C">
      <w:pPr>
        <w:spacing w:line="240" w:lineRule="auto"/>
        <w:ind w:left="2160" w:hanging="2160"/>
      </w:pPr>
      <w:r w:rsidRPr="008B40EE">
        <w:rPr>
          <w:b/>
        </w:rPr>
        <w:t>Decided on:</w:t>
      </w:r>
      <w:r>
        <w:tab/>
      </w:r>
      <w:r w:rsidR="00383CA8">
        <w:t>25</w:t>
      </w:r>
      <w:r w:rsidR="00FD102D">
        <w:t xml:space="preserve"> April 2018</w:t>
      </w:r>
    </w:p>
    <w:p w:rsidR="004110F6" w:rsidRDefault="004110F6" w:rsidP="003A18CF">
      <w:pPr>
        <w:spacing w:line="240" w:lineRule="auto"/>
      </w:pPr>
    </w:p>
    <w:p w:rsidR="004D02BA" w:rsidRDefault="004D02BA" w:rsidP="004D02BA">
      <w:pPr>
        <w:spacing w:line="240" w:lineRule="auto"/>
        <w:ind w:left="2160" w:hanging="2160"/>
      </w:pPr>
      <w:r>
        <w:rPr>
          <w:b/>
        </w:rPr>
        <w:t>Summary:</w:t>
      </w:r>
      <w:r>
        <w:rPr>
          <w:b/>
        </w:rPr>
        <w:tab/>
      </w:r>
      <w:r w:rsidR="00895A76">
        <w:t>Section 35(3)(o) of the Constitution</w:t>
      </w:r>
      <w:r w:rsidRPr="00542F53">
        <w:t xml:space="preserve"> </w:t>
      </w:r>
      <w:r w:rsidR="006724E0">
        <w:t>—</w:t>
      </w:r>
      <w:r w:rsidRPr="00542F53">
        <w:t xml:space="preserve"> </w:t>
      </w:r>
      <w:r w:rsidR="00895A76">
        <w:t>right to a fair trial</w:t>
      </w:r>
      <w:r w:rsidR="006724E0">
        <w:t>—</w:t>
      </w:r>
      <w:r w:rsidRPr="00542F53">
        <w:t xml:space="preserve"> </w:t>
      </w:r>
      <w:r w:rsidR="00742609">
        <w:t>i</w:t>
      </w:r>
      <w:r w:rsidR="006233AB" w:rsidRPr="006233AB">
        <w:t>s trial record of proceedings relevant for leave to appeal application</w:t>
      </w:r>
      <w:r w:rsidR="006233AB">
        <w:t>?</w:t>
      </w:r>
    </w:p>
    <w:p w:rsidR="004D02BA" w:rsidRDefault="004D02BA" w:rsidP="004D02BA">
      <w:pPr>
        <w:spacing w:line="240" w:lineRule="auto"/>
      </w:pPr>
    </w:p>
    <w:p w:rsidR="004D02BA" w:rsidRDefault="004D02BA" w:rsidP="004D02BA">
      <w:pPr>
        <w:spacing w:line="240" w:lineRule="auto"/>
      </w:pPr>
    </w:p>
    <w:p w:rsidR="004D02BA" w:rsidRPr="004110F6" w:rsidRDefault="004D02BA" w:rsidP="004D02BA">
      <w:pPr>
        <w:spacing w:line="240" w:lineRule="auto"/>
      </w:pPr>
    </w:p>
    <w:p w:rsidR="003A18CF" w:rsidRPr="009C3888" w:rsidRDefault="003A18CF" w:rsidP="003A18CF">
      <w:pPr>
        <w:keepNext/>
        <w:pBdr>
          <w:top w:val="single" w:sz="4" w:space="1" w:color="auto"/>
          <w:bottom w:val="single" w:sz="4" w:space="1" w:color="auto"/>
        </w:pBdr>
        <w:spacing w:line="240" w:lineRule="auto"/>
        <w:jc w:val="center"/>
      </w:pPr>
    </w:p>
    <w:p w:rsidR="003A18CF" w:rsidRPr="005C6482" w:rsidRDefault="003A18CF" w:rsidP="003A18CF">
      <w:pPr>
        <w:keepNext/>
        <w:pBdr>
          <w:top w:val="single" w:sz="4" w:space="1" w:color="auto"/>
          <w:bottom w:val="single" w:sz="4" w:space="1" w:color="auto"/>
        </w:pBdr>
        <w:spacing w:line="240" w:lineRule="auto"/>
        <w:jc w:val="center"/>
        <w:outlineLvl w:val="0"/>
        <w:rPr>
          <w:b/>
        </w:rPr>
      </w:pPr>
      <w:r>
        <w:rPr>
          <w:b/>
        </w:rPr>
        <w:t>ORDER</w:t>
      </w:r>
    </w:p>
    <w:p w:rsidR="003A18CF" w:rsidRPr="009C3888" w:rsidRDefault="003A18CF" w:rsidP="003A18CF">
      <w:pPr>
        <w:pBdr>
          <w:top w:val="single" w:sz="4" w:space="1" w:color="auto"/>
          <w:bottom w:val="single" w:sz="4" w:space="1" w:color="auto"/>
        </w:pBdr>
        <w:spacing w:line="240" w:lineRule="auto"/>
        <w:jc w:val="center"/>
      </w:pPr>
    </w:p>
    <w:p w:rsidR="003A18CF" w:rsidRDefault="003A18CF" w:rsidP="003A18CF">
      <w:pPr>
        <w:spacing w:line="240" w:lineRule="auto"/>
      </w:pPr>
    </w:p>
    <w:p w:rsidR="003A18CF" w:rsidRPr="009C3888" w:rsidRDefault="003A18CF" w:rsidP="003A18CF">
      <w:pPr>
        <w:spacing w:line="240" w:lineRule="auto"/>
      </w:pPr>
    </w:p>
    <w:p w:rsidR="003A18CF" w:rsidRDefault="009632AB" w:rsidP="00812DC7">
      <w:pPr>
        <w:pStyle w:val="JUDGMENTNUMBERED"/>
        <w:numPr>
          <w:ilvl w:val="0"/>
          <w:numId w:val="17"/>
        </w:numPr>
        <w:ind w:left="1440" w:hanging="720"/>
      </w:pPr>
      <w:r w:rsidRPr="0077750A">
        <w:t xml:space="preserve">The application for leave to appeal is </w:t>
      </w:r>
      <w:r w:rsidRPr="00B83FB6">
        <w:t>dismissed.</w:t>
      </w:r>
    </w:p>
    <w:p w:rsidR="00CB0CB2" w:rsidRPr="00CB0CB2" w:rsidRDefault="00CB0CB2" w:rsidP="000C38CF">
      <w:pPr>
        <w:pStyle w:val="JUDGMENTCONTINUED"/>
      </w:pPr>
    </w:p>
    <w:p w:rsidR="00CB0CB2" w:rsidRDefault="00CB0CB2" w:rsidP="000C38CF">
      <w:pPr>
        <w:pStyle w:val="JUDGMENTCONTINUED"/>
        <w:sectPr w:rsidR="00CB0CB2" w:rsidSect="009559B5">
          <w:footerReference w:type="default" r:id="rId8"/>
          <w:pgSz w:w="11907" w:h="16839" w:code="9"/>
          <w:pgMar w:top="1440" w:right="1440" w:bottom="1440" w:left="1440" w:header="708" w:footer="708" w:gutter="0"/>
          <w:pgNumType w:start="1"/>
          <w:cols w:space="708"/>
          <w:titlePg/>
          <w:docGrid w:linePitch="360"/>
        </w:sectPr>
      </w:pPr>
    </w:p>
    <w:p w:rsidR="000704F2" w:rsidRPr="009C3888" w:rsidRDefault="000704F2" w:rsidP="00F245CE">
      <w:pPr>
        <w:keepNext/>
        <w:pBdr>
          <w:top w:val="single" w:sz="4" w:space="1" w:color="auto"/>
          <w:bottom w:val="single" w:sz="4" w:space="1" w:color="auto"/>
        </w:pBdr>
        <w:spacing w:line="240" w:lineRule="auto"/>
        <w:jc w:val="center"/>
      </w:pPr>
    </w:p>
    <w:p w:rsidR="00E4607C" w:rsidRPr="003A18CF" w:rsidRDefault="000704F2" w:rsidP="00F245CE">
      <w:pPr>
        <w:keepNext/>
        <w:pBdr>
          <w:top w:val="single" w:sz="4" w:space="1" w:color="auto"/>
          <w:bottom w:val="single" w:sz="4" w:space="1" w:color="auto"/>
        </w:pBdr>
        <w:spacing w:line="240" w:lineRule="auto"/>
        <w:jc w:val="center"/>
        <w:outlineLvl w:val="0"/>
        <w:rPr>
          <w:b/>
        </w:rPr>
      </w:pPr>
      <w:r w:rsidRPr="003A18CF">
        <w:rPr>
          <w:b/>
        </w:rPr>
        <w:t>JUDGMENT</w:t>
      </w:r>
    </w:p>
    <w:p w:rsidR="000704F2" w:rsidRPr="009C3888" w:rsidRDefault="000704F2" w:rsidP="000704F2">
      <w:pPr>
        <w:pBdr>
          <w:top w:val="single" w:sz="4" w:space="1" w:color="auto"/>
          <w:bottom w:val="single" w:sz="4" w:space="1" w:color="auto"/>
        </w:pBdr>
        <w:spacing w:line="240" w:lineRule="auto"/>
        <w:jc w:val="center"/>
      </w:pPr>
    </w:p>
    <w:p w:rsidR="000704F2" w:rsidRPr="009C3888" w:rsidRDefault="000704F2" w:rsidP="000704F2">
      <w:pPr>
        <w:spacing w:line="240" w:lineRule="auto"/>
      </w:pPr>
    </w:p>
    <w:p w:rsidR="00F12F57" w:rsidRDefault="00F12F57" w:rsidP="000704F2">
      <w:pPr>
        <w:spacing w:line="240" w:lineRule="auto"/>
      </w:pPr>
    </w:p>
    <w:p w:rsidR="006E3711" w:rsidRPr="009C3888" w:rsidRDefault="006E3711" w:rsidP="000704F2">
      <w:pPr>
        <w:spacing w:line="240" w:lineRule="auto"/>
      </w:pPr>
    </w:p>
    <w:p w:rsidR="000704F2" w:rsidRPr="009C3888" w:rsidRDefault="008B567E" w:rsidP="001C050A">
      <w:pPr>
        <w:spacing w:line="240" w:lineRule="auto"/>
        <w:outlineLvl w:val="0"/>
      </w:pPr>
      <w:r>
        <w:t>FRONEMAN J</w:t>
      </w:r>
      <w:r w:rsidR="003644DF">
        <w:t xml:space="preserve"> (</w:t>
      </w:r>
      <w:r w:rsidR="008C13DE" w:rsidRPr="008C13DE">
        <w:rPr>
          <w:szCs w:val="26"/>
        </w:rPr>
        <w:t>Mo</w:t>
      </w:r>
      <w:r w:rsidR="008C13DE">
        <w:rPr>
          <w:szCs w:val="26"/>
        </w:rPr>
        <w:t>goeng CJ, Zondo DCJ, Cameron J,</w:t>
      </w:r>
      <w:r w:rsidR="008C13DE" w:rsidRPr="008C13DE">
        <w:rPr>
          <w:szCs w:val="26"/>
        </w:rPr>
        <w:t xml:space="preserve"> Jafta J, Kollapen AJ, Kathree</w:t>
      </w:r>
      <w:r w:rsidR="008C13DE" w:rsidRPr="008C13DE">
        <w:rPr>
          <w:szCs w:val="26"/>
        </w:rPr>
        <w:noBreakHyphen/>
        <w:t>Setiloane AJ, Madlanga J, Mhlantla J, Theron J and Zondi AJ</w:t>
      </w:r>
      <w:r w:rsidR="00F8303E">
        <w:rPr>
          <w:szCs w:val="26"/>
        </w:rPr>
        <w:t xml:space="preserve"> </w:t>
      </w:r>
      <w:r w:rsidR="00C739DB" w:rsidRPr="00C739DB">
        <w:t>concurring</w:t>
      </w:r>
      <w:r w:rsidR="003644DF">
        <w:t>)</w:t>
      </w:r>
      <w:r w:rsidR="00AE7602" w:rsidRPr="009C3888">
        <w:t>:</w:t>
      </w:r>
    </w:p>
    <w:p w:rsidR="00AE7602" w:rsidRPr="009C3888" w:rsidRDefault="00AE7602" w:rsidP="000704F2">
      <w:pPr>
        <w:spacing w:line="240" w:lineRule="auto"/>
      </w:pPr>
    </w:p>
    <w:p w:rsidR="00AE7602" w:rsidRPr="009C3888" w:rsidRDefault="00AE7602" w:rsidP="000704F2">
      <w:pPr>
        <w:spacing w:line="240" w:lineRule="auto"/>
      </w:pPr>
    </w:p>
    <w:p w:rsidR="00860C4E" w:rsidRDefault="0038426C" w:rsidP="000C38CF">
      <w:pPr>
        <w:pStyle w:val="JUDGMENTNUMBERED"/>
      </w:pPr>
      <w:r>
        <w:t>The applicant was convicted on two counts of rape</w:t>
      </w:r>
      <w:r>
        <w:rPr>
          <w:rStyle w:val="FootnoteReference"/>
        </w:rPr>
        <w:footnoteReference w:id="1"/>
      </w:r>
      <w:r>
        <w:t xml:space="preserve"> in the Wynberg Regional </w:t>
      </w:r>
      <w:r w:rsidR="00835501">
        <w:t xml:space="preserve">Magistrate’s </w:t>
      </w:r>
      <w:r>
        <w:t xml:space="preserve">Court </w:t>
      </w:r>
      <w:r w:rsidR="00835501">
        <w:t xml:space="preserve">(Regional Court) </w:t>
      </w:r>
      <w:r>
        <w:t xml:space="preserve">and sentenced to 18 years’ imprisonment. </w:t>
      </w:r>
      <w:r w:rsidR="00AF3B08">
        <w:t xml:space="preserve"> </w:t>
      </w:r>
      <w:r>
        <w:t xml:space="preserve">Both counts were taken together for purposes of sentence. </w:t>
      </w:r>
      <w:r w:rsidR="00AF3B08">
        <w:t xml:space="preserve"> </w:t>
      </w:r>
      <w:r>
        <w:t>He was also declared unfit to possess a fire-arm.</w:t>
      </w:r>
      <w:r>
        <w:rPr>
          <w:rStyle w:val="FootnoteReference"/>
        </w:rPr>
        <w:footnoteReference w:id="2"/>
      </w:r>
      <w:r>
        <w:t xml:space="preserve"> </w:t>
      </w:r>
      <w:r w:rsidR="00AF3B08">
        <w:t xml:space="preserve"> </w:t>
      </w:r>
      <w:r>
        <w:t xml:space="preserve">He was granted leave to appeal to the </w:t>
      </w:r>
      <w:r w:rsidR="00446720" w:rsidRPr="00446720">
        <w:t>High Court of South Afri</w:t>
      </w:r>
      <w:r w:rsidR="00446720">
        <w:t xml:space="preserve">ca, </w:t>
      </w:r>
      <w:r w:rsidR="0077750A">
        <w:t>Western Cape</w:t>
      </w:r>
      <w:r w:rsidR="00446720">
        <w:t xml:space="preserve"> Division, </w:t>
      </w:r>
      <w:r w:rsidR="0077750A">
        <w:t>Cape Town</w:t>
      </w:r>
      <w:r w:rsidR="00446720">
        <w:t xml:space="preserve"> (</w:t>
      </w:r>
      <w:r>
        <w:t>High Court</w:t>
      </w:r>
      <w:r w:rsidR="00446720">
        <w:t>)</w:t>
      </w:r>
      <w:r>
        <w:t xml:space="preserve"> where the app</w:t>
      </w:r>
      <w:r w:rsidR="009F0DA1">
        <w:t xml:space="preserve">eal against the convictions was </w:t>
      </w:r>
      <w:r>
        <w:t>dismissed, but the sentence</w:t>
      </w:r>
      <w:r w:rsidR="002C75BC">
        <w:t xml:space="preserve"> was</w:t>
      </w:r>
      <w:r>
        <w:t xml:space="preserve"> red</w:t>
      </w:r>
      <w:r w:rsidR="001F7821">
        <w:t>uced to an effective term of 12 </w:t>
      </w:r>
      <w:r>
        <w:t>years’ imprisonment.</w:t>
      </w:r>
      <w:r w:rsidR="00684DE7">
        <w:rPr>
          <w:rStyle w:val="FootnoteReference"/>
        </w:rPr>
        <w:footnoteReference w:id="3"/>
      </w:r>
      <w:r>
        <w:t xml:space="preserve"> </w:t>
      </w:r>
      <w:r w:rsidR="00AF3B08">
        <w:t xml:space="preserve"> </w:t>
      </w:r>
      <w:r>
        <w:t>A further application for special leave to appeal</w:t>
      </w:r>
      <w:r w:rsidR="009F0DA1">
        <w:rPr>
          <w:rStyle w:val="FootnoteReference"/>
        </w:rPr>
        <w:footnoteReference w:id="4"/>
      </w:r>
      <w:r>
        <w:t xml:space="preserve"> </w:t>
      </w:r>
      <w:r w:rsidR="009F0DA1">
        <w:t>was refused by the Supreme Court of Appeal, as was a</w:t>
      </w:r>
      <w:r w:rsidR="0077750A">
        <w:t>n additional</w:t>
      </w:r>
      <w:r w:rsidR="009F0DA1">
        <w:t xml:space="preserve"> application for reconsideration of that order by the President of the Supreme Court of Appeal.</w:t>
      </w:r>
      <w:r w:rsidR="009F0DA1">
        <w:rPr>
          <w:rStyle w:val="FootnoteReference"/>
        </w:rPr>
        <w:footnoteReference w:id="5"/>
      </w:r>
    </w:p>
    <w:p w:rsidR="008B567E" w:rsidRDefault="008B567E" w:rsidP="008B567E">
      <w:pPr>
        <w:pStyle w:val="JUDGMENTCONTINUED"/>
      </w:pPr>
    </w:p>
    <w:p w:rsidR="008B567E" w:rsidRDefault="009F0DA1" w:rsidP="008B567E">
      <w:pPr>
        <w:pStyle w:val="JUDGMENTNUMBERED"/>
      </w:pPr>
      <w:r>
        <w:t>The applicant seeks leave t</w:t>
      </w:r>
      <w:r w:rsidR="00B15BA2">
        <w:t>o appeal to this Court</w:t>
      </w:r>
      <w:r>
        <w:t xml:space="preserve"> against the </w:t>
      </w:r>
      <w:r w:rsidR="00446720">
        <w:t xml:space="preserve">decision of the </w:t>
      </w:r>
      <w:r>
        <w:t>High</w:t>
      </w:r>
      <w:r w:rsidR="00446720">
        <w:t> </w:t>
      </w:r>
      <w:r>
        <w:t xml:space="preserve">Court in respect of the conviction and sentence, alternatively for the matter to be referred back to the Supreme Court of Appeal </w:t>
      </w:r>
      <w:r w:rsidR="00B15BA2">
        <w:t>to “reconsider the applicant’s application for special leave to appeal after having regard to the record of proceedings pertaining to the application”.</w:t>
      </w:r>
    </w:p>
    <w:p w:rsidR="00B15BA2" w:rsidRDefault="00B15BA2" w:rsidP="00B15BA2">
      <w:pPr>
        <w:pStyle w:val="JUDGMENTCONTINUED"/>
      </w:pPr>
    </w:p>
    <w:p w:rsidR="00B15BA2" w:rsidRDefault="00B15BA2" w:rsidP="00B15BA2">
      <w:pPr>
        <w:pStyle w:val="JUDGMENTNUMBERED"/>
      </w:pPr>
      <w:r>
        <w:t xml:space="preserve">The basis for the application is the contention that the trial record was necessary for both applications in the Supreme Court of Appeal. </w:t>
      </w:r>
      <w:r w:rsidR="00C2270D">
        <w:t xml:space="preserve"> </w:t>
      </w:r>
      <w:r w:rsidR="005A14EF">
        <w:t xml:space="preserve">The applicant contends that </w:t>
      </w:r>
      <w:r w:rsidR="005A14EF">
        <w:lastRenderedPageBreak/>
        <w:t>w</w:t>
      </w:r>
      <w:r w:rsidR="008A0A3C">
        <w:t>ithou</w:t>
      </w:r>
      <w:r w:rsidR="009C1480">
        <w:t>t regard to the trial record</w:t>
      </w:r>
      <w:r w:rsidR="008A0A3C">
        <w:t xml:space="preserve"> </w:t>
      </w:r>
      <w:r w:rsidR="0077750A">
        <w:t xml:space="preserve">his </w:t>
      </w:r>
      <w:r w:rsidR="008A0A3C">
        <w:t xml:space="preserve">right to a fair hearing on appeal as contemplated by section 35(3)(o) of the Constitution </w:t>
      </w:r>
      <w:r w:rsidR="00220243">
        <w:t>could not have occurred.</w:t>
      </w:r>
      <w:r w:rsidR="008D0184">
        <w:rPr>
          <w:rStyle w:val="FootnoteReference"/>
        </w:rPr>
        <w:footnoteReference w:id="6"/>
      </w:r>
    </w:p>
    <w:p w:rsidR="00A3608E" w:rsidRDefault="00A3608E" w:rsidP="00A3608E">
      <w:pPr>
        <w:pStyle w:val="JUDGMENTCONTINUED"/>
      </w:pPr>
    </w:p>
    <w:p w:rsidR="00A3608E" w:rsidRDefault="004F667F" w:rsidP="00A3608E">
      <w:pPr>
        <w:pStyle w:val="HEADING"/>
      </w:pPr>
      <w:r>
        <w:t>Condonation</w:t>
      </w:r>
    </w:p>
    <w:p w:rsidR="00A3608E" w:rsidRPr="00A3608E" w:rsidRDefault="00A3608E" w:rsidP="00A3608E">
      <w:pPr>
        <w:pStyle w:val="JUDGMENTNUMBERED"/>
      </w:pPr>
      <w:r w:rsidRPr="00A3608E">
        <w:t>The Supreme Court of Appeal dismissed the applicant’s application on 25 July 2017.  The applicant contends that he was only informed of this decision on 31 July 2017, and has since then “made every effort to attain legal advice and assistance” on the matter.  His application in this Court was filed on 5 September 2017. In the light of the difficulties in obtaining legal advice it is in the interest of justice to grant condonation for the late filing of the application.</w:t>
      </w:r>
    </w:p>
    <w:p w:rsidR="00A3608E" w:rsidRPr="00A3608E" w:rsidRDefault="00A3608E" w:rsidP="00A3608E">
      <w:pPr>
        <w:pStyle w:val="JUDGMENTNUMBERED"/>
        <w:numPr>
          <w:ilvl w:val="0"/>
          <w:numId w:val="0"/>
        </w:numPr>
      </w:pPr>
    </w:p>
    <w:p w:rsidR="00220243" w:rsidRPr="00A3608E" w:rsidRDefault="00A3608E" w:rsidP="004F667F">
      <w:pPr>
        <w:pStyle w:val="HEADING"/>
      </w:pPr>
      <w:r>
        <w:t>Leave to appeal</w:t>
      </w:r>
    </w:p>
    <w:p w:rsidR="0046101D" w:rsidRDefault="0046101D" w:rsidP="004416E4">
      <w:pPr>
        <w:pStyle w:val="JUDGMENTNUMBERED"/>
      </w:pPr>
      <w:r>
        <w:t>The</w:t>
      </w:r>
      <w:r w:rsidRPr="0046101D">
        <w:t xml:space="preserve"> object of the right to a fair trial to minimise t</w:t>
      </w:r>
      <w:r>
        <w:t>he risk of wrong convictions,</w:t>
      </w:r>
      <w:r w:rsidRPr="0046101D">
        <w:t xml:space="preserve"> inappropriate convictions and the consequent failure of justice “pervades all stages of a trial until the last word has been said on appeal”.</w:t>
      </w:r>
      <w:r w:rsidR="001B3172">
        <w:rPr>
          <w:rStyle w:val="FootnoteReference"/>
        </w:rPr>
        <w:footnoteReference w:id="7"/>
      </w:r>
      <w:r w:rsidRPr="0046101D">
        <w:t xml:space="preserve">  </w:t>
      </w:r>
      <w:r w:rsidR="004416E4" w:rsidRPr="004416E4">
        <w:t>The requirement of first seeking leave to appeal before lodging an appeal against a criminal conviction or sentence in a High Court is not</w:t>
      </w:r>
      <w:r w:rsidR="004416E4">
        <w:t>, however,</w:t>
      </w:r>
      <w:r w:rsidR="004416E4" w:rsidRPr="004416E4">
        <w:t xml:space="preserve"> inconsistent with the constitutionally guaranteed right of appeal.</w:t>
      </w:r>
      <w:r w:rsidR="004416E4">
        <w:rPr>
          <w:rStyle w:val="FootnoteReference"/>
        </w:rPr>
        <w:footnoteReference w:id="8"/>
      </w:r>
    </w:p>
    <w:p w:rsidR="0046101D" w:rsidRPr="0046101D" w:rsidRDefault="0046101D" w:rsidP="0046101D">
      <w:pPr>
        <w:pStyle w:val="JUDGMENTCONTINUED"/>
      </w:pPr>
    </w:p>
    <w:p w:rsidR="0038426C" w:rsidRDefault="005A14EF" w:rsidP="0038426C">
      <w:pPr>
        <w:pStyle w:val="JUDGMENTNUMBERED"/>
      </w:pPr>
      <w:r>
        <w:t xml:space="preserve">The general test for the constitutional adequacy of leave to appeal procedures is that it must provide for an “adequate reappraisal </w:t>
      </w:r>
      <w:r w:rsidR="00C2270D">
        <w:t>. . .</w:t>
      </w:r>
      <w:r>
        <w:t xml:space="preserve"> and [making of] an informed decision</w:t>
      </w:r>
      <w:r w:rsidR="00065C6B">
        <w:t>” in respect of the decision against which leave to appeal is sought.</w:t>
      </w:r>
      <w:r w:rsidR="00065C6B">
        <w:rPr>
          <w:rStyle w:val="FootnoteReference"/>
        </w:rPr>
        <w:footnoteReference w:id="9"/>
      </w:r>
      <w:r w:rsidR="00065C6B">
        <w:t xml:space="preserve"> </w:t>
      </w:r>
      <w:r w:rsidR="00C2270D">
        <w:t xml:space="preserve"> </w:t>
      </w:r>
      <w:r w:rsidR="004416E4">
        <w:t xml:space="preserve">The application of this test depends on the context within which it is applied, and that context </w:t>
      </w:r>
      <w:r w:rsidR="004416E4">
        <w:lastRenderedPageBreak/>
        <w:t>includes our court hierarchy.</w:t>
      </w:r>
      <w:r w:rsidR="004416E4">
        <w:rPr>
          <w:rStyle w:val="FootnoteReference"/>
        </w:rPr>
        <w:footnoteReference w:id="10"/>
      </w:r>
      <w:r w:rsidR="00715EC7">
        <w:t xml:space="preserve"> </w:t>
      </w:r>
      <w:r w:rsidR="00C2270D">
        <w:t xml:space="preserve"> </w:t>
      </w:r>
      <w:r w:rsidR="00715EC7">
        <w:t>These institutional concerns led this Court to differentiate between leave to appeal procedures in respect of appeals from the Magistrates’ Court and those from the High Court.</w:t>
      </w:r>
      <w:r w:rsidR="00715EC7">
        <w:rPr>
          <w:rStyle w:val="FootnoteReference"/>
        </w:rPr>
        <w:footnoteReference w:id="11"/>
      </w:r>
      <w:r w:rsidR="00E22333">
        <w:t xml:space="preserve"> </w:t>
      </w:r>
      <w:r w:rsidR="00C2270D">
        <w:t xml:space="preserve"> </w:t>
      </w:r>
      <w:r w:rsidR="00E22333">
        <w:t>In regard to the former it has</w:t>
      </w:r>
      <w:r w:rsidR="00715EC7">
        <w:t xml:space="preserve"> held that the absence of a trial record vitiated</w:t>
      </w:r>
      <w:r w:rsidR="00E22333">
        <w:t xml:space="preserve"> the legislative provisions that allowed consideration of an application for leave to appeal without the record.</w:t>
      </w:r>
      <w:r w:rsidR="00E22333">
        <w:rPr>
          <w:rStyle w:val="FootnoteReference"/>
        </w:rPr>
        <w:footnoteReference w:id="12"/>
      </w:r>
    </w:p>
    <w:p w:rsidR="00E22333" w:rsidRDefault="00E22333" w:rsidP="00E22333">
      <w:pPr>
        <w:pStyle w:val="JUDGMENTCONTINUED"/>
      </w:pPr>
    </w:p>
    <w:p w:rsidR="00E22333" w:rsidRDefault="00E22333" w:rsidP="00E22333">
      <w:pPr>
        <w:pStyle w:val="JUDGMENTNUMBERED"/>
      </w:pPr>
      <w:r>
        <w:t xml:space="preserve">But the same considerations do not necessarily apply to </w:t>
      </w:r>
      <w:r w:rsidR="005B3F79">
        <w:t xml:space="preserve">direct </w:t>
      </w:r>
      <w:r>
        <w:t>appeals from the High Court</w:t>
      </w:r>
      <w:r w:rsidR="005B3F79">
        <w:t>, sitting as a court of first instance.</w:t>
      </w:r>
      <w:r w:rsidR="00E265B5">
        <w:t xml:space="preserve"> </w:t>
      </w:r>
      <w:r w:rsidR="00C2270D">
        <w:t xml:space="preserve"> </w:t>
      </w:r>
      <w:r w:rsidR="00C6586B">
        <w:t xml:space="preserve">In </w:t>
      </w:r>
      <w:r w:rsidR="00C6586B">
        <w:rPr>
          <w:i/>
        </w:rPr>
        <w:t>Twala</w:t>
      </w:r>
      <w:r w:rsidR="00C6586B">
        <w:t xml:space="preserve"> Yacoob J stated:</w:t>
      </w:r>
    </w:p>
    <w:p w:rsidR="00C2270D" w:rsidRPr="00C2270D" w:rsidRDefault="00C2270D" w:rsidP="00812DC7">
      <w:pPr>
        <w:pStyle w:val="QUOTATION"/>
      </w:pPr>
    </w:p>
    <w:p w:rsidR="00FF56A1" w:rsidRDefault="00FF56A1" w:rsidP="00812DC7">
      <w:pPr>
        <w:pStyle w:val="QUOTATION"/>
      </w:pPr>
      <w:r>
        <w:t>“</w:t>
      </w:r>
      <w:r w:rsidR="00BD425C">
        <w:t>The ambit of the right enshrined in s</w:t>
      </w:r>
      <w:r w:rsidR="00EC7527">
        <w:t>ection</w:t>
      </w:r>
      <w:r w:rsidR="00BD425C">
        <w:t xml:space="preserve"> 35(3)(o) must be determined by having regard to the context in which it appears and the purpose for which it is intended.</w:t>
      </w:r>
      <w:r w:rsidR="00EC7527">
        <w:t xml:space="preserve"> </w:t>
      </w:r>
      <w:r w:rsidR="00BD425C">
        <w:t xml:space="preserve"> The right of appeal to, or review by, a higher </w:t>
      </w:r>
      <w:r w:rsidR="000C62B4">
        <w:t>c</w:t>
      </w:r>
      <w:r w:rsidR="00BD425C">
        <w:t>ourt is not a self-standing right; it is an incidence or component of the right to a fair trial contained in s</w:t>
      </w:r>
      <w:r w:rsidR="00EC7527">
        <w:t>ection</w:t>
      </w:r>
      <w:r w:rsidR="00BD425C">
        <w:t xml:space="preserve"> 35(3) and it appears in that context</w:t>
      </w:r>
      <w:r w:rsidR="000C62B4">
        <w:t xml:space="preserve">. . . . </w:t>
      </w:r>
      <w:r w:rsidR="00697319">
        <w:t xml:space="preserve"> [</w:t>
      </w:r>
      <w:r w:rsidR="0077750A">
        <w:t>T</w:t>
      </w:r>
      <w:r w:rsidR="00697319">
        <w:t>]</w:t>
      </w:r>
      <w:r w:rsidR="00BD425C">
        <w:t>he purpose of s</w:t>
      </w:r>
      <w:r w:rsidR="000C62B4">
        <w:t>ection</w:t>
      </w:r>
      <w:r w:rsidR="00BD425C">
        <w:t xml:space="preserve"> 35(3), read as a whole is to minimise the risk of wrong convictions and the consequent failure of justice</w:t>
      </w:r>
      <w:r w:rsidR="000C62B4">
        <w:t>,</w:t>
      </w:r>
      <w:r w:rsidR="00BD425C">
        <w:t xml:space="preserve"> and s</w:t>
      </w:r>
      <w:r w:rsidR="000C62B4">
        <w:t>ection</w:t>
      </w:r>
      <w:r w:rsidR="00697319">
        <w:t> </w:t>
      </w:r>
      <w:r w:rsidR="00BD425C">
        <w:t>35(3)(o) is intended to contribute towards achieving this object by ensuring that any decision of a court of</w:t>
      </w:r>
      <w:r w:rsidR="001B3172">
        <w:t xml:space="preserve"> first instance convicting an</w:t>
      </w:r>
      <w:r w:rsidR="00BD425C">
        <w:t>d sentencing</w:t>
      </w:r>
      <w:r w:rsidR="001B3172">
        <w:t xml:space="preserve"> any pers</w:t>
      </w:r>
      <w:r w:rsidR="00BD425C">
        <w:t xml:space="preserve">on of a criminal offence would be subject to reconsideration by a higher </w:t>
      </w:r>
      <w:r w:rsidR="000C62B4">
        <w:t>c</w:t>
      </w:r>
      <w:r w:rsidR="00BD425C">
        <w:t xml:space="preserve">ourt. </w:t>
      </w:r>
      <w:r w:rsidR="000C62B4">
        <w:t xml:space="preserve"> </w:t>
      </w:r>
      <w:r w:rsidR="00BD425C">
        <w:t>The provision requires an appropriate reassessment of the findings of law and fact</w:t>
      </w:r>
      <w:r w:rsidR="00D16736">
        <w:t xml:space="preserve"> of courts of first instance and is clearly not intended to prescribe in a technical sense, the nature of the reassessment that will always be appropriate. </w:t>
      </w:r>
      <w:r w:rsidR="000C62B4">
        <w:t xml:space="preserve"> </w:t>
      </w:r>
      <w:r w:rsidR="00D16736">
        <w:t xml:space="preserve">The reason for this is that the nature of the reassessment that is appropriate will depend on the prevailing circumstances. </w:t>
      </w:r>
      <w:r w:rsidR="000C62B4">
        <w:t xml:space="preserve"> </w:t>
      </w:r>
      <w:r w:rsidR="00D16736">
        <w:t>Section</w:t>
      </w:r>
      <w:r w:rsidR="00275306">
        <w:t> </w:t>
      </w:r>
      <w:r w:rsidR="00D16736">
        <w:t xml:space="preserve">35(3) does not provide for specifics. </w:t>
      </w:r>
      <w:r w:rsidR="000C62B4">
        <w:t xml:space="preserve"> </w:t>
      </w:r>
      <w:r w:rsidR="00D16736">
        <w:t>It creates a broad framework within which the lawmaker is afforded flexibility in order to provide for the kind of reassessment mechanism which is both appropriate and fair.</w:t>
      </w:r>
      <w:r>
        <w:t>”</w:t>
      </w:r>
      <w:r w:rsidR="00C2270D">
        <w:rPr>
          <w:rStyle w:val="FootnoteReference"/>
        </w:rPr>
        <w:footnoteReference w:id="13"/>
      </w:r>
    </w:p>
    <w:p w:rsidR="00D16736" w:rsidRDefault="00D16736" w:rsidP="00D16736">
      <w:pPr>
        <w:pStyle w:val="JUDGMENTCONTINUED"/>
      </w:pPr>
    </w:p>
    <w:p w:rsidR="00D16736" w:rsidRDefault="001B3172" w:rsidP="00D16736">
      <w:pPr>
        <w:pStyle w:val="JUDGMENTNUMBERED"/>
      </w:pPr>
      <w:r>
        <w:t>Adopting that approach,</w:t>
      </w:r>
      <w:r w:rsidR="00D16736">
        <w:t xml:space="preserve"> the then provisions of section 316 of the Criminal</w:t>
      </w:r>
      <w:r w:rsidR="00C2270D">
        <w:t> </w:t>
      </w:r>
      <w:r w:rsidR="00D16736">
        <w:t>Procedure Act</w:t>
      </w:r>
      <w:r w:rsidR="004768A3">
        <w:t>,</w:t>
      </w:r>
      <w:r w:rsidR="00BE6452">
        <w:rPr>
          <w:rStyle w:val="FootnoteReference"/>
        </w:rPr>
        <w:footnoteReference w:id="14"/>
      </w:r>
      <w:r w:rsidR="00D16736">
        <w:t xml:space="preserve"> dealing with applications for leave to appeal in criminal cases heard at first instance in the High Court</w:t>
      </w:r>
      <w:r>
        <w:t>, were</w:t>
      </w:r>
      <w:r w:rsidR="004768A3">
        <w:t xml:space="preserve"> held not to be inconsistent with the </w:t>
      </w:r>
      <w:r w:rsidR="004768A3">
        <w:lastRenderedPageBreak/>
        <w:t>provisions of section 35(3)(o) of the Constitution.</w:t>
      </w:r>
      <w:r w:rsidR="004768A3">
        <w:rPr>
          <w:rStyle w:val="FootnoteReference"/>
        </w:rPr>
        <w:footnoteReference w:id="15"/>
      </w:r>
      <w:r w:rsidR="004768A3">
        <w:t xml:space="preserve"> </w:t>
      </w:r>
      <w:r w:rsidR="00C2270D">
        <w:t xml:space="preserve"> </w:t>
      </w:r>
      <w:r w:rsidR="004768A3">
        <w:t>The procedure under the section allowed consideration of the application, or petition, for leave to appeal in the Supreme</w:t>
      </w:r>
      <w:r w:rsidR="00C2270D">
        <w:t> </w:t>
      </w:r>
      <w:r w:rsidR="004768A3">
        <w:t xml:space="preserve">Court of Appeal without the necessity of the trial record being available, albeit with provisions allowing the Supreme Court of Appeal </w:t>
      </w:r>
      <w:r w:rsidR="007D6508">
        <w:t>J</w:t>
      </w:r>
      <w:r w:rsidR="004768A3">
        <w:t>udges dealing with the matter to call for further information.</w:t>
      </w:r>
      <w:r w:rsidR="004768A3">
        <w:rPr>
          <w:rStyle w:val="FootnoteReference"/>
        </w:rPr>
        <w:footnoteReference w:id="16"/>
      </w:r>
    </w:p>
    <w:p w:rsidR="004768A3" w:rsidRDefault="004768A3" w:rsidP="004768A3">
      <w:pPr>
        <w:pStyle w:val="JUDGMENTCONTINUED"/>
      </w:pPr>
    </w:p>
    <w:p w:rsidR="004768A3" w:rsidRDefault="004768A3" w:rsidP="004768A3">
      <w:pPr>
        <w:pStyle w:val="JUDGMENTNUMBERED"/>
      </w:pPr>
      <w:r>
        <w:t xml:space="preserve">A similar legislative provision obtained in </w:t>
      </w:r>
      <w:r w:rsidR="00046387">
        <w:rPr>
          <w:i/>
        </w:rPr>
        <w:t>Qhinga</w:t>
      </w:r>
      <w:r w:rsidR="00046387">
        <w:t>, another decision of this Court:</w:t>
      </w:r>
    </w:p>
    <w:p w:rsidR="00C2270D" w:rsidRPr="00C2270D" w:rsidRDefault="00C2270D" w:rsidP="00812DC7">
      <w:pPr>
        <w:pStyle w:val="QUOTATION"/>
      </w:pPr>
    </w:p>
    <w:p w:rsidR="00FF56A1" w:rsidRDefault="00046387" w:rsidP="00046387">
      <w:pPr>
        <w:pStyle w:val="QUOTATION"/>
      </w:pPr>
      <w:r>
        <w:t xml:space="preserve">“At this juncture, it is necessary to note that section 316(10)(c) of the Criminal Procedure Act, as it read at the time of the petition, generally required the registrar of the High Court to forward a copy of the trial record to the registrar of the Supreme Court of Appeal. </w:t>
      </w:r>
      <w:r w:rsidR="00BE6452">
        <w:t xml:space="preserve"> </w:t>
      </w:r>
      <w:r>
        <w:t xml:space="preserve">However, section 316(10)(c)(i) provided that, if the accused were legally represented at the trial (as the applicants were), </w:t>
      </w:r>
      <w:r w:rsidR="0077750A">
        <w:t>‘</w:t>
      </w:r>
      <w:r>
        <w:t>a copy of the judgment, which includes the reasons for conviction and sentence, shall, subject to subsection</w:t>
      </w:r>
      <w:r w:rsidR="0077750A">
        <w:t> </w:t>
      </w:r>
      <w:r>
        <w:t>(12)(a), suffice for the purposes of the petition.</w:t>
      </w:r>
      <w:r w:rsidR="0077750A">
        <w:t>’</w:t>
      </w:r>
      <w:r>
        <w:t xml:space="preserve"> </w:t>
      </w:r>
      <w:r w:rsidR="00BE6452">
        <w:t xml:space="preserve"> </w:t>
      </w:r>
      <w:r>
        <w:t xml:space="preserve">Section 316(12)(a), as it read at the time of the petition, provided that the judges considering a petition </w:t>
      </w:r>
      <w:r w:rsidR="00904D4C">
        <w:t>‘</w:t>
      </w:r>
      <w:r>
        <w:t>may call for any further information, including a copy of the record of the proceedings that was not submitted in terms of the proviso to subsection (10)(c)</w:t>
      </w:r>
      <w:r w:rsidR="00904D4C">
        <w:t>’</w:t>
      </w:r>
      <w:r>
        <w:t xml:space="preserve">. </w:t>
      </w:r>
      <w:r w:rsidR="00BE6452">
        <w:t xml:space="preserve"> </w:t>
      </w:r>
      <w:r>
        <w:t>This position is mirrored in Supreme Court of Appeal rule 6(6).”</w:t>
      </w:r>
      <w:r w:rsidR="00C2270D">
        <w:rPr>
          <w:rStyle w:val="FootnoteReference"/>
        </w:rPr>
        <w:footnoteReference w:id="17"/>
      </w:r>
      <w:r w:rsidR="00904D4C">
        <w:t xml:space="preserve"> </w:t>
      </w:r>
      <w:r w:rsidR="00C279C7">
        <w:t xml:space="preserve"> </w:t>
      </w:r>
      <w:r w:rsidR="0077750A">
        <w:t>(F</w:t>
      </w:r>
      <w:r w:rsidR="00904D4C">
        <w:t>ootnotes omitted</w:t>
      </w:r>
      <w:r w:rsidR="0077750A">
        <w:t>.</w:t>
      </w:r>
      <w:r w:rsidR="00904D4C">
        <w:t>)</w:t>
      </w:r>
    </w:p>
    <w:p w:rsidR="00046387" w:rsidRDefault="00046387" w:rsidP="00046387">
      <w:pPr>
        <w:pStyle w:val="JUDGMENTCONTINUED"/>
      </w:pPr>
    </w:p>
    <w:p w:rsidR="00EA4455" w:rsidRDefault="00046387" w:rsidP="00EA4455">
      <w:pPr>
        <w:pStyle w:val="JUDGMENTNUMBERED"/>
      </w:pPr>
      <w:r>
        <w:t xml:space="preserve">The constitutional validity of these provisions was not decided upon in </w:t>
      </w:r>
      <w:r w:rsidRPr="00EA4455">
        <w:rPr>
          <w:i/>
        </w:rPr>
        <w:t>Qhinga</w:t>
      </w:r>
      <w:r>
        <w:t>.</w:t>
      </w:r>
      <w:r>
        <w:rPr>
          <w:rStyle w:val="FootnoteReference"/>
        </w:rPr>
        <w:footnoteReference w:id="18"/>
      </w:r>
      <w:r>
        <w:t xml:space="preserve"> </w:t>
      </w:r>
      <w:r w:rsidR="00C2270D">
        <w:t xml:space="preserve"> </w:t>
      </w:r>
      <w:r>
        <w:t xml:space="preserve">The matter concerned an application for leave to appeal against the finding of the </w:t>
      </w:r>
      <w:r w:rsidR="0077750A" w:rsidRPr="0077750A">
        <w:t>High Court of South Africa, Eastern Cape Local Division, Bhisho</w:t>
      </w:r>
      <w:r w:rsidR="0077750A">
        <w:t>.</w:t>
      </w:r>
      <w:r>
        <w:rPr>
          <w:rStyle w:val="FootnoteReference"/>
        </w:rPr>
        <w:footnoteReference w:id="19"/>
      </w:r>
      <w:r>
        <w:t xml:space="preserve"> </w:t>
      </w:r>
      <w:r w:rsidR="00C2270D">
        <w:t xml:space="preserve"> </w:t>
      </w:r>
      <w:r w:rsidR="00EA4455">
        <w:t xml:space="preserve">A petition for leave to appeal was brought in the Supreme Court of Appeal </w:t>
      </w:r>
      <w:r w:rsidR="002C75BC">
        <w:t xml:space="preserve">challenging </w:t>
      </w:r>
      <w:r w:rsidR="00EA4455">
        <w:t xml:space="preserve">the rulings in the trials-within-the-trial in the High Court. </w:t>
      </w:r>
      <w:r w:rsidR="00C2270D">
        <w:t xml:space="preserve"> </w:t>
      </w:r>
      <w:r w:rsidR="00EA4455">
        <w:t xml:space="preserve">These were neither included nor discussed in the judgment of the High Court. </w:t>
      </w:r>
      <w:r w:rsidR="00C2270D">
        <w:t xml:space="preserve"> </w:t>
      </w:r>
      <w:r w:rsidR="00EA4455">
        <w:t xml:space="preserve">They were to be found only in the record. </w:t>
      </w:r>
      <w:r w:rsidR="00C2270D">
        <w:t xml:space="preserve"> </w:t>
      </w:r>
      <w:r w:rsidR="00EA4455">
        <w:t xml:space="preserve">The </w:t>
      </w:r>
      <w:r w:rsidR="007D6508">
        <w:t>J</w:t>
      </w:r>
      <w:r w:rsidR="00EA4455">
        <w:t xml:space="preserve">udges deciding the petition did not call for the record or for the reasons for the rulings.  </w:t>
      </w:r>
      <w:r w:rsidR="00EA4455">
        <w:lastRenderedPageBreak/>
        <w:t>Leave to appeal and the appeal succeeded to the extent that the petition was remitted to the Supreme</w:t>
      </w:r>
      <w:r w:rsidR="00C2270D">
        <w:t> </w:t>
      </w:r>
      <w:r w:rsidR="00EA4455">
        <w:t>Court of Appeal for reconsideration on the ground that the Supreme Court of Appeal would not have been able to assess whether those rulings were reasonably open to challenge on appeal.</w:t>
      </w:r>
      <w:r w:rsidR="00EA4455">
        <w:rPr>
          <w:rStyle w:val="FootnoteReference"/>
        </w:rPr>
        <w:footnoteReference w:id="20"/>
      </w:r>
    </w:p>
    <w:p w:rsidR="008023CB" w:rsidRPr="008023CB" w:rsidRDefault="008023CB" w:rsidP="008023CB">
      <w:pPr>
        <w:pStyle w:val="JUDGMENTCONTINUED"/>
      </w:pPr>
    </w:p>
    <w:p w:rsidR="00046387" w:rsidRDefault="008023CB" w:rsidP="00EA4455">
      <w:pPr>
        <w:pStyle w:val="JUDGMENTNUMBERED"/>
      </w:pPr>
      <w:r>
        <w:t xml:space="preserve">None of this assists the applicant. </w:t>
      </w:r>
      <w:r w:rsidR="00C2270D">
        <w:t xml:space="preserve"> </w:t>
      </w:r>
      <w:r>
        <w:t>He challenges the findings of fact and credibility made in the Regional Court and confirmed on appeal by the High Court.</w:t>
      </w:r>
      <w:r w:rsidR="00C2270D">
        <w:t xml:space="preserve"> </w:t>
      </w:r>
      <w:r>
        <w:t xml:space="preserve"> </w:t>
      </w:r>
      <w:r w:rsidR="0024721D">
        <w:t>The reasons for these findings</w:t>
      </w:r>
      <w:r w:rsidR="00C6085B">
        <w:t xml:space="preserve"> </w:t>
      </w:r>
      <w:r>
        <w:t>served before the Supreme Court of Appeal in the application for special leave and the President in the application for reconsideration.</w:t>
      </w:r>
      <w:r w:rsidR="00C2270D">
        <w:t xml:space="preserve"> </w:t>
      </w:r>
      <w:r>
        <w:t xml:space="preserve"> In both judgments they are detailed and extensive. </w:t>
      </w:r>
      <w:r w:rsidR="00C2270D">
        <w:t xml:space="preserve"> </w:t>
      </w:r>
      <w:r>
        <w:t xml:space="preserve">These were not applications for leave to appeal from the High Court sitting as a court of first instance. </w:t>
      </w:r>
      <w:r w:rsidR="00C2270D">
        <w:t xml:space="preserve"> </w:t>
      </w:r>
      <w:r>
        <w:t>The applicant was seeking a third and then fourth bite of the cherry in the Supreme Court of Appeal.</w:t>
      </w:r>
    </w:p>
    <w:p w:rsidR="008023CB" w:rsidRDefault="008023CB" w:rsidP="008023CB">
      <w:pPr>
        <w:pStyle w:val="JUDGMENTCONTINUED"/>
      </w:pPr>
    </w:p>
    <w:p w:rsidR="008A1F84" w:rsidRPr="008A1F84" w:rsidRDefault="008023CB" w:rsidP="00812DC7">
      <w:pPr>
        <w:pStyle w:val="JUDGMENTNUMBERED"/>
      </w:pPr>
      <w:r>
        <w:t xml:space="preserve">In essence the applicant is seeking an appeal on the facts, clothed in the garb of an infringement of his fair trial rights. </w:t>
      </w:r>
      <w:r w:rsidR="00C2270D">
        <w:t xml:space="preserve"> </w:t>
      </w:r>
      <w:r>
        <w:t xml:space="preserve">The facts </w:t>
      </w:r>
      <w:r w:rsidR="0024721D">
        <w:t xml:space="preserve">of the sexual assaults </w:t>
      </w:r>
      <w:r>
        <w:t>were largely common cause</w:t>
      </w:r>
      <w:r w:rsidR="0024721D">
        <w:t xml:space="preserve">. The applicant’s </w:t>
      </w:r>
      <w:r w:rsidR="00A3608E">
        <w:t xml:space="preserve">defence that the complainant consented to the sexual acts </w:t>
      </w:r>
      <w:r w:rsidR="00C722CA">
        <w:t>was rejected in the Regional Court and the rejection confirmed</w:t>
      </w:r>
      <w:r w:rsidR="001B4ABD">
        <w:t xml:space="preserve"> on appeal</w:t>
      </w:r>
      <w:r w:rsidR="00C722CA">
        <w:t xml:space="preserve">. </w:t>
      </w:r>
      <w:r w:rsidR="00C2270D">
        <w:t xml:space="preserve"> </w:t>
      </w:r>
      <w:r w:rsidR="00C722CA">
        <w:t>In both instances extensive reasons were given for the finding in the judgments, including the overwhelming improbability of consensual sex in the particular circumstances.</w:t>
      </w:r>
      <w:r w:rsidR="00A3608E">
        <w:t xml:space="preserve"> In these circumstances it is not in the interest of justice to grant leave to appeal. No fair trial rights have been infringed.</w:t>
      </w:r>
    </w:p>
    <w:p w:rsidR="00742609" w:rsidRPr="00742609" w:rsidRDefault="00742609" w:rsidP="00742609">
      <w:pPr>
        <w:pStyle w:val="JUDGMENTCONTINUED"/>
      </w:pPr>
    </w:p>
    <w:p w:rsidR="00860C4E" w:rsidRPr="00BE700A" w:rsidRDefault="00860C4E" w:rsidP="00937742">
      <w:pPr>
        <w:pStyle w:val="HEADING"/>
      </w:pPr>
      <w:r w:rsidRPr="00BE700A">
        <w:t>Order</w:t>
      </w:r>
    </w:p>
    <w:p w:rsidR="00AC309A" w:rsidRPr="009C3888" w:rsidRDefault="00C722CA" w:rsidP="00812DC7">
      <w:pPr>
        <w:pStyle w:val="JUDGMENTNUMBERED"/>
      </w:pPr>
      <w:r>
        <w:t>The application for leave to appeal is dismissed.</w:t>
      </w:r>
    </w:p>
    <w:p w:rsidR="00CE5F9F" w:rsidRDefault="00CE5F9F" w:rsidP="000C38CF">
      <w:pPr>
        <w:pStyle w:val="JUDGMENTCONTINUED"/>
      </w:pPr>
    </w:p>
    <w:p w:rsidR="00CE5F9F" w:rsidRPr="00CE5F9F" w:rsidRDefault="00CE5F9F" w:rsidP="000C38CF">
      <w:pPr>
        <w:pStyle w:val="JUDGMENTCONTINUED"/>
        <w:sectPr w:rsidR="00CE5F9F" w:rsidRPr="00CE5F9F" w:rsidSect="000F7521">
          <w:headerReference w:type="even" r:id="rId9"/>
          <w:headerReference w:type="default" r:id="rId10"/>
          <w:footerReference w:type="even" r:id="rId11"/>
          <w:footerReference w:type="default" r:id="rId12"/>
          <w:headerReference w:type="first" r:id="rId13"/>
          <w:footerReference w:type="first" r:id="rId14"/>
          <w:type w:val="continuous"/>
          <w:pgSz w:w="11907" w:h="16839" w:code="9"/>
          <w:pgMar w:top="1440" w:right="1440" w:bottom="1440" w:left="1440" w:header="708" w:footer="708" w:gutter="0"/>
          <w:cols w:space="708"/>
          <w:titlePg/>
          <w:docGrid w:linePitch="360"/>
        </w:sectPr>
      </w:pPr>
    </w:p>
    <w:p w:rsidR="00236F9A" w:rsidRPr="009C3888" w:rsidRDefault="00236F9A" w:rsidP="00860C4E">
      <w:pPr>
        <w:sectPr w:rsidR="00236F9A" w:rsidRPr="009C3888" w:rsidSect="009559B5">
          <w:headerReference w:type="default" r:id="rId15"/>
          <w:footerReference w:type="default" r:id="rId16"/>
          <w:pgSz w:w="11907" w:h="16839" w:code="9"/>
          <w:pgMar w:top="1440" w:right="1440" w:bottom="1440" w:left="1440" w:header="708" w:footer="708" w:gutter="0"/>
          <w:pgNumType w:start="1"/>
          <w:cols w:space="708"/>
          <w:docGrid w:linePitch="360"/>
        </w:sectPr>
      </w:pPr>
    </w:p>
    <w:p w:rsidR="00EE6D98" w:rsidRDefault="00EE6D98" w:rsidP="00B83FB6">
      <w:pPr>
        <w:spacing w:line="240" w:lineRule="auto"/>
      </w:pPr>
      <w:r>
        <w:t>For the Applicant:</w:t>
      </w:r>
    </w:p>
    <w:p w:rsidR="00EE6D98" w:rsidRDefault="00EE6D98" w:rsidP="00EE6D98">
      <w:pPr>
        <w:spacing w:line="240" w:lineRule="auto"/>
        <w:rPr>
          <w:szCs w:val="26"/>
        </w:rPr>
      </w:pPr>
    </w:p>
    <w:p w:rsidR="00EE6D98" w:rsidRDefault="00EE6D98" w:rsidP="00EE6D98">
      <w:pPr>
        <w:spacing w:line="240" w:lineRule="auto"/>
        <w:rPr>
          <w:szCs w:val="26"/>
        </w:rPr>
      </w:pPr>
    </w:p>
    <w:p w:rsidR="00EE6D98" w:rsidRDefault="00EE6D98" w:rsidP="00EE6D98">
      <w:pPr>
        <w:spacing w:line="240" w:lineRule="auto"/>
        <w:rPr>
          <w:szCs w:val="26"/>
        </w:rPr>
      </w:pPr>
      <w:r>
        <w:rPr>
          <w:szCs w:val="26"/>
        </w:rPr>
        <w:t>For the Respondent:</w:t>
      </w:r>
    </w:p>
    <w:p w:rsidR="00EE6D98" w:rsidRDefault="00EE6D98" w:rsidP="00EE6D98">
      <w:pPr>
        <w:spacing w:line="240" w:lineRule="auto"/>
        <w:rPr>
          <w:szCs w:val="26"/>
        </w:rPr>
      </w:pPr>
    </w:p>
    <w:p w:rsidR="00EE6D98" w:rsidRDefault="002A4496" w:rsidP="00EE6D98">
      <w:pPr>
        <w:spacing w:line="240" w:lineRule="auto"/>
        <w:rPr>
          <w:szCs w:val="26"/>
        </w:rPr>
      </w:pPr>
      <w:r>
        <w:rPr>
          <w:szCs w:val="26"/>
        </w:rPr>
        <w:br w:type="column"/>
      </w:r>
      <w:r>
        <w:rPr>
          <w:szCs w:val="26"/>
        </w:rPr>
        <w:t>A du</w:t>
      </w:r>
      <w:r w:rsidR="00EE6D98">
        <w:rPr>
          <w:szCs w:val="26"/>
        </w:rPr>
        <w:t xml:space="preserve"> Toit </w:t>
      </w:r>
      <w:r w:rsidR="00697319">
        <w:rPr>
          <w:szCs w:val="26"/>
        </w:rPr>
        <w:t>instructed by Riley Incorporated</w:t>
      </w:r>
      <w:r w:rsidR="00D25DB9">
        <w:rPr>
          <w:szCs w:val="26"/>
        </w:rPr>
        <w:t>.</w:t>
      </w:r>
    </w:p>
    <w:p w:rsidR="00EE6D98" w:rsidRDefault="00EE6D98" w:rsidP="00EE6D98">
      <w:pPr>
        <w:spacing w:line="240" w:lineRule="auto"/>
        <w:rPr>
          <w:szCs w:val="26"/>
        </w:rPr>
      </w:pPr>
    </w:p>
    <w:p w:rsidR="003C283C" w:rsidRPr="003C283C" w:rsidRDefault="00EE6D98" w:rsidP="003C283C">
      <w:pPr>
        <w:spacing w:line="240" w:lineRule="auto"/>
        <w:rPr>
          <w:szCs w:val="26"/>
        </w:rPr>
      </w:pPr>
      <w:r>
        <w:rPr>
          <w:szCs w:val="26"/>
        </w:rPr>
        <w:t xml:space="preserve">S M Galloway instructed by </w:t>
      </w:r>
      <w:r w:rsidR="00697319">
        <w:rPr>
          <w:szCs w:val="26"/>
        </w:rPr>
        <w:t>the Director of Public Prosecutions, Western Cape.</w:t>
      </w:r>
    </w:p>
    <w:p w:rsidR="00860C4E" w:rsidRPr="009C3888" w:rsidRDefault="00860C4E" w:rsidP="00CC158D">
      <w:pPr>
        <w:pStyle w:val="COUNSELDETAILS"/>
      </w:pPr>
    </w:p>
    <w:sectPr w:rsidR="00860C4E" w:rsidRPr="009C3888" w:rsidSect="009559B5">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A3E38" w:rsidRDefault="005A3E38" w:rsidP="00E4607C">
      <w:pPr>
        <w:spacing w:line="240" w:lineRule="auto"/>
      </w:pPr>
      <w:r>
        <w:separator/>
      </w:r>
    </w:p>
  </w:endnote>
  <w:endnote w:type="continuationSeparator" w:id="0">
    <w:p w:rsidR="005A3E38" w:rsidRDefault="005A3E38"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C727F" w:rsidRDefault="007E60C2" w:rsidP="0087217E">
    <w:pPr>
      <w:pStyle w:val="Footer"/>
      <w:jc w:val="center"/>
    </w:pPr>
    <w:r>
      <w:fldChar w:fldCharType="begin"/>
    </w:r>
    <w:r w:rsidR="00C63EC7">
      <w:instrText xml:space="preserve"> PAGE   \* MERGEFORMAT </w:instrText>
    </w:r>
    <w:r>
      <w:fldChar w:fldCharType="separate"/>
    </w:r>
    <w:r w:rsidR="0006428D">
      <w:rPr>
        <w:noProof/>
      </w:rPr>
      <w:t>3</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6428D" w:rsidRDefault="0006428D">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3393207"/>
      <w:docPartObj>
        <w:docPartGallery w:val="Page Numbers (Bottom of Page)"/>
        <w:docPartUnique/>
      </w:docPartObj>
    </w:sdtPr>
    <w:sdtEndPr>
      <w:rPr>
        <w:noProof/>
      </w:rPr>
    </w:sdtEndPr>
    <w:sdtContent>
      <w:p w:rsidR="0006428D" w:rsidRDefault="0006428D">
        <w:pPr>
          <w:pStyle w:val="Footer"/>
          <w:jc w:val="center"/>
        </w:pPr>
        <w:r>
          <w:fldChar w:fldCharType="begin"/>
        </w:r>
        <w:r>
          <w:instrText xml:space="preserve"> PAGE   \* MERGEFORMAT </w:instrText>
        </w:r>
        <w:r>
          <w:fldChar w:fldCharType="separate"/>
        </w:r>
        <w:r w:rsidR="00FA30D0">
          <w:rPr>
            <w:noProof/>
          </w:rPr>
          <w:t>6</w:t>
        </w:r>
        <w:r>
          <w:rPr>
            <w:noProof/>
          </w:rPr>
          <w:fldChar w:fldCharType="end"/>
        </w:r>
      </w:p>
    </w:sdtContent>
  </w:sdt>
  <w:p w:rsidR="0006428D" w:rsidRDefault="0006428D">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56853704"/>
      <w:docPartObj>
        <w:docPartGallery w:val="Page Numbers (Bottom of Page)"/>
        <w:docPartUnique/>
      </w:docPartObj>
    </w:sdtPr>
    <w:sdtEndPr>
      <w:rPr>
        <w:noProof/>
      </w:rPr>
    </w:sdtEndPr>
    <w:sdtContent>
      <w:p w:rsidR="0006428D" w:rsidRDefault="0006428D">
        <w:pPr>
          <w:pStyle w:val="Footer"/>
          <w:jc w:val="center"/>
        </w:pPr>
        <w:r>
          <w:fldChar w:fldCharType="begin"/>
        </w:r>
        <w:r>
          <w:instrText xml:space="preserve"> PAGE   \* MERGEFORMAT </w:instrText>
        </w:r>
        <w:r>
          <w:fldChar w:fldCharType="separate"/>
        </w:r>
        <w:r w:rsidR="00FA30D0">
          <w:rPr>
            <w:noProof/>
          </w:rPr>
          <w:t>2</w:t>
        </w:r>
        <w:r>
          <w:rPr>
            <w:noProof/>
          </w:rPr>
          <w:fldChar w:fldCharType="end"/>
        </w:r>
      </w:p>
    </w:sdtContent>
  </w:sdt>
  <w:p w:rsidR="0006428D" w:rsidRDefault="0006428D">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217E" w:rsidRDefault="0087217E"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A3E38" w:rsidRDefault="005A3E38" w:rsidP="00E4607C">
      <w:pPr>
        <w:spacing w:line="240" w:lineRule="auto"/>
      </w:pPr>
      <w:r>
        <w:separator/>
      </w:r>
    </w:p>
  </w:footnote>
  <w:footnote w:type="continuationSeparator" w:id="0">
    <w:p w:rsidR="005A3E38" w:rsidRDefault="005A3E38" w:rsidP="00E4607C">
      <w:pPr>
        <w:spacing w:line="240" w:lineRule="auto"/>
      </w:pPr>
      <w:r>
        <w:continuationSeparator/>
      </w:r>
    </w:p>
  </w:footnote>
  <w:footnote w:id="1">
    <w:p w:rsidR="0038426C" w:rsidRDefault="0038426C">
      <w:pPr>
        <w:pStyle w:val="FootnoteText"/>
      </w:pPr>
      <w:r>
        <w:rPr>
          <w:rStyle w:val="FootnoteReference"/>
        </w:rPr>
        <w:footnoteRef/>
      </w:r>
      <w:r>
        <w:t xml:space="preserve"> Contraventions of section 3 of the Criminal Law (Sexual Offences and Related Matters) Amendment Act 32 of 2007.</w:t>
      </w:r>
    </w:p>
  </w:footnote>
  <w:footnote w:id="2">
    <w:p w:rsidR="0038426C" w:rsidRDefault="0038426C">
      <w:pPr>
        <w:pStyle w:val="FootnoteText"/>
      </w:pPr>
      <w:r>
        <w:rPr>
          <w:rStyle w:val="FootnoteReference"/>
        </w:rPr>
        <w:footnoteRef/>
      </w:r>
      <w:r>
        <w:t xml:space="preserve"> </w:t>
      </w:r>
      <w:r w:rsidR="009F0DA1">
        <w:t>S</w:t>
      </w:r>
      <w:r>
        <w:t xml:space="preserve">ection 103(1) of </w:t>
      </w:r>
      <w:r w:rsidR="002C75BC">
        <w:t xml:space="preserve">Firearms Control </w:t>
      </w:r>
      <w:r>
        <w:t>Act 60 of 2000.</w:t>
      </w:r>
    </w:p>
  </w:footnote>
  <w:footnote w:id="3">
    <w:p w:rsidR="00684DE7" w:rsidRPr="00684DE7" w:rsidRDefault="00684DE7" w:rsidP="00CC395D">
      <w:pPr>
        <w:pStyle w:val="FootnoteText"/>
      </w:pPr>
      <w:r>
        <w:rPr>
          <w:rStyle w:val="FootnoteReference"/>
        </w:rPr>
        <w:footnoteRef/>
      </w:r>
      <w:r>
        <w:t xml:space="preserve"> </w:t>
      </w:r>
      <w:r w:rsidR="00446720" w:rsidRPr="001F7821">
        <w:rPr>
          <w:i/>
        </w:rPr>
        <w:t>Conradie v S</w:t>
      </w:r>
      <w:r w:rsidR="00446720" w:rsidRPr="001F7821">
        <w:t>, unreported judgment of the</w:t>
      </w:r>
      <w:r w:rsidR="001F7821" w:rsidRPr="001F7821">
        <w:t xml:space="preserve"> High Court of South Africa, Western Cape Division, Cape Town , Case No</w:t>
      </w:r>
      <w:r w:rsidR="00FD102D">
        <w:t xml:space="preserve"> </w:t>
      </w:r>
      <w:r w:rsidR="001F7821" w:rsidRPr="001F7821">
        <w:t>A229/2016 (15 February</w:t>
      </w:r>
      <w:r w:rsidR="00446720" w:rsidRPr="001F7821">
        <w:t xml:space="preserve"> 2017) at para 51.</w:t>
      </w:r>
    </w:p>
  </w:footnote>
  <w:footnote w:id="4">
    <w:p w:rsidR="009F0DA1" w:rsidRDefault="009F0DA1">
      <w:pPr>
        <w:pStyle w:val="FootnoteText"/>
      </w:pPr>
      <w:r>
        <w:rPr>
          <w:rStyle w:val="FootnoteReference"/>
        </w:rPr>
        <w:footnoteRef/>
      </w:r>
      <w:r>
        <w:t xml:space="preserve"> Section 16(1)(b) of the Superior Courts Act 10 of 2013.</w:t>
      </w:r>
    </w:p>
  </w:footnote>
  <w:footnote w:id="5">
    <w:p w:rsidR="009F0DA1" w:rsidRDefault="009F0DA1">
      <w:pPr>
        <w:pStyle w:val="FootnoteText"/>
      </w:pPr>
      <w:r>
        <w:rPr>
          <w:rStyle w:val="FootnoteReference"/>
        </w:rPr>
        <w:footnoteRef/>
      </w:r>
      <w:r>
        <w:t xml:space="preserve"> </w:t>
      </w:r>
      <w:r w:rsidR="00F72E2B">
        <w:t>Id at s</w:t>
      </w:r>
      <w:r>
        <w:t>ection 17(2)(f</w:t>
      </w:r>
      <w:r w:rsidR="00F72E2B">
        <w:t>)</w:t>
      </w:r>
      <w:r>
        <w:t>.</w:t>
      </w:r>
    </w:p>
  </w:footnote>
  <w:footnote w:id="6">
    <w:p w:rsidR="00792896" w:rsidRDefault="008D0184" w:rsidP="00792896">
      <w:pPr>
        <w:pStyle w:val="FootnoteText"/>
      </w:pPr>
      <w:r>
        <w:rPr>
          <w:rStyle w:val="FootnoteReference"/>
        </w:rPr>
        <w:footnoteRef/>
      </w:r>
      <w:r>
        <w:t xml:space="preserve"> </w:t>
      </w:r>
      <w:r w:rsidR="00792896">
        <w:t>Section 35 reads:</w:t>
      </w:r>
    </w:p>
    <w:p w:rsidR="00792896" w:rsidRDefault="00792896" w:rsidP="00792896">
      <w:pPr>
        <w:pStyle w:val="FootnoteText"/>
        <w:ind w:firstLine="720"/>
      </w:pPr>
      <w:r>
        <w:t>“(3)</w:t>
      </w:r>
      <w:r>
        <w:tab/>
      </w:r>
      <w:r w:rsidRPr="008D0184">
        <w:t xml:space="preserve">Every accused person has a right to a fair </w:t>
      </w:r>
      <w:r>
        <w:t>trial, which includes the right—</w:t>
      </w:r>
    </w:p>
    <w:p w:rsidR="00697319" w:rsidRDefault="00697319" w:rsidP="00792896">
      <w:pPr>
        <w:pStyle w:val="FootnoteText"/>
        <w:ind w:firstLine="720"/>
      </w:pPr>
      <w:r>
        <w:tab/>
        <w:t>. . .</w:t>
      </w:r>
    </w:p>
    <w:p w:rsidR="008D0184" w:rsidRDefault="00792896" w:rsidP="00792896">
      <w:pPr>
        <w:pStyle w:val="FootnoteText"/>
        <w:ind w:left="720" w:firstLine="720"/>
      </w:pPr>
      <w:r>
        <w:t>(o)</w:t>
      </w:r>
      <w:r>
        <w:tab/>
      </w:r>
      <w:r w:rsidRPr="008D0184">
        <w:t>of appeal to, or review by, a higher court.</w:t>
      </w:r>
      <w:r>
        <w:t>”</w:t>
      </w:r>
    </w:p>
  </w:footnote>
  <w:footnote w:id="7">
    <w:p w:rsidR="001B3172" w:rsidRDefault="001B3172">
      <w:pPr>
        <w:pStyle w:val="FootnoteText"/>
      </w:pPr>
      <w:r w:rsidRPr="00EA2615">
        <w:rPr>
          <w:rStyle w:val="FootnoteReference"/>
        </w:rPr>
        <w:footnoteRef/>
      </w:r>
      <w:r w:rsidR="00792896">
        <w:t xml:space="preserve"> </w:t>
      </w:r>
      <w:r w:rsidR="00792896" w:rsidRPr="00792896">
        <w:rPr>
          <w:i/>
        </w:rPr>
        <w:t>S v Steyn</w:t>
      </w:r>
      <w:r w:rsidR="00792896" w:rsidRPr="00792896">
        <w:t xml:space="preserve"> [2000] ZACC 24; 2001 (1) SA 1146</w:t>
      </w:r>
      <w:r w:rsidR="0077750A">
        <w:t xml:space="preserve"> (CC)</w:t>
      </w:r>
      <w:r w:rsidR="00792896" w:rsidRPr="00792896">
        <w:t>; 2001 (1) BCLR 52</w:t>
      </w:r>
      <w:r w:rsidR="00DC47F7">
        <w:t xml:space="preserve"> (CC)</w:t>
      </w:r>
      <w:r w:rsidR="00792896" w:rsidRPr="00792896">
        <w:t xml:space="preserve"> at para 13</w:t>
      </w:r>
      <w:r w:rsidR="00792896">
        <w:t>.</w:t>
      </w:r>
    </w:p>
  </w:footnote>
  <w:footnote w:id="8">
    <w:p w:rsidR="004416E4" w:rsidRDefault="004416E4">
      <w:pPr>
        <w:pStyle w:val="FootnoteText"/>
      </w:pPr>
      <w:r w:rsidRPr="00F318A3">
        <w:rPr>
          <w:rStyle w:val="FootnoteReference"/>
        </w:rPr>
        <w:footnoteRef/>
      </w:r>
      <w:r w:rsidR="00792896">
        <w:t xml:space="preserve"> </w:t>
      </w:r>
      <w:r w:rsidR="00792896" w:rsidRPr="00792896">
        <w:t xml:space="preserve">See </w:t>
      </w:r>
      <w:r w:rsidR="00792896" w:rsidRPr="00792896">
        <w:rPr>
          <w:i/>
        </w:rPr>
        <w:t>Steyn</w:t>
      </w:r>
      <w:r w:rsidR="00792896" w:rsidRPr="00792896">
        <w:t xml:space="preserve"> id; </w:t>
      </w:r>
      <w:r w:rsidR="00792896" w:rsidRPr="00792896">
        <w:rPr>
          <w:i/>
        </w:rPr>
        <w:t xml:space="preserve">S v Twala </w:t>
      </w:r>
      <w:r w:rsidR="00792896" w:rsidRPr="00792896">
        <w:t>[1999] ZACC 18; 2000 (1) SA 879</w:t>
      </w:r>
      <w:r w:rsidR="0077750A">
        <w:t xml:space="preserve"> (CC)</w:t>
      </w:r>
      <w:r w:rsidR="00792896" w:rsidRPr="00792896">
        <w:t xml:space="preserve">; 2000 (1) BCLR 106 </w:t>
      </w:r>
      <w:r w:rsidR="00DC47F7">
        <w:t xml:space="preserve">(CC) </w:t>
      </w:r>
      <w:r w:rsidR="00792896" w:rsidRPr="00792896">
        <w:t xml:space="preserve">and </w:t>
      </w:r>
      <w:r w:rsidR="00792896" w:rsidRPr="00792896">
        <w:rPr>
          <w:i/>
        </w:rPr>
        <w:t xml:space="preserve">S v Rens </w:t>
      </w:r>
      <w:r w:rsidR="00792896" w:rsidRPr="00792896">
        <w:t>[1995] ZACC 15; 1996 (1) SA 1218</w:t>
      </w:r>
      <w:r w:rsidR="0077750A">
        <w:t xml:space="preserve"> (CC)</w:t>
      </w:r>
      <w:r w:rsidR="00792896" w:rsidRPr="00792896">
        <w:t>; 1996 (2) BCLR 155</w:t>
      </w:r>
      <w:r w:rsidR="00DC47F7">
        <w:t xml:space="preserve"> (CC)</w:t>
      </w:r>
      <w:r w:rsidR="00792896">
        <w:t>.</w:t>
      </w:r>
    </w:p>
  </w:footnote>
  <w:footnote w:id="9">
    <w:p w:rsidR="00065C6B" w:rsidRPr="00065C6B" w:rsidRDefault="00065C6B">
      <w:pPr>
        <w:pStyle w:val="FootnoteText"/>
      </w:pPr>
      <w:r>
        <w:rPr>
          <w:rStyle w:val="FootnoteReference"/>
        </w:rPr>
        <w:footnoteRef/>
      </w:r>
      <w:r>
        <w:t xml:space="preserve"> </w:t>
      </w:r>
      <w:r w:rsidR="00792896" w:rsidRPr="00792896">
        <w:t xml:space="preserve">See </w:t>
      </w:r>
      <w:r w:rsidR="00792896" w:rsidRPr="00792896">
        <w:rPr>
          <w:i/>
        </w:rPr>
        <w:t>Steyn</w:t>
      </w:r>
      <w:r w:rsidR="00792896" w:rsidRPr="00792896">
        <w:t xml:space="preserve"> id at para 6 referring to </w:t>
      </w:r>
      <w:r w:rsidR="00792896" w:rsidRPr="00792896">
        <w:rPr>
          <w:i/>
        </w:rPr>
        <w:t>S v Ntuli</w:t>
      </w:r>
      <w:r w:rsidR="00792896" w:rsidRPr="00792896">
        <w:t xml:space="preserve"> [1995] ZACC 14; 1996 (1) SA 120</w:t>
      </w:r>
      <w:r w:rsidR="00B94118">
        <w:t>7 (CC); 1996 (1) BCLR 141 (CC).</w:t>
      </w:r>
    </w:p>
  </w:footnote>
  <w:footnote w:id="10">
    <w:p w:rsidR="004416E4" w:rsidRPr="004416E4" w:rsidRDefault="004416E4">
      <w:pPr>
        <w:pStyle w:val="FootnoteText"/>
      </w:pPr>
      <w:r>
        <w:rPr>
          <w:rStyle w:val="FootnoteReference"/>
        </w:rPr>
        <w:footnoteRef/>
      </w:r>
      <w:r>
        <w:t xml:space="preserve"> </w:t>
      </w:r>
      <w:r>
        <w:rPr>
          <w:i/>
        </w:rPr>
        <w:t xml:space="preserve">Steyn </w:t>
      </w:r>
      <w:r w:rsidR="00792896">
        <w:t>id at paras 13</w:t>
      </w:r>
      <w:r>
        <w:t>-22.</w:t>
      </w:r>
    </w:p>
  </w:footnote>
  <w:footnote w:id="11">
    <w:p w:rsidR="00715EC7" w:rsidRDefault="00715EC7">
      <w:pPr>
        <w:pStyle w:val="FootnoteText"/>
      </w:pPr>
      <w:r>
        <w:rPr>
          <w:rStyle w:val="FootnoteReference"/>
        </w:rPr>
        <w:footnoteRef/>
      </w:r>
      <w:r>
        <w:t xml:space="preserve"> </w:t>
      </w:r>
      <w:r w:rsidR="00B94118">
        <w:t>Id.</w:t>
      </w:r>
    </w:p>
  </w:footnote>
  <w:footnote w:id="12">
    <w:p w:rsidR="00E22333" w:rsidRDefault="00E22333">
      <w:pPr>
        <w:pStyle w:val="FootnoteText"/>
      </w:pPr>
      <w:r>
        <w:rPr>
          <w:rStyle w:val="FootnoteReference"/>
        </w:rPr>
        <w:footnoteRef/>
      </w:r>
      <w:r>
        <w:t xml:space="preserve"> </w:t>
      </w:r>
      <w:r w:rsidR="0024721D">
        <w:t>Id.</w:t>
      </w:r>
    </w:p>
  </w:footnote>
  <w:footnote w:id="13">
    <w:p w:rsidR="00C2270D" w:rsidRPr="00F4613E" w:rsidRDefault="00C2270D">
      <w:pPr>
        <w:pStyle w:val="FootnoteText"/>
      </w:pPr>
      <w:r>
        <w:rPr>
          <w:rStyle w:val="FootnoteReference"/>
        </w:rPr>
        <w:footnoteRef/>
      </w:r>
      <w:r>
        <w:t xml:space="preserve"> </w:t>
      </w:r>
      <w:r w:rsidR="00F4613E">
        <w:rPr>
          <w:i/>
        </w:rPr>
        <w:t xml:space="preserve">Twala </w:t>
      </w:r>
      <w:r w:rsidR="0077750A">
        <w:t>above n 8</w:t>
      </w:r>
      <w:r w:rsidR="00F4613E">
        <w:t xml:space="preserve"> at para 9.</w:t>
      </w:r>
    </w:p>
  </w:footnote>
  <w:footnote w:id="14">
    <w:p w:rsidR="00BE6452" w:rsidRDefault="00BE6452">
      <w:pPr>
        <w:pStyle w:val="FootnoteText"/>
      </w:pPr>
      <w:r>
        <w:rPr>
          <w:rStyle w:val="FootnoteReference"/>
        </w:rPr>
        <w:footnoteRef/>
      </w:r>
      <w:r>
        <w:t xml:space="preserve"> 51 of 1977.</w:t>
      </w:r>
    </w:p>
  </w:footnote>
  <w:footnote w:id="15">
    <w:p w:rsidR="004768A3" w:rsidRDefault="004768A3">
      <w:pPr>
        <w:pStyle w:val="FootnoteText"/>
      </w:pPr>
      <w:r w:rsidRPr="009C1480">
        <w:rPr>
          <w:rStyle w:val="FootnoteReference"/>
        </w:rPr>
        <w:footnoteRef/>
      </w:r>
      <w:r w:rsidRPr="009C1480">
        <w:t xml:space="preserve"> </w:t>
      </w:r>
      <w:r w:rsidR="00697319" w:rsidRPr="0077750A">
        <w:rPr>
          <w:i/>
        </w:rPr>
        <w:t>Twala</w:t>
      </w:r>
      <w:r w:rsidR="00697319">
        <w:rPr>
          <w:i/>
        </w:rPr>
        <w:t xml:space="preserve"> </w:t>
      </w:r>
      <w:r w:rsidR="0077750A">
        <w:t>above n 8</w:t>
      </w:r>
      <w:r w:rsidR="00697319">
        <w:t xml:space="preserve"> at</w:t>
      </w:r>
      <w:r>
        <w:t xml:space="preserve"> para 22.</w:t>
      </w:r>
    </w:p>
  </w:footnote>
  <w:footnote w:id="16">
    <w:p w:rsidR="004768A3" w:rsidRDefault="004768A3">
      <w:pPr>
        <w:pStyle w:val="FootnoteText"/>
      </w:pPr>
      <w:r>
        <w:rPr>
          <w:rStyle w:val="FootnoteReference"/>
        </w:rPr>
        <w:footnoteRef/>
      </w:r>
      <w:r>
        <w:t xml:space="preserve"> Id </w:t>
      </w:r>
      <w:r w:rsidR="00697319">
        <w:t xml:space="preserve">at </w:t>
      </w:r>
      <w:r>
        <w:t xml:space="preserve">para </w:t>
      </w:r>
      <w:r w:rsidR="00BE6452">
        <w:t>1.</w:t>
      </w:r>
    </w:p>
  </w:footnote>
  <w:footnote w:id="17">
    <w:p w:rsidR="00C2270D" w:rsidRDefault="00C2270D">
      <w:pPr>
        <w:pStyle w:val="FootnoteText"/>
      </w:pPr>
      <w:r>
        <w:rPr>
          <w:rStyle w:val="FootnoteReference"/>
        </w:rPr>
        <w:footnoteRef/>
      </w:r>
      <w:r>
        <w:t xml:space="preserve"> </w:t>
      </w:r>
      <w:r w:rsidR="00904D4C" w:rsidRPr="00812DC7">
        <w:rPr>
          <w:i/>
        </w:rPr>
        <w:t xml:space="preserve">Qhinga v S </w:t>
      </w:r>
      <w:r w:rsidR="00904D4C" w:rsidRPr="00904D4C">
        <w:t>[2011] ZACC 18; 2011 (2) SACR 378 (CC)</w:t>
      </w:r>
      <w:r w:rsidR="002C75BC">
        <w:t>;</w:t>
      </w:r>
      <w:r w:rsidR="00904D4C">
        <w:t xml:space="preserve"> </w:t>
      </w:r>
      <w:r w:rsidR="002C75BC">
        <w:t>2011 (9) BCLR 980 (CC)</w:t>
      </w:r>
      <w:r w:rsidR="002C75BC" w:rsidRPr="00904D4C">
        <w:t xml:space="preserve"> </w:t>
      </w:r>
      <w:r w:rsidR="00904D4C">
        <w:t>at para 17.</w:t>
      </w:r>
    </w:p>
  </w:footnote>
  <w:footnote w:id="18">
    <w:p w:rsidR="00046387" w:rsidRDefault="00046387">
      <w:pPr>
        <w:pStyle w:val="FootnoteText"/>
      </w:pPr>
      <w:r>
        <w:rPr>
          <w:rStyle w:val="FootnoteReference"/>
        </w:rPr>
        <w:footnoteRef/>
      </w:r>
      <w:r>
        <w:t xml:space="preserve"> Id </w:t>
      </w:r>
      <w:r w:rsidR="00697319">
        <w:t xml:space="preserve">at </w:t>
      </w:r>
      <w:r>
        <w:t>para 18.</w:t>
      </w:r>
    </w:p>
  </w:footnote>
  <w:footnote w:id="19">
    <w:p w:rsidR="00046387" w:rsidRDefault="00046387">
      <w:pPr>
        <w:pStyle w:val="FootnoteText"/>
      </w:pPr>
      <w:r>
        <w:rPr>
          <w:rStyle w:val="FootnoteReference"/>
        </w:rPr>
        <w:footnoteRef/>
      </w:r>
      <w:r>
        <w:t xml:space="preserve"> </w:t>
      </w:r>
      <w:r w:rsidR="008023CB">
        <w:t>I</w:t>
      </w:r>
      <w:r>
        <w:t xml:space="preserve">d </w:t>
      </w:r>
      <w:r w:rsidR="00697319">
        <w:t xml:space="preserve">at </w:t>
      </w:r>
      <w:r>
        <w:t>para 1.</w:t>
      </w:r>
    </w:p>
  </w:footnote>
  <w:footnote w:id="20">
    <w:p w:rsidR="00EA4455" w:rsidRDefault="00EA4455">
      <w:pPr>
        <w:pStyle w:val="FootnoteText"/>
      </w:pPr>
      <w:r>
        <w:rPr>
          <w:rStyle w:val="FootnoteReference"/>
        </w:rPr>
        <w:footnoteRef/>
      </w:r>
      <w:r>
        <w:t xml:space="preserve"> </w:t>
      </w:r>
      <w:r w:rsidR="008023CB">
        <w:t xml:space="preserve">Id </w:t>
      </w:r>
      <w:r w:rsidR="00697319">
        <w:t xml:space="preserve">at </w:t>
      </w:r>
      <w:r w:rsidR="008023CB">
        <w:t>paras 31-2 and 35.</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6428D" w:rsidRDefault="0006428D">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B0CB2" w:rsidRDefault="008B567E" w:rsidP="000F7521">
    <w:pPr>
      <w:pStyle w:val="Header"/>
      <w:tabs>
        <w:tab w:val="clear" w:pos="4680"/>
        <w:tab w:val="clear" w:pos="9360"/>
        <w:tab w:val="right" w:pos="9072"/>
      </w:tabs>
      <w:jc w:val="right"/>
    </w:pPr>
    <w:r>
      <w:t>FRONEMAN J</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6428D" w:rsidRDefault="0006428D">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217E" w:rsidRDefault="0087217E"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5A7A26"/>
    <w:multiLevelType w:val="hybridMultilevel"/>
    <w:tmpl w:val="C30AD0BA"/>
    <w:lvl w:ilvl="0" w:tplc="0CD23E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FBC4D64"/>
    <w:multiLevelType w:val="hybridMultilevel"/>
    <w:tmpl w:val="ECA633A2"/>
    <w:lvl w:ilvl="0" w:tplc="39CEFCFC">
      <w:start w:val="3"/>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15:restartNumberingAfterBreak="0">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2AE12C8D"/>
    <w:multiLevelType w:val="hybridMultilevel"/>
    <w:tmpl w:val="D1D0C71E"/>
    <w:lvl w:ilvl="0" w:tplc="1C090017">
      <w:start w:val="1"/>
      <w:numFmt w:val="low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15:restartNumberingAfterBreak="0">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 w15:restartNumberingAfterBreak="0">
    <w:nsid w:val="681E0239"/>
    <w:multiLevelType w:val="hybridMultilevel"/>
    <w:tmpl w:val="B4A6BD2E"/>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0"/>
  </w:num>
  <w:num w:numId="2">
    <w:abstractNumId w:val="4"/>
  </w:num>
  <w:num w:numId="3">
    <w:abstractNumId w:val="4"/>
  </w:num>
  <w:num w:numId="4">
    <w:abstractNumId w:val="4"/>
  </w:num>
  <w:num w:numId="5">
    <w:abstractNumId w:val="4"/>
  </w:num>
  <w:num w:numId="6">
    <w:abstractNumId w:val="4"/>
  </w:num>
  <w:num w:numId="7">
    <w:abstractNumId w:val="4"/>
  </w:num>
  <w:num w:numId="8">
    <w:abstractNumId w:val="4"/>
  </w:num>
  <w:num w:numId="9">
    <w:abstractNumId w:val="4"/>
  </w:num>
  <w:num w:numId="10">
    <w:abstractNumId w:val="4"/>
  </w:num>
  <w:num w:numId="11">
    <w:abstractNumId w:val="2"/>
  </w:num>
  <w:num w:numId="12">
    <w:abstractNumId w:val="2"/>
    <w:lvlOverride w:ilvl="0">
      <w:startOverride w:val="1"/>
    </w:lvlOverride>
  </w:num>
  <w:num w:numId="13">
    <w:abstractNumId w:val="0"/>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num>
  <w:num w:numId="16">
    <w:abstractNumId w:val="3"/>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4"/>
  <w:removePersonalInformation/>
  <w:removeDateAndTime/>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567E"/>
    <w:rsid w:val="00003278"/>
    <w:rsid w:val="00021B45"/>
    <w:rsid w:val="0003222E"/>
    <w:rsid w:val="0003332C"/>
    <w:rsid w:val="0003374F"/>
    <w:rsid w:val="00045273"/>
    <w:rsid w:val="00046387"/>
    <w:rsid w:val="000570BC"/>
    <w:rsid w:val="0006428D"/>
    <w:rsid w:val="00065C6B"/>
    <w:rsid w:val="000704F2"/>
    <w:rsid w:val="0008371B"/>
    <w:rsid w:val="000844E9"/>
    <w:rsid w:val="00095A15"/>
    <w:rsid w:val="000B0C92"/>
    <w:rsid w:val="000B22E6"/>
    <w:rsid w:val="000C38CF"/>
    <w:rsid w:val="000C62B4"/>
    <w:rsid w:val="000E3F53"/>
    <w:rsid w:val="000F7521"/>
    <w:rsid w:val="001016AC"/>
    <w:rsid w:val="001061D1"/>
    <w:rsid w:val="001611B1"/>
    <w:rsid w:val="001742F7"/>
    <w:rsid w:val="00174981"/>
    <w:rsid w:val="00183FC9"/>
    <w:rsid w:val="001927E9"/>
    <w:rsid w:val="00194B9C"/>
    <w:rsid w:val="001B3172"/>
    <w:rsid w:val="001B4ABD"/>
    <w:rsid w:val="001B4C29"/>
    <w:rsid w:val="001C050A"/>
    <w:rsid w:val="001D31D7"/>
    <w:rsid w:val="001D3714"/>
    <w:rsid w:val="001F7821"/>
    <w:rsid w:val="00220243"/>
    <w:rsid w:val="002208F2"/>
    <w:rsid w:val="00232B8F"/>
    <w:rsid w:val="00236F9A"/>
    <w:rsid w:val="0024721D"/>
    <w:rsid w:val="0024725F"/>
    <w:rsid w:val="002723B8"/>
    <w:rsid w:val="00275306"/>
    <w:rsid w:val="00275DE5"/>
    <w:rsid w:val="00287753"/>
    <w:rsid w:val="00295C91"/>
    <w:rsid w:val="002A4496"/>
    <w:rsid w:val="002C5F97"/>
    <w:rsid w:val="002C75BC"/>
    <w:rsid w:val="002C7AC5"/>
    <w:rsid w:val="002D174A"/>
    <w:rsid w:val="002D1FD9"/>
    <w:rsid w:val="002D6E04"/>
    <w:rsid w:val="002E1AA1"/>
    <w:rsid w:val="002E4857"/>
    <w:rsid w:val="002F3401"/>
    <w:rsid w:val="002F6A17"/>
    <w:rsid w:val="00302787"/>
    <w:rsid w:val="00326649"/>
    <w:rsid w:val="00341131"/>
    <w:rsid w:val="00346927"/>
    <w:rsid w:val="00360093"/>
    <w:rsid w:val="003604EA"/>
    <w:rsid w:val="003644DF"/>
    <w:rsid w:val="00366550"/>
    <w:rsid w:val="00381E96"/>
    <w:rsid w:val="003837F4"/>
    <w:rsid w:val="00383CA8"/>
    <w:rsid w:val="0038426C"/>
    <w:rsid w:val="00386126"/>
    <w:rsid w:val="00386F56"/>
    <w:rsid w:val="00386FCB"/>
    <w:rsid w:val="003A18CF"/>
    <w:rsid w:val="003A3C4A"/>
    <w:rsid w:val="003A3E5C"/>
    <w:rsid w:val="003A53AC"/>
    <w:rsid w:val="003B12C2"/>
    <w:rsid w:val="003C283C"/>
    <w:rsid w:val="003C5CF6"/>
    <w:rsid w:val="003C7B6C"/>
    <w:rsid w:val="004110F6"/>
    <w:rsid w:val="00432ABF"/>
    <w:rsid w:val="004416E4"/>
    <w:rsid w:val="0044313C"/>
    <w:rsid w:val="00443951"/>
    <w:rsid w:val="00446720"/>
    <w:rsid w:val="0044789D"/>
    <w:rsid w:val="004478DA"/>
    <w:rsid w:val="00452C6B"/>
    <w:rsid w:val="0046101D"/>
    <w:rsid w:val="0046182E"/>
    <w:rsid w:val="004620BF"/>
    <w:rsid w:val="004768A3"/>
    <w:rsid w:val="004A14DE"/>
    <w:rsid w:val="004C7588"/>
    <w:rsid w:val="004D02BA"/>
    <w:rsid w:val="004E00EA"/>
    <w:rsid w:val="004E3677"/>
    <w:rsid w:val="004F667F"/>
    <w:rsid w:val="00503030"/>
    <w:rsid w:val="00526CE6"/>
    <w:rsid w:val="005314E0"/>
    <w:rsid w:val="00533037"/>
    <w:rsid w:val="00535E74"/>
    <w:rsid w:val="00542F53"/>
    <w:rsid w:val="005627D3"/>
    <w:rsid w:val="0056742C"/>
    <w:rsid w:val="00590B22"/>
    <w:rsid w:val="00593144"/>
    <w:rsid w:val="005A14EF"/>
    <w:rsid w:val="005A3E38"/>
    <w:rsid w:val="005B3F79"/>
    <w:rsid w:val="005E07C7"/>
    <w:rsid w:val="005E5AD4"/>
    <w:rsid w:val="005F25A8"/>
    <w:rsid w:val="00601A88"/>
    <w:rsid w:val="00622BDF"/>
    <w:rsid w:val="006233AB"/>
    <w:rsid w:val="00657B43"/>
    <w:rsid w:val="00664EC1"/>
    <w:rsid w:val="0067159E"/>
    <w:rsid w:val="006724E0"/>
    <w:rsid w:val="0067644D"/>
    <w:rsid w:val="00684DE7"/>
    <w:rsid w:val="00697319"/>
    <w:rsid w:val="006A6304"/>
    <w:rsid w:val="006D21A9"/>
    <w:rsid w:val="006E3711"/>
    <w:rsid w:val="007038B4"/>
    <w:rsid w:val="00707C78"/>
    <w:rsid w:val="00715EC7"/>
    <w:rsid w:val="00730113"/>
    <w:rsid w:val="00742609"/>
    <w:rsid w:val="007457E4"/>
    <w:rsid w:val="007459C4"/>
    <w:rsid w:val="0074753B"/>
    <w:rsid w:val="0077750A"/>
    <w:rsid w:val="00783E81"/>
    <w:rsid w:val="00792896"/>
    <w:rsid w:val="00793F89"/>
    <w:rsid w:val="007946F4"/>
    <w:rsid w:val="007947C8"/>
    <w:rsid w:val="007C2FC8"/>
    <w:rsid w:val="007C4840"/>
    <w:rsid w:val="007D6508"/>
    <w:rsid w:val="007E403C"/>
    <w:rsid w:val="007E60C2"/>
    <w:rsid w:val="008023CB"/>
    <w:rsid w:val="00807A5D"/>
    <w:rsid w:val="00812DC7"/>
    <w:rsid w:val="00834803"/>
    <w:rsid w:val="00835501"/>
    <w:rsid w:val="00840BBE"/>
    <w:rsid w:val="00842678"/>
    <w:rsid w:val="00851D8D"/>
    <w:rsid w:val="00860C4E"/>
    <w:rsid w:val="0087217E"/>
    <w:rsid w:val="00893F46"/>
    <w:rsid w:val="00895A76"/>
    <w:rsid w:val="00897B62"/>
    <w:rsid w:val="008A0A3C"/>
    <w:rsid w:val="008A1F84"/>
    <w:rsid w:val="008A65D2"/>
    <w:rsid w:val="008B1882"/>
    <w:rsid w:val="008B567E"/>
    <w:rsid w:val="008C13DE"/>
    <w:rsid w:val="008C727F"/>
    <w:rsid w:val="008D0184"/>
    <w:rsid w:val="008E31EF"/>
    <w:rsid w:val="008E562C"/>
    <w:rsid w:val="008F1AED"/>
    <w:rsid w:val="00904D4C"/>
    <w:rsid w:val="00911782"/>
    <w:rsid w:val="00937742"/>
    <w:rsid w:val="00940A0D"/>
    <w:rsid w:val="009559B5"/>
    <w:rsid w:val="009632AB"/>
    <w:rsid w:val="0098219B"/>
    <w:rsid w:val="00987555"/>
    <w:rsid w:val="00987B57"/>
    <w:rsid w:val="009C1480"/>
    <w:rsid w:val="009C3888"/>
    <w:rsid w:val="009E12A3"/>
    <w:rsid w:val="009F0DA1"/>
    <w:rsid w:val="00A023AC"/>
    <w:rsid w:val="00A203C4"/>
    <w:rsid w:val="00A32CAC"/>
    <w:rsid w:val="00A35CE0"/>
    <w:rsid w:val="00A3608E"/>
    <w:rsid w:val="00A81C1D"/>
    <w:rsid w:val="00A97332"/>
    <w:rsid w:val="00AA6755"/>
    <w:rsid w:val="00AB5FD4"/>
    <w:rsid w:val="00AC309A"/>
    <w:rsid w:val="00AD2D1A"/>
    <w:rsid w:val="00AD35F4"/>
    <w:rsid w:val="00AE1728"/>
    <w:rsid w:val="00AE7143"/>
    <w:rsid w:val="00AE7602"/>
    <w:rsid w:val="00AF3B08"/>
    <w:rsid w:val="00AF6E1D"/>
    <w:rsid w:val="00B15BA2"/>
    <w:rsid w:val="00B25E4C"/>
    <w:rsid w:val="00B31462"/>
    <w:rsid w:val="00B32AB4"/>
    <w:rsid w:val="00B64ADD"/>
    <w:rsid w:val="00B67BB0"/>
    <w:rsid w:val="00B7017B"/>
    <w:rsid w:val="00B71F3C"/>
    <w:rsid w:val="00B81F77"/>
    <w:rsid w:val="00B83FB6"/>
    <w:rsid w:val="00B8590B"/>
    <w:rsid w:val="00B94118"/>
    <w:rsid w:val="00B97ED9"/>
    <w:rsid w:val="00BA3BEF"/>
    <w:rsid w:val="00BB0654"/>
    <w:rsid w:val="00BB312F"/>
    <w:rsid w:val="00BB36C9"/>
    <w:rsid w:val="00BC231D"/>
    <w:rsid w:val="00BD0174"/>
    <w:rsid w:val="00BD425C"/>
    <w:rsid w:val="00BE6452"/>
    <w:rsid w:val="00BE700A"/>
    <w:rsid w:val="00BF3824"/>
    <w:rsid w:val="00C066B6"/>
    <w:rsid w:val="00C2270D"/>
    <w:rsid w:val="00C279C7"/>
    <w:rsid w:val="00C362D9"/>
    <w:rsid w:val="00C44207"/>
    <w:rsid w:val="00C51413"/>
    <w:rsid w:val="00C6034D"/>
    <w:rsid w:val="00C6085B"/>
    <w:rsid w:val="00C63EC7"/>
    <w:rsid w:val="00C6586B"/>
    <w:rsid w:val="00C67D73"/>
    <w:rsid w:val="00C722CA"/>
    <w:rsid w:val="00C739DB"/>
    <w:rsid w:val="00C74761"/>
    <w:rsid w:val="00C95D7C"/>
    <w:rsid w:val="00CA3BF8"/>
    <w:rsid w:val="00CA6ACC"/>
    <w:rsid w:val="00CB0CB2"/>
    <w:rsid w:val="00CB63EA"/>
    <w:rsid w:val="00CC158D"/>
    <w:rsid w:val="00CC301A"/>
    <w:rsid w:val="00CC38E6"/>
    <w:rsid w:val="00CC395D"/>
    <w:rsid w:val="00CC6FCA"/>
    <w:rsid w:val="00CE5F9F"/>
    <w:rsid w:val="00CF0044"/>
    <w:rsid w:val="00CF3FC4"/>
    <w:rsid w:val="00D033C4"/>
    <w:rsid w:val="00D16736"/>
    <w:rsid w:val="00D25DB9"/>
    <w:rsid w:val="00D43A99"/>
    <w:rsid w:val="00D64C94"/>
    <w:rsid w:val="00D76A1F"/>
    <w:rsid w:val="00D91349"/>
    <w:rsid w:val="00DA7CDD"/>
    <w:rsid w:val="00DB3839"/>
    <w:rsid w:val="00DB3FC8"/>
    <w:rsid w:val="00DB4070"/>
    <w:rsid w:val="00DC47F7"/>
    <w:rsid w:val="00DE7926"/>
    <w:rsid w:val="00DE7E61"/>
    <w:rsid w:val="00E103DD"/>
    <w:rsid w:val="00E12D4B"/>
    <w:rsid w:val="00E210D3"/>
    <w:rsid w:val="00E22333"/>
    <w:rsid w:val="00E230D7"/>
    <w:rsid w:val="00E265B5"/>
    <w:rsid w:val="00E45515"/>
    <w:rsid w:val="00E4607C"/>
    <w:rsid w:val="00E4636A"/>
    <w:rsid w:val="00E51128"/>
    <w:rsid w:val="00E63C65"/>
    <w:rsid w:val="00E70761"/>
    <w:rsid w:val="00E93A1B"/>
    <w:rsid w:val="00EA2615"/>
    <w:rsid w:val="00EA4455"/>
    <w:rsid w:val="00EC7527"/>
    <w:rsid w:val="00ED0FE3"/>
    <w:rsid w:val="00EE6D98"/>
    <w:rsid w:val="00F008DA"/>
    <w:rsid w:val="00F12F57"/>
    <w:rsid w:val="00F245CE"/>
    <w:rsid w:val="00F2678E"/>
    <w:rsid w:val="00F303B6"/>
    <w:rsid w:val="00F318A3"/>
    <w:rsid w:val="00F44521"/>
    <w:rsid w:val="00F45DC4"/>
    <w:rsid w:val="00F4613E"/>
    <w:rsid w:val="00F549F8"/>
    <w:rsid w:val="00F72E2B"/>
    <w:rsid w:val="00F76D30"/>
    <w:rsid w:val="00F8303E"/>
    <w:rsid w:val="00FA30D0"/>
    <w:rsid w:val="00FD102D"/>
    <w:rsid w:val="00FE6B1B"/>
    <w:rsid w:val="00FF56A1"/>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next w:val="Normal"/>
    <w:link w:val="Heading2Char"/>
    <w:uiPriority w:val="9"/>
    <w:semiHidden/>
    <w:qFormat/>
    <w:rsid w:val="00F303B6"/>
    <w:pPr>
      <w:keepNext/>
      <w:keepLines/>
      <w:spacing w:before="40"/>
      <w:outlineLvl w:val="1"/>
    </w:pPr>
    <w:rPr>
      <w:rFonts w:asciiTheme="majorHAnsi" w:eastAsiaTheme="majorEastAsia" w:hAnsiTheme="majorHAnsi" w:cstheme="majorBidi"/>
      <w:color w:val="365F91" w:themeColor="accent1" w:themeShade="BF"/>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semiHidden/>
    <w:qFormat/>
    <w:rsid w:val="00C63EC7"/>
    <w:pPr>
      <w:ind w:left="720"/>
      <w:contextualSpacing/>
    </w:pPr>
  </w:style>
  <w:style w:type="paragraph" w:styleId="FootnoteText">
    <w:name w:val="footnote text"/>
    <w:basedOn w:val="FootnoteText1"/>
    <w:link w:val="FootnoteTextChar"/>
    <w:unhideWhenUsed/>
    <w:rsid w:val="00CB63EA"/>
  </w:style>
  <w:style w:type="character" w:customStyle="1" w:styleId="FootnoteTextChar">
    <w:name w:val="Footnote Text Char"/>
    <w:basedOn w:val="DefaultParagraphFont"/>
    <w:link w:val="FootnoteText"/>
    <w:rsid w:val="00CB63EA"/>
    <w:rPr>
      <w:rFonts w:ascii="Times New Roman" w:hAnsi="Times New Roman"/>
      <w:szCs w:val="22"/>
      <w:lang w:val="en-ZA"/>
    </w:rPr>
  </w:style>
  <w:style w:type="character" w:styleId="FootnoteReference">
    <w:name w:val="footnote reference"/>
    <w:basedOn w:val="DefaultParagraphFont"/>
    <w:semiHidden/>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character" w:customStyle="1" w:styleId="Heading2Char">
    <w:name w:val="Heading 2 Char"/>
    <w:basedOn w:val="DefaultParagraphFont"/>
    <w:link w:val="Heading2"/>
    <w:uiPriority w:val="9"/>
    <w:semiHidden/>
    <w:rsid w:val="00F303B6"/>
    <w:rPr>
      <w:rFonts w:asciiTheme="majorHAnsi" w:eastAsiaTheme="majorEastAsia" w:hAnsiTheme="majorHAnsi" w:cstheme="majorBidi"/>
      <w:color w:val="365F91" w:themeColor="accent1" w:themeShade="BF"/>
      <w:sz w:val="26"/>
      <w:szCs w:val="26"/>
      <w:lang w:val="en-ZA"/>
    </w:rPr>
  </w:style>
  <w:style w:type="paragraph" w:styleId="NormalWeb">
    <w:name w:val="Normal (Web)"/>
    <w:basedOn w:val="Normal"/>
    <w:uiPriority w:val="99"/>
    <w:semiHidden/>
    <w:unhideWhenUsed/>
    <w:rsid w:val="00275306"/>
    <w:rPr>
      <w:sz w:val="24"/>
      <w:szCs w:val="24"/>
    </w:rPr>
  </w:style>
  <w:style w:type="character" w:styleId="CommentReference">
    <w:name w:val="annotation reference"/>
    <w:basedOn w:val="DefaultParagraphFont"/>
    <w:uiPriority w:val="99"/>
    <w:semiHidden/>
    <w:unhideWhenUsed/>
    <w:rsid w:val="002C75BC"/>
    <w:rPr>
      <w:sz w:val="16"/>
      <w:szCs w:val="16"/>
    </w:rPr>
  </w:style>
  <w:style w:type="paragraph" w:styleId="CommentText">
    <w:name w:val="annotation text"/>
    <w:basedOn w:val="Normal"/>
    <w:link w:val="CommentTextChar"/>
    <w:uiPriority w:val="99"/>
    <w:semiHidden/>
    <w:unhideWhenUsed/>
    <w:rsid w:val="002C75BC"/>
    <w:pPr>
      <w:spacing w:line="240" w:lineRule="auto"/>
    </w:pPr>
    <w:rPr>
      <w:sz w:val="20"/>
      <w:szCs w:val="20"/>
    </w:rPr>
  </w:style>
  <w:style w:type="character" w:customStyle="1" w:styleId="CommentTextChar">
    <w:name w:val="Comment Text Char"/>
    <w:basedOn w:val="DefaultParagraphFont"/>
    <w:link w:val="CommentText"/>
    <w:uiPriority w:val="99"/>
    <w:semiHidden/>
    <w:rsid w:val="002C75BC"/>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2C75BC"/>
    <w:rPr>
      <w:b/>
      <w:bCs/>
    </w:rPr>
  </w:style>
  <w:style w:type="character" w:customStyle="1" w:styleId="CommentSubjectChar">
    <w:name w:val="Comment Subject Char"/>
    <w:basedOn w:val="CommentTextChar"/>
    <w:link w:val="CommentSubject"/>
    <w:uiPriority w:val="99"/>
    <w:semiHidden/>
    <w:rsid w:val="002C75BC"/>
    <w:rPr>
      <w:rFonts w:ascii="Times New Roman" w:hAnsi="Times New Roman"/>
      <w:b/>
      <w:bCs/>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0659842">
      <w:bodyDiv w:val="1"/>
      <w:marLeft w:val="0"/>
      <w:marRight w:val="0"/>
      <w:marTop w:val="0"/>
      <w:marBottom w:val="0"/>
      <w:divBdr>
        <w:top w:val="none" w:sz="0" w:space="0" w:color="auto"/>
        <w:left w:val="none" w:sz="0" w:space="0" w:color="auto"/>
        <w:bottom w:val="none" w:sz="0" w:space="0" w:color="auto"/>
        <w:right w:val="none" w:sz="0" w:space="0" w:color="auto"/>
      </w:divBdr>
    </w:div>
    <w:div w:id="663319583">
      <w:bodyDiv w:val="1"/>
      <w:marLeft w:val="0"/>
      <w:marRight w:val="0"/>
      <w:marTop w:val="0"/>
      <w:marBottom w:val="0"/>
      <w:divBdr>
        <w:top w:val="none" w:sz="0" w:space="0" w:color="auto"/>
        <w:left w:val="none" w:sz="0" w:space="0" w:color="auto"/>
        <w:bottom w:val="none" w:sz="0" w:space="0" w:color="auto"/>
        <w:right w:val="none" w:sz="0" w:space="0" w:color="auto"/>
      </w:divBdr>
    </w:div>
    <w:div w:id="801535873">
      <w:bodyDiv w:val="1"/>
      <w:marLeft w:val="0"/>
      <w:marRight w:val="0"/>
      <w:marTop w:val="0"/>
      <w:marBottom w:val="0"/>
      <w:divBdr>
        <w:top w:val="none" w:sz="0" w:space="0" w:color="auto"/>
        <w:left w:val="none" w:sz="0" w:space="0" w:color="auto"/>
        <w:bottom w:val="none" w:sz="0" w:space="0" w:color="auto"/>
        <w:right w:val="none" w:sz="0" w:space="0" w:color="auto"/>
      </w:divBdr>
    </w:div>
    <w:div w:id="1021783547">
      <w:bodyDiv w:val="1"/>
      <w:marLeft w:val="0"/>
      <w:marRight w:val="0"/>
      <w:marTop w:val="0"/>
      <w:marBottom w:val="0"/>
      <w:divBdr>
        <w:top w:val="none" w:sz="0" w:space="0" w:color="auto"/>
        <w:left w:val="none" w:sz="0" w:space="0" w:color="auto"/>
        <w:bottom w:val="none" w:sz="0" w:space="0" w:color="auto"/>
        <w:right w:val="none" w:sz="0" w:space="0" w:color="auto"/>
      </w:divBdr>
    </w:div>
    <w:div w:id="1136488544">
      <w:bodyDiv w:val="1"/>
      <w:marLeft w:val="0"/>
      <w:marRight w:val="0"/>
      <w:marTop w:val="0"/>
      <w:marBottom w:val="0"/>
      <w:divBdr>
        <w:top w:val="none" w:sz="0" w:space="0" w:color="auto"/>
        <w:left w:val="none" w:sz="0" w:space="0" w:color="auto"/>
        <w:bottom w:val="none" w:sz="0" w:space="0" w:color="auto"/>
        <w:right w:val="none" w:sz="0" w:space="0" w:color="auto"/>
      </w:divBdr>
    </w:div>
    <w:div w:id="1243830254">
      <w:bodyDiv w:val="1"/>
      <w:marLeft w:val="0"/>
      <w:marRight w:val="0"/>
      <w:marTop w:val="0"/>
      <w:marBottom w:val="0"/>
      <w:divBdr>
        <w:top w:val="none" w:sz="0" w:space="0" w:color="auto"/>
        <w:left w:val="none" w:sz="0" w:space="0" w:color="auto"/>
        <w:bottom w:val="none" w:sz="0" w:space="0" w:color="auto"/>
        <w:right w:val="none" w:sz="0" w:space="0" w:color="auto"/>
      </w:divBdr>
    </w:div>
    <w:div w:id="1326205165">
      <w:bodyDiv w:val="1"/>
      <w:marLeft w:val="0"/>
      <w:marRight w:val="0"/>
      <w:marTop w:val="0"/>
      <w:marBottom w:val="0"/>
      <w:divBdr>
        <w:top w:val="none" w:sz="0" w:space="0" w:color="auto"/>
        <w:left w:val="none" w:sz="0" w:space="0" w:color="auto"/>
        <w:bottom w:val="none" w:sz="0" w:space="0" w:color="auto"/>
        <w:right w:val="none" w:sz="0" w:space="0" w:color="auto"/>
      </w:divBdr>
    </w:div>
    <w:div w:id="1471753834">
      <w:bodyDiv w:val="1"/>
      <w:marLeft w:val="0"/>
      <w:marRight w:val="0"/>
      <w:marTop w:val="0"/>
      <w:marBottom w:val="0"/>
      <w:divBdr>
        <w:top w:val="none" w:sz="0" w:space="0" w:color="auto"/>
        <w:left w:val="none" w:sz="0" w:space="0" w:color="auto"/>
        <w:bottom w:val="none" w:sz="0" w:space="0" w:color="auto"/>
        <w:right w:val="none" w:sz="0" w:space="0" w:color="auto"/>
      </w:divBdr>
    </w:div>
    <w:div w:id="1857645558">
      <w:bodyDiv w:val="1"/>
      <w:marLeft w:val="0"/>
      <w:marRight w:val="0"/>
      <w:marTop w:val="0"/>
      <w:marBottom w:val="0"/>
      <w:divBdr>
        <w:top w:val="none" w:sz="0" w:space="0" w:color="auto"/>
        <w:left w:val="none" w:sz="0" w:space="0" w:color="auto"/>
        <w:bottom w:val="none" w:sz="0" w:space="0" w:color="auto"/>
        <w:right w:val="none" w:sz="0" w:space="0" w:color="auto"/>
      </w:divBdr>
    </w:div>
    <w:div w:id="1859781295">
      <w:bodyDiv w:val="1"/>
      <w:marLeft w:val="0"/>
      <w:marRight w:val="0"/>
      <w:marTop w:val="0"/>
      <w:marBottom w:val="0"/>
      <w:divBdr>
        <w:top w:val="none" w:sz="0" w:space="0" w:color="auto"/>
        <w:left w:val="none" w:sz="0" w:space="0" w:color="auto"/>
        <w:bottom w:val="none" w:sz="0" w:space="0" w:color="auto"/>
        <w:right w:val="none" w:sz="0" w:space="0" w:color="auto"/>
      </w:divBdr>
      <w:divsChild>
        <w:div w:id="147406284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2310879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5341630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14920558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3167745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5908240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7658775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2495429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9635322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597094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88016616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4892654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7419846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 w:id="1997806548">
      <w:bodyDiv w:val="1"/>
      <w:marLeft w:val="0"/>
      <w:marRight w:val="0"/>
      <w:marTop w:val="0"/>
      <w:marBottom w:val="0"/>
      <w:divBdr>
        <w:top w:val="none" w:sz="0" w:space="0" w:color="auto"/>
        <w:left w:val="none" w:sz="0" w:space="0" w:color="auto"/>
        <w:bottom w:val="none" w:sz="0" w:space="0" w:color="auto"/>
        <w:right w:val="none" w:sz="0" w:space="0" w:color="auto"/>
      </w:divBdr>
    </w:div>
    <w:div w:id="20950839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3.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5.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eader" Target="header4.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1395</Words>
  <Characters>7952</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2018-04-24T14:36:00Z</dcterms:created>
  <dcterms:modified xsi:type="dcterms:W3CDTF">2018-04-24T14:36:00Z</dcterms:modified>
</cp:coreProperties>
</file>