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363CB7"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1E0E960B" wp14:editId="309EF2D2">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2BC40B47" w14:textId="77777777" w:rsidR="003A18CF" w:rsidRDefault="003A18CF" w:rsidP="003A18CF">
      <w:pPr>
        <w:spacing w:line="240" w:lineRule="auto"/>
        <w:jc w:val="center"/>
        <w:outlineLvl w:val="0"/>
      </w:pPr>
    </w:p>
    <w:p w14:paraId="1AF1719F" w14:textId="77777777" w:rsidR="003A18CF" w:rsidRPr="00271C49" w:rsidRDefault="003A18CF" w:rsidP="003A18CF">
      <w:pPr>
        <w:spacing w:line="240" w:lineRule="auto"/>
        <w:jc w:val="center"/>
        <w:outlineLvl w:val="0"/>
        <w:rPr>
          <w:b/>
        </w:rPr>
      </w:pPr>
      <w:r w:rsidRPr="00271C49">
        <w:rPr>
          <w:b/>
        </w:rPr>
        <w:t>CONSTITUTIONAL COURT OF SOUTH AFRICA</w:t>
      </w:r>
    </w:p>
    <w:p w14:paraId="3BA09789" w14:textId="77777777" w:rsidR="003A18CF" w:rsidRDefault="003A18CF" w:rsidP="003A18CF">
      <w:pPr>
        <w:spacing w:line="240" w:lineRule="auto"/>
      </w:pPr>
    </w:p>
    <w:p w14:paraId="1AE23425" w14:textId="77777777" w:rsidR="003A18CF" w:rsidRPr="009C3888" w:rsidRDefault="003A18CF" w:rsidP="003A18CF">
      <w:pPr>
        <w:spacing w:line="240" w:lineRule="auto"/>
      </w:pPr>
    </w:p>
    <w:p w14:paraId="72F72CF4" w14:textId="77777777" w:rsidR="003A18CF" w:rsidRPr="00961263" w:rsidRDefault="003A18CF" w:rsidP="003A18CF">
      <w:pPr>
        <w:tabs>
          <w:tab w:val="right" w:pos="9029"/>
        </w:tabs>
        <w:spacing w:line="240" w:lineRule="auto"/>
      </w:pPr>
      <w:r w:rsidRPr="00961263">
        <w:tab/>
        <w:t xml:space="preserve">Case CCT </w:t>
      </w:r>
      <w:r w:rsidR="008B567E" w:rsidRPr="008B567E">
        <w:t>208</w:t>
      </w:r>
      <w:r w:rsidRPr="008B567E">
        <w:t>/</w:t>
      </w:r>
      <w:r w:rsidR="008B567E" w:rsidRPr="008B567E">
        <w:t>17</w:t>
      </w:r>
    </w:p>
    <w:p w14:paraId="0F8491B7" w14:textId="77777777" w:rsidR="003A18CF" w:rsidRDefault="003A18CF" w:rsidP="003A18CF">
      <w:pPr>
        <w:tabs>
          <w:tab w:val="left" w:pos="8998"/>
        </w:tabs>
        <w:spacing w:line="240" w:lineRule="auto"/>
      </w:pPr>
    </w:p>
    <w:p w14:paraId="6BD6E3BB" w14:textId="77777777" w:rsidR="003A18CF" w:rsidRPr="00E6071A" w:rsidRDefault="003A18CF" w:rsidP="003A18CF">
      <w:pPr>
        <w:tabs>
          <w:tab w:val="left" w:pos="8998"/>
        </w:tabs>
        <w:spacing w:line="240" w:lineRule="auto"/>
      </w:pPr>
      <w:r w:rsidRPr="00E6071A">
        <w:t>In the matter between:</w:t>
      </w:r>
    </w:p>
    <w:p w14:paraId="2DEB7D5D" w14:textId="77777777" w:rsidR="003A18CF" w:rsidRDefault="003A18CF" w:rsidP="003A18CF">
      <w:pPr>
        <w:tabs>
          <w:tab w:val="left" w:pos="8998"/>
        </w:tabs>
        <w:spacing w:line="240" w:lineRule="auto"/>
      </w:pPr>
    </w:p>
    <w:p w14:paraId="3E351926" w14:textId="77777777" w:rsidR="003A18CF" w:rsidRPr="009C3888" w:rsidRDefault="003A18CF" w:rsidP="003A18CF">
      <w:pPr>
        <w:tabs>
          <w:tab w:val="left" w:pos="8998"/>
        </w:tabs>
        <w:spacing w:line="240" w:lineRule="auto"/>
      </w:pPr>
    </w:p>
    <w:p w14:paraId="1612A1C5" w14:textId="77777777" w:rsidR="008B567E" w:rsidRPr="008B567E" w:rsidRDefault="008B567E" w:rsidP="008B567E">
      <w:pPr>
        <w:tabs>
          <w:tab w:val="right" w:pos="9029"/>
        </w:tabs>
        <w:spacing w:line="240" w:lineRule="auto"/>
        <w:rPr>
          <w:szCs w:val="26"/>
        </w:rPr>
      </w:pPr>
      <w:r w:rsidRPr="008B567E">
        <w:rPr>
          <w:b/>
          <w:szCs w:val="26"/>
        </w:rPr>
        <w:t>ALAN GEORGE MARSHALL N.O.</w:t>
      </w:r>
      <w:r w:rsidRPr="008B567E">
        <w:rPr>
          <w:szCs w:val="26"/>
        </w:rPr>
        <w:tab/>
        <w:t>First Applicant</w:t>
      </w:r>
    </w:p>
    <w:p w14:paraId="63D4C9AC" w14:textId="77777777" w:rsidR="008B567E" w:rsidRPr="008B567E" w:rsidRDefault="008B567E" w:rsidP="008B567E">
      <w:pPr>
        <w:tabs>
          <w:tab w:val="right" w:pos="9029"/>
        </w:tabs>
        <w:spacing w:line="240" w:lineRule="auto"/>
        <w:rPr>
          <w:szCs w:val="26"/>
        </w:rPr>
      </w:pPr>
    </w:p>
    <w:p w14:paraId="7549B3C8" w14:textId="77777777" w:rsidR="008B567E" w:rsidRPr="008B567E" w:rsidRDefault="008B567E" w:rsidP="008B567E">
      <w:pPr>
        <w:tabs>
          <w:tab w:val="right" w:pos="9029"/>
        </w:tabs>
        <w:spacing w:line="240" w:lineRule="auto"/>
        <w:rPr>
          <w:szCs w:val="26"/>
        </w:rPr>
      </w:pPr>
      <w:r w:rsidRPr="008B567E">
        <w:rPr>
          <w:b/>
          <w:szCs w:val="26"/>
        </w:rPr>
        <w:t>RENE PIETER DE WET N.O.</w:t>
      </w:r>
      <w:r w:rsidRPr="008B567E">
        <w:rPr>
          <w:szCs w:val="26"/>
        </w:rPr>
        <w:tab/>
        <w:t>Second Applicant</w:t>
      </w:r>
    </w:p>
    <w:p w14:paraId="2782F9DE" w14:textId="77777777" w:rsidR="008B567E" w:rsidRPr="008B567E" w:rsidRDefault="008B567E" w:rsidP="008B567E">
      <w:pPr>
        <w:tabs>
          <w:tab w:val="right" w:pos="9029"/>
        </w:tabs>
        <w:spacing w:line="240" w:lineRule="auto"/>
        <w:rPr>
          <w:szCs w:val="26"/>
        </w:rPr>
      </w:pPr>
    </w:p>
    <w:p w14:paraId="66B87703" w14:textId="77777777" w:rsidR="008B567E" w:rsidRPr="008B567E" w:rsidRDefault="008B567E" w:rsidP="008B567E">
      <w:pPr>
        <w:tabs>
          <w:tab w:val="right" w:pos="9029"/>
        </w:tabs>
        <w:spacing w:line="240" w:lineRule="auto"/>
        <w:rPr>
          <w:szCs w:val="26"/>
        </w:rPr>
      </w:pPr>
      <w:r w:rsidRPr="008B567E">
        <w:rPr>
          <w:b/>
          <w:szCs w:val="26"/>
        </w:rPr>
        <w:t>KNOWLEDGE LWAZI MBOYI N.O.</w:t>
      </w:r>
      <w:r w:rsidRPr="008B567E">
        <w:rPr>
          <w:szCs w:val="26"/>
        </w:rPr>
        <w:tab/>
        <w:t>Third Applicant</w:t>
      </w:r>
    </w:p>
    <w:p w14:paraId="4DBAA53A" w14:textId="77777777" w:rsidR="008B567E" w:rsidRPr="008B567E" w:rsidRDefault="008B567E" w:rsidP="008B567E">
      <w:pPr>
        <w:tabs>
          <w:tab w:val="right" w:pos="9029"/>
        </w:tabs>
        <w:spacing w:line="240" w:lineRule="auto"/>
        <w:rPr>
          <w:szCs w:val="26"/>
        </w:rPr>
      </w:pPr>
    </w:p>
    <w:p w14:paraId="0C617492" w14:textId="66E1D66E" w:rsidR="008B567E" w:rsidRPr="008B567E" w:rsidRDefault="008B567E" w:rsidP="008B567E">
      <w:pPr>
        <w:tabs>
          <w:tab w:val="right" w:pos="9029"/>
        </w:tabs>
        <w:spacing w:line="240" w:lineRule="auto"/>
        <w:rPr>
          <w:szCs w:val="26"/>
        </w:rPr>
      </w:pPr>
      <w:r w:rsidRPr="008B567E">
        <w:rPr>
          <w:b/>
          <w:szCs w:val="26"/>
        </w:rPr>
        <w:t>JOHN ANDREW DE</w:t>
      </w:r>
      <w:r w:rsidR="009A5F0F">
        <w:rPr>
          <w:b/>
          <w:szCs w:val="26"/>
        </w:rPr>
        <w:t xml:space="preserve"> BLAQUIERE</w:t>
      </w:r>
      <w:r w:rsidRPr="008B567E">
        <w:rPr>
          <w:b/>
          <w:szCs w:val="26"/>
        </w:rPr>
        <w:t xml:space="preserve"> MARTIN N.O.</w:t>
      </w:r>
      <w:r w:rsidRPr="008B567E">
        <w:rPr>
          <w:szCs w:val="26"/>
        </w:rPr>
        <w:tab/>
        <w:t>Fourth Applicant</w:t>
      </w:r>
    </w:p>
    <w:p w14:paraId="11C1B7FE" w14:textId="77777777" w:rsidR="008B567E" w:rsidRPr="008B567E" w:rsidRDefault="008B567E" w:rsidP="008B567E">
      <w:pPr>
        <w:tabs>
          <w:tab w:val="right" w:pos="9029"/>
        </w:tabs>
        <w:spacing w:line="240" w:lineRule="auto"/>
        <w:rPr>
          <w:szCs w:val="26"/>
        </w:rPr>
      </w:pPr>
    </w:p>
    <w:p w14:paraId="4FBC5288" w14:textId="3F7C9EA2" w:rsidR="008B567E" w:rsidRPr="008B567E" w:rsidRDefault="008B567E" w:rsidP="008B567E">
      <w:pPr>
        <w:tabs>
          <w:tab w:val="right" w:pos="9029"/>
        </w:tabs>
        <w:spacing w:line="240" w:lineRule="auto"/>
        <w:rPr>
          <w:szCs w:val="26"/>
        </w:rPr>
      </w:pPr>
      <w:r w:rsidRPr="008B567E">
        <w:rPr>
          <w:b/>
          <w:szCs w:val="26"/>
        </w:rPr>
        <w:t>RAY SI</w:t>
      </w:r>
      <w:r w:rsidR="004241E3">
        <w:rPr>
          <w:b/>
          <w:szCs w:val="26"/>
        </w:rPr>
        <w:t>P</w:t>
      </w:r>
      <w:r w:rsidRPr="008B567E">
        <w:rPr>
          <w:b/>
          <w:szCs w:val="26"/>
        </w:rPr>
        <w:t>HOSOMHLE SITHEMBELE MSENGANA N.O.</w:t>
      </w:r>
      <w:r w:rsidRPr="008B567E">
        <w:rPr>
          <w:szCs w:val="26"/>
        </w:rPr>
        <w:tab/>
        <w:t>Fifth Applicant</w:t>
      </w:r>
    </w:p>
    <w:p w14:paraId="06B6FB49" w14:textId="77777777" w:rsidR="008B567E" w:rsidRPr="008B567E" w:rsidRDefault="008B567E" w:rsidP="008B567E">
      <w:pPr>
        <w:tabs>
          <w:tab w:val="right" w:pos="9029"/>
        </w:tabs>
        <w:spacing w:line="240" w:lineRule="auto"/>
        <w:rPr>
          <w:szCs w:val="26"/>
        </w:rPr>
      </w:pPr>
    </w:p>
    <w:p w14:paraId="34D2C4C3" w14:textId="2ADE8D83" w:rsidR="008B567E" w:rsidRPr="008B567E" w:rsidRDefault="008B567E" w:rsidP="008B567E">
      <w:pPr>
        <w:tabs>
          <w:tab w:val="right" w:pos="9029"/>
        </w:tabs>
        <w:spacing w:line="240" w:lineRule="auto"/>
        <w:rPr>
          <w:szCs w:val="26"/>
        </w:rPr>
      </w:pPr>
      <w:r w:rsidRPr="008B567E">
        <w:rPr>
          <w:b/>
          <w:szCs w:val="26"/>
        </w:rPr>
        <w:t>KOVIN SHUNMUGA</w:t>
      </w:r>
      <w:r w:rsidR="004241E3">
        <w:rPr>
          <w:b/>
          <w:szCs w:val="26"/>
        </w:rPr>
        <w:t>N</w:t>
      </w:r>
      <w:r w:rsidRPr="008B567E">
        <w:rPr>
          <w:b/>
          <w:szCs w:val="26"/>
        </w:rPr>
        <w:t xml:space="preserve"> NAIDOO N.O.</w:t>
      </w:r>
      <w:r w:rsidRPr="008B567E">
        <w:rPr>
          <w:szCs w:val="26"/>
        </w:rPr>
        <w:tab/>
        <w:t>Sixth Applicant</w:t>
      </w:r>
    </w:p>
    <w:p w14:paraId="14D32AE2" w14:textId="77777777" w:rsidR="008B567E" w:rsidRPr="008B567E" w:rsidRDefault="008B567E" w:rsidP="008B567E">
      <w:pPr>
        <w:tabs>
          <w:tab w:val="right" w:pos="9029"/>
        </w:tabs>
        <w:spacing w:line="240" w:lineRule="auto"/>
        <w:rPr>
          <w:szCs w:val="26"/>
        </w:rPr>
      </w:pPr>
    </w:p>
    <w:p w14:paraId="0420E2DE" w14:textId="77777777" w:rsidR="008B567E" w:rsidRPr="008B567E" w:rsidRDefault="008B567E" w:rsidP="008B567E">
      <w:pPr>
        <w:tabs>
          <w:tab w:val="right" w:pos="9029"/>
        </w:tabs>
        <w:spacing w:line="240" w:lineRule="auto"/>
        <w:rPr>
          <w:szCs w:val="26"/>
        </w:rPr>
      </w:pPr>
      <w:r w:rsidRPr="008B567E">
        <w:rPr>
          <w:b/>
          <w:szCs w:val="26"/>
        </w:rPr>
        <w:t>SAMSON MAKHUDU GULUBE N.O.</w:t>
      </w:r>
      <w:r w:rsidRPr="008B567E">
        <w:rPr>
          <w:szCs w:val="26"/>
        </w:rPr>
        <w:tab/>
        <w:t>Seventh Applicant</w:t>
      </w:r>
    </w:p>
    <w:p w14:paraId="7CAC0C0D" w14:textId="77777777" w:rsidR="003A18CF" w:rsidRPr="00EE02D5" w:rsidRDefault="003A18CF" w:rsidP="003A18CF">
      <w:pPr>
        <w:spacing w:line="240" w:lineRule="auto"/>
        <w:rPr>
          <w:szCs w:val="26"/>
        </w:rPr>
      </w:pPr>
    </w:p>
    <w:p w14:paraId="6F5751C5" w14:textId="77777777" w:rsidR="003A18CF" w:rsidRPr="00EE02D5" w:rsidRDefault="003A18CF" w:rsidP="003A18CF">
      <w:pPr>
        <w:spacing w:line="240" w:lineRule="auto"/>
        <w:rPr>
          <w:szCs w:val="26"/>
        </w:rPr>
      </w:pPr>
      <w:r w:rsidRPr="00EE02D5">
        <w:rPr>
          <w:szCs w:val="26"/>
        </w:rPr>
        <w:t>and</w:t>
      </w:r>
    </w:p>
    <w:p w14:paraId="03E8E6EF" w14:textId="77777777" w:rsidR="003A18CF" w:rsidRPr="00EE02D5" w:rsidRDefault="003A18CF" w:rsidP="003A18CF">
      <w:pPr>
        <w:spacing w:line="240" w:lineRule="auto"/>
        <w:rPr>
          <w:szCs w:val="26"/>
        </w:rPr>
      </w:pPr>
    </w:p>
    <w:p w14:paraId="18F015C0" w14:textId="77777777" w:rsidR="008B567E" w:rsidRPr="008B567E" w:rsidRDefault="008B567E" w:rsidP="008B567E">
      <w:pPr>
        <w:tabs>
          <w:tab w:val="right" w:pos="9029"/>
        </w:tabs>
        <w:spacing w:line="240" w:lineRule="auto"/>
        <w:rPr>
          <w:b/>
          <w:szCs w:val="26"/>
        </w:rPr>
      </w:pPr>
      <w:r w:rsidRPr="008B567E">
        <w:rPr>
          <w:b/>
          <w:szCs w:val="26"/>
        </w:rPr>
        <w:t>COMMISSIONER FOR THE</w:t>
      </w:r>
    </w:p>
    <w:p w14:paraId="4D7F1FB2" w14:textId="77777777" w:rsidR="008B567E" w:rsidRPr="008B567E" w:rsidRDefault="008B567E" w:rsidP="008B567E">
      <w:pPr>
        <w:tabs>
          <w:tab w:val="right" w:pos="9029"/>
        </w:tabs>
        <w:spacing w:line="240" w:lineRule="auto"/>
        <w:rPr>
          <w:szCs w:val="26"/>
        </w:rPr>
      </w:pPr>
      <w:r w:rsidRPr="008B567E">
        <w:rPr>
          <w:b/>
          <w:szCs w:val="26"/>
        </w:rPr>
        <w:t>SOUTH AFRICAN REVENUE SERVICE</w:t>
      </w:r>
      <w:r w:rsidRPr="008B567E">
        <w:rPr>
          <w:szCs w:val="26"/>
        </w:rPr>
        <w:tab/>
        <w:t>Respondent</w:t>
      </w:r>
    </w:p>
    <w:p w14:paraId="20EFCB4E" w14:textId="77777777" w:rsidR="003A18CF" w:rsidRDefault="003A18CF" w:rsidP="003A18CF">
      <w:pPr>
        <w:spacing w:line="240" w:lineRule="auto"/>
      </w:pPr>
    </w:p>
    <w:p w14:paraId="2A57286F" w14:textId="77777777" w:rsidR="003A18CF" w:rsidRPr="009C3888" w:rsidRDefault="003A18CF" w:rsidP="003A18CF">
      <w:pPr>
        <w:spacing w:line="240" w:lineRule="auto"/>
      </w:pPr>
    </w:p>
    <w:p w14:paraId="6CB6ED88" w14:textId="77777777" w:rsidR="003A18CF" w:rsidRPr="009C3888" w:rsidRDefault="003A18CF" w:rsidP="003A18CF">
      <w:pPr>
        <w:spacing w:line="240" w:lineRule="auto"/>
      </w:pPr>
    </w:p>
    <w:p w14:paraId="40C377FD" w14:textId="4651B7C1" w:rsidR="003A18CF" w:rsidRPr="00F05BBD" w:rsidRDefault="003A18CF" w:rsidP="003A18CF">
      <w:pPr>
        <w:spacing w:line="240" w:lineRule="auto"/>
        <w:ind w:left="2160" w:hanging="2160"/>
      </w:pPr>
      <w:r w:rsidRPr="00E178E6">
        <w:rPr>
          <w:b/>
        </w:rPr>
        <w:t>Neutral citation:</w:t>
      </w:r>
      <w:r w:rsidRPr="00E178E6">
        <w:tab/>
      </w:r>
      <w:r w:rsidR="00AD265D" w:rsidRPr="00E178E6">
        <w:rPr>
          <w:i/>
        </w:rPr>
        <w:t xml:space="preserve">Marshall </w:t>
      </w:r>
      <w:r w:rsidRPr="00E178E6">
        <w:rPr>
          <w:i/>
        </w:rPr>
        <w:t xml:space="preserve">and Others v </w:t>
      </w:r>
      <w:r w:rsidR="00AD265D" w:rsidRPr="00E178E6">
        <w:rPr>
          <w:i/>
        </w:rPr>
        <w:t>Commissioner</w:t>
      </w:r>
      <w:r w:rsidR="0066607A" w:rsidRPr="00E178E6">
        <w:rPr>
          <w:i/>
        </w:rPr>
        <w:t>,</w:t>
      </w:r>
      <w:r w:rsidR="00AD265D" w:rsidRPr="00E178E6">
        <w:rPr>
          <w:i/>
        </w:rPr>
        <w:t xml:space="preserve"> South African Revenue Service</w:t>
      </w:r>
      <w:r w:rsidRPr="00E178E6">
        <w:rPr>
          <w:i/>
        </w:rPr>
        <w:t xml:space="preserve"> </w:t>
      </w:r>
      <w:r w:rsidRPr="00E178E6">
        <w:t>[</w:t>
      </w:r>
      <w:r w:rsidR="00AD265D" w:rsidRPr="00E178E6">
        <w:t>2018</w:t>
      </w:r>
      <w:r w:rsidRPr="00E178E6">
        <w:t xml:space="preserve">] ZACC </w:t>
      </w:r>
      <w:r w:rsidR="00E178E6" w:rsidRPr="00E178E6">
        <w:t>11</w:t>
      </w:r>
    </w:p>
    <w:p w14:paraId="25DEE8DF" w14:textId="77777777" w:rsidR="003A18CF" w:rsidRDefault="003A18CF" w:rsidP="003A18CF">
      <w:pPr>
        <w:spacing w:line="240" w:lineRule="auto"/>
      </w:pPr>
    </w:p>
    <w:p w14:paraId="7398832F" w14:textId="0917F62D" w:rsidR="003A18CF" w:rsidRDefault="003A18CF" w:rsidP="003A18CF">
      <w:pPr>
        <w:spacing w:line="240" w:lineRule="auto"/>
        <w:ind w:left="2160" w:hanging="2160"/>
      </w:pPr>
      <w:r w:rsidRPr="008B40EE">
        <w:rPr>
          <w:b/>
        </w:rPr>
        <w:t>Coram:</w:t>
      </w:r>
      <w:r>
        <w:tab/>
      </w:r>
      <w:r w:rsidR="008B567E" w:rsidRPr="008B567E">
        <w:t xml:space="preserve">Mogoeng CJ, Zondo DCJ, Cameron J, Froneman J, Jafta J, </w:t>
      </w:r>
      <w:r w:rsidR="0066607A" w:rsidRPr="008B567E">
        <w:t>Kathree</w:t>
      </w:r>
      <w:r w:rsidR="0066607A" w:rsidRPr="008B567E">
        <w:noBreakHyphen/>
        <w:t>Setiloane AJ,</w:t>
      </w:r>
      <w:r w:rsidR="0066607A">
        <w:t xml:space="preserve"> </w:t>
      </w:r>
      <w:r w:rsidR="008B567E" w:rsidRPr="008B567E">
        <w:t>Kollapen AJ, Madlanga J, Mhlantla J, Theron J and Zondi AJ</w:t>
      </w:r>
    </w:p>
    <w:p w14:paraId="3CED898D" w14:textId="77777777" w:rsidR="003A18CF" w:rsidRDefault="003A18CF" w:rsidP="003A18CF">
      <w:pPr>
        <w:spacing w:line="240" w:lineRule="auto"/>
      </w:pPr>
    </w:p>
    <w:p w14:paraId="6C6EC192" w14:textId="37475C8B" w:rsidR="00AE7143" w:rsidRDefault="00AE7143" w:rsidP="002C1C09">
      <w:pPr>
        <w:spacing w:line="240" w:lineRule="auto"/>
        <w:ind w:left="2160" w:hanging="2160"/>
      </w:pPr>
      <w:r w:rsidRPr="00E178E6">
        <w:rPr>
          <w:b/>
        </w:rPr>
        <w:t>Judgments:</w:t>
      </w:r>
      <w:r w:rsidRPr="00E178E6">
        <w:tab/>
      </w:r>
      <w:r w:rsidR="005E5AD4" w:rsidRPr="00E178E6">
        <w:t>Froneman J</w:t>
      </w:r>
      <w:r w:rsidR="000F60D9">
        <w:t xml:space="preserve"> (unanimous)</w:t>
      </w:r>
    </w:p>
    <w:p w14:paraId="06F70C2D" w14:textId="77777777" w:rsidR="003A18CF" w:rsidRPr="009C3888" w:rsidRDefault="003A18CF">
      <w:pPr>
        <w:spacing w:line="240" w:lineRule="auto"/>
        <w:ind w:left="2160" w:hanging="2160"/>
      </w:pPr>
    </w:p>
    <w:p w14:paraId="4E9ACCEC" w14:textId="4B6BCDE0" w:rsidR="003A18CF" w:rsidRDefault="003A18CF" w:rsidP="0044313C">
      <w:pPr>
        <w:spacing w:line="240" w:lineRule="auto"/>
        <w:ind w:left="2160" w:hanging="2160"/>
      </w:pPr>
      <w:r w:rsidRPr="008B40EE">
        <w:rPr>
          <w:b/>
        </w:rPr>
        <w:t>Decided on:</w:t>
      </w:r>
      <w:r>
        <w:tab/>
      </w:r>
      <w:r w:rsidR="00E178E6" w:rsidRPr="00E178E6">
        <w:t>25 April 2018</w:t>
      </w:r>
    </w:p>
    <w:p w14:paraId="23B46AE1" w14:textId="77777777" w:rsidR="004110F6" w:rsidRDefault="004110F6" w:rsidP="003A18CF">
      <w:pPr>
        <w:spacing w:line="240" w:lineRule="auto"/>
      </w:pPr>
    </w:p>
    <w:p w14:paraId="31DC2488" w14:textId="019829EF" w:rsidR="004D02BA" w:rsidRPr="004D02BA" w:rsidRDefault="004D02BA" w:rsidP="00E178E6">
      <w:pPr>
        <w:spacing w:line="240" w:lineRule="auto"/>
        <w:ind w:left="2160" w:hanging="2160"/>
        <w:rPr>
          <w:highlight w:val="yellow"/>
        </w:rPr>
      </w:pPr>
      <w:r>
        <w:rPr>
          <w:b/>
        </w:rPr>
        <w:lastRenderedPageBreak/>
        <w:t>Summary:</w:t>
      </w:r>
      <w:r>
        <w:rPr>
          <w:b/>
        </w:rPr>
        <w:tab/>
      </w:r>
      <w:r w:rsidR="00E178E6">
        <w:t>Interpretation of statutes</w:t>
      </w:r>
      <w:r w:rsidRPr="00542F53">
        <w:t xml:space="preserve"> </w:t>
      </w:r>
      <w:r w:rsidR="006724E0">
        <w:t>—</w:t>
      </w:r>
      <w:r w:rsidRPr="00542F53">
        <w:t xml:space="preserve"> </w:t>
      </w:r>
      <w:r w:rsidR="0087767C">
        <w:t>v</w:t>
      </w:r>
      <w:r w:rsidR="00E178E6">
        <w:t>alue Added Tax Act</w:t>
      </w:r>
      <w:r w:rsidRPr="00542F53">
        <w:t xml:space="preserve"> </w:t>
      </w:r>
      <w:r w:rsidR="006724E0">
        <w:t>—</w:t>
      </w:r>
      <w:r w:rsidRPr="00542F53">
        <w:t xml:space="preserve"> </w:t>
      </w:r>
      <w:r w:rsidR="0087767C">
        <w:t>a</w:t>
      </w:r>
      <w:r w:rsidR="00E178E6">
        <w:t>ppropriateness of Judicial deference.</w:t>
      </w:r>
    </w:p>
    <w:p w14:paraId="65725277" w14:textId="77777777" w:rsidR="004D02BA" w:rsidRDefault="004D02BA" w:rsidP="004D02BA">
      <w:pPr>
        <w:spacing w:line="240" w:lineRule="auto"/>
      </w:pPr>
    </w:p>
    <w:p w14:paraId="6DD28FFF" w14:textId="77777777" w:rsidR="004D02BA" w:rsidRDefault="004D02BA" w:rsidP="004D02BA">
      <w:pPr>
        <w:spacing w:line="240" w:lineRule="auto"/>
      </w:pPr>
    </w:p>
    <w:p w14:paraId="41EB11A3" w14:textId="77777777" w:rsidR="004D02BA" w:rsidRPr="004110F6" w:rsidRDefault="004D02BA" w:rsidP="004D02BA">
      <w:pPr>
        <w:spacing w:line="240" w:lineRule="auto"/>
      </w:pPr>
    </w:p>
    <w:p w14:paraId="7210788C" w14:textId="77777777" w:rsidR="003A18CF" w:rsidRPr="009C3888" w:rsidRDefault="003A18CF" w:rsidP="003A18CF">
      <w:pPr>
        <w:keepNext/>
        <w:pBdr>
          <w:top w:val="single" w:sz="4" w:space="1" w:color="auto"/>
          <w:bottom w:val="single" w:sz="4" w:space="1" w:color="auto"/>
        </w:pBdr>
        <w:spacing w:line="240" w:lineRule="auto"/>
        <w:jc w:val="center"/>
      </w:pPr>
    </w:p>
    <w:p w14:paraId="7CED86FF"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3F60D375" w14:textId="77777777" w:rsidR="003A18CF" w:rsidRPr="009C3888" w:rsidRDefault="003A18CF" w:rsidP="003A18CF">
      <w:pPr>
        <w:pBdr>
          <w:top w:val="single" w:sz="4" w:space="1" w:color="auto"/>
          <w:bottom w:val="single" w:sz="4" w:space="1" w:color="auto"/>
        </w:pBdr>
        <w:spacing w:line="240" w:lineRule="auto"/>
        <w:jc w:val="center"/>
      </w:pPr>
    </w:p>
    <w:p w14:paraId="009CFBDC" w14:textId="77777777" w:rsidR="003A18CF" w:rsidRDefault="003A18CF" w:rsidP="003A18CF">
      <w:pPr>
        <w:spacing w:line="240" w:lineRule="auto"/>
      </w:pPr>
    </w:p>
    <w:p w14:paraId="2176DDEC" w14:textId="77777777" w:rsidR="003A18CF" w:rsidRPr="009C3888" w:rsidRDefault="003A18CF" w:rsidP="003A18CF">
      <w:pPr>
        <w:spacing w:line="240" w:lineRule="auto"/>
      </w:pPr>
    </w:p>
    <w:p w14:paraId="02094F5A" w14:textId="53CC5FC5" w:rsidR="008F3021" w:rsidRDefault="003A18CF" w:rsidP="008F3021">
      <w:pPr>
        <w:pStyle w:val="JUDGMENTCONTINUED"/>
      </w:pPr>
      <w:r w:rsidRPr="00E178E6">
        <w:t>On appeal</w:t>
      </w:r>
      <w:r w:rsidR="00F45DC4" w:rsidRPr="00E178E6">
        <w:t xml:space="preserve"> from </w:t>
      </w:r>
      <w:r w:rsidRPr="00E178E6">
        <w:t xml:space="preserve">the </w:t>
      </w:r>
      <w:r w:rsidR="008F3021" w:rsidRPr="00E178E6">
        <w:t>Supreme Court of Appeal</w:t>
      </w:r>
      <w:r w:rsidRPr="00E178E6">
        <w:t>:</w:t>
      </w:r>
    </w:p>
    <w:p w14:paraId="3EFD104F" w14:textId="77777777" w:rsidR="008F3021" w:rsidRPr="008F3021" w:rsidRDefault="008F3021" w:rsidP="009A5F0F">
      <w:pPr>
        <w:pStyle w:val="JUDGMENTNUMBERED"/>
        <w:numPr>
          <w:ilvl w:val="0"/>
          <w:numId w:val="0"/>
        </w:numPr>
      </w:pPr>
    </w:p>
    <w:p w14:paraId="0E58A39D" w14:textId="28DA8C31" w:rsidR="00E513CF" w:rsidRDefault="00E513CF" w:rsidP="008C7613">
      <w:pPr>
        <w:pStyle w:val="JUDGMENTCONTINUED"/>
        <w:numPr>
          <w:ilvl w:val="0"/>
          <w:numId w:val="14"/>
        </w:numPr>
        <w:ind w:left="1440" w:hanging="720"/>
      </w:pPr>
      <w:r>
        <w:t>Condonation is granted for the late filing of the application for leave to appeal.</w:t>
      </w:r>
    </w:p>
    <w:p w14:paraId="3245244B" w14:textId="73EE7E88" w:rsidR="0060086A" w:rsidRPr="0060086A" w:rsidRDefault="008F3021" w:rsidP="008C7613">
      <w:pPr>
        <w:pStyle w:val="JUDGMENTCONTINUED"/>
        <w:numPr>
          <w:ilvl w:val="0"/>
          <w:numId w:val="14"/>
        </w:numPr>
        <w:ind w:left="1440" w:hanging="720"/>
      </w:pPr>
      <w:r w:rsidRPr="008F3021">
        <w:t>The application for leave to appeal is dismissed.</w:t>
      </w:r>
    </w:p>
    <w:p w14:paraId="0A6AD153" w14:textId="7B175837" w:rsidR="003A18CF" w:rsidRDefault="003A18CF" w:rsidP="008F3021">
      <w:pPr>
        <w:pStyle w:val="JUDGMENTCONTINUED"/>
      </w:pPr>
    </w:p>
    <w:p w14:paraId="3EED253C" w14:textId="77777777" w:rsidR="003A18CF" w:rsidRDefault="003A18CF" w:rsidP="00C74761">
      <w:pPr>
        <w:spacing w:line="240" w:lineRule="auto"/>
      </w:pPr>
    </w:p>
    <w:p w14:paraId="2ABA3E99" w14:textId="77777777" w:rsidR="00CB0CB2" w:rsidRPr="00CB0CB2" w:rsidRDefault="00CB0CB2" w:rsidP="000C38CF">
      <w:pPr>
        <w:pStyle w:val="JUDGMENTCONTINUED"/>
      </w:pPr>
    </w:p>
    <w:p w14:paraId="46003837" w14:textId="77777777" w:rsidR="00CB0CB2" w:rsidRDefault="00CB0CB2" w:rsidP="000C38CF">
      <w:pPr>
        <w:pStyle w:val="JUDGMENTCONTINUED"/>
        <w:sectPr w:rsidR="00CB0CB2" w:rsidSect="009559B5">
          <w:footerReference w:type="default" r:id="rId8"/>
          <w:pgSz w:w="11907" w:h="16839" w:code="9"/>
          <w:pgMar w:top="1440" w:right="1440" w:bottom="1440" w:left="1440" w:header="708" w:footer="708" w:gutter="0"/>
          <w:pgNumType w:start="1"/>
          <w:cols w:space="708"/>
          <w:titlePg/>
          <w:docGrid w:linePitch="360"/>
        </w:sectPr>
      </w:pPr>
    </w:p>
    <w:p w14:paraId="11797E82" w14:textId="77777777" w:rsidR="000704F2" w:rsidRPr="009C3888" w:rsidRDefault="000704F2" w:rsidP="00F245CE">
      <w:pPr>
        <w:keepNext/>
        <w:pBdr>
          <w:top w:val="single" w:sz="4" w:space="1" w:color="auto"/>
          <w:bottom w:val="single" w:sz="4" w:space="1" w:color="auto"/>
        </w:pBdr>
        <w:spacing w:line="240" w:lineRule="auto"/>
        <w:jc w:val="center"/>
      </w:pPr>
    </w:p>
    <w:p w14:paraId="7CF7039C" w14:textId="77777777"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2B527554" w14:textId="77777777" w:rsidR="000704F2" w:rsidRPr="009C3888" w:rsidRDefault="000704F2" w:rsidP="000704F2">
      <w:pPr>
        <w:pBdr>
          <w:top w:val="single" w:sz="4" w:space="1" w:color="auto"/>
          <w:bottom w:val="single" w:sz="4" w:space="1" w:color="auto"/>
        </w:pBdr>
        <w:spacing w:line="240" w:lineRule="auto"/>
        <w:jc w:val="center"/>
      </w:pPr>
    </w:p>
    <w:p w14:paraId="156BE286" w14:textId="77777777" w:rsidR="000704F2" w:rsidRPr="009C3888" w:rsidRDefault="000704F2" w:rsidP="000704F2">
      <w:pPr>
        <w:spacing w:line="240" w:lineRule="auto"/>
      </w:pPr>
    </w:p>
    <w:p w14:paraId="66DDDB56" w14:textId="77777777" w:rsidR="00F12F57" w:rsidRDefault="00F12F57" w:rsidP="000704F2">
      <w:pPr>
        <w:spacing w:line="240" w:lineRule="auto"/>
      </w:pPr>
    </w:p>
    <w:p w14:paraId="683455F8" w14:textId="77777777" w:rsidR="006E3711" w:rsidRPr="009C3888" w:rsidRDefault="006E3711" w:rsidP="000704F2">
      <w:pPr>
        <w:spacing w:line="240" w:lineRule="auto"/>
      </w:pPr>
    </w:p>
    <w:p w14:paraId="3AD3023B" w14:textId="74DE6B34" w:rsidR="000704F2" w:rsidRPr="009C3888" w:rsidRDefault="008B567E" w:rsidP="001C050A">
      <w:pPr>
        <w:spacing w:line="240" w:lineRule="auto"/>
        <w:outlineLvl w:val="0"/>
      </w:pPr>
      <w:r>
        <w:t>FRONEMAN J</w:t>
      </w:r>
      <w:r w:rsidR="003644DF">
        <w:t xml:space="preserve"> (</w:t>
      </w:r>
      <w:r w:rsidR="00E178E6" w:rsidRPr="008B567E">
        <w:t>Mogoeng CJ, Zondo DCJ, Cameron J, Froneman J, Jafta J, Kathree</w:t>
      </w:r>
      <w:r w:rsidR="00E178E6" w:rsidRPr="008B567E">
        <w:noBreakHyphen/>
        <w:t>Setiloane AJ,</w:t>
      </w:r>
      <w:r w:rsidR="00E178E6">
        <w:t xml:space="preserve"> </w:t>
      </w:r>
      <w:r w:rsidR="00E178E6" w:rsidRPr="008B567E">
        <w:t>Kollapen AJ, Madlanga J, Mhlantla J, Theron J and Zondi AJ</w:t>
      </w:r>
      <w:r w:rsidR="00E178E6">
        <w:t> concurring</w:t>
      </w:r>
      <w:r w:rsidR="003644DF">
        <w:t>)</w:t>
      </w:r>
      <w:r w:rsidR="00AE7602" w:rsidRPr="009C3888">
        <w:t>:</w:t>
      </w:r>
    </w:p>
    <w:p w14:paraId="4C0963EE" w14:textId="77777777" w:rsidR="00AE7602" w:rsidRPr="009C3888" w:rsidRDefault="00AE7602" w:rsidP="000704F2">
      <w:pPr>
        <w:spacing w:line="240" w:lineRule="auto"/>
      </w:pPr>
    </w:p>
    <w:p w14:paraId="1F4B7AC7" w14:textId="77777777" w:rsidR="00AE7602" w:rsidRPr="009C3888" w:rsidRDefault="00AE7602" w:rsidP="000704F2">
      <w:pPr>
        <w:spacing w:line="240" w:lineRule="auto"/>
      </w:pPr>
    </w:p>
    <w:p w14:paraId="2DB1EB8D" w14:textId="36D745D8" w:rsidR="00860C4E" w:rsidRDefault="005D0555" w:rsidP="000C38CF">
      <w:pPr>
        <w:pStyle w:val="JUDGMENTNUMBERED"/>
      </w:pPr>
      <w:r>
        <w:t>This is an application for leave to appeal</w:t>
      </w:r>
      <w:r w:rsidR="00433673">
        <w:t xml:space="preserve"> against a decision of the Supreme Court of Appeal</w:t>
      </w:r>
      <w:r w:rsidR="00433673">
        <w:rPr>
          <w:rStyle w:val="FootnoteReference"/>
        </w:rPr>
        <w:footnoteReference w:id="1"/>
      </w:r>
      <w:r w:rsidR="00433673">
        <w:t xml:space="preserve"> on the proper interpretation of sections 8(5) and 11(2)(n) of t</w:t>
      </w:r>
      <w:r w:rsidR="008F3207">
        <w:t>he Value Added Tax Act</w:t>
      </w:r>
      <w:r w:rsidR="00433673">
        <w:t>.</w:t>
      </w:r>
      <w:r w:rsidR="00433673">
        <w:rPr>
          <w:rStyle w:val="FootnoteReference"/>
        </w:rPr>
        <w:footnoteReference w:id="2"/>
      </w:r>
      <w:r w:rsidR="00433673">
        <w:t xml:space="preserve"> </w:t>
      </w:r>
      <w:r w:rsidR="00736CAB">
        <w:t xml:space="preserve"> </w:t>
      </w:r>
      <w:r w:rsidR="00433673">
        <w:t xml:space="preserve">The effect of the </w:t>
      </w:r>
      <w:r w:rsidR="006D5B52">
        <w:t>S</w:t>
      </w:r>
      <w:r w:rsidR="00D76CA3">
        <w:t xml:space="preserve">upreme </w:t>
      </w:r>
      <w:r w:rsidR="006D5B52">
        <w:t>C</w:t>
      </w:r>
      <w:r w:rsidR="00D76CA3">
        <w:t xml:space="preserve">ourt of </w:t>
      </w:r>
      <w:r w:rsidR="006D5B52">
        <w:t>A</w:t>
      </w:r>
      <w:r w:rsidR="00D76CA3">
        <w:t>ppeal</w:t>
      </w:r>
      <w:r w:rsidR="006D5B52">
        <w:t xml:space="preserve"> </w:t>
      </w:r>
      <w:r w:rsidR="00433673">
        <w:t>decision is that the South African Red Cross Air Mercy Service Trust (Trust)</w:t>
      </w:r>
      <w:r w:rsidR="006D5B52">
        <w:rPr>
          <w:rStyle w:val="FootnoteReference"/>
        </w:rPr>
        <w:footnoteReference w:id="3"/>
      </w:r>
      <w:r w:rsidR="006D5B52">
        <w:t xml:space="preserve"> </w:t>
      </w:r>
      <w:r w:rsidR="00433673">
        <w:t xml:space="preserve">is not exempt from paying Value Added </w:t>
      </w:r>
      <w:r w:rsidR="00433673">
        <w:lastRenderedPageBreak/>
        <w:t xml:space="preserve">Tax (VAT) </w:t>
      </w:r>
      <w:r w:rsidR="00AB7484">
        <w:t xml:space="preserve">on payments it receives </w:t>
      </w:r>
      <w:r w:rsidR="00433673">
        <w:t>for actual services it renders to provincial health departments.</w:t>
      </w:r>
    </w:p>
    <w:p w14:paraId="1DA65019" w14:textId="77777777" w:rsidR="008B567E" w:rsidRDefault="008B567E" w:rsidP="008B567E">
      <w:pPr>
        <w:pStyle w:val="JUDGMENTCONTINUED"/>
      </w:pPr>
    </w:p>
    <w:p w14:paraId="105B9AB0" w14:textId="42E0C660" w:rsidR="008B567E" w:rsidRDefault="008F3207" w:rsidP="008B567E">
      <w:pPr>
        <w:pStyle w:val="JUDGMENTNUMBERED"/>
      </w:pPr>
      <w:r>
        <w:t>In the course of coming to her conclusion on the proper interpretation of the relevant sections of the Act</w:t>
      </w:r>
      <w:r w:rsidR="00313811">
        <w:t>,</w:t>
      </w:r>
      <w:r>
        <w:t xml:space="preserve"> Dambuza J</w:t>
      </w:r>
      <w:r w:rsidR="000B0EF5">
        <w:t>A</w:t>
      </w:r>
      <w:r>
        <w:t xml:space="preserve">, writing for a unanimous court, referred to </w:t>
      </w:r>
      <w:r w:rsidR="00A01BE3">
        <w:t>I</w:t>
      </w:r>
      <w:r>
        <w:t xml:space="preserve">nterpretation </w:t>
      </w:r>
      <w:r w:rsidR="00A01BE3">
        <w:t>N</w:t>
      </w:r>
      <w:r>
        <w:t>ote</w:t>
      </w:r>
      <w:r w:rsidR="00D76CA3">
        <w:t>s</w:t>
      </w:r>
      <w:r>
        <w:t xml:space="preserve"> issued by the South African Revenue Services on 8 February 2013, setting out the VAT treatment of public authorities before and after April 2005.</w:t>
      </w:r>
      <w:r>
        <w:rPr>
          <w:rStyle w:val="FootnoteReference"/>
        </w:rPr>
        <w:footnoteReference w:id="4"/>
      </w:r>
      <w:r>
        <w:t xml:space="preserve"> </w:t>
      </w:r>
      <w:r w:rsidR="00721B8A">
        <w:t>She commented:</w:t>
      </w:r>
      <w:r w:rsidR="008F0182">
        <w:t xml:space="preserve"> </w:t>
      </w:r>
    </w:p>
    <w:p w14:paraId="182B0C58" w14:textId="77777777" w:rsidR="008F0182" w:rsidRPr="008F0182" w:rsidRDefault="008F0182" w:rsidP="002C1C09">
      <w:pPr>
        <w:pStyle w:val="QUOTATION"/>
      </w:pPr>
    </w:p>
    <w:p w14:paraId="254A0FFB" w14:textId="248AE6AC" w:rsidR="00721B8A" w:rsidRDefault="00721B8A">
      <w:pPr>
        <w:pStyle w:val="QUOTATION"/>
      </w:pPr>
      <w:r>
        <w:t>“These Interpretation Notes, though not binding on the courts or a taxpayer, constitute persuasive explanations in relation to the interpretation and application of the statutory provision in question. Interpretation Note 39 has been in circulation for years and has not been brought into contention until now.”</w:t>
      </w:r>
      <w:r w:rsidR="00932117">
        <w:rPr>
          <w:rStyle w:val="FootnoteReference"/>
        </w:rPr>
        <w:footnoteReference w:id="5"/>
      </w:r>
      <w:r w:rsidR="002A3C33">
        <w:t xml:space="preserve"> (F</w:t>
      </w:r>
      <w:r w:rsidR="004527A9">
        <w:t>ootnote omitted</w:t>
      </w:r>
      <w:r w:rsidR="00427AAF">
        <w:t>.</w:t>
      </w:r>
      <w:r w:rsidR="004527A9">
        <w:t>)</w:t>
      </w:r>
    </w:p>
    <w:p w14:paraId="5F6686F3" w14:textId="77777777" w:rsidR="008F0182" w:rsidRPr="008F0182" w:rsidRDefault="008F0182" w:rsidP="009A5F0F">
      <w:pPr>
        <w:pStyle w:val="JUDGMENTCONTINUED"/>
      </w:pPr>
    </w:p>
    <w:p w14:paraId="2553D2F2" w14:textId="77777777" w:rsidR="00C61AFD" w:rsidRPr="00C61AFD" w:rsidRDefault="00C61AFD" w:rsidP="00C61AFD">
      <w:pPr>
        <w:pStyle w:val="JUDGMENTCONTINUED"/>
      </w:pPr>
      <w:r>
        <w:t>The note accorded with the interpretation she gave to the relevant sections of the Act.</w:t>
      </w:r>
    </w:p>
    <w:p w14:paraId="1BD061B0" w14:textId="77777777" w:rsidR="00721B8A" w:rsidRDefault="00721B8A" w:rsidP="00721B8A">
      <w:pPr>
        <w:pStyle w:val="JUDGMENTCONTINUED"/>
      </w:pPr>
    </w:p>
    <w:p w14:paraId="24405343" w14:textId="77777777" w:rsidR="00721B8A" w:rsidRDefault="00721B8A" w:rsidP="00721B8A">
      <w:pPr>
        <w:pStyle w:val="JUDGMENTNUMBERED"/>
      </w:pPr>
      <w:r>
        <w:t>The parties were invited to file written submissions on the extent to which a court may consider or defer to an administrative body’s interpretation of legislation, such as the Interpretation Note, and whether the approach of the Supreme Court of Appeal was in accordance with this.</w:t>
      </w:r>
    </w:p>
    <w:p w14:paraId="52C6FF44" w14:textId="77777777" w:rsidR="004E7B71" w:rsidRDefault="004E7B71" w:rsidP="004E7B71">
      <w:pPr>
        <w:pStyle w:val="JUDGMENTCONTINUED"/>
      </w:pPr>
    </w:p>
    <w:p w14:paraId="373BA9F2" w14:textId="1B11C414" w:rsidR="004E7B71" w:rsidRDefault="004E7B71" w:rsidP="004E7B71">
      <w:pPr>
        <w:pStyle w:val="JUDGMENTNUMBERED"/>
      </w:pPr>
      <w:r>
        <w:t>The Trust contend</w:t>
      </w:r>
      <w:r w:rsidR="00D515AF">
        <w:t>s</w:t>
      </w:r>
      <w:r>
        <w:t xml:space="preserve"> that no consideration should have been given to the</w:t>
      </w:r>
      <w:r w:rsidR="006D5B52">
        <w:t xml:space="preserve"> </w:t>
      </w:r>
      <w:r w:rsidR="00F1376E">
        <w:t>Interpretation N</w:t>
      </w:r>
      <w:r w:rsidR="006D5B52">
        <w:t>ote.</w:t>
      </w:r>
      <w:r w:rsidR="00A01BE3">
        <w:t xml:space="preserve"> </w:t>
      </w:r>
      <w:r w:rsidR="006D5B52">
        <w:t xml:space="preserve"> Once a dispute arises</w:t>
      </w:r>
      <w:r w:rsidR="00313811">
        <w:t>,</w:t>
      </w:r>
      <w:r>
        <w:t xml:space="preserve"> the courts must independently determine the meaning of the legislation. </w:t>
      </w:r>
      <w:r w:rsidR="00A01BE3">
        <w:t xml:space="preserve"> </w:t>
      </w:r>
      <w:r>
        <w:t>To consider the</w:t>
      </w:r>
      <w:r w:rsidR="002E20F1">
        <w:t xml:space="preserve"> Interpretation</w:t>
      </w:r>
      <w:r>
        <w:t xml:space="preserve"> </w:t>
      </w:r>
      <w:r w:rsidR="00E640D5">
        <w:t>N</w:t>
      </w:r>
      <w:r>
        <w:t>ote</w:t>
      </w:r>
      <w:r w:rsidR="00D76CA3">
        <w:t>s</w:t>
      </w:r>
      <w:r>
        <w:t xml:space="preserve"> as legally relevant to the proper interpretation of legislation would offend sections 9 and 34 of the Constitution in that it would give rise to unequal treatment of the litigating parties</w:t>
      </w:r>
      <w:r w:rsidR="0010372F">
        <w:t xml:space="preserve"> and fly in the face of the right to a fair hearing. </w:t>
      </w:r>
      <w:r w:rsidR="00A01BE3">
        <w:t xml:space="preserve"> </w:t>
      </w:r>
      <w:r w:rsidR="0010372F">
        <w:t>In addition</w:t>
      </w:r>
      <w:r w:rsidR="00D515AF">
        <w:t>,</w:t>
      </w:r>
      <w:r w:rsidR="0010372F">
        <w:t xml:space="preserve"> </w:t>
      </w:r>
      <w:r w:rsidR="00D515AF">
        <w:t>the Trust argues</w:t>
      </w:r>
      <w:r w:rsidR="0010372F">
        <w:t xml:space="preserve"> that reliance on the</w:t>
      </w:r>
      <w:r w:rsidR="002E20F1">
        <w:t xml:space="preserve"> Interpretation</w:t>
      </w:r>
      <w:r w:rsidR="0010372F">
        <w:t xml:space="preserve"> </w:t>
      </w:r>
      <w:r w:rsidR="00A01BE3">
        <w:t>N</w:t>
      </w:r>
      <w:r w:rsidR="0010372F">
        <w:t xml:space="preserve">ote would offend the interpretative </w:t>
      </w:r>
      <w:r w:rsidR="00AB7484">
        <w:t>anti-taxation (</w:t>
      </w:r>
      <w:r w:rsidR="0010372F">
        <w:rPr>
          <w:i/>
        </w:rPr>
        <w:t>contra fiscum</w:t>
      </w:r>
      <w:r w:rsidR="00AB7484">
        <w:t>)</w:t>
      </w:r>
      <w:r w:rsidR="0010372F">
        <w:t xml:space="preserve"> </w:t>
      </w:r>
      <w:r w:rsidR="0010372F">
        <w:lastRenderedPageBreak/>
        <w:t>rule;</w:t>
      </w:r>
      <w:r w:rsidR="00AB7484">
        <w:rPr>
          <w:rStyle w:val="FootnoteReference"/>
        </w:rPr>
        <w:footnoteReference w:id="6"/>
      </w:r>
      <w:r w:rsidR="0010372F">
        <w:t xml:space="preserve"> </w:t>
      </w:r>
      <w:r w:rsidR="0010372F" w:rsidRPr="007E7B61">
        <w:t>is</w:t>
      </w:r>
      <w:r w:rsidR="002E20F1">
        <w:t>,</w:t>
      </w:r>
      <w:r w:rsidR="0010372F" w:rsidRPr="007E7B61">
        <w:t xml:space="preserve"> in reality</w:t>
      </w:r>
      <w:r w:rsidR="00D515AF">
        <w:t>,</w:t>
      </w:r>
      <w:r w:rsidR="0010372F" w:rsidRPr="007E7B61">
        <w:t xml:space="preserve"> inadmissible opinion evidence</w:t>
      </w:r>
      <w:r w:rsidR="0010372F">
        <w:t xml:space="preserve">; is inconsistent with the analogous principle that the content of a regulation made under powers derived from </w:t>
      </w:r>
      <w:r w:rsidR="00D515AF">
        <w:t xml:space="preserve">a </w:t>
      </w:r>
      <w:r w:rsidR="0010372F">
        <w:t>statute may not be relied upon as an aid to the construction of the statute itself; and is a relic of an outdated approach to interpretation, namely to</w:t>
      </w:r>
      <w:r w:rsidR="00D515AF">
        <w:t xml:space="preserve"> seek to</w:t>
      </w:r>
      <w:r w:rsidR="0010372F">
        <w:t xml:space="preserve"> ascertain the</w:t>
      </w:r>
      <w:r w:rsidR="00D515AF">
        <w:t xml:space="preserve"> subjective</w:t>
      </w:r>
      <w:r w:rsidR="0010372F">
        <w:t xml:space="preserve"> intention of the legislature rather than</w:t>
      </w:r>
      <w:r w:rsidR="00D515AF">
        <w:t xml:space="preserve"> to adopt</w:t>
      </w:r>
      <w:r w:rsidR="0010372F">
        <w:t xml:space="preserve"> the proper purposive interpretation</w:t>
      </w:r>
      <w:r w:rsidR="002E20F1">
        <w:t>,</w:t>
      </w:r>
      <w:r w:rsidR="0010372F">
        <w:t xml:space="preserve"> which is concerned with the objective purpose of the legislation.</w:t>
      </w:r>
    </w:p>
    <w:p w14:paraId="06F38561" w14:textId="77777777" w:rsidR="00F14D94" w:rsidRDefault="00F14D94" w:rsidP="00F14D94">
      <w:pPr>
        <w:pStyle w:val="JUDGMENTCONTINUED"/>
      </w:pPr>
    </w:p>
    <w:p w14:paraId="47509342" w14:textId="139C00BF" w:rsidR="00F14D94" w:rsidRDefault="009B3F93" w:rsidP="00F14D94">
      <w:pPr>
        <w:pStyle w:val="JUDGMENTNUMBERED"/>
      </w:pPr>
      <w:r>
        <w:t>The respondent submitted that</w:t>
      </w:r>
      <w:r w:rsidR="00F14D94">
        <w:t xml:space="preserve"> a court may have regard to an administrative body’s interpre</w:t>
      </w:r>
      <w:r>
        <w:t>tation of legislation only to the extent</w:t>
      </w:r>
      <w:r w:rsidR="00F14D94">
        <w:t xml:space="preserve"> that </w:t>
      </w:r>
      <w:r>
        <w:t xml:space="preserve">this </w:t>
      </w:r>
      <w:r w:rsidR="00F14D94">
        <w:t>interpretation constitutes evidence that it has been interpreted in a consistent way for a substantial peri</w:t>
      </w:r>
      <w:r w:rsidR="00C61AFD">
        <w:t xml:space="preserve">od of time by those responsible for </w:t>
      </w:r>
      <w:r w:rsidR="00AB7484">
        <w:t>its</w:t>
      </w:r>
      <w:r w:rsidR="00C61AFD">
        <w:t xml:space="preserve"> administration, in order to tip the balance in the case of marginal statutory interpretation. </w:t>
      </w:r>
      <w:r w:rsidR="00A01BE3">
        <w:t xml:space="preserve"> </w:t>
      </w:r>
      <w:r w:rsidR="00C61AFD">
        <w:t xml:space="preserve">The Supreme Court of Appeal first interpreted the relevant provisions independently of the </w:t>
      </w:r>
      <w:r w:rsidR="002E20F1">
        <w:t>Interpretation N</w:t>
      </w:r>
      <w:r w:rsidR="00C61AFD">
        <w:t>ote and its reference to it only served to confirm its interpretation.</w:t>
      </w:r>
    </w:p>
    <w:p w14:paraId="792E2D94" w14:textId="77777777" w:rsidR="00C43CE4" w:rsidRDefault="00C43CE4" w:rsidP="00C43CE4">
      <w:pPr>
        <w:pStyle w:val="JUDGMENTCONTINUED"/>
      </w:pPr>
    </w:p>
    <w:p w14:paraId="7B978877" w14:textId="77777777" w:rsidR="00C43CE4" w:rsidRDefault="00C43CE4" w:rsidP="00C43CE4">
      <w:pPr>
        <w:pStyle w:val="JUDGMENTNUMBERED"/>
      </w:pPr>
      <w:r>
        <w:t xml:space="preserve">In </w:t>
      </w:r>
      <w:r>
        <w:rPr>
          <w:i/>
        </w:rPr>
        <w:t>CSARS v Bosch</w:t>
      </w:r>
      <w:r w:rsidRPr="00C43CE4">
        <w:rPr>
          <w:rStyle w:val="FootnoteReference"/>
        </w:rPr>
        <w:footnoteReference w:id="7"/>
      </w:r>
      <w:r>
        <w:rPr>
          <w:i/>
        </w:rPr>
        <w:t xml:space="preserve"> </w:t>
      </w:r>
      <w:r>
        <w:t>Wallis JA stated:</w:t>
      </w:r>
    </w:p>
    <w:p w14:paraId="7B53FD6D" w14:textId="77777777" w:rsidR="008F0182" w:rsidRPr="008F0182" w:rsidRDefault="008F0182" w:rsidP="002C1C09">
      <w:pPr>
        <w:pStyle w:val="QUOTATION"/>
      </w:pPr>
    </w:p>
    <w:p w14:paraId="7F5B2740" w14:textId="2BCA861D" w:rsidR="00C43CE4" w:rsidRDefault="00C43CE4">
      <w:pPr>
        <w:pStyle w:val="QUOTATION"/>
      </w:pPr>
      <w:r>
        <w:t xml:space="preserve">“There is authority that in any marginal question of statutory interpretation, evidence that it has been interpreted in a consistent way for a substantial period of time by those responsible for the administration of the legislation is admissible and may be relevant to tip the balance in favour of that interpretation. </w:t>
      </w:r>
      <w:r w:rsidR="00A01BE3">
        <w:t xml:space="preserve"> </w:t>
      </w:r>
      <w:r>
        <w:t>This is entirely consistent with the approach to statutory interpretation</w:t>
      </w:r>
      <w:r w:rsidR="00B80487">
        <w:t xml:space="preserve"> that examines the words in context and seeks to determine the meaning that should reasonably be placed upon those words.</w:t>
      </w:r>
      <w:r w:rsidR="00A01BE3">
        <w:t xml:space="preserve"> </w:t>
      </w:r>
      <w:r w:rsidR="00B80487">
        <w:t xml:space="preserve"> The conduct of those who administer the legislation provides clear evidence of how reasonable persons in their position would understand and construe the provision in question. </w:t>
      </w:r>
      <w:r w:rsidR="00A01BE3">
        <w:t xml:space="preserve"> </w:t>
      </w:r>
      <w:r w:rsidR="00B80487">
        <w:t>As such it would be a valuable pointer to the correct interpretation.</w:t>
      </w:r>
      <w:r w:rsidR="00A01BE3">
        <w:t xml:space="preserve"> </w:t>
      </w:r>
      <w:r w:rsidR="00B80487">
        <w:t xml:space="preserve"> In the present case the clear evidence that for at least eight years the revenue authorities accepted that </w:t>
      </w:r>
      <w:r w:rsidR="00A01BE3">
        <w:t>. . .</w:t>
      </w:r>
      <w:r w:rsidR="00B80487">
        <w:t xml:space="preserve"> fortifies the taxpayers’ contentions.”</w:t>
      </w:r>
      <w:r w:rsidR="00B80487">
        <w:rPr>
          <w:rStyle w:val="FootnoteReference"/>
        </w:rPr>
        <w:footnoteReference w:id="8"/>
      </w:r>
      <w:r w:rsidR="002A3C33">
        <w:t xml:space="preserve"> </w:t>
      </w:r>
      <w:r w:rsidR="00575FA1">
        <w:t xml:space="preserve"> </w:t>
      </w:r>
      <w:r w:rsidR="002A3C33">
        <w:t>(F</w:t>
      </w:r>
      <w:r w:rsidR="0072520F">
        <w:t>ootnotes omitted</w:t>
      </w:r>
      <w:r w:rsidR="00427AAF">
        <w:t>.</w:t>
      </w:r>
      <w:r w:rsidR="0072520F">
        <w:t>)</w:t>
      </w:r>
    </w:p>
    <w:p w14:paraId="66FDC359" w14:textId="77777777" w:rsidR="00B80487" w:rsidRDefault="00B80487" w:rsidP="00B80487">
      <w:pPr>
        <w:pStyle w:val="JUDGMENTCONTINUED"/>
      </w:pPr>
    </w:p>
    <w:p w14:paraId="303C2C56" w14:textId="4DBFA61E" w:rsidR="00F9551F" w:rsidRDefault="00B80487" w:rsidP="00F9551F">
      <w:pPr>
        <w:pStyle w:val="JUDGMENTNUMBERED"/>
      </w:pPr>
      <w:r>
        <w:rPr>
          <w:i/>
        </w:rPr>
        <w:lastRenderedPageBreak/>
        <w:t>Bosch</w:t>
      </w:r>
      <w:r w:rsidR="000B0EF5">
        <w:t xml:space="preserve"> illustrates that evidence of the interpretive practice need not necessarily conflict with the </w:t>
      </w:r>
      <w:r w:rsidR="000B0EF5">
        <w:rPr>
          <w:i/>
        </w:rPr>
        <w:t>contra fiscum</w:t>
      </w:r>
      <w:r w:rsidR="000B0EF5">
        <w:t xml:space="preserve"> rule, but</w:t>
      </w:r>
      <w:r w:rsidR="00427AAF">
        <w:t xml:space="preserve"> that</w:t>
      </w:r>
      <w:r w:rsidR="000B0EF5">
        <w:t xml:space="preserve"> in all other respects</w:t>
      </w:r>
      <w:r w:rsidR="00313811">
        <w:t>,</w:t>
      </w:r>
      <w:r w:rsidR="000B0EF5">
        <w:t xml:space="preserve"> it accords with the approach taken by </w:t>
      </w:r>
      <w:r w:rsidR="00AB7484">
        <w:t>the Supreme Court of Appeal</w:t>
      </w:r>
      <w:r w:rsidR="000B0EF5">
        <w:t xml:space="preserve"> in this case. </w:t>
      </w:r>
      <w:r w:rsidR="00A01BE3">
        <w:t xml:space="preserve"> </w:t>
      </w:r>
      <w:r w:rsidR="002F1039">
        <w:t>Is there any reason</w:t>
      </w:r>
      <w:r w:rsidR="00674C61">
        <w:t xml:space="preserve"> to re-examine</w:t>
      </w:r>
      <w:r w:rsidR="00FA0860">
        <w:t xml:space="preserve"> an approach referred to with apparent approval almost a century ago in </w:t>
      </w:r>
      <w:r w:rsidR="00FA0860">
        <w:rPr>
          <w:i/>
        </w:rPr>
        <w:t>R</w:t>
      </w:r>
      <w:r w:rsidR="00482E9F">
        <w:rPr>
          <w:i/>
        </w:rPr>
        <w:t>ex</w:t>
      </w:r>
      <w:r w:rsidR="00FA0860">
        <w:rPr>
          <w:i/>
        </w:rPr>
        <w:t xml:space="preserve"> v Detody,</w:t>
      </w:r>
      <w:r w:rsidR="00FA0860" w:rsidRPr="00FA0860">
        <w:rPr>
          <w:rStyle w:val="FootnoteReference"/>
        </w:rPr>
        <w:footnoteReference w:id="9"/>
      </w:r>
      <w:r w:rsidR="00FA0860">
        <w:t xml:space="preserve"> and applied in varying degrees ever since?</w:t>
      </w:r>
      <w:r w:rsidR="00FA0860">
        <w:rPr>
          <w:rStyle w:val="FootnoteReference"/>
        </w:rPr>
        <w:footnoteReference w:id="10"/>
      </w:r>
      <w:r w:rsidR="00A01BE3">
        <w:t xml:space="preserve"> </w:t>
      </w:r>
      <w:r w:rsidR="00674C61">
        <w:t xml:space="preserve"> I think so.</w:t>
      </w:r>
    </w:p>
    <w:p w14:paraId="0F7DB484" w14:textId="77777777" w:rsidR="00F9551F" w:rsidRPr="00F9551F" w:rsidRDefault="00F9551F" w:rsidP="00F9551F">
      <w:pPr>
        <w:pStyle w:val="JUDGMENTCONTINUED"/>
      </w:pPr>
    </w:p>
    <w:p w14:paraId="6482D430" w14:textId="77777777" w:rsidR="00FA0860" w:rsidRDefault="00674C61" w:rsidP="00F9551F">
      <w:pPr>
        <w:pStyle w:val="JUDGMENTNUMBERED"/>
      </w:pPr>
      <w:r>
        <w:t xml:space="preserve"> </w:t>
      </w:r>
      <w:r w:rsidR="00F9551F">
        <w:t>In the course of</w:t>
      </w:r>
      <w:r>
        <w:t xml:space="preserve"> holding </w:t>
      </w:r>
      <w:r w:rsidR="00F9551F">
        <w:t xml:space="preserve">in </w:t>
      </w:r>
      <w:r w:rsidR="00F9551F">
        <w:rPr>
          <w:i/>
        </w:rPr>
        <w:t xml:space="preserve">Detody </w:t>
      </w:r>
      <w:r>
        <w:t xml:space="preserve">that the pass laws under the then Transvaal Ordinance </w:t>
      </w:r>
      <w:r w:rsidR="00F9551F">
        <w:t xml:space="preserve">did not apply to females, </w:t>
      </w:r>
      <w:r>
        <w:t>Innes CJ made it clear that what was at stake was ascertaining t</w:t>
      </w:r>
      <w:r w:rsidR="00C2423A">
        <w:t>he intention of the legislature</w:t>
      </w:r>
      <w:r w:rsidR="00C2423A">
        <w:rPr>
          <w:rStyle w:val="FootnoteReference"/>
        </w:rPr>
        <w:footnoteReference w:id="11"/>
      </w:r>
      <w:r w:rsidR="00C2423A">
        <w:t xml:space="preserve"> and that some weight must be accorded to custom in the interpretation of ambiguous legislation.</w:t>
      </w:r>
      <w:r w:rsidR="00C2423A">
        <w:rPr>
          <w:rStyle w:val="FootnoteReference"/>
        </w:rPr>
        <w:footnoteReference w:id="12"/>
      </w:r>
    </w:p>
    <w:p w14:paraId="0A132409" w14:textId="77777777" w:rsidR="005305F6" w:rsidRDefault="005305F6" w:rsidP="005305F6">
      <w:pPr>
        <w:pStyle w:val="JUDGMENTCONTINUED"/>
      </w:pPr>
    </w:p>
    <w:p w14:paraId="1B5A24A5" w14:textId="1D2E2150" w:rsidR="00C2423A" w:rsidRDefault="00F9551F" w:rsidP="00C2423A">
      <w:pPr>
        <w:pStyle w:val="JUDGMENTNUMBERED"/>
      </w:pPr>
      <w:r>
        <w:t>The rule thus originated in the context of legislative supremacy where statutory interpretation was aimed at ascertaining the in</w:t>
      </w:r>
      <w:r w:rsidR="00400BDB">
        <w:t>tention of the legislature.</w:t>
      </w:r>
      <w:r>
        <w:t xml:space="preserve"> </w:t>
      </w:r>
      <w:r w:rsidR="004241E3">
        <w:t xml:space="preserve"> </w:t>
      </w:r>
      <w:r>
        <w:t xml:space="preserve">In that particular context custom could </w:t>
      </w:r>
      <w:r w:rsidR="002E20F1">
        <w:t>“</w:t>
      </w:r>
      <w:r>
        <w:t>tip the balance</w:t>
      </w:r>
      <w:r w:rsidR="002E20F1">
        <w:t>”</w:t>
      </w:r>
      <w:r>
        <w:t xml:space="preserve"> in </w:t>
      </w:r>
      <w:r w:rsidR="00400BDB">
        <w:t xml:space="preserve">cases of ambiguous legislation. </w:t>
      </w:r>
      <w:r w:rsidR="00400BDB">
        <w:rPr>
          <w:i/>
        </w:rPr>
        <w:lastRenderedPageBreak/>
        <w:t>Bosch</w:t>
      </w:r>
      <w:r w:rsidR="00400BDB">
        <w:t xml:space="preserve"> recognised that the rule had to be adapted to contextual statut</w:t>
      </w:r>
      <w:r w:rsidR="00462164">
        <w:t>ory interpretation.</w:t>
      </w:r>
      <w:r w:rsidR="00462164">
        <w:rPr>
          <w:rStyle w:val="FootnoteReference"/>
        </w:rPr>
        <w:footnoteReference w:id="13"/>
      </w:r>
      <w:r w:rsidR="00462164">
        <w:t xml:space="preserve"> </w:t>
      </w:r>
      <w:r w:rsidR="004241E3">
        <w:t xml:space="preserve"> </w:t>
      </w:r>
      <w:r w:rsidR="00400BDB">
        <w:t xml:space="preserve">The rationale for relying on consistent interpretation by those responsible for the administration of legislation also changed from </w:t>
      </w:r>
      <w:r w:rsidR="00575FA1">
        <w:t>“</w:t>
      </w:r>
      <w:r w:rsidR="00400BDB">
        <w:t>custom</w:t>
      </w:r>
      <w:r w:rsidR="00575FA1">
        <w:t>”</w:t>
      </w:r>
      <w:r w:rsidR="00400BDB">
        <w:t xml:space="preserve"> to the assistance that could be gained from </w:t>
      </w:r>
      <w:r w:rsidR="00462164">
        <w:t>their evidence in determining “the meaning that should reasonably be placed upon those words”.</w:t>
      </w:r>
      <w:r w:rsidR="00462164">
        <w:rPr>
          <w:rStyle w:val="FootnoteReference"/>
        </w:rPr>
        <w:footnoteReference w:id="14"/>
      </w:r>
    </w:p>
    <w:p w14:paraId="6C3C8A55" w14:textId="77777777" w:rsidR="00462164" w:rsidRDefault="00462164" w:rsidP="00462164">
      <w:pPr>
        <w:pStyle w:val="JUDGMENTCONTINUED"/>
      </w:pPr>
    </w:p>
    <w:p w14:paraId="6993C827" w14:textId="41DF226E" w:rsidR="00891D65" w:rsidRDefault="00462164" w:rsidP="00462164">
      <w:pPr>
        <w:pStyle w:val="JUDGMENTNUMBERED"/>
      </w:pPr>
      <w:r>
        <w:t xml:space="preserve">Missing from this reformulation is any </w:t>
      </w:r>
      <w:r w:rsidR="00C07FE5">
        <w:t xml:space="preserve">explicit </w:t>
      </w:r>
      <w:r>
        <w:t>mention of a further fundam</w:t>
      </w:r>
      <w:r w:rsidR="00C07FE5">
        <w:t xml:space="preserve">ental contextual change, that from legislative supremacy to </w:t>
      </w:r>
      <w:r>
        <w:t xml:space="preserve">constitutional democracy. </w:t>
      </w:r>
      <w:r w:rsidR="004241E3">
        <w:t xml:space="preserve"> </w:t>
      </w:r>
      <w:r>
        <w:t xml:space="preserve">Why should a unilateral practice of one part of the executive </w:t>
      </w:r>
      <w:r w:rsidR="00C07FE5">
        <w:t xml:space="preserve">arm of government play a role in the determination of the reasonable meaning to be given to a statutory provision? </w:t>
      </w:r>
      <w:r w:rsidR="004241E3">
        <w:t xml:space="preserve"> </w:t>
      </w:r>
      <w:r w:rsidR="00C07FE5">
        <w:t>It might conceivably be justified where the practice is evidence of an impartial application of a custom</w:t>
      </w:r>
      <w:r w:rsidR="00E35F31">
        <w:t xml:space="preserve"> recognised by all concerned,</w:t>
      </w:r>
      <w:r w:rsidR="00E35F31">
        <w:rPr>
          <w:rStyle w:val="FootnoteReference"/>
        </w:rPr>
        <w:footnoteReference w:id="15"/>
      </w:r>
      <w:r w:rsidR="00E35F31">
        <w:t xml:space="preserve"> but not where the practice is unilaterally established by one of the litigating parties. </w:t>
      </w:r>
      <w:r w:rsidR="004241E3">
        <w:t xml:space="preserve"> </w:t>
      </w:r>
      <w:r w:rsidR="00E35F31">
        <w:t>In those circumstances it is difficult to see what advantage evidence of the unilateral practice will have for the objective and independent interpretation by the courts</w:t>
      </w:r>
      <w:r w:rsidR="00891D65">
        <w:t xml:space="preserve"> of the meaning of legislation</w:t>
      </w:r>
      <w:r w:rsidR="00AB7484">
        <w:t>, in accordance with constitutionally compliant precepts</w:t>
      </w:r>
      <w:r w:rsidR="00891D65">
        <w:t xml:space="preserve">. </w:t>
      </w:r>
      <w:r w:rsidR="004241E3">
        <w:t xml:space="preserve"> </w:t>
      </w:r>
      <w:r w:rsidR="00891D65">
        <w:t>It is best avoided.</w:t>
      </w:r>
    </w:p>
    <w:p w14:paraId="657261F3" w14:textId="77777777" w:rsidR="00891D65" w:rsidRPr="00891D65" w:rsidRDefault="00891D65" w:rsidP="00891D65">
      <w:pPr>
        <w:pStyle w:val="JUDGMENTCONTINUED"/>
      </w:pPr>
    </w:p>
    <w:p w14:paraId="702482B0" w14:textId="2D275FE8" w:rsidR="009B3F93" w:rsidRDefault="00891D65" w:rsidP="00891D65">
      <w:pPr>
        <w:pStyle w:val="JUDGMENTNUMBERED"/>
      </w:pPr>
      <w:r>
        <w:t>The respondent submitted that t</w:t>
      </w:r>
      <w:r w:rsidRPr="00891D65">
        <w:t xml:space="preserve">he Supreme Court of Appeal </w:t>
      </w:r>
      <w:r>
        <w:t xml:space="preserve">in any event </w:t>
      </w:r>
      <w:r w:rsidRPr="00891D65">
        <w:t xml:space="preserve">first interpreted the relevant provisions independently of the </w:t>
      </w:r>
      <w:r w:rsidR="00E640D5">
        <w:t>Interpretation N</w:t>
      </w:r>
      <w:r w:rsidRPr="00891D65">
        <w:t>ote</w:t>
      </w:r>
      <w:r w:rsidR="00D76CA3">
        <w:t>s</w:t>
      </w:r>
      <w:r w:rsidRPr="00891D65">
        <w:t xml:space="preserve"> a</w:t>
      </w:r>
      <w:r>
        <w:t>nd that its independent interpretation is correct</w:t>
      </w:r>
      <w:r w:rsidRPr="00891D65">
        <w:t>.</w:t>
      </w:r>
      <w:r>
        <w:t xml:space="preserve"> </w:t>
      </w:r>
      <w:r w:rsidR="004241E3">
        <w:t xml:space="preserve"> </w:t>
      </w:r>
      <w:r>
        <w:t>I agree that an objective</w:t>
      </w:r>
      <w:r w:rsidR="00E640D5">
        <w:t>,</w:t>
      </w:r>
      <w:r>
        <w:t xml:space="preserve"> independent interpretation of the relevant sections of the Act leads to the conclusion that the Supreme Court of Appeal came to. </w:t>
      </w:r>
      <w:r w:rsidR="004241E3">
        <w:t xml:space="preserve"> </w:t>
      </w:r>
      <w:r>
        <w:t>Sec</w:t>
      </w:r>
      <w:r w:rsidR="00F95D16">
        <w:t xml:space="preserve">tion 7(1) of the Act attracts payment of VAT </w:t>
      </w:r>
      <w:r w:rsidR="001C0DE7">
        <w:t xml:space="preserve">on </w:t>
      </w:r>
      <w:r w:rsidR="00F95D16">
        <w:t xml:space="preserve">actual </w:t>
      </w:r>
      <w:r w:rsidR="00F95D16">
        <w:lastRenderedPageBreak/>
        <w:t>services supplied by vendors.</w:t>
      </w:r>
      <w:r w:rsidR="00111ACB">
        <w:rPr>
          <w:rStyle w:val="FootnoteReference"/>
        </w:rPr>
        <w:footnoteReference w:id="16"/>
      </w:r>
      <w:r w:rsidR="00F95D16">
        <w:t xml:space="preserve"> </w:t>
      </w:r>
      <w:r w:rsidR="00FF0DC6">
        <w:t xml:space="preserve"> </w:t>
      </w:r>
      <w:r w:rsidR="00F95D16">
        <w:t>The deeming provision in section 8(5)</w:t>
      </w:r>
      <w:r w:rsidR="00D46BCD">
        <w:rPr>
          <w:rStyle w:val="FootnoteReference"/>
        </w:rPr>
        <w:footnoteReference w:id="17"/>
      </w:r>
      <w:r w:rsidR="00F95D16">
        <w:t xml:space="preserve"> extends payment of VAT to services that are not covered by section 7(1). </w:t>
      </w:r>
      <w:r w:rsidR="00FF0DC6">
        <w:t xml:space="preserve"> </w:t>
      </w:r>
      <w:r w:rsidR="00F95D16">
        <w:t xml:space="preserve">The designated entities to which section 8(5) applies are government-subsidised entities. </w:t>
      </w:r>
      <w:r w:rsidR="00FF0DC6">
        <w:t xml:space="preserve"> </w:t>
      </w:r>
      <w:r w:rsidR="00F95D16">
        <w:t>A govern</w:t>
      </w:r>
      <w:r w:rsidR="00437187">
        <w:t>ment subsidy is not an actual supply of services that attracts payment of VAT under section 7(1).</w:t>
      </w:r>
      <w:r w:rsidR="00FF0DC6">
        <w:t xml:space="preserve"> </w:t>
      </w:r>
      <w:r w:rsidR="00437187">
        <w:t xml:space="preserve"> Section 8(5) deems the subsidy to be a taxable supply subject to the payment of VAT. </w:t>
      </w:r>
      <w:r w:rsidR="00FF0DC6">
        <w:t xml:space="preserve"> </w:t>
      </w:r>
      <w:r w:rsidR="00437187">
        <w:t>The zero rating provided for in section 11(2)(n)</w:t>
      </w:r>
      <w:r w:rsidR="00D46BCD">
        <w:rPr>
          <w:rStyle w:val="FootnoteReference"/>
        </w:rPr>
        <w:footnoteReference w:id="18"/>
      </w:r>
      <w:r w:rsidR="00437187">
        <w:t xml:space="preserve"> assists only one of the designated entities covered by the deeming provision in section 8(5), namely welfare organisations.</w:t>
      </w:r>
    </w:p>
    <w:p w14:paraId="43B68ADB" w14:textId="77777777" w:rsidR="009B3F93" w:rsidRDefault="009B3F93" w:rsidP="009B3F93">
      <w:pPr>
        <w:pStyle w:val="JUDGMENTNUMBERED"/>
        <w:numPr>
          <w:ilvl w:val="0"/>
          <w:numId w:val="0"/>
        </w:numPr>
      </w:pPr>
    </w:p>
    <w:p w14:paraId="4CF9C335" w14:textId="5A970878" w:rsidR="00891D65" w:rsidRDefault="009B3F93" w:rsidP="00891D65">
      <w:pPr>
        <w:pStyle w:val="JUDGMENTNUMBERED"/>
      </w:pPr>
      <w:r>
        <w:t xml:space="preserve">The Trust provides actual services to </w:t>
      </w:r>
      <w:r w:rsidR="00437187">
        <w:t xml:space="preserve">provincial departments in terms of its agreements with them, </w:t>
      </w:r>
      <w:r>
        <w:t>and is liable to payment of VAT on those actual services.</w:t>
      </w:r>
      <w:r w:rsidR="00FF0DC6">
        <w:t xml:space="preserve"> </w:t>
      </w:r>
      <w:r>
        <w:t xml:space="preserve"> Any</w:t>
      </w:r>
      <w:r w:rsidR="00437187">
        <w:t xml:space="preserve"> </w:t>
      </w:r>
      <w:r w:rsidR="006A091E">
        <w:lastRenderedPageBreak/>
        <w:t xml:space="preserve">payment of </w:t>
      </w:r>
      <w:r w:rsidR="00437187">
        <w:t xml:space="preserve">subsidies </w:t>
      </w:r>
      <w:r>
        <w:t xml:space="preserve">to it by a public authority </w:t>
      </w:r>
      <w:r w:rsidR="00437187">
        <w:t xml:space="preserve">deemed to be taxable supply of services </w:t>
      </w:r>
      <w:r>
        <w:t>under section 8(5) is however subject to zero rating by virtue of the Trust being a welfare organisation under the Act.</w:t>
      </w:r>
    </w:p>
    <w:p w14:paraId="24C2A551" w14:textId="77777777" w:rsidR="006A091E" w:rsidRDefault="006A091E" w:rsidP="006A091E">
      <w:pPr>
        <w:pStyle w:val="JUDGMENTCONTINUED"/>
      </w:pPr>
    </w:p>
    <w:p w14:paraId="5A4CDED4" w14:textId="6F2CBE7B" w:rsidR="006A091E" w:rsidRDefault="006A091E" w:rsidP="006A091E">
      <w:pPr>
        <w:pStyle w:val="JUDGMENTNUMBERED"/>
      </w:pPr>
      <w:r>
        <w:t xml:space="preserve">The application for leave to appeal was brought some ten months late, but the Trust sought to explain that by referring to its financial situation and change of legal representation. </w:t>
      </w:r>
      <w:r w:rsidR="008C7613">
        <w:t xml:space="preserve"> </w:t>
      </w:r>
      <w:r>
        <w:t xml:space="preserve">The respondent is not prejudiced. </w:t>
      </w:r>
      <w:r w:rsidR="001C0DE7">
        <w:t xml:space="preserve"> </w:t>
      </w:r>
      <w:r>
        <w:t>Condonation is granted.</w:t>
      </w:r>
    </w:p>
    <w:p w14:paraId="520D5304" w14:textId="77777777" w:rsidR="006A091E" w:rsidRDefault="006A091E" w:rsidP="006A091E">
      <w:pPr>
        <w:pStyle w:val="JUDGMENTCONTINUED"/>
      </w:pPr>
    </w:p>
    <w:p w14:paraId="64369EC9" w14:textId="307B067F" w:rsidR="00433673" w:rsidRPr="00B1102D" w:rsidRDefault="006A091E" w:rsidP="006A091E">
      <w:pPr>
        <w:pStyle w:val="JUDGMENTNUMBERED"/>
      </w:pPr>
      <w:r>
        <w:t xml:space="preserve">Nevertheless, the application for leave </w:t>
      </w:r>
      <w:r w:rsidR="00E640D5">
        <w:t xml:space="preserve">to appeal </w:t>
      </w:r>
      <w:r>
        <w:t xml:space="preserve">must be refused. </w:t>
      </w:r>
      <w:r w:rsidR="008C7613">
        <w:t xml:space="preserve"> </w:t>
      </w:r>
      <w:r>
        <w:t xml:space="preserve">As indicated the prospects of success are not good and it is not </w:t>
      </w:r>
      <w:r w:rsidR="008F0182">
        <w:t xml:space="preserve">normally </w:t>
      </w:r>
      <w:r>
        <w:t>in the interests of justice to grant leave</w:t>
      </w:r>
      <w:r w:rsidR="008F0182">
        <w:t>.</w:t>
      </w:r>
      <w:r>
        <w:t xml:space="preserve"> </w:t>
      </w:r>
      <w:r w:rsidR="00575FA1">
        <w:t xml:space="preserve"> </w:t>
      </w:r>
      <w:r>
        <w:t>In the end the application was made to advance the Trust’s interests</w:t>
      </w:r>
      <w:r w:rsidR="00AB7484">
        <w:t xml:space="preserve">, which are ultimately directed to the public good. </w:t>
      </w:r>
      <w:r w:rsidR="008C7613">
        <w:t xml:space="preserve"> </w:t>
      </w:r>
      <w:r w:rsidR="00AB7484">
        <w:t>The interpretive issue was, despite the refusal of leave to appeal, worthy of this Court’s attention.</w:t>
      </w:r>
      <w:r w:rsidR="00B1102D">
        <w:t xml:space="preserve"> </w:t>
      </w:r>
      <w:r w:rsidR="00575FA1">
        <w:t xml:space="preserve"> </w:t>
      </w:r>
      <w:r>
        <w:rPr>
          <w:i/>
        </w:rPr>
        <w:t>Biowatch</w:t>
      </w:r>
      <w:r w:rsidR="00210CF2">
        <w:rPr>
          <w:i/>
        </w:rPr>
        <w:t xml:space="preserve"> </w:t>
      </w:r>
      <w:r w:rsidR="00AB7484">
        <w:t>accordingly applies.</w:t>
      </w:r>
      <w:r w:rsidR="00210CF2">
        <w:rPr>
          <w:rStyle w:val="FootnoteReference"/>
        </w:rPr>
        <w:footnoteReference w:id="19"/>
      </w:r>
      <w:r w:rsidR="00AB7484">
        <w:t xml:space="preserve"> </w:t>
      </w:r>
      <w:r w:rsidR="008C7613">
        <w:t xml:space="preserve"> </w:t>
      </w:r>
      <w:r w:rsidR="00AB7484">
        <w:t>There will be no costs order in this Court</w:t>
      </w:r>
      <w:r w:rsidR="00B1102D">
        <w:t>.</w:t>
      </w:r>
    </w:p>
    <w:p w14:paraId="1E767929" w14:textId="77777777" w:rsidR="006A091E" w:rsidRPr="006A091E" w:rsidRDefault="006A091E" w:rsidP="006A091E">
      <w:pPr>
        <w:pStyle w:val="JUDGMENTCONTINUED"/>
      </w:pPr>
    </w:p>
    <w:p w14:paraId="4212E233" w14:textId="77777777" w:rsidR="00860C4E" w:rsidRPr="00BE700A" w:rsidRDefault="00860C4E" w:rsidP="00937742">
      <w:pPr>
        <w:pStyle w:val="HEADING"/>
      </w:pPr>
      <w:r w:rsidRPr="00BE700A">
        <w:t>Order</w:t>
      </w:r>
    </w:p>
    <w:p w14:paraId="47565291" w14:textId="77777777" w:rsidR="00E513CF" w:rsidRDefault="00E513CF" w:rsidP="008C7613">
      <w:pPr>
        <w:pStyle w:val="JUDGMENTNUMBERED"/>
      </w:pPr>
      <w:r>
        <w:t>The following order is made:</w:t>
      </w:r>
    </w:p>
    <w:p w14:paraId="6D8EED11" w14:textId="0E3E667D" w:rsidR="00BE700A" w:rsidRDefault="005A3B3B" w:rsidP="002C1C09">
      <w:pPr>
        <w:pStyle w:val="ORDER"/>
        <w:numPr>
          <w:ilvl w:val="0"/>
          <w:numId w:val="15"/>
        </w:numPr>
        <w:ind w:left="1440" w:hanging="720"/>
      </w:pPr>
      <w:r>
        <w:t>Condonation is granted for the late filing of the application for leave to appeal.</w:t>
      </w:r>
    </w:p>
    <w:p w14:paraId="5BC9CDB5" w14:textId="1D81CC50" w:rsidR="005A3B3B" w:rsidRPr="000C38CF" w:rsidRDefault="005A3B3B" w:rsidP="002C1C09">
      <w:pPr>
        <w:pStyle w:val="ORDER"/>
        <w:numPr>
          <w:ilvl w:val="0"/>
          <w:numId w:val="15"/>
        </w:numPr>
        <w:ind w:left="720" w:firstLine="0"/>
      </w:pPr>
      <w:r>
        <w:t>The application for leave to appeal is dismissed.</w:t>
      </w:r>
    </w:p>
    <w:p w14:paraId="1F298ED4" w14:textId="77777777" w:rsidR="00860C4E" w:rsidRPr="009C3888" w:rsidRDefault="00860C4E" w:rsidP="002C1C09">
      <w:pPr>
        <w:pStyle w:val="ORDER"/>
        <w:ind w:left="0" w:firstLine="0"/>
      </w:pPr>
    </w:p>
    <w:p w14:paraId="185912FD" w14:textId="77777777" w:rsidR="00CE5F9F" w:rsidRDefault="00CE5F9F" w:rsidP="000C38CF">
      <w:pPr>
        <w:pStyle w:val="JUDGMENTCONTINUED"/>
      </w:pPr>
    </w:p>
    <w:p w14:paraId="2C3A41B0" w14:textId="77777777" w:rsidR="00CE5F9F" w:rsidRPr="00CE5F9F" w:rsidRDefault="00CE5F9F" w:rsidP="000C38CF">
      <w:pPr>
        <w:pStyle w:val="JUDGMENTCONTINUED"/>
        <w:sectPr w:rsidR="00CE5F9F" w:rsidRPr="00CE5F9F" w:rsidSect="000F7521">
          <w:headerReference w:type="default" r:id="rId9"/>
          <w:type w:val="continuous"/>
          <w:pgSz w:w="11907" w:h="16839" w:code="9"/>
          <w:pgMar w:top="1440" w:right="1440" w:bottom="1440" w:left="1440" w:header="708" w:footer="708" w:gutter="0"/>
          <w:cols w:space="708"/>
          <w:titlePg/>
          <w:docGrid w:linePitch="360"/>
        </w:sectPr>
      </w:pPr>
    </w:p>
    <w:p w14:paraId="51F6C53E" w14:textId="77777777" w:rsidR="00236F9A" w:rsidRPr="009C3888" w:rsidRDefault="00236F9A" w:rsidP="00860C4E">
      <w:pPr>
        <w:sectPr w:rsidR="00236F9A" w:rsidRPr="009C3888" w:rsidSect="009559B5">
          <w:headerReference w:type="default" r:id="rId10"/>
          <w:footerReference w:type="default" r:id="rId11"/>
          <w:pgSz w:w="11907" w:h="16839" w:code="9"/>
          <w:pgMar w:top="1440" w:right="1440" w:bottom="1440" w:left="1440" w:header="708" w:footer="708" w:gutter="0"/>
          <w:pgNumType w:start="1"/>
          <w:cols w:space="708"/>
          <w:docGrid w:linePitch="360"/>
        </w:sectPr>
      </w:pPr>
    </w:p>
    <w:p w14:paraId="79F58E54" w14:textId="77777777" w:rsidR="002C1C09" w:rsidRDefault="002C1C09" w:rsidP="005E5AD4">
      <w:pPr>
        <w:pStyle w:val="COUNSELDETAILS"/>
      </w:pPr>
      <w:r>
        <w:t>For the Applicants</w:t>
      </w:r>
    </w:p>
    <w:p w14:paraId="3EF56E2C" w14:textId="77777777" w:rsidR="002C1C09" w:rsidRDefault="002C1C09" w:rsidP="005E5AD4">
      <w:pPr>
        <w:pStyle w:val="COUNSELDETAILS"/>
      </w:pPr>
    </w:p>
    <w:p w14:paraId="75BC977F" w14:textId="77777777" w:rsidR="002C1C09" w:rsidRDefault="002C1C09" w:rsidP="005E5AD4">
      <w:pPr>
        <w:pStyle w:val="COUNSELDETAILS"/>
      </w:pPr>
    </w:p>
    <w:p w14:paraId="5F0CD2DA" w14:textId="77777777" w:rsidR="002C1C09" w:rsidRDefault="002C1C09" w:rsidP="005E5AD4">
      <w:pPr>
        <w:pStyle w:val="COUNSELDETAILS"/>
      </w:pPr>
    </w:p>
    <w:p w14:paraId="0A01EECF" w14:textId="50702195" w:rsidR="002C1C09" w:rsidRDefault="002C1C09" w:rsidP="005E5AD4">
      <w:pPr>
        <w:pStyle w:val="COUNSELDETAILS"/>
      </w:pPr>
      <w:r>
        <w:t>For the Respondent</w:t>
      </w:r>
    </w:p>
    <w:p w14:paraId="02F9C03B" w14:textId="3E1FA880" w:rsidR="005E5AD4" w:rsidRPr="009C3888" w:rsidRDefault="00236F9A" w:rsidP="005E5AD4">
      <w:pPr>
        <w:pStyle w:val="COUNSELDETAILS"/>
      </w:pPr>
      <w:r w:rsidRPr="009C3888">
        <w:br w:type="column"/>
      </w:r>
      <w:r w:rsidR="002C1C09">
        <w:t xml:space="preserve">DC Mpofu SC, TN Ngcukaitobi and R Naidoo instructed by </w:t>
      </w:r>
      <w:r w:rsidR="002C1C09" w:rsidRPr="002C1C09">
        <w:rPr>
          <w:lang w:val="en-US"/>
        </w:rPr>
        <w:t>Mathew Moodley &amp; Associates Inc</w:t>
      </w:r>
      <w:r w:rsidR="002C1C09">
        <w:rPr>
          <w:lang w:val="en-US"/>
        </w:rPr>
        <w:t>.</w:t>
      </w:r>
    </w:p>
    <w:p w14:paraId="42504FB4" w14:textId="77777777" w:rsidR="00860C4E" w:rsidRDefault="00860C4E" w:rsidP="00CC158D">
      <w:pPr>
        <w:pStyle w:val="COUNSELDETAILS"/>
      </w:pPr>
    </w:p>
    <w:p w14:paraId="78C524BF" w14:textId="1DA93781" w:rsidR="002C1C09" w:rsidRPr="009C3888" w:rsidRDefault="002C1C09" w:rsidP="00CC158D">
      <w:pPr>
        <w:pStyle w:val="COUNSELDETAILS"/>
      </w:pPr>
      <w:r>
        <w:t xml:space="preserve">AR Sholto-Douglas SC and H Cassim instructed by </w:t>
      </w:r>
      <w:r w:rsidRPr="002C1C09">
        <w:t>Mothle Jooma Sabdia Inc</w:t>
      </w:r>
      <w:r>
        <w:t>.</w:t>
      </w:r>
    </w:p>
    <w:sectPr w:rsidR="002C1C09"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3CA875" w14:textId="77777777" w:rsidR="00382682" w:rsidRDefault="00382682" w:rsidP="00E4607C">
      <w:pPr>
        <w:spacing w:line="240" w:lineRule="auto"/>
      </w:pPr>
      <w:r>
        <w:separator/>
      </w:r>
    </w:p>
  </w:endnote>
  <w:endnote w:type="continuationSeparator" w:id="0">
    <w:p w14:paraId="2DA8570A" w14:textId="77777777" w:rsidR="00382682" w:rsidRDefault="00382682"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85C6D1" w14:textId="77777777" w:rsidR="007E7B61" w:rsidRDefault="007E7B61" w:rsidP="0087217E">
    <w:pPr>
      <w:pStyle w:val="Footer"/>
      <w:jc w:val="center"/>
    </w:pPr>
    <w:r>
      <w:fldChar w:fldCharType="begin"/>
    </w:r>
    <w:r>
      <w:instrText xml:space="preserve"> PAGE   \* MERGEFORMAT </w:instrText>
    </w:r>
    <w:r>
      <w:fldChar w:fldCharType="separate"/>
    </w:r>
    <w:r w:rsidR="00502901">
      <w:rPr>
        <w:noProof/>
      </w:rPr>
      <w:t>6</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B31EC" w14:textId="77777777" w:rsidR="007E7B61" w:rsidRDefault="007E7B61"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29CBC9" w14:textId="77777777" w:rsidR="00382682" w:rsidRDefault="00382682" w:rsidP="00E4607C">
      <w:pPr>
        <w:spacing w:line="240" w:lineRule="auto"/>
      </w:pPr>
      <w:r>
        <w:separator/>
      </w:r>
    </w:p>
  </w:footnote>
  <w:footnote w:type="continuationSeparator" w:id="0">
    <w:p w14:paraId="06B628BD" w14:textId="77777777" w:rsidR="00382682" w:rsidRDefault="00382682" w:rsidP="00E4607C">
      <w:pPr>
        <w:spacing w:line="240" w:lineRule="auto"/>
      </w:pPr>
      <w:r>
        <w:continuationSeparator/>
      </w:r>
    </w:p>
  </w:footnote>
  <w:footnote w:id="1">
    <w:p w14:paraId="5DEA844A" w14:textId="13C3B27D" w:rsidR="007E7B61" w:rsidRDefault="007E7B61">
      <w:pPr>
        <w:pStyle w:val="FootnoteText"/>
      </w:pPr>
      <w:r>
        <w:rPr>
          <w:rStyle w:val="FootnoteReference"/>
        </w:rPr>
        <w:footnoteRef/>
      </w:r>
      <w:r>
        <w:t xml:space="preserve"> </w:t>
      </w:r>
      <w:r w:rsidRPr="0072520F">
        <w:rPr>
          <w:i/>
        </w:rPr>
        <w:t xml:space="preserve">Commissioner, South African Revenue Service </w:t>
      </w:r>
      <w:r w:rsidRPr="009A5F0F">
        <w:rPr>
          <w:i/>
        </w:rPr>
        <w:t xml:space="preserve">v Marshall NO </w:t>
      </w:r>
      <w:r>
        <w:t xml:space="preserve">[2016] ZASCA 158; </w:t>
      </w:r>
      <w:r w:rsidRPr="00932117">
        <w:t>2017 (1) SA 114 (SCA)</w:t>
      </w:r>
      <w:r w:rsidR="007F61E2">
        <w:t xml:space="preserve"> (SCA judgment)</w:t>
      </w:r>
      <w:r>
        <w:t>.</w:t>
      </w:r>
    </w:p>
  </w:footnote>
  <w:footnote w:id="2">
    <w:p w14:paraId="08E1F4AF" w14:textId="77777777" w:rsidR="007E7B61" w:rsidRDefault="007E7B61">
      <w:pPr>
        <w:pStyle w:val="FootnoteText"/>
      </w:pPr>
      <w:r>
        <w:rPr>
          <w:rStyle w:val="FootnoteReference"/>
        </w:rPr>
        <w:footnoteRef/>
      </w:r>
      <w:r>
        <w:t xml:space="preserve"> 89 of 1991.</w:t>
      </w:r>
    </w:p>
  </w:footnote>
  <w:footnote w:id="3">
    <w:p w14:paraId="5F74A355" w14:textId="77777777" w:rsidR="007E7B61" w:rsidRDefault="007E7B61">
      <w:pPr>
        <w:pStyle w:val="FootnoteText"/>
      </w:pPr>
      <w:r>
        <w:rPr>
          <w:rStyle w:val="FootnoteReference"/>
        </w:rPr>
        <w:footnoteRef/>
      </w:r>
      <w:r>
        <w:t xml:space="preserve"> On behalf of which the seven applicant trustees sought leave in this Court.</w:t>
      </w:r>
    </w:p>
  </w:footnote>
  <w:footnote w:id="4">
    <w:p w14:paraId="18AAD1D7" w14:textId="7AEC1A1D" w:rsidR="007E7B61" w:rsidRDefault="007E7B61">
      <w:pPr>
        <w:pStyle w:val="FootnoteText"/>
      </w:pPr>
      <w:r>
        <w:rPr>
          <w:rStyle w:val="FootnoteReference"/>
        </w:rPr>
        <w:footnoteRef/>
      </w:r>
      <w:r>
        <w:t xml:space="preserve"> SCA judgment </w:t>
      </w:r>
      <w:r w:rsidR="00B669D6">
        <w:t>above</w:t>
      </w:r>
      <w:r w:rsidR="00B669D6" w:rsidRPr="00B669D6">
        <w:t xml:space="preserve"> </w:t>
      </w:r>
      <w:r w:rsidR="00B669D6">
        <w:t xml:space="preserve">n 1 </w:t>
      </w:r>
      <w:r>
        <w:t>at paras 31-33.</w:t>
      </w:r>
    </w:p>
  </w:footnote>
  <w:footnote w:id="5">
    <w:p w14:paraId="6C40F666" w14:textId="3DFB70AE" w:rsidR="007E7B61" w:rsidRDefault="007E7B61">
      <w:pPr>
        <w:pStyle w:val="FootnoteText"/>
      </w:pPr>
      <w:r>
        <w:rPr>
          <w:rStyle w:val="FootnoteReference"/>
        </w:rPr>
        <w:footnoteRef/>
      </w:r>
      <w:r>
        <w:t xml:space="preserve"> SCA Judgment above</w:t>
      </w:r>
      <w:r w:rsidR="00B669D6" w:rsidRPr="00B669D6">
        <w:t xml:space="preserve"> </w:t>
      </w:r>
      <w:r w:rsidR="00B669D6">
        <w:t>n 1</w:t>
      </w:r>
      <w:r>
        <w:t xml:space="preserve"> at para 33.</w:t>
      </w:r>
    </w:p>
  </w:footnote>
  <w:footnote w:id="6">
    <w:p w14:paraId="12456886" w14:textId="721EA1C5" w:rsidR="007E7B61" w:rsidRDefault="007E7B61">
      <w:pPr>
        <w:pStyle w:val="FootnoteText"/>
      </w:pPr>
      <w:r>
        <w:rPr>
          <w:rStyle w:val="FootnoteReference"/>
        </w:rPr>
        <w:footnoteRef/>
      </w:r>
      <w:r>
        <w:t xml:space="preserve"> The ‘rule</w:t>
      </w:r>
      <w:r w:rsidR="00D515AF">
        <w:t>’</w:t>
      </w:r>
      <w:r>
        <w:t xml:space="preserve"> indicates that, in cases of ambiguity, a taxation-imposing provision should be interpreted in favour of the taxpayer and against the fiscus or tax-collecting authorities.</w:t>
      </w:r>
    </w:p>
  </w:footnote>
  <w:footnote w:id="7">
    <w:p w14:paraId="1339AA55" w14:textId="55A31DFB" w:rsidR="007E7B61" w:rsidRDefault="007E7B61">
      <w:pPr>
        <w:pStyle w:val="FootnoteText"/>
      </w:pPr>
      <w:r>
        <w:rPr>
          <w:rStyle w:val="FootnoteReference"/>
        </w:rPr>
        <w:footnoteRef/>
      </w:r>
      <w:r>
        <w:t xml:space="preserve"> </w:t>
      </w:r>
      <w:r w:rsidRPr="009A5F0F">
        <w:rPr>
          <w:i/>
        </w:rPr>
        <w:t xml:space="preserve">Commissioner, South African Revenue Service v Bosch </w:t>
      </w:r>
      <w:r w:rsidRPr="00B5488D">
        <w:t>[2014] ZASCA 171</w:t>
      </w:r>
      <w:r>
        <w:t>; 2015 (2) SA 174 (SCA) (</w:t>
      </w:r>
      <w:r>
        <w:rPr>
          <w:i/>
        </w:rPr>
        <w:t>Bosch</w:t>
      </w:r>
      <w:r>
        <w:t>)</w:t>
      </w:r>
    </w:p>
  </w:footnote>
  <w:footnote w:id="8">
    <w:p w14:paraId="26483B59" w14:textId="626F0D99" w:rsidR="007E7B61" w:rsidRDefault="007E7B61">
      <w:pPr>
        <w:pStyle w:val="FootnoteText"/>
      </w:pPr>
      <w:r>
        <w:rPr>
          <w:rStyle w:val="FootnoteReference"/>
        </w:rPr>
        <w:footnoteRef/>
      </w:r>
      <w:r>
        <w:t xml:space="preserve"> Id para 17.</w:t>
      </w:r>
    </w:p>
  </w:footnote>
  <w:footnote w:id="9">
    <w:p w14:paraId="3C198F36" w14:textId="5F1B9D7D" w:rsidR="007E7B61" w:rsidRDefault="007E7B61">
      <w:pPr>
        <w:pStyle w:val="FootnoteText"/>
      </w:pPr>
      <w:r>
        <w:rPr>
          <w:rStyle w:val="FootnoteReference"/>
        </w:rPr>
        <w:footnoteRef/>
      </w:r>
      <w:r w:rsidR="00502901">
        <w:t xml:space="preserve"> 1926 AD 198</w:t>
      </w:r>
      <w:bookmarkStart w:id="0" w:name="_GoBack"/>
      <w:bookmarkEnd w:id="0"/>
      <w:r>
        <w:t>.</w:t>
      </w:r>
    </w:p>
  </w:footnote>
  <w:footnote w:id="10">
    <w:p w14:paraId="3B97E834" w14:textId="4753CEAB" w:rsidR="007E7B61" w:rsidRPr="007E7B61" w:rsidRDefault="007E7B61">
      <w:pPr>
        <w:pStyle w:val="FootnoteText"/>
        <w:rPr>
          <w:bCs/>
        </w:rPr>
      </w:pPr>
      <w:r w:rsidRPr="00E8133E">
        <w:rPr>
          <w:rStyle w:val="FootnoteReference"/>
        </w:rPr>
        <w:footnoteRef/>
      </w:r>
      <w:r w:rsidRPr="00E8133E">
        <w:t xml:space="preserve"> </w:t>
      </w:r>
      <w:r>
        <w:t xml:space="preserve">See for example </w:t>
      </w:r>
      <w:r w:rsidRPr="009A5F0F">
        <w:rPr>
          <w:bCs/>
          <w:i/>
        </w:rPr>
        <w:t>Ellert v Commissioner for Inland Revenue</w:t>
      </w:r>
      <w:r w:rsidRPr="00392AD3">
        <w:rPr>
          <w:bCs/>
        </w:rPr>
        <w:t xml:space="preserve"> 1957 (1) SA 483 (A)</w:t>
      </w:r>
      <w:r w:rsidRPr="00E8133E">
        <w:t xml:space="preserve">; </w:t>
      </w:r>
      <w:r w:rsidRPr="009A5F0F">
        <w:rPr>
          <w:bCs/>
          <w:i/>
        </w:rPr>
        <w:t>Nissan S</w:t>
      </w:r>
      <w:r w:rsidR="002E20F1">
        <w:rPr>
          <w:bCs/>
          <w:i/>
        </w:rPr>
        <w:t>A</w:t>
      </w:r>
      <w:r w:rsidRPr="009A5F0F">
        <w:rPr>
          <w:bCs/>
          <w:i/>
        </w:rPr>
        <w:t xml:space="preserve"> (Pty) Ltd v Commissioner for Inland Revenue</w:t>
      </w:r>
      <w:r w:rsidRPr="00392AD3">
        <w:rPr>
          <w:bCs/>
        </w:rPr>
        <w:t xml:space="preserve"> </w:t>
      </w:r>
      <w:r w:rsidRPr="0059698D">
        <w:rPr>
          <w:bCs/>
        </w:rPr>
        <w:t>[1998] ZASCA 59</w:t>
      </w:r>
      <w:r>
        <w:rPr>
          <w:bCs/>
        </w:rPr>
        <w:t xml:space="preserve">; </w:t>
      </w:r>
      <w:r w:rsidRPr="00392AD3">
        <w:rPr>
          <w:bCs/>
        </w:rPr>
        <w:t>1998 (4) SA 860 (SCA)</w:t>
      </w:r>
      <w:r w:rsidRPr="00E8133E">
        <w:t xml:space="preserve">; </w:t>
      </w:r>
      <w:r w:rsidRPr="008C7613">
        <w:rPr>
          <w:i/>
        </w:rPr>
        <w:t xml:space="preserve">Stopforth v Minister of Justice and Others; </w:t>
      </w:r>
      <w:r w:rsidRPr="009A5F0F">
        <w:rPr>
          <w:bCs/>
          <w:i/>
        </w:rPr>
        <w:t xml:space="preserve">Veenendaal v Minister </w:t>
      </w:r>
      <w:r w:rsidR="002E20F1">
        <w:rPr>
          <w:bCs/>
          <w:i/>
        </w:rPr>
        <w:t>o</w:t>
      </w:r>
      <w:r w:rsidRPr="009A5F0F">
        <w:rPr>
          <w:bCs/>
          <w:i/>
        </w:rPr>
        <w:t xml:space="preserve">f Justice </w:t>
      </w:r>
      <w:r w:rsidRPr="005F2785">
        <w:rPr>
          <w:bCs/>
        </w:rPr>
        <w:t>[1999] ZASCA 72</w:t>
      </w:r>
      <w:r>
        <w:rPr>
          <w:bCs/>
        </w:rPr>
        <w:t xml:space="preserve">; </w:t>
      </w:r>
      <w:r w:rsidRPr="00392AD3">
        <w:rPr>
          <w:bCs/>
        </w:rPr>
        <w:t>2000 (1) SA 113 (SCA)</w:t>
      </w:r>
      <w:r w:rsidRPr="00E8133E">
        <w:t xml:space="preserve">; </w:t>
      </w:r>
      <w:r w:rsidRPr="009A5F0F">
        <w:rPr>
          <w:bCs/>
          <w:i/>
        </w:rPr>
        <w:t>Natal Joint Municipal Pension Fund v Endumeni Municipality</w:t>
      </w:r>
      <w:r w:rsidRPr="00392AD3">
        <w:rPr>
          <w:bCs/>
        </w:rPr>
        <w:t xml:space="preserve"> </w:t>
      </w:r>
      <w:r w:rsidRPr="00B120A2">
        <w:rPr>
          <w:bCs/>
        </w:rPr>
        <w:t>[2012] ZASCA 13</w:t>
      </w:r>
      <w:r>
        <w:rPr>
          <w:bCs/>
        </w:rPr>
        <w:t xml:space="preserve">; </w:t>
      </w:r>
      <w:r w:rsidRPr="00392AD3">
        <w:rPr>
          <w:bCs/>
        </w:rPr>
        <w:t>2012 (4) SA 593 (SCA)</w:t>
      </w:r>
      <w:r w:rsidRPr="00E8133E">
        <w:t xml:space="preserve">; </w:t>
      </w:r>
      <w:r w:rsidRPr="009A5F0F">
        <w:rPr>
          <w:bCs/>
          <w:i/>
        </w:rPr>
        <w:t>Master Currency (Pty) Ltd v Commissioner, South African Revenue Service</w:t>
      </w:r>
      <w:r w:rsidRPr="00392AD3">
        <w:rPr>
          <w:bCs/>
        </w:rPr>
        <w:t xml:space="preserve"> </w:t>
      </w:r>
      <w:r w:rsidRPr="00B120A2">
        <w:rPr>
          <w:bCs/>
        </w:rPr>
        <w:t>[2013] ZASCA 17</w:t>
      </w:r>
      <w:r>
        <w:rPr>
          <w:bCs/>
        </w:rPr>
        <w:t xml:space="preserve">; </w:t>
      </w:r>
      <w:r w:rsidRPr="00392AD3">
        <w:rPr>
          <w:bCs/>
        </w:rPr>
        <w:t>2014 (6) SA 66 (SCA);</w:t>
      </w:r>
      <w:r>
        <w:rPr>
          <w:bCs/>
        </w:rPr>
        <w:t xml:space="preserve"> and</w:t>
      </w:r>
      <w:r w:rsidRPr="00392AD3">
        <w:rPr>
          <w:bCs/>
        </w:rPr>
        <w:t xml:space="preserve"> </w:t>
      </w:r>
      <w:r w:rsidRPr="009A5F0F">
        <w:rPr>
          <w:bCs/>
          <w:i/>
        </w:rPr>
        <w:t xml:space="preserve">Commissioner, South African Revenue Service v Bosch </w:t>
      </w:r>
      <w:r w:rsidRPr="00B5488D">
        <w:t>[2014] ZASCA 171</w:t>
      </w:r>
      <w:r>
        <w:t xml:space="preserve">; </w:t>
      </w:r>
      <w:r w:rsidRPr="00392AD3">
        <w:rPr>
          <w:bCs/>
        </w:rPr>
        <w:t>2015 (2) SA 174 (SCA)</w:t>
      </w:r>
      <w:r>
        <w:rPr>
          <w:bCs/>
        </w:rPr>
        <w:t>.</w:t>
      </w:r>
    </w:p>
  </w:footnote>
  <w:footnote w:id="11">
    <w:p w14:paraId="53E5DC74" w14:textId="05ABE38A" w:rsidR="007E7B61" w:rsidRDefault="007E7B61">
      <w:pPr>
        <w:pStyle w:val="FootnoteText"/>
      </w:pPr>
      <w:r>
        <w:rPr>
          <w:rStyle w:val="FootnoteReference"/>
        </w:rPr>
        <w:footnoteRef/>
      </w:r>
      <w:r>
        <w:t xml:space="preserve"> See </w:t>
      </w:r>
      <w:r>
        <w:rPr>
          <w:i/>
        </w:rPr>
        <w:t>Detody</w:t>
      </w:r>
      <w:r>
        <w:t xml:space="preserve"> above n</w:t>
      </w:r>
      <w:r w:rsidR="00427AAF">
        <w:t xml:space="preserve"> </w:t>
      </w:r>
      <w:r w:rsidR="00575FA1">
        <w:t>9</w:t>
      </w:r>
      <w:r>
        <w:t xml:space="preserve"> at p 20</w:t>
      </w:r>
      <w:r w:rsidR="004241E3">
        <w:t>2</w:t>
      </w:r>
      <w:r>
        <w:t>:</w:t>
      </w:r>
    </w:p>
    <w:p w14:paraId="4DB3E7B5" w14:textId="09A896DA" w:rsidR="007E7B61" w:rsidRDefault="007E7B61" w:rsidP="00392AD3">
      <w:pPr>
        <w:pStyle w:val="QUOTEINFOOTNOTE"/>
      </w:pPr>
      <w:r w:rsidRPr="00C2423A">
        <w:t xml:space="preserve">“But where the Court is satisfied that the Legislature did not intend that females should be so included then the statutory rule would not apply. </w:t>
      </w:r>
      <w:r w:rsidR="00427AAF">
        <w:t xml:space="preserve"> </w:t>
      </w:r>
      <w:r w:rsidRPr="00C2423A">
        <w:t>It is all a question of intention.”</w:t>
      </w:r>
    </w:p>
  </w:footnote>
  <w:footnote w:id="12">
    <w:p w14:paraId="4EC25AA8" w14:textId="392B3CB2" w:rsidR="007E7B61" w:rsidRDefault="007E7B61">
      <w:pPr>
        <w:pStyle w:val="FootnoteText"/>
      </w:pPr>
      <w:r>
        <w:rPr>
          <w:rStyle w:val="FootnoteReference"/>
        </w:rPr>
        <w:footnoteRef/>
      </w:r>
      <w:r>
        <w:t xml:space="preserve"> See </w:t>
      </w:r>
      <w:r>
        <w:rPr>
          <w:i/>
        </w:rPr>
        <w:t>Detody</w:t>
      </w:r>
      <w:r>
        <w:t xml:space="preserve"> above n</w:t>
      </w:r>
      <w:r w:rsidR="00427AAF">
        <w:t xml:space="preserve"> </w:t>
      </w:r>
      <w:r w:rsidR="00575FA1">
        <w:t>9</w:t>
      </w:r>
      <w:r>
        <w:t xml:space="preserve"> at p 20</w:t>
      </w:r>
      <w:r w:rsidR="004241E3">
        <w:t>2</w:t>
      </w:r>
      <w:r>
        <w:t>-20</w:t>
      </w:r>
      <w:r w:rsidR="004241E3">
        <w:t>3</w:t>
      </w:r>
      <w:r>
        <w:t>:</w:t>
      </w:r>
    </w:p>
    <w:p w14:paraId="09CCFC46" w14:textId="78D9C219" w:rsidR="007E7B61" w:rsidRDefault="007E7B61" w:rsidP="00392AD3">
      <w:pPr>
        <w:pStyle w:val="QUOTEINFOOTNOTE"/>
      </w:pPr>
      <w:r w:rsidRPr="00C2423A">
        <w:t>“It will be proper also to pay some regard to the manner in which the Ordinance in question and the law which preceded it upon the subject of native passes have been administered by successive Governments and succeeding sets of officials.</w:t>
      </w:r>
      <w:r w:rsidR="00427AAF">
        <w:t xml:space="preserve"> </w:t>
      </w:r>
      <w:r w:rsidRPr="00C2423A">
        <w:t xml:space="preserve"> Custom, of course, cannot prevail over the plain and unambiguous meaning of a statute, but where language is open to two constructions, then the fact that it has been uniformly read in one sense by those entrusted with the administration of the measure cannot be ignored. </w:t>
      </w:r>
      <w:r w:rsidR="00427AAF">
        <w:t xml:space="preserve"> </w:t>
      </w:r>
      <w:r w:rsidRPr="00C2423A">
        <w:t xml:space="preserve">The </w:t>
      </w:r>
      <w:r w:rsidRPr="009A5F0F">
        <w:rPr>
          <w:i/>
        </w:rPr>
        <w:t>Civil Law</w:t>
      </w:r>
      <w:r w:rsidRPr="00C2423A">
        <w:t xml:space="preserve"> attached great importance to prior custom as a factor in the interpretation of statutes</w:t>
      </w:r>
      <w:r w:rsidR="00AF6016">
        <w:t xml:space="preserve">. . . . </w:t>
      </w:r>
      <w:r w:rsidRPr="00C2423A">
        <w:t xml:space="preserve"> But the tendency of modern decisions is greatly to restrict the weight to be attached to contemporaneous exposition</w:t>
      </w:r>
      <w:r w:rsidR="00AF6016">
        <w:t xml:space="preserve">. . . . </w:t>
      </w:r>
      <w:r w:rsidRPr="00C2423A">
        <w:t xml:space="preserve"> Yet some weight it must retain</w:t>
      </w:r>
      <w:r w:rsidR="00AF6016">
        <w:t xml:space="preserve">. . . . </w:t>
      </w:r>
      <w:r w:rsidRPr="00C2423A">
        <w:t xml:space="preserve"> The weight to be attached to custom as an element in the construction of statutes was discussed by this Court in </w:t>
      </w:r>
      <w:r w:rsidRPr="002C1C09">
        <w:rPr>
          <w:i/>
        </w:rPr>
        <w:t>Rex v Lloyd</w:t>
      </w:r>
      <w:r w:rsidRPr="00C2423A">
        <w:t>, where it was remarked by J</w:t>
      </w:r>
      <w:r w:rsidR="002E20F1">
        <w:t>uta</w:t>
      </w:r>
      <w:r w:rsidRPr="00C2423A">
        <w:t xml:space="preserve">, JA, that when the language was capable of two constructions, then the fact </w:t>
      </w:r>
      <w:r w:rsidRPr="00C2423A">
        <w:rPr>
          <w:i/>
        </w:rPr>
        <w:t>that it had been construed by all concerned</w:t>
      </w:r>
      <w:r w:rsidRPr="00C2423A">
        <w:t xml:space="preserve"> in a certain way ever since it came into operation, was an element to be considered </w:t>
      </w:r>
      <w:r w:rsidR="00AF6016">
        <w:t>a</w:t>
      </w:r>
      <w:r w:rsidRPr="00C2423A">
        <w:t>nd M</w:t>
      </w:r>
      <w:r w:rsidR="002E20F1">
        <w:t>ason</w:t>
      </w:r>
      <w:r w:rsidRPr="00C2423A">
        <w:t xml:space="preserve">, AJA, said in the same case that ‘Where a statute may fairly be interpreted in either of two ways, </w:t>
      </w:r>
      <w:r w:rsidRPr="00F9551F">
        <w:rPr>
          <w:i/>
        </w:rPr>
        <w:t>custom may well be invoked to tip the balance’</w:t>
      </w:r>
      <w:r w:rsidRPr="00C2423A">
        <w:t>.”</w:t>
      </w:r>
      <w:r w:rsidR="004D40BD">
        <w:t xml:space="preserve"> (E</w:t>
      </w:r>
      <w:r>
        <w:t>mphasis added</w:t>
      </w:r>
      <w:r w:rsidR="00427AAF">
        <w:t>.</w:t>
      </w:r>
      <w:r>
        <w:t>)</w:t>
      </w:r>
      <w:r w:rsidR="004D40BD">
        <w:t xml:space="preserve"> (References </w:t>
      </w:r>
      <w:r w:rsidR="002E20F1">
        <w:t>o</w:t>
      </w:r>
      <w:r w:rsidR="004D40BD">
        <w:t>mitted</w:t>
      </w:r>
      <w:r w:rsidR="00427AAF">
        <w:t>.</w:t>
      </w:r>
      <w:r w:rsidR="004D40BD">
        <w:t>)</w:t>
      </w:r>
    </w:p>
  </w:footnote>
  <w:footnote w:id="13">
    <w:p w14:paraId="17F6C407" w14:textId="4F7011A6" w:rsidR="007E7B61" w:rsidRPr="00462164" w:rsidRDefault="007E7B61">
      <w:pPr>
        <w:pStyle w:val="FootnoteText"/>
      </w:pPr>
      <w:r>
        <w:rPr>
          <w:rStyle w:val="FootnoteReference"/>
        </w:rPr>
        <w:footnoteRef/>
      </w:r>
      <w:r>
        <w:t xml:space="preserve"> </w:t>
      </w:r>
      <w:r w:rsidRPr="00392AD3">
        <w:rPr>
          <w:i/>
        </w:rPr>
        <w:t>Bosch</w:t>
      </w:r>
      <w:r w:rsidR="00575FA1">
        <w:rPr>
          <w:i/>
        </w:rPr>
        <w:t xml:space="preserve"> </w:t>
      </w:r>
      <w:r w:rsidR="00575FA1">
        <w:t>above</w:t>
      </w:r>
      <w:r>
        <w:t xml:space="preserve"> </w:t>
      </w:r>
      <w:r w:rsidRPr="00392AD3">
        <w:t>n</w:t>
      </w:r>
      <w:r>
        <w:t>7 at</w:t>
      </w:r>
      <w:r w:rsidRPr="00392AD3">
        <w:t xml:space="preserve"> para 17</w:t>
      </w:r>
    </w:p>
  </w:footnote>
  <w:footnote w:id="14">
    <w:p w14:paraId="70CAF5AA" w14:textId="5C68E28D" w:rsidR="007E7B61" w:rsidRDefault="007E7B61">
      <w:pPr>
        <w:pStyle w:val="FootnoteText"/>
      </w:pPr>
      <w:r>
        <w:rPr>
          <w:rStyle w:val="FootnoteReference"/>
        </w:rPr>
        <w:footnoteRef/>
      </w:r>
      <w:r>
        <w:t xml:space="preserve"> Id.</w:t>
      </w:r>
    </w:p>
  </w:footnote>
  <w:footnote w:id="15">
    <w:p w14:paraId="353F72A5" w14:textId="1EFC200B" w:rsidR="007E7B61" w:rsidRPr="009B3F93" w:rsidRDefault="007E7B61">
      <w:pPr>
        <w:pStyle w:val="FootnoteText"/>
      </w:pPr>
      <w:r>
        <w:rPr>
          <w:rStyle w:val="FootnoteReference"/>
        </w:rPr>
        <w:footnoteRef/>
      </w:r>
      <w:r>
        <w:t xml:space="preserve"> See the remark of Juta JA in </w:t>
      </w:r>
      <w:r w:rsidRPr="00E35F31">
        <w:rPr>
          <w:i/>
        </w:rPr>
        <w:t>R v Lloyd</w:t>
      </w:r>
      <w:r>
        <w:t xml:space="preserve">, quoted in n 12 above “that when the language was capable of two constructions, then the fact </w:t>
      </w:r>
      <w:r>
        <w:rPr>
          <w:i/>
        </w:rPr>
        <w:t>that it had been construed by all concerned</w:t>
      </w:r>
      <w:r>
        <w:t xml:space="preserve"> in a certain way ever since it came into operation, was an element to be considered”.  The reference to subsequent contractual conduct made in </w:t>
      </w:r>
      <w:r>
        <w:rPr>
          <w:i/>
        </w:rPr>
        <w:t>Bosch</w:t>
      </w:r>
      <w:r>
        <w:t>,</w:t>
      </w:r>
      <w:r w:rsidR="002E20F1">
        <w:t xml:space="preserve"> </w:t>
      </w:r>
      <w:r>
        <w:t>above</w:t>
      </w:r>
      <w:r w:rsidR="002E20F1">
        <w:t xml:space="preserve"> n 7</w:t>
      </w:r>
      <w:r>
        <w:t>, in footnote 11 to para 17 does not necessarily assist in interpreting legislation through a constitutional lens either.</w:t>
      </w:r>
    </w:p>
  </w:footnote>
  <w:footnote w:id="16">
    <w:p w14:paraId="3ECD2847" w14:textId="77777777" w:rsidR="00111ACB" w:rsidRDefault="00111ACB" w:rsidP="00111ACB">
      <w:pPr>
        <w:pStyle w:val="FootnoteText"/>
      </w:pPr>
      <w:r>
        <w:rPr>
          <w:rStyle w:val="FootnoteReference"/>
        </w:rPr>
        <w:footnoteRef/>
      </w:r>
      <w:r>
        <w:t xml:space="preserve"> Section 7(1) states that:</w:t>
      </w:r>
    </w:p>
    <w:p w14:paraId="5F8EFCC0" w14:textId="77777777" w:rsidR="00111ACB" w:rsidRPr="008C7613" w:rsidRDefault="00111ACB" w:rsidP="00111ACB">
      <w:pPr>
        <w:pStyle w:val="QUOTEINFOOTNOTE"/>
      </w:pPr>
      <w:r>
        <w:t>“</w:t>
      </w:r>
      <w:r w:rsidRPr="008C7613">
        <w:t>Subject to the exemptions, exceptions, deductions and adjustments provided for in this Act, there shall be levied and paid for the benefit of the National Revenue Fund a tax, to be known as the value-added tax—</w:t>
      </w:r>
    </w:p>
    <w:p w14:paraId="0B8348E4" w14:textId="77777777" w:rsidR="00111ACB" w:rsidRPr="008C7613" w:rsidRDefault="00111ACB" w:rsidP="00111ACB">
      <w:pPr>
        <w:pStyle w:val="QUOTEINFOOTNOTE"/>
        <w:ind w:left="2160" w:hanging="720"/>
      </w:pPr>
      <w:r w:rsidRPr="008C7613">
        <w:t>(</w:t>
      </w:r>
      <w:r w:rsidRPr="008C7613">
        <w:rPr>
          <w:i/>
          <w:iCs/>
        </w:rPr>
        <w:t>a</w:t>
      </w:r>
      <w:r w:rsidRPr="008C7613">
        <w:t>)</w:t>
      </w:r>
      <w:r>
        <w:tab/>
      </w:r>
      <w:r w:rsidRPr="008C7613">
        <w:t>on the supply by any vendor of goods or services supplied by him on or after the commencement date in the course or furtherance of any enterprise carried on by him;</w:t>
      </w:r>
    </w:p>
    <w:p w14:paraId="468FFEF6" w14:textId="77777777" w:rsidR="00111ACB" w:rsidRDefault="00111ACB" w:rsidP="00111ACB">
      <w:pPr>
        <w:pStyle w:val="QUOTEINFOOTNOTE"/>
        <w:ind w:left="2160" w:hanging="720"/>
      </w:pPr>
      <w:r w:rsidRPr="008C7613">
        <w:t>(</w:t>
      </w:r>
      <w:r w:rsidRPr="008C7613">
        <w:rPr>
          <w:i/>
          <w:iCs/>
        </w:rPr>
        <w:t>b</w:t>
      </w:r>
      <w:r w:rsidRPr="008C7613">
        <w:t>)</w:t>
      </w:r>
      <w:r>
        <w:tab/>
      </w:r>
      <w:r w:rsidRPr="008C7613">
        <w:t>on the importation of any goods into the Republic by any person on or after the commencement date; and</w:t>
      </w:r>
    </w:p>
    <w:p w14:paraId="65A06437" w14:textId="77777777" w:rsidR="00111ACB" w:rsidRDefault="00111ACB" w:rsidP="002C1C09">
      <w:pPr>
        <w:pStyle w:val="QUOTEINFOOTNOTE"/>
        <w:ind w:left="2160" w:hanging="720"/>
      </w:pPr>
      <w:r w:rsidRPr="008C7613">
        <w:t>(</w:t>
      </w:r>
      <w:r w:rsidRPr="008C7613">
        <w:rPr>
          <w:i/>
          <w:iCs/>
        </w:rPr>
        <w:t>c</w:t>
      </w:r>
      <w:r w:rsidRPr="008C7613">
        <w:t>)</w:t>
      </w:r>
      <w:r>
        <w:tab/>
      </w:r>
      <w:r w:rsidRPr="008C7613">
        <w:t>on the supply of any imported services by any person on or after the commencement date,</w:t>
      </w:r>
    </w:p>
    <w:p w14:paraId="5950007A" w14:textId="7EB29156" w:rsidR="00111ACB" w:rsidRDefault="00111ACB" w:rsidP="002C1C09">
      <w:pPr>
        <w:pStyle w:val="QUOTEINFOOTNOTE"/>
      </w:pPr>
      <w:r w:rsidRPr="008C7613">
        <w:t>calculated at the rate of 14 per cent on the value</w:t>
      </w:r>
      <w:r>
        <w:t xml:space="preserve"> of the supply concerned or the </w:t>
      </w:r>
      <w:r w:rsidRPr="008C7613">
        <w:t>importation, as the case may be.</w:t>
      </w:r>
      <w:r>
        <w:t>”</w:t>
      </w:r>
    </w:p>
  </w:footnote>
  <w:footnote w:id="17">
    <w:p w14:paraId="28A49A2E" w14:textId="4001713E" w:rsidR="00D46BCD" w:rsidRDefault="00D46BCD">
      <w:pPr>
        <w:pStyle w:val="FootnoteText"/>
      </w:pPr>
      <w:r>
        <w:rPr>
          <w:rStyle w:val="FootnoteReference"/>
        </w:rPr>
        <w:footnoteRef/>
      </w:r>
      <w:r>
        <w:t xml:space="preserve"> Section 8(5) states that:</w:t>
      </w:r>
    </w:p>
    <w:p w14:paraId="40D3A662" w14:textId="6E31F3C4" w:rsidR="00D46BCD" w:rsidRDefault="00D46BCD" w:rsidP="00D46BCD">
      <w:pPr>
        <w:pStyle w:val="QUOTEINFOOTNOTE"/>
      </w:pPr>
      <w:r>
        <w:t>“</w:t>
      </w:r>
      <w:r w:rsidRPr="00D46BCD">
        <w:t>For the purposes of this Act a designated entity shall be deemed to supply services to any public authority or municipality to the extent of any payment made by the public authority or municipality concerned to or on behalf of that designated entity in the course or furtherance of an enterprise carried on by that designated entity.</w:t>
      </w:r>
      <w:r>
        <w:t>”</w:t>
      </w:r>
    </w:p>
  </w:footnote>
  <w:footnote w:id="18">
    <w:p w14:paraId="1E43E005" w14:textId="2B664DEF" w:rsidR="00D46BCD" w:rsidRDefault="00D46BCD">
      <w:pPr>
        <w:pStyle w:val="FootnoteText"/>
      </w:pPr>
      <w:r>
        <w:rPr>
          <w:rStyle w:val="FootnoteReference"/>
        </w:rPr>
        <w:footnoteRef/>
      </w:r>
      <w:r>
        <w:t xml:space="preserve"> Section 11(2)(n) states that:</w:t>
      </w:r>
    </w:p>
    <w:p w14:paraId="4F166F7E" w14:textId="116F1566" w:rsidR="00091B92" w:rsidRDefault="00D46BCD" w:rsidP="00091B92">
      <w:pPr>
        <w:pStyle w:val="QUOTEINFOOTNOTE"/>
        <w:ind w:left="1440" w:hanging="720"/>
      </w:pPr>
      <w:r>
        <w:t>“</w:t>
      </w:r>
      <w:r w:rsidR="00091B92">
        <w:t>(2)</w:t>
      </w:r>
      <w:r w:rsidR="00091B92">
        <w:tab/>
      </w:r>
      <w:r w:rsidR="00091B92" w:rsidRPr="00091B92">
        <w:t>Where, but for this section, a supply of services, other than services contemplated in </w:t>
      </w:r>
      <w:r w:rsidR="00091B92">
        <w:t>section 11(2)</w:t>
      </w:r>
      <w:r w:rsidR="00091B92" w:rsidRPr="00091B92">
        <w:t>(</w:t>
      </w:r>
      <w:r w:rsidR="00091B92" w:rsidRPr="00091B92">
        <w:rPr>
          <w:i/>
          <w:iCs/>
        </w:rPr>
        <w:t>k</w:t>
      </w:r>
      <w:r w:rsidR="00091B92" w:rsidRPr="00091B92">
        <w:t>)</w:t>
      </w:r>
      <w:r w:rsidR="00091B92">
        <w:t xml:space="preserve"> </w:t>
      </w:r>
      <w:r w:rsidR="00091B92" w:rsidRPr="00091B92">
        <w:t>that are electronic services, would be charged with ta</w:t>
      </w:r>
      <w:r w:rsidR="00091B92">
        <w:t>x at the rate referred to in section 7</w:t>
      </w:r>
      <w:r w:rsidR="00091B92" w:rsidRPr="00091B92">
        <w:t>(1), such supply of services shall, subject to compliance with subsection (3)</w:t>
      </w:r>
      <w:r w:rsidR="00091B92">
        <w:t xml:space="preserve"> </w:t>
      </w:r>
      <w:r w:rsidR="00091B92" w:rsidRPr="00091B92">
        <w:t>of this section, be charged with tax at the rate of zero per cent where—</w:t>
      </w:r>
    </w:p>
    <w:p w14:paraId="0C901CA6" w14:textId="0FA7CFD1" w:rsidR="002E20F1" w:rsidRPr="002E20F1" w:rsidRDefault="002E20F1" w:rsidP="002C1C09">
      <w:pPr>
        <w:pStyle w:val="FootnoteText1"/>
      </w:pPr>
      <w:r>
        <w:tab/>
      </w:r>
      <w:r>
        <w:tab/>
        <w:t>. . .</w:t>
      </w:r>
    </w:p>
    <w:p w14:paraId="579C89FB" w14:textId="15D7E8F9" w:rsidR="00D46BCD" w:rsidRDefault="00091B92" w:rsidP="00091B92">
      <w:pPr>
        <w:pStyle w:val="QUOTEINFOOTNOTE"/>
        <w:ind w:left="2160" w:hanging="720"/>
      </w:pPr>
      <w:r>
        <w:t>(n)</w:t>
      </w:r>
      <w:r>
        <w:tab/>
      </w:r>
      <w:r w:rsidR="00D46BCD" w:rsidRPr="00D46BCD">
        <w:t>the services comprise the carrying on by a welfare organisation of the activities re</w:t>
      </w:r>
      <w:r w:rsidR="00D46BCD">
        <w:t>ferred to in the definition of ‘</w:t>
      </w:r>
      <w:r w:rsidR="00D46BCD" w:rsidRPr="00D46BCD">
        <w:t>welfare organisation</w:t>
      </w:r>
      <w:r w:rsidR="00D46BCD">
        <w:t xml:space="preserve">’ in </w:t>
      </w:r>
      <w:r w:rsidR="00D46BCD" w:rsidRPr="00D46BCD">
        <w:t>section 1</w:t>
      </w:r>
      <w:r w:rsidR="00D46BCD">
        <w:t xml:space="preserve"> </w:t>
      </w:r>
      <w:r w:rsidR="00D46BCD" w:rsidRPr="00D46BCD">
        <w:t>and to the extent that any payment in respect of tho</w:t>
      </w:r>
      <w:r w:rsidR="00D46BCD">
        <w:t>se services is made in terms of section 8</w:t>
      </w:r>
      <w:r w:rsidR="00D46BCD" w:rsidRPr="00D46BCD">
        <w:t>(5)</w:t>
      </w:r>
      <w:r w:rsidR="00D46BCD">
        <w:t xml:space="preserve"> </w:t>
      </w:r>
      <w:r w:rsidR="00D46BCD" w:rsidRPr="00D46BCD">
        <w:t>those services shall be deemed to be supplied by that organisation to a p</w:t>
      </w:r>
      <w:r w:rsidR="00D46BCD">
        <w:t>ublic authority or municipality.”</w:t>
      </w:r>
    </w:p>
  </w:footnote>
  <w:footnote w:id="19">
    <w:p w14:paraId="1B78EFEB" w14:textId="784A0B2A" w:rsidR="00210CF2" w:rsidRDefault="00210CF2">
      <w:pPr>
        <w:pStyle w:val="FootnoteText"/>
      </w:pPr>
      <w:r>
        <w:rPr>
          <w:rStyle w:val="FootnoteReference"/>
        </w:rPr>
        <w:footnoteRef/>
      </w:r>
      <w:r>
        <w:t xml:space="preserve"> </w:t>
      </w:r>
      <w:r w:rsidRPr="00392AD3">
        <w:rPr>
          <w:i/>
        </w:rPr>
        <w:t xml:space="preserve">Biowatch Trust v Registrar Genetic Resources </w:t>
      </w:r>
      <w:r w:rsidRPr="00963C10">
        <w:t>[2009</w:t>
      </w:r>
      <w:r>
        <w:t>] ZACC 14; 2009 (6) SA 232 (CC)</w:t>
      </w:r>
      <w:r w:rsidRPr="00963C10">
        <w:t>; 2009 (10) BCLR 1014 (CC)</w:t>
      </w:r>
      <w:r>
        <w:t xml:space="preserve"> (</w:t>
      </w:r>
      <w:r w:rsidRPr="002C1C09">
        <w:rPr>
          <w:i/>
        </w:rPr>
        <w:t>Biowatch</w:t>
      </w:r>
      <w:r>
        <w:t>)</w:t>
      </w:r>
      <w:r w:rsidR="002E20F1">
        <w:t xml:space="preserve"> at paras 23-</w:t>
      </w:r>
      <w:r>
        <w:t>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2FAA74" w14:textId="77777777" w:rsidR="007E7B61" w:rsidRDefault="007E7B61" w:rsidP="000F7521">
    <w:pPr>
      <w:pStyle w:val="Header"/>
      <w:tabs>
        <w:tab w:val="clear" w:pos="4680"/>
        <w:tab w:val="clear" w:pos="9360"/>
        <w:tab w:val="right" w:pos="9072"/>
      </w:tabs>
      <w:jc w:val="right"/>
    </w:pPr>
    <w:r>
      <w:t>FRONEMAN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E0073C" w14:textId="77777777" w:rsidR="007E7B61" w:rsidRDefault="007E7B61"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1A60AF"/>
    <w:multiLevelType w:val="hybridMultilevel"/>
    <w:tmpl w:val="44D89FCC"/>
    <w:lvl w:ilvl="0" w:tplc="53E27E3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3D8C627E"/>
    <w:multiLevelType w:val="hybridMultilevel"/>
    <w:tmpl w:val="92CC2E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2"/>
  </w:num>
  <w:num w:numId="12">
    <w:abstractNumId w:val="2"/>
    <w:lvlOverride w:ilvl="0">
      <w:startOverride w:val="1"/>
    </w:lvlOverride>
  </w:num>
  <w:num w:numId="13">
    <w:abstractNumId w:val="0"/>
  </w:num>
  <w:num w:numId="14">
    <w:abstractNumId w:val="3"/>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567E"/>
    <w:rsid w:val="00003278"/>
    <w:rsid w:val="00021B45"/>
    <w:rsid w:val="0003222E"/>
    <w:rsid w:val="0003332C"/>
    <w:rsid w:val="0003374F"/>
    <w:rsid w:val="0005207E"/>
    <w:rsid w:val="000570BC"/>
    <w:rsid w:val="00061228"/>
    <w:rsid w:val="000704F2"/>
    <w:rsid w:val="0008371B"/>
    <w:rsid w:val="00091B92"/>
    <w:rsid w:val="00095A15"/>
    <w:rsid w:val="000B0C92"/>
    <w:rsid w:val="000B0EF5"/>
    <w:rsid w:val="000B22E6"/>
    <w:rsid w:val="000C38CF"/>
    <w:rsid w:val="000F60D9"/>
    <w:rsid w:val="000F7521"/>
    <w:rsid w:val="001016AC"/>
    <w:rsid w:val="0010372F"/>
    <w:rsid w:val="00111ACB"/>
    <w:rsid w:val="00150A72"/>
    <w:rsid w:val="001611B1"/>
    <w:rsid w:val="00174981"/>
    <w:rsid w:val="00183FC9"/>
    <w:rsid w:val="001927E9"/>
    <w:rsid w:val="00194B9C"/>
    <w:rsid w:val="00196A0F"/>
    <w:rsid w:val="001B4C29"/>
    <w:rsid w:val="001C050A"/>
    <w:rsid w:val="001C0DE7"/>
    <w:rsid w:val="001C1F12"/>
    <w:rsid w:val="001D31D7"/>
    <w:rsid w:val="001D3C6B"/>
    <w:rsid w:val="001F19FC"/>
    <w:rsid w:val="00210CF2"/>
    <w:rsid w:val="002208F2"/>
    <w:rsid w:val="00232B8F"/>
    <w:rsid w:val="00236F9A"/>
    <w:rsid w:val="0024725F"/>
    <w:rsid w:val="00283F18"/>
    <w:rsid w:val="00287753"/>
    <w:rsid w:val="00295C91"/>
    <w:rsid w:val="002A3C33"/>
    <w:rsid w:val="002C1C09"/>
    <w:rsid w:val="002C5F97"/>
    <w:rsid w:val="002C7AC5"/>
    <w:rsid w:val="002D1FD9"/>
    <w:rsid w:val="002D6E04"/>
    <w:rsid w:val="002E1AA1"/>
    <w:rsid w:val="002E20F1"/>
    <w:rsid w:val="002E4857"/>
    <w:rsid w:val="002E5230"/>
    <w:rsid w:val="002F1039"/>
    <w:rsid w:val="002F6A17"/>
    <w:rsid w:val="00313811"/>
    <w:rsid w:val="00326649"/>
    <w:rsid w:val="00341131"/>
    <w:rsid w:val="00346927"/>
    <w:rsid w:val="00361CFF"/>
    <w:rsid w:val="003644DF"/>
    <w:rsid w:val="00366550"/>
    <w:rsid w:val="00381E96"/>
    <w:rsid w:val="00382682"/>
    <w:rsid w:val="003837F4"/>
    <w:rsid w:val="00386F56"/>
    <w:rsid w:val="00386FCB"/>
    <w:rsid w:val="00392AD3"/>
    <w:rsid w:val="003A18CF"/>
    <w:rsid w:val="003A3C4A"/>
    <w:rsid w:val="003A3E5C"/>
    <w:rsid w:val="003B12C2"/>
    <w:rsid w:val="003C5CF6"/>
    <w:rsid w:val="003C7B6C"/>
    <w:rsid w:val="00400BDB"/>
    <w:rsid w:val="004110F6"/>
    <w:rsid w:val="004241E3"/>
    <w:rsid w:val="00427AAF"/>
    <w:rsid w:val="00432ABF"/>
    <w:rsid w:val="00433673"/>
    <w:rsid w:val="00437187"/>
    <w:rsid w:val="0044313C"/>
    <w:rsid w:val="0044789D"/>
    <w:rsid w:val="004527A9"/>
    <w:rsid w:val="0046182E"/>
    <w:rsid w:val="004620BF"/>
    <w:rsid w:val="00462164"/>
    <w:rsid w:val="00482E9F"/>
    <w:rsid w:val="004A14DE"/>
    <w:rsid w:val="004B15D8"/>
    <w:rsid w:val="004C7588"/>
    <w:rsid w:val="004D02BA"/>
    <w:rsid w:val="004D40BD"/>
    <w:rsid w:val="004D6332"/>
    <w:rsid w:val="004E00EA"/>
    <w:rsid w:val="004E3677"/>
    <w:rsid w:val="004E7B71"/>
    <w:rsid w:val="00502901"/>
    <w:rsid w:val="00503030"/>
    <w:rsid w:val="00523BC0"/>
    <w:rsid w:val="00526CE6"/>
    <w:rsid w:val="005305F6"/>
    <w:rsid w:val="005314E0"/>
    <w:rsid w:val="00533037"/>
    <w:rsid w:val="00535E74"/>
    <w:rsid w:val="00542F53"/>
    <w:rsid w:val="00551D1D"/>
    <w:rsid w:val="005627D3"/>
    <w:rsid w:val="0056742C"/>
    <w:rsid w:val="00575FA1"/>
    <w:rsid w:val="00590B22"/>
    <w:rsid w:val="0059698D"/>
    <w:rsid w:val="005A3B3B"/>
    <w:rsid w:val="005D0555"/>
    <w:rsid w:val="005E07C7"/>
    <w:rsid w:val="005E5AD4"/>
    <w:rsid w:val="005F17C7"/>
    <w:rsid w:val="005F25A8"/>
    <w:rsid w:val="005F2785"/>
    <w:rsid w:val="0060086A"/>
    <w:rsid w:val="00601A88"/>
    <w:rsid w:val="0064206E"/>
    <w:rsid w:val="00654B5E"/>
    <w:rsid w:val="00657B43"/>
    <w:rsid w:val="0066607A"/>
    <w:rsid w:val="0067159E"/>
    <w:rsid w:val="006724E0"/>
    <w:rsid w:val="00674C61"/>
    <w:rsid w:val="0067644D"/>
    <w:rsid w:val="00677B93"/>
    <w:rsid w:val="006A091E"/>
    <w:rsid w:val="006A6304"/>
    <w:rsid w:val="006D21A9"/>
    <w:rsid w:val="006D5B52"/>
    <w:rsid w:val="006E3711"/>
    <w:rsid w:val="006F58FB"/>
    <w:rsid w:val="007038B4"/>
    <w:rsid w:val="007072CC"/>
    <w:rsid w:val="00707C78"/>
    <w:rsid w:val="00716286"/>
    <w:rsid w:val="00721B8A"/>
    <w:rsid w:val="0072520F"/>
    <w:rsid w:val="00730113"/>
    <w:rsid w:val="00734675"/>
    <w:rsid w:val="00736CAB"/>
    <w:rsid w:val="007459C4"/>
    <w:rsid w:val="0074753B"/>
    <w:rsid w:val="00793F89"/>
    <w:rsid w:val="007947C8"/>
    <w:rsid w:val="00796F12"/>
    <w:rsid w:val="007A14DC"/>
    <w:rsid w:val="007C2FC8"/>
    <w:rsid w:val="007C4840"/>
    <w:rsid w:val="007E3A99"/>
    <w:rsid w:val="007E403C"/>
    <w:rsid w:val="007E7B61"/>
    <w:rsid w:val="007F61E2"/>
    <w:rsid w:val="00807A5D"/>
    <w:rsid w:val="00834803"/>
    <w:rsid w:val="00842678"/>
    <w:rsid w:val="00842E85"/>
    <w:rsid w:val="00851D8D"/>
    <w:rsid w:val="00860C4E"/>
    <w:rsid w:val="0087217E"/>
    <w:rsid w:val="0087767C"/>
    <w:rsid w:val="00885ED0"/>
    <w:rsid w:val="00891D65"/>
    <w:rsid w:val="00893F46"/>
    <w:rsid w:val="00897B62"/>
    <w:rsid w:val="008A4C4C"/>
    <w:rsid w:val="008A65D2"/>
    <w:rsid w:val="008B1882"/>
    <w:rsid w:val="008B567E"/>
    <w:rsid w:val="008C727F"/>
    <w:rsid w:val="008C7613"/>
    <w:rsid w:val="008E31EF"/>
    <w:rsid w:val="008E562C"/>
    <w:rsid w:val="008F0182"/>
    <w:rsid w:val="008F1AED"/>
    <w:rsid w:val="008F3021"/>
    <w:rsid w:val="008F3207"/>
    <w:rsid w:val="00911782"/>
    <w:rsid w:val="00932117"/>
    <w:rsid w:val="00937742"/>
    <w:rsid w:val="00940A0D"/>
    <w:rsid w:val="009469D7"/>
    <w:rsid w:val="009559B5"/>
    <w:rsid w:val="00963C10"/>
    <w:rsid w:val="0098219B"/>
    <w:rsid w:val="00987555"/>
    <w:rsid w:val="00987B57"/>
    <w:rsid w:val="00997F8F"/>
    <w:rsid w:val="009A5F0F"/>
    <w:rsid w:val="009B187A"/>
    <w:rsid w:val="009B3F93"/>
    <w:rsid w:val="009C3888"/>
    <w:rsid w:val="009C4B4F"/>
    <w:rsid w:val="009E12A3"/>
    <w:rsid w:val="009F0EE4"/>
    <w:rsid w:val="009F27CE"/>
    <w:rsid w:val="009F486E"/>
    <w:rsid w:val="00A01BE3"/>
    <w:rsid w:val="00A203C4"/>
    <w:rsid w:val="00A35CE0"/>
    <w:rsid w:val="00A81C1D"/>
    <w:rsid w:val="00A97332"/>
    <w:rsid w:val="00AA6755"/>
    <w:rsid w:val="00AB5D7D"/>
    <w:rsid w:val="00AB7484"/>
    <w:rsid w:val="00AC0337"/>
    <w:rsid w:val="00AD265D"/>
    <w:rsid w:val="00AD2D1A"/>
    <w:rsid w:val="00AD35F4"/>
    <w:rsid w:val="00AE1728"/>
    <w:rsid w:val="00AE7143"/>
    <w:rsid w:val="00AE7602"/>
    <w:rsid w:val="00AF6016"/>
    <w:rsid w:val="00B1102D"/>
    <w:rsid w:val="00B120A2"/>
    <w:rsid w:val="00B12457"/>
    <w:rsid w:val="00B3010A"/>
    <w:rsid w:val="00B31462"/>
    <w:rsid w:val="00B32AB4"/>
    <w:rsid w:val="00B43490"/>
    <w:rsid w:val="00B5488D"/>
    <w:rsid w:val="00B64ADD"/>
    <w:rsid w:val="00B669D6"/>
    <w:rsid w:val="00B7017B"/>
    <w:rsid w:val="00B80287"/>
    <w:rsid w:val="00B80487"/>
    <w:rsid w:val="00B81F77"/>
    <w:rsid w:val="00B8590B"/>
    <w:rsid w:val="00B8617E"/>
    <w:rsid w:val="00B907EC"/>
    <w:rsid w:val="00B97ED9"/>
    <w:rsid w:val="00BA3BEF"/>
    <w:rsid w:val="00BB0654"/>
    <w:rsid w:val="00BB312F"/>
    <w:rsid w:val="00BB36C9"/>
    <w:rsid w:val="00BC231D"/>
    <w:rsid w:val="00BD0174"/>
    <w:rsid w:val="00BD0F61"/>
    <w:rsid w:val="00BE5714"/>
    <w:rsid w:val="00BE700A"/>
    <w:rsid w:val="00BF3824"/>
    <w:rsid w:val="00C066B6"/>
    <w:rsid w:val="00C07FE5"/>
    <w:rsid w:val="00C2423A"/>
    <w:rsid w:val="00C43CE4"/>
    <w:rsid w:val="00C44207"/>
    <w:rsid w:val="00C51413"/>
    <w:rsid w:val="00C6034D"/>
    <w:rsid w:val="00C61AFD"/>
    <w:rsid w:val="00C63EC7"/>
    <w:rsid w:val="00C67D73"/>
    <w:rsid w:val="00C739DB"/>
    <w:rsid w:val="00C74761"/>
    <w:rsid w:val="00C945C6"/>
    <w:rsid w:val="00C95D7C"/>
    <w:rsid w:val="00CA3BF8"/>
    <w:rsid w:val="00CA6ACC"/>
    <w:rsid w:val="00CB0CB2"/>
    <w:rsid w:val="00CB5AB9"/>
    <w:rsid w:val="00CB63EA"/>
    <w:rsid w:val="00CC158D"/>
    <w:rsid w:val="00CC301A"/>
    <w:rsid w:val="00CC38E6"/>
    <w:rsid w:val="00CC6FCA"/>
    <w:rsid w:val="00CE5F9F"/>
    <w:rsid w:val="00CF0044"/>
    <w:rsid w:val="00D033C4"/>
    <w:rsid w:val="00D13344"/>
    <w:rsid w:val="00D46BCD"/>
    <w:rsid w:val="00D515AF"/>
    <w:rsid w:val="00D76A1F"/>
    <w:rsid w:val="00D76CA3"/>
    <w:rsid w:val="00D7754C"/>
    <w:rsid w:val="00DA7CDD"/>
    <w:rsid w:val="00DB3839"/>
    <w:rsid w:val="00DB3FC8"/>
    <w:rsid w:val="00DB4070"/>
    <w:rsid w:val="00DD7397"/>
    <w:rsid w:val="00DE7926"/>
    <w:rsid w:val="00DE7E61"/>
    <w:rsid w:val="00E12D4B"/>
    <w:rsid w:val="00E178E6"/>
    <w:rsid w:val="00E210D3"/>
    <w:rsid w:val="00E230D7"/>
    <w:rsid w:val="00E35F31"/>
    <w:rsid w:val="00E45515"/>
    <w:rsid w:val="00E4607C"/>
    <w:rsid w:val="00E4636A"/>
    <w:rsid w:val="00E51128"/>
    <w:rsid w:val="00E513CF"/>
    <w:rsid w:val="00E63C65"/>
    <w:rsid w:val="00E640D5"/>
    <w:rsid w:val="00E70761"/>
    <w:rsid w:val="00E8133E"/>
    <w:rsid w:val="00E93A1B"/>
    <w:rsid w:val="00ED0FE3"/>
    <w:rsid w:val="00F008DA"/>
    <w:rsid w:val="00F12F57"/>
    <w:rsid w:val="00F1376E"/>
    <w:rsid w:val="00F14D94"/>
    <w:rsid w:val="00F245CE"/>
    <w:rsid w:val="00F31079"/>
    <w:rsid w:val="00F44521"/>
    <w:rsid w:val="00F45DC4"/>
    <w:rsid w:val="00F549F8"/>
    <w:rsid w:val="00F66DCA"/>
    <w:rsid w:val="00F76D30"/>
    <w:rsid w:val="00F8303E"/>
    <w:rsid w:val="00F85659"/>
    <w:rsid w:val="00F9551F"/>
    <w:rsid w:val="00F95D16"/>
    <w:rsid w:val="00FA0860"/>
    <w:rsid w:val="00FE6B1B"/>
    <w:rsid w:val="00FF0DC6"/>
    <w:rsid w:val="00FF4B1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A349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932117"/>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styleId="EndnoteText">
    <w:name w:val="endnote text"/>
    <w:basedOn w:val="Normal"/>
    <w:link w:val="EndnoteTextChar"/>
    <w:uiPriority w:val="99"/>
    <w:semiHidden/>
    <w:unhideWhenUsed/>
    <w:rsid w:val="006D5B52"/>
    <w:pPr>
      <w:spacing w:line="240" w:lineRule="auto"/>
    </w:pPr>
    <w:rPr>
      <w:sz w:val="20"/>
      <w:szCs w:val="20"/>
    </w:rPr>
  </w:style>
  <w:style w:type="character" w:customStyle="1" w:styleId="EndnoteTextChar">
    <w:name w:val="Endnote Text Char"/>
    <w:basedOn w:val="DefaultParagraphFont"/>
    <w:link w:val="EndnoteText"/>
    <w:uiPriority w:val="99"/>
    <w:semiHidden/>
    <w:rsid w:val="006D5B52"/>
    <w:rPr>
      <w:rFonts w:ascii="Times New Roman" w:hAnsi="Times New Roman"/>
      <w:lang w:val="en-ZA"/>
    </w:rPr>
  </w:style>
  <w:style w:type="character" w:styleId="EndnoteReference">
    <w:name w:val="endnote reference"/>
    <w:basedOn w:val="DefaultParagraphFont"/>
    <w:uiPriority w:val="99"/>
    <w:semiHidden/>
    <w:unhideWhenUsed/>
    <w:rsid w:val="006D5B52"/>
    <w:rPr>
      <w:vertAlign w:val="superscript"/>
    </w:rPr>
  </w:style>
  <w:style w:type="character" w:styleId="CommentReference">
    <w:name w:val="annotation reference"/>
    <w:basedOn w:val="DefaultParagraphFont"/>
    <w:uiPriority w:val="99"/>
    <w:semiHidden/>
    <w:unhideWhenUsed/>
    <w:rsid w:val="00B3010A"/>
    <w:rPr>
      <w:sz w:val="16"/>
      <w:szCs w:val="16"/>
    </w:rPr>
  </w:style>
  <w:style w:type="paragraph" w:styleId="CommentText">
    <w:name w:val="annotation text"/>
    <w:basedOn w:val="Normal"/>
    <w:link w:val="CommentTextChar"/>
    <w:uiPriority w:val="99"/>
    <w:semiHidden/>
    <w:unhideWhenUsed/>
    <w:rsid w:val="00B3010A"/>
    <w:pPr>
      <w:spacing w:line="240" w:lineRule="auto"/>
    </w:pPr>
    <w:rPr>
      <w:sz w:val="20"/>
      <w:szCs w:val="20"/>
    </w:rPr>
  </w:style>
  <w:style w:type="character" w:customStyle="1" w:styleId="CommentTextChar">
    <w:name w:val="Comment Text Char"/>
    <w:basedOn w:val="DefaultParagraphFont"/>
    <w:link w:val="CommentText"/>
    <w:uiPriority w:val="99"/>
    <w:semiHidden/>
    <w:rsid w:val="00B3010A"/>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3010A"/>
    <w:rPr>
      <w:b/>
      <w:bCs/>
    </w:rPr>
  </w:style>
  <w:style w:type="character" w:customStyle="1" w:styleId="CommentSubjectChar">
    <w:name w:val="Comment Subject Char"/>
    <w:basedOn w:val="CommentTextChar"/>
    <w:link w:val="CommentSubject"/>
    <w:uiPriority w:val="99"/>
    <w:semiHidden/>
    <w:rsid w:val="00B3010A"/>
    <w:rPr>
      <w:rFonts w:ascii="Times New Roman" w:hAnsi="Times New Roman"/>
      <w:b/>
      <w:bCs/>
      <w:lang w:val="en-ZA"/>
    </w:rPr>
  </w:style>
  <w:style w:type="character" w:customStyle="1" w:styleId="Heading2Char">
    <w:name w:val="Heading 2 Char"/>
    <w:basedOn w:val="DefaultParagraphFont"/>
    <w:link w:val="Heading2"/>
    <w:uiPriority w:val="9"/>
    <w:semiHidden/>
    <w:rsid w:val="00932117"/>
    <w:rPr>
      <w:rFonts w:asciiTheme="majorHAnsi" w:eastAsiaTheme="majorEastAsia" w:hAnsiTheme="majorHAnsi" w:cstheme="majorBidi"/>
      <w:color w:val="365F91" w:themeColor="accent1" w:themeShade="BF"/>
      <w:sz w:val="26"/>
      <w:szCs w:val="26"/>
      <w:lang w:val="en-ZA"/>
    </w:rPr>
  </w:style>
  <w:style w:type="character" w:styleId="Hyperlink">
    <w:name w:val="Hyperlink"/>
    <w:basedOn w:val="DefaultParagraphFont"/>
    <w:uiPriority w:val="99"/>
    <w:unhideWhenUsed/>
    <w:rsid w:val="009F486E"/>
    <w:rPr>
      <w:color w:val="0000FF" w:themeColor="hyperlink"/>
      <w:u w:val="single"/>
    </w:rPr>
  </w:style>
  <w:style w:type="character" w:styleId="FollowedHyperlink">
    <w:name w:val="FollowedHyperlink"/>
    <w:basedOn w:val="DefaultParagraphFont"/>
    <w:uiPriority w:val="99"/>
    <w:semiHidden/>
    <w:unhideWhenUsed/>
    <w:rsid w:val="009F486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000">
      <w:bodyDiv w:val="1"/>
      <w:marLeft w:val="0"/>
      <w:marRight w:val="0"/>
      <w:marTop w:val="0"/>
      <w:marBottom w:val="0"/>
      <w:divBdr>
        <w:top w:val="none" w:sz="0" w:space="0" w:color="auto"/>
        <w:left w:val="none" w:sz="0" w:space="0" w:color="auto"/>
        <w:bottom w:val="none" w:sz="0" w:space="0" w:color="auto"/>
        <w:right w:val="none" w:sz="0" w:space="0" w:color="auto"/>
      </w:divBdr>
    </w:div>
    <w:div w:id="118383340">
      <w:bodyDiv w:val="1"/>
      <w:marLeft w:val="0"/>
      <w:marRight w:val="0"/>
      <w:marTop w:val="0"/>
      <w:marBottom w:val="0"/>
      <w:divBdr>
        <w:top w:val="none" w:sz="0" w:space="0" w:color="auto"/>
        <w:left w:val="none" w:sz="0" w:space="0" w:color="auto"/>
        <w:bottom w:val="none" w:sz="0" w:space="0" w:color="auto"/>
        <w:right w:val="none" w:sz="0" w:space="0" w:color="auto"/>
      </w:divBdr>
    </w:div>
    <w:div w:id="223295629">
      <w:bodyDiv w:val="1"/>
      <w:marLeft w:val="0"/>
      <w:marRight w:val="0"/>
      <w:marTop w:val="0"/>
      <w:marBottom w:val="0"/>
      <w:divBdr>
        <w:top w:val="none" w:sz="0" w:space="0" w:color="auto"/>
        <w:left w:val="none" w:sz="0" w:space="0" w:color="auto"/>
        <w:bottom w:val="none" w:sz="0" w:space="0" w:color="auto"/>
        <w:right w:val="none" w:sz="0" w:space="0" w:color="auto"/>
      </w:divBdr>
    </w:div>
    <w:div w:id="249050249">
      <w:bodyDiv w:val="1"/>
      <w:marLeft w:val="0"/>
      <w:marRight w:val="0"/>
      <w:marTop w:val="0"/>
      <w:marBottom w:val="0"/>
      <w:divBdr>
        <w:top w:val="none" w:sz="0" w:space="0" w:color="auto"/>
        <w:left w:val="none" w:sz="0" w:space="0" w:color="auto"/>
        <w:bottom w:val="none" w:sz="0" w:space="0" w:color="auto"/>
        <w:right w:val="none" w:sz="0" w:space="0" w:color="auto"/>
      </w:divBdr>
    </w:div>
    <w:div w:id="258564460">
      <w:bodyDiv w:val="1"/>
      <w:marLeft w:val="0"/>
      <w:marRight w:val="0"/>
      <w:marTop w:val="0"/>
      <w:marBottom w:val="0"/>
      <w:divBdr>
        <w:top w:val="none" w:sz="0" w:space="0" w:color="auto"/>
        <w:left w:val="none" w:sz="0" w:space="0" w:color="auto"/>
        <w:bottom w:val="none" w:sz="0" w:space="0" w:color="auto"/>
        <w:right w:val="none" w:sz="0" w:space="0" w:color="auto"/>
      </w:divBdr>
    </w:div>
    <w:div w:id="270747277">
      <w:bodyDiv w:val="1"/>
      <w:marLeft w:val="0"/>
      <w:marRight w:val="0"/>
      <w:marTop w:val="0"/>
      <w:marBottom w:val="0"/>
      <w:divBdr>
        <w:top w:val="none" w:sz="0" w:space="0" w:color="auto"/>
        <w:left w:val="none" w:sz="0" w:space="0" w:color="auto"/>
        <w:bottom w:val="none" w:sz="0" w:space="0" w:color="auto"/>
        <w:right w:val="none" w:sz="0" w:space="0" w:color="auto"/>
      </w:divBdr>
    </w:div>
    <w:div w:id="328944698">
      <w:bodyDiv w:val="1"/>
      <w:marLeft w:val="0"/>
      <w:marRight w:val="0"/>
      <w:marTop w:val="0"/>
      <w:marBottom w:val="0"/>
      <w:divBdr>
        <w:top w:val="none" w:sz="0" w:space="0" w:color="auto"/>
        <w:left w:val="none" w:sz="0" w:space="0" w:color="auto"/>
        <w:bottom w:val="none" w:sz="0" w:space="0" w:color="auto"/>
        <w:right w:val="none" w:sz="0" w:space="0" w:color="auto"/>
      </w:divBdr>
    </w:div>
    <w:div w:id="345524866">
      <w:bodyDiv w:val="1"/>
      <w:marLeft w:val="0"/>
      <w:marRight w:val="0"/>
      <w:marTop w:val="0"/>
      <w:marBottom w:val="0"/>
      <w:divBdr>
        <w:top w:val="none" w:sz="0" w:space="0" w:color="auto"/>
        <w:left w:val="none" w:sz="0" w:space="0" w:color="auto"/>
        <w:bottom w:val="none" w:sz="0" w:space="0" w:color="auto"/>
        <w:right w:val="none" w:sz="0" w:space="0" w:color="auto"/>
      </w:divBdr>
    </w:div>
    <w:div w:id="466893685">
      <w:bodyDiv w:val="1"/>
      <w:marLeft w:val="0"/>
      <w:marRight w:val="0"/>
      <w:marTop w:val="0"/>
      <w:marBottom w:val="0"/>
      <w:divBdr>
        <w:top w:val="none" w:sz="0" w:space="0" w:color="auto"/>
        <w:left w:val="none" w:sz="0" w:space="0" w:color="auto"/>
        <w:bottom w:val="none" w:sz="0" w:space="0" w:color="auto"/>
        <w:right w:val="none" w:sz="0" w:space="0" w:color="auto"/>
      </w:divBdr>
    </w:div>
    <w:div w:id="561405549">
      <w:bodyDiv w:val="1"/>
      <w:marLeft w:val="0"/>
      <w:marRight w:val="0"/>
      <w:marTop w:val="0"/>
      <w:marBottom w:val="0"/>
      <w:divBdr>
        <w:top w:val="none" w:sz="0" w:space="0" w:color="auto"/>
        <w:left w:val="none" w:sz="0" w:space="0" w:color="auto"/>
        <w:bottom w:val="none" w:sz="0" w:space="0" w:color="auto"/>
        <w:right w:val="none" w:sz="0" w:space="0" w:color="auto"/>
      </w:divBdr>
    </w:div>
    <w:div w:id="622033349">
      <w:bodyDiv w:val="1"/>
      <w:marLeft w:val="0"/>
      <w:marRight w:val="0"/>
      <w:marTop w:val="0"/>
      <w:marBottom w:val="0"/>
      <w:divBdr>
        <w:top w:val="none" w:sz="0" w:space="0" w:color="auto"/>
        <w:left w:val="none" w:sz="0" w:space="0" w:color="auto"/>
        <w:bottom w:val="none" w:sz="0" w:space="0" w:color="auto"/>
        <w:right w:val="none" w:sz="0" w:space="0" w:color="auto"/>
      </w:divBdr>
    </w:div>
    <w:div w:id="623577937">
      <w:bodyDiv w:val="1"/>
      <w:marLeft w:val="0"/>
      <w:marRight w:val="0"/>
      <w:marTop w:val="0"/>
      <w:marBottom w:val="0"/>
      <w:divBdr>
        <w:top w:val="none" w:sz="0" w:space="0" w:color="auto"/>
        <w:left w:val="none" w:sz="0" w:space="0" w:color="auto"/>
        <w:bottom w:val="none" w:sz="0" w:space="0" w:color="auto"/>
        <w:right w:val="none" w:sz="0" w:space="0" w:color="auto"/>
      </w:divBdr>
    </w:div>
    <w:div w:id="641008798">
      <w:bodyDiv w:val="1"/>
      <w:marLeft w:val="0"/>
      <w:marRight w:val="0"/>
      <w:marTop w:val="0"/>
      <w:marBottom w:val="0"/>
      <w:divBdr>
        <w:top w:val="none" w:sz="0" w:space="0" w:color="auto"/>
        <w:left w:val="none" w:sz="0" w:space="0" w:color="auto"/>
        <w:bottom w:val="none" w:sz="0" w:space="0" w:color="auto"/>
        <w:right w:val="none" w:sz="0" w:space="0" w:color="auto"/>
      </w:divBdr>
    </w:div>
    <w:div w:id="733622603">
      <w:bodyDiv w:val="1"/>
      <w:marLeft w:val="0"/>
      <w:marRight w:val="0"/>
      <w:marTop w:val="0"/>
      <w:marBottom w:val="0"/>
      <w:divBdr>
        <w:top w:val="none" w:sz="0" w:space="0" w:color="auto"/>
        <w:left w:val="none" w:sz="0" w:space="0" w:color="auto"/>
        <w:bottom w:val="none" w:sz="0" w:space="0" w:color="auto"/>
        <w:right w:val="none" w:sz="0" w:space="0" w:color="auto"/>
      </w:divBdr>
    </w:div>
    <w:div w:id="930621958">
      <w:bodyDiv w:val="1"/>
      <w:marLeft w:val="0"/>
      <w:marRight w:val="0"/>
      <w:marTop w:val="0"/>
      <w:marBottom w:val="0"/>
      <w:divBdr>
        <w:top w:val="none" w:sz="0" w:space="0" w:color="auto"/>
        <w:left w:val="none" w:sz="0" w:space="0" w:color="auto"/>
        <w:bottom w:val="none" w:sz="0" w:space="0" w:color="auto"/>
        <w:right w:val="none" w:sz="0" w:space="0" w:color="auto"/>
      </w:divBdr>
    </w:div>
    <w:div w:id="1121874931">
      <w:bodyDiv w:val="1"/>
      <w:marLeft w:val="0"/>
      <w:marRight w:val="0"/>
      <w:marTop w:val="0"/>
      <w:marBottom w:val="0"/>
      <w:divBdr>
        <w:top w:val="none" w:sz="0" w:space="0" w:color="auto"/>
        <w:left w:val="none" w:sz="0" w:space="0" w:color="auto"/>
        <w:bottom w:val="none" w:sz="0" w:space="0" w:color="auto"/>
        <w:right w:val="none" w:sz="0" w:space="0" w:color="auto"/>
      </w:divBdr>
    </w:div>
    <w:div w:id="1173881800">
      <w:bodyDiv w:val="1"/>
      <w:marLeft w:val="0"/>
      <w:marRight w:val="0"/>
      <w:marTop w:val="0"/>
      <w:marBottom w:val="0"/>
      <w:divBdr>
        <w:top w:val="none" w:sz="0" w:space="0" w:color="auto"/>
        <w:left w:val="none" w:sz="0" w:space="0" w:color="auto"/>
        <w:bottom w:val="none" w:sz="0" w:space="0" w:color="auto"/>
        <w:right w:val="none" w:sz="0" w:space="0" w:color="auto"/>
      </w:divBdr>
    </w:div>
    <w:div w:id="1215848638">
      <w:bodyDiv w:val="1"/>
      <w:marLeft w:val="0"/>
      <w:marRight w:val="0"/>
      <w:marTop w:val="0"/>
      <w:marBottom w:val="0"/>
      <w:divBdr>
        <w:top w:val="none" w:sz="0" w:space="0" w:color="auto"/>
        <w:left w:val="none" w:sz="0" w:space="0" w:color="auto"/>
        <w:bottom w:val="none" w:sz="0" w:space="0" w:color="auto"/>
        <w:right w:val="none" w:sz="0" w:space="0" w:color="auto"/>
      </w:divBdr>
    </w:div>
    <w:div w:id="1486320135">
      <w:bodyDiv w:val="1"/>
      <w:marLeft w:val="0"/>
      <w:marRight w:val="0"/>
      <w:marTop w:val="0"/>
      <w:marBottom w:val="0"/>
      <w:divBdr>
        <w:top w:val="none" w:sz="0" w:space="0" w:color="auto"/>
        <w:left w:val="none" w:sz="0" w:space="0" w:color="auto"/>
        <w:bottom w:val="none" w:sz="0" w:space="0" w:color="auto"/>
        <w:right w:val="none" w:sz="0" w:space="0" w:color="auto"/>
      </w:divBdr>
    </w:div>
    <w:div w:id="1637031969">
      <w:bodyDiv w:val="1"/>
      <w:marLeft w:val="0"/>
      <w:marRight w:val="0"/>
      <w:marTop w:val="0"/>
      <w:marBottom w:val="0"/>
      <w:divBdr>
        <w:top w:val="none" w:sz="0" w:space="0" w:color="auto"/>
        <w:left w:val="none" w:sz="0" w:space="0" w:color="auto"/>
        <w:bottom w:val="none" w:sz="0" w:space="0" w:color="auto"/>
        <w:right w:val="none" w:sz="0" w:space="0" w:color="auto"/>
      </w:divBdr>
    </w:div>
    <w:div w:id="1674915483">
      <w:bodyDiv w:val="1"/>
      <w:marLeft w:val="0"/>
      <w:marRight w:val="0"/>
      <w:marTop w:val="0"/>
      <w:marBottom w:val="0"/>
      <w:divBdr>
        <w:top w:val="none" w:sz="0" w:space="0" w:color="auto"/>
        <w:left w:val="none" w:sz="0" w:space="0" w:color="auto"/>
        <w:bottom w:val="none" w:sz="0" w:space="0" w:color="auto"/>
        <w:right w:val="none" w:sz="0" w:space="0" w:color="auto"/>
      </w:divBdr>
    </w:div>
    <w:div w:id="1745443767">
      <w:bodyDiv w:val="1"/>
      <w:marLeft w:val="0"/>
      <w:marRight w:val="0"/>
      <w:marTop w:val="0"/>
      <w:marBottom w:val="0"/>
      <w:divBdr>
        <w:top w:val="none" w:sz="0" w:space="0" w:color="auto"/>
        <w:left w:val="none" w:sz="0" w:space="0" w:color="auto"/>
        <w:bottom w:val="none" w:sz="0" w:space="0" w:color="auto"/>
        <w:right w:val="none" w:sz="0" w:space="0" w:color="auto"/>
      </w:divBdr>
    </w:div>
    <w:div w:id="1918201330">
      <w:bodyDiv w:val="1"/>
      <w:marLeft w:val="0"/>
      <w:marRight w:val="0"/>
      <w:marTop w:val="0"/>
      <w:marBottom w:val="0"/>
      <w:divBdr>
        <w:top w:val="none" w:sz="0" w:space="0" w:color="auto"/>
        <w:left w:val="none" w:sz="0" w:space="0" w:color="auto"/>
        <w:bottom w:val="none" w:sz="0" w:space="0" w:color="auto"/>
        <w:right w:val="none" w:sz="0" w:space="0" w:color="auto"/>
      </w:divBdr>
    </w:div>
    <w:div w:id="1954747555">
      <w:bodyDiv w:val="1"/>
      <w:marLeft w:val="0"/>
      <w:marRight w:val="0"/>
      <w:marTop w:val="0"/>
      <w:marBottom w:val="0"/>
      <w:divBdr>
        <w:top w:val="none" w:sz="0" w:space="0" w:color="auto"/>
        <w:left w:val="none" w:sz="0" w:space="0" w:color="auto"/>
        <w:bottom w:val="none" w:sz="0" w:space="0" w:color="auto"/>
        <w:right w:val="none" w:sz="0" w:space="0" w:color="auto"/>
      </w:divBdr>
    </w:div>
    <w:div w:id="1965648580">
      <w:bodyDiv w:val="1"/>
      <w:marLeft w:val="0"/>
      <w:marRight w:val="0"/>
      <w:marTop w:val="0"/>
      <w:marBottom w:val="0"/>
      <w:divBdr>
        <w:top w:val="none" w:sz="0" w:space="0" w:color="auto"/>
        <w:left w:val="none" w:sz="0" w:space="0" w:color="auto"/>
        <w:bottom w:val="none" w:sz="0" w:space="0" w:color="auto"/>
        <w:right w:val="none" w:sz="0" w:space="0" w:color="auto"/>
      </w:divBdr>
    </w:div>
    <w:div w:id="2040233063">
      <w:bodyDiv w:val="1"/>
      <w:marLeft w:val="0"/>
      <w:marRight w:val="0"/>
      <w:marTop w:val="0"/>
      <w:marBottom w:val="0"/>
      <w:divBdr>
        <w:top w:val="none" w:sz="0" w:space="0" w:color="auto"/>
        <w:left w:val="none" w:sz="0" w:space="0" w:color="auto"/>
        <w:bottom w:val="none" w:sz="0" w:space="0" w:color="auto"/>
        <w:right w:val="none" w:sz="0" w:space="0" w:color="auto"/>
      </w:divBdr>
    </w:div>
    <w:div w:id="2059428388">
      <w:bodyDiv w:val="1"/>
      <w:marLeft w:val="0"/>
      <w:marRight w:val="0"/>
      <w:marTop w:val="0"/>
      <w:marBottom w:val="0"/>
      <w:divBdr>
        <w:top w:val="none" w:sz="0" w:space="0" w:color="auto"/>
        <w:left w:val="none" w:sz="0" w:space="0" w:color="auto"/>
        <w:bottom w:val="none" w:sz="0" w:space="0" w:color="auto"/>
        <w:right w:val="none" w:sz="0" w:space="0" w:color="auto"/>
      </w:divBdr>
    </w:div>
    <w:div w:id="2090152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1507</Words>
  <Characters>8596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2018-06-20T08:20:00Z</dcterms:created>
  <dcterms:modified xsi:type="dcterms:W3CDTF">2018-06-20T08:20:00Z</dcterms:modified>
</cp:coreProperties>
</file>