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58450E" w14:textId="77777777" w:rsidR="003A18CF" w:rsidRDefault="0003374F" w:rsidP="003A18CF">
      <w:pPr>
        <w:spacing w:line="240" w:lineRule="auto"/>
        <w:jc w:val="center"/>
        <w:outlineLvl w:val="0"/>
      </w:pPr>
      <w:r w:rsidRPr="0003374F">
        <w:rPr>
          <w:b/>
          <w:bCs/>
          <w:noProof/>
          <w:color w:val="1F497D"/>
          <w:lang w:eastAsia="en-ZA"/>
        </w:rPr>
        <w:drawing>
          <wp:inline distT="0" distB="0" distL="0" distR="0" wp14:anchorId="0B4C3EBE" wp14:editId="070FB606">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495DD3E5" w14:textId="77777777" w:rsidR="003A18CF" w:rsidRDefault="003A18CF" w:rsidP="003A18CF">
      <w:pPr>
        <w:spacing w:line="240" w:lineRule="auto"/>
        <w:jc w:val="center"/>
        <w:outlineLvl w:val="0"/>
      </w:pPr>
    </w:p>
    <w:p w14:paraId="2F96DFAB" w14:textId="77777777" w:rsidR="003A18CF" w:rsidRPr="00271C49" w:rsidRDefault="003A18CF" w:rsidP="003A18CF">
      <w:pPr>
        <w:spacing w:line="240" w:lineRule="auto"/>
        <w:jc w:val="center"/>
        <w:outlineLvl w:val="0"/>
        <w:rPr>
          <w:b/>
        </w:rPr>
      </w:pPr>
      <w:r w:rsidRPr="00271C49">
        <w:rPr>
          <w:b/>
        </w:rPr>
        <w:t>CONSTITUTIONAL COURT OF SOUTH AFRICA</w:t>
      </w:r>
    </w:p>
    <w:p w14:paraId="4A0F770A" w14:textId="77777777" w:rsidR="003A18CF" w:rsidRDefault="003A18CF" w:rsidP="003A18CF">
      <w:pPr>
        <w:spacing w:line="240" w:lineRule="auto"/>
      </w:pPr>
    </w:p>
    <w:p w14:paraId="4E56A541" w14:textId="77777777" w:rsidR="003A18CF" w:rsidRPr="009C3888" w:rsidRDefault="003A18CF" w:rsidP="003A18CF">
      <w:pPr>
        <w:spacing w:line="240" w:lineRule="auto"/>
      </w:pPr>
    </w:p>
    <w:p w14:paraId="6D0E9AA8" w14:textId="77777777" w:rsidR="003A18CF" w:rsidRPr="00961263" w:rsidRDefault="003A18CF" w:rsidP="003A18CF">
      <w:pPr>
        <w:tabs>
          <w:tab w:val="right" w:pos="9029"/>
        </w:tabs>
        <w:spacing w:line="240" w:lineRule="auto"/>
      </w:pPr>
      <w:r w:rsidRPr="00961263">
        <w:tab/>
        <w:t xml:space="preserve">Case CCT </w:t>
      </w:r>
      <w:r w:rsidR="00693733" w:rsidRPr="00693733">
        <w:t>05/18</w:t>
      </w:r>
    </w:p>
    <w:p w14:paraId="64501C62" w14:textId="77777777" w:rsidR="003A18CF" w:rsidRDefault="003A18CF" w:rsidP="003A18CF">
      <w:pPr>
        <w:tabs>
          <w:tab w:val="left" w:pos="8998"/>
        </w:tabs>
        <w:spacing w:line="240" w:lineRule="auto"/>
      </w:pPr>
    </w:p>
    <w:p w14:paraId="705DD775" w14:textId="77777777" w:rsidR="003A18CF" w:rsidRPr="00E6071A" w:rsidRDefault="003A18CF" w:rsidP="003A18CF">
      <w:pPr>
        <w:tabs>
          <w:tab w:val="left" w:pos="8998"/>
        </w:tabs>
        <w:spacing w:line="240" w:lineRule="auto"/>
      </w:pPr>
      <w:r w:rsidRPr="00E6071A">
        <w:t>In the matter between:</w:t>
      </w:r>
    </w:p>
    <w:p w14:paraId="5B1F8702" w14:textId="77777777" w:rsidR="003A18CF" w:rsidRDefault="003A18CF" w:rsidP="003A18CF">
      <w:pPr>
        <w:tabs>
          <w:tab w:val="left" w:pos="8998"/>
        </w:tabs>
        <w:spacing w:line="240" w:lineRule="auto"/>
      </w:pPr>
    </w:p>
    <w:p w14:paraId="638B39F5" w14:textId="77777777" w:rsidR="003A18CF" w:rsidRPr="009C3888" w:rsidRDefault="003A18CF" w:rsidP="003A18CF">
      <w:pPr>
        <w:tabs>
          <w:tab w:val="left" w:pos="8998"/>
        </w:tabs>
        <w:spacing w:line="240" w:lineRule="auto"/>
      </w:pPr>
    </w:p>
    <w:p w14:paraId="50B3D87A" w14:textId="37BB94C6" w:rsidR="003A18CF" w:rsidRPr="00EE02D5" w:rsidRDefault="00693733" w:rsidP="003A18CF">
      <w:pPr>
        <w:tabs>
          <w:tab w:val="right" w:pos="9029"/>
        </w:tabs>
        <w:spacing w:line="240" w:lineRule="auto"/>
        <w:rPr>
          <w:szCs w:val="26"/>
        </w:rPr>
      </w:pPr>
      <w:r w:rsidRPr="00693733">
        <w:rPr>
          <w:b/>
          <w:szCs w:val="26"/>
        </w:rPr>
        <w:t>eTHEKWINI MUNICIPALITY</w:t>
      </w:r>
      <w:r w:rsidR="003A18CF" w:rsidRPr="00EE02D5">
        <w:rPr>
          <w:szCs w:val="26"/>
        </w:rPr>
        <w:tab/>
        <w:t>Applicant</w:t>
      </w:r>
    </w:p>
    <w:p w14:paraId="1E849238" w14:textId="77777777" w:rsidR="003A18CF" w:rsidRPr="00EE02D5" w:rsidRDefault="003A18CF" w:rsidP="003A18CF">
      <w:pPr>
        <w:spacing w:line="240" w:lineRule="auto"/>
        <w:rPr>
          <w:szCs w:val="26"/>
        </w:rPr>
      </w:pPr>
    </w:p>
    <w:p w14:paraId="5EEA3646" w14:textId="77777777" w:rsidR="003A18CF" w:rsidRPr="00EE02D5" w:rsidRDefault="003A18CF" w:rsidP="003A18CF">
      <w:pPr>
        <w:spacing w:line="240" w:lineRule="auto"/>
        <w:rPr>
          <w:szCs w:val="26"/>
        </w:rPr>
      </w:pPr>
      <w:r w:rsidRPr="00EE02D5">
        <w:rPr>
          <w:szCs w:val="26"/>
        </w:rPr>
        <w:t>and</w:t>
      </w:r>
    </w:p>
    <w:p w14:paraId="5A3103A7" w14:textId="77777777" w:rsidR="003A18CF" w:rsidRPr="00EE02D5" w:rsidRDefault="003A18CF" w:rsidP="003A18CF">
      <w:pPr>
        <w:spacing w:line="240" w:lineRule="auto"/>
        <w:rPr>
          <w:szCs w:val="26"/>
        </w:rPr>
      </w:pPr>
    </w:p>
    <w:p w14:paraId="256610E9" w14:textId="77777777" w:rsidR="003A18CF" w:rsidRPr="00EE02D5" w:rsidRDefault="00693733" w:rsidP="003A18CF">
      <w:pPr>
        <w:tabs>
          <w:tab w:val="right" w:pos="9029"/>
        </w:tabs>
        <w:spacing w:line="240" w:lineRule="auto"/>
        <w:rPr>
          <w:szCs w:val="26"/>
        </w:rPr>
      </w:pPr>
      <w:r w:rsidRPr="00693733">
        <w:rPr>
          <w:b/>
          <w:szCs w:val="26"/>
        </w:rPr>
        <w:t>MOUNTHAVEN (PTY) LIMITED</w:t>
      </w:r>
      <w:r w:rsidR="003A18CF" w:rsidRPr="00EE02D5">
        <w:rPr>
          <w:szCs w:val="26"/>
        </w:rPr>
        <w:tab/>
        <w:t>Respondent</w:t>
      </w:r>
    </w:p>
    <w:p w14:paraId="57A37C0E" w14:textId="77777777" w:rsidR="003A18CF" w:rsidRDefault="003A18CF" w:rsidP="003A18CF">
      <w:pPr>
        <w:spacing w:line="240" w:lineRule="auto"/>
        <w:rPr>
          <w:szCs w:val="26"/>
        </w:rPr>
      </w:pPr>
    </w:p>
    <w:p w14:paraId="3AAD34D3" w14:textId="77777777" w:rsidR="009D40B7" w:rsidRDefault="009D40B7" w:rsidP="003A18CF">
      <w:pPr>
        <w:spacing w:line="240" w:lineRule="auto"/>
        <w:rPr>
          <w:szCs w:val="26"/>
        </w:rPr>
      </w:pPr>
    </w:p>
    <w:p w14:paraId="35DB14E1" w14:textId="77777777" w:rsidR="00693733" w:rsidRPr="009C3888" w:rsidRDefault="00693733" w:rsidP="003A18CF">
      <w:pPr>
        <w:spacing w:line="240" w:lineRule="auto"/>
      </w:pPr>
    </w:p>
    <w:p w14:paraId="30BCD5E1" w14:textId="6F7E5C1F" w:rsidR="003A18CF" w:rsidRPr="00F05BBD" w:rsidRDefault="003A18CF" w:rsidP="003A18CF">
      <w:pPr>
        <w:spacing w:line="240" w:lineRule="auto"/>
        <w:ind w:left="2160" w:hanging="2160"/>
      </w:pPr>
      <w:r w:rsidRPr="008B40EE">
        <w:rPr>
          <w:b/>
        </w:rPr>
        <w:t>Neutral citation:</w:t>
      </w:r>
      <w:r>
        <w:tab/>
      </w:r>
      <w:r w:rsidR="00A71A36" w:rsidRPr="00A71A36">
        <w:rPr>
          <w:i/>
        </w:rPr>
        <w:t>eThekwini Municipality v Mounthaven (Pty) Limited</w:t>
      </w:r>
      <w:r>
        <w:rPr>
          <w:i/>
        </w:rPr>
        <w:t xml:space="preserve"> </w:t>
      </w:r>
      <w:r>
        <w:t>[</w:t>
      </w:r>
      <w:r w:rsidR="00693733" w:rsidRPr="00A71A36">
        <w:t>2018</w:t>
      </w:r>
      <w:r>
        <w:t xml:space="preserve">] ZACC </w:t>
      </w:r>
      <w:r w:rsidR="000976F6">
        <w:t>43</w:t>
      </w:r>
    </w:p>
    <w:p w14:paraId="5765DFEB" w14:textId="77777777" w:rsidR="003A18CF" w:rsidRDefault="003A18CF" w:rsidP="003A18CF">
      <w:pPr>
        <w:spacing w:line="240" w:lineRule="auto"/>
      </w:pPr>
    </w:p>
    <w:p w14:paraId="7A4C29A3" w14:textId="32474905" w:rsidR="007410F3" w:rsidRPr="00A8146A" w:rsidRDefault="003A18CF" w:rsidP="007410F3">
      <w:pPr>
        <w:pStyle w:val="BODYNON-NUMBERED"/>
        <w:spacing w:after="0"/>
        <w:ind w:left="2160" w:hanging="2160"/>
        <w:rPr>
          <w:szCs w:val="26"/>
        </w:rPr>
      </w:pPr>
      <w:r w:rsidRPr="008B40EE">
        <w:rPr>
          <w:b/>
        </w:rPr>
        <w:t>Coram:</w:t>
      </w:r>
      <w:r>
        <w:tab/>
      </w:r>
      <w:r w:rsidR="00693733">
        <w:rPr>
          <w:szCs w:val="26"/>
        </w:rPr>
        <w:t>Mogoeng CJ</w:t>
      </w:r>
      <w:r w:rsidR="007410F3">
        <w:rPr>
          <w:szCs w:val="26"/>
        </w:rPr>
        <w:t>,</w:t>
      </w:r>
      <w:r w:rsidR="00693733">
        <w:rPr>
          <w:szCs w:val="26"/>
        </w:rPr>
        <w:t xml:space="preserve"> Ba</w:t>
      </w:r>
      <w:r w:rsidR="008B73B2">
        <w:rPr>
          <w:szCs w:val="26"/>
        </w:rPr>
        <w:t>s</w:t>
      </w:r>
      <w:r w:rsidR="00693733">
        <w:rPr>
          <w:szCs w:val="26"/>
        </w:rPr>
        <w:t>son AJ</w:t>
      </w:r>
      <w:r w:rsidR="007410F3">
        <w:rPr>
          <w:szCs w:val="26"/>
        </w:rPr>
        <w:t xml:space="preserve"> </w:t>
      </w:r>
      <w:r w:rsidR="007410F3" w:rsidRPr="002162D7">
        <w:rPr>
          <w:szCs w:val="26"/>
        </w:rPr>
        <w:t>Cameron J</w:t>
      </w:r>
      <w:r w:rsidR="007410F3">
        <w:rPr>
          <w:szCs w:val="26"/>
        </w:rPr>
        <w:t>,</w:t>
      </w:r>
      <w:r w:rsidR="00693733">
        <w:rPr>
          <w:szCs w:val="26"/>
        </w:rPr>
        <w:t xml:space="preserve"> Dlodlo AJ, Froneman J, Goliath AJ</w:t>
      </w:r>
      <w:r w:rsidR="007410F3">
        <w:rPr>
          <w:szCs w:val="26"/>
        </w:rPr>
        <w:t>, Khampepe </w:t>
      </w:r>
      <w:r w:rsidR="00693733">
        <w:rPr>
          <w:szCs w:val="26"/>
        </w:rPr>
        <w:t>J, Mh</w:t>
      </w:r>
      <w:r w:rsidR="00F74903">
        <w:rPr>
          <w:szCs w:val="26"/>
        </w:rPr>
        <w:t>l</w:t>
      </w:r>
      <w:r w:rsidR="00693733">
        <w:rPr>
          <w:szCs w:val="26"/>
        </w:rPr>
        <w:t>an</w:t>
      </w:r>
      <w:r w:rsidR="00F74903">
        <w:rPr>
          <w:szCs w:val="26"/>
        </w:rPr>
        <w:t>t</w:t>
      </w:r>
      <w:r w:rsidR="00693733">
        <w:rPr>
          <w:szCs w:val="26"/>
        </w:rPr>
        <w:t>la J, Petse AJ and Theron J</w:t>
      </w:r>
    </w:p>
    <w:p w14:paraId="56E6484D" w14:textId="77777777" w:rsidR="003A18CF" w:rsidRDefault="003A18CF" w:rsidP="003A18CF">
      <w:pPr>
        <w:spacing w:line="240" w:lineRule="auto"/>
        <w:ind w:left="2160" w:hanging="2160"/>
      </w:pPr>
    </w:p>
    <w:p w14:paraId="5B709600" w14:textId="77777777" w:rsidR="003A18CF" w:rsidRDefault="003A18CF" w:rsidP="003A18CF">
      <w:pPr>
        <w:spacing w:line="240" w:lineRule="auto"/>
      </w:pPr>
    </w:p>
    <w:p w14:paraId="4995123D" w14:textId="23091D2B" w:rsidR="00AE7143" w:rsidRDefault="00AE7143" w:rsidP="001716C8">
      <w:pPr>
        <w:spacing w:line="240" w:lineRule="auto"/>
        <w:ind w:left="2160" w:hanging="2160"/>
      </w:pPr>
      <w:r>
        <w:rPr>
          <w:b/>
        </w:rPr>
        <w:t>Judgments</w:t>
      </w:r>
      <w:r w:rsidRPr="008B40EE">
        <w:rPr>
          <w:b/>
        </w:rPr>
        <w:t>:</w:t>
      </w:r>
      <w:r>
        <w:tab/>
      </w:r>
      <w:r w:rsidR="00321426">
        <w:t>Froneman J</w:t>
      </w:r>
      <w:r>
        <w:t xml:space="preserve"> </w:t>
      </w:r>
      <w:r w:rsidRPr="001716C8">
        <w:t>(</w:t>
      </w:r>
      <w:r w:rsidR="001716C8" w:rsidRPr="001716C8">
        <w:t>unanimous)</w:t>
      </w:r>
    </w:p>
    <w:p w14:paraId="76E98DB1" w14:textId="77777777" w:rsidR="00AE7143" w:rsidRDefault="00AE7143" w:rsidP="003A18CF">
      <w:pPr>
        <w:spacing w:line="240" w:lineRule="auto"/>
      </w:pPr>
    </w:p>
    <w:p w14:paraId="78EDAFD7" w14:textId="77777777" w:rsidR="003A18CF" w:rsidRPr="009C3888" w:rsidRDefault="003A18CF" w:rsidP="0044313C">
      <w:pPr>
        <w:spacing w:line="240" w:lineRule="auto"/>
        <w:ind w:left="2160" w:hanging="2160"/>
      </w:pPr>
      <w:r w:rsidRPr="008B40EE">
        <w:rPr>
          <w:b/>
        </w:rPr>
        <w:t>Heard on:</w:t>
      </w:r>
      <w:r>
        <w:tab/>
      </w:r>
      <w:r w:rsidR="00A71A36">
        <w:t>28 August 2018</w:t>
      </w:r>
    </w:p>
    <w:p w14:paraId="517FC4B7" w14:textId="77777777" w:rsidR="003A18CF" w:rsidRPr="009C3888" w:rsidRDefault="003A18CF" w:rsidP="0044313C">
      <w:pPr>
        <w:spacing w:line="240" w:lineRule="auto"/>
        <w:ind w:left="2160" w:hanging="2160"/>
      </w:pPr>
    </w:p>
    <w:p w14:paraId="2DAA72D4" w14:textId="60DB1356" w:rsidR="003A18CF" w:rsidRDefault="003A18CF" w:rsidP="0044313C">
      <w:pPr>
        <w:spacing w:line="240" w:lineRule="auto"/>
        <w:ind w:left="2160" w:hanging="2160"/>
      </w:pPr>
      <w:r w:rsidRPr="008B40EE">
        <w:rPr>
          <w:b/>
        </w:rPr>
        <w:t>Decided on:</w:t>
      </w:r>
      <w:r>
        <w:tab/>
      </w:r>
      <w:r w:rsidR="000976F6">
        <w:t>31 October 2018</w:t>
      </w:r>
    </w:p>
    <w:p w14:paraId="7F03FA64" w14:textId="77777777" w:rsidR="004110F6" w:rsidRDefault="004110F6" w:rsidP="003A18CF">
      <w:pPr>
        <w:spacing w:line="240" w:lineRule="auto"/>
      </w:pPr>
    </w:p>
    <w:p w14:paraId="56A9C430" w14:textId="568D24C7" w:rsidR="004D02BA" w:rsidRPr="00012219" w:rsidRDefault="004D02BA" w:rsidP="004D02BA">
      <w:pPr>
        <w:spacing w:line="240" w:lineRule="auto"/>
        <w:ind w:left="2160" w:hanging="2160"/>
      </w:pPr>
      <w:r>
        <w:rPr>
          <w:b/>
        </w:rPr>
        <w:t>Summary:</w:t>
      </w:r>
      <w:r>
        <w:rPr>
          <w:b/>
        </w:rPr>
        <w:tab/>
      </w:r>
      <w:r w:rsidR="00012219" w:rsidRPr="00012219">
        <w:t>Meaning of debt</w:t>
      </w:r>
      <w:r w:rsidRPr="00012219">
        <w:t xml:space="preserve"> </w:t>
      </w:r>
      <w:r w:rsidR="006724E0" w:rsidRPr="00012219">
        <w:t>—</w:t>
      </w:r>
      <w:r w:rsidRPr="00012219">
        <w:t xml:space="preserve"> </w:t>
      </w:r>
      <w:r w:rsidR="00012219">
        <w:t xml:space="preserve">Prescription Act 68 of 1969 </w:t>
      </w:r>
      <w:r w:rsidR="00012219" w:rsidRPr="00012219">
        <w:t xml:space="preserve">— </w:t>
      </w:r>
      <w:r w:rsidR="00012219">
        <w:t xml:space="preserve">Real rights </w:t>
      </w:r>
      <w:r w:rsidR="00012219" w:rsidRPr="00012219">
        <w:t xml:space="preserve">— </w:t>
      </w:r>
      <w:r w:rsidR="00012219">
        <w:t xml:space="preserve">Limited Real Rights </w:t>
      </w:r>
      <w:r w:rsidR="00012219" w:rsidRPr="00012219">
        <w:t xml:space="preserve">— </w:t>
      </w:r>
      <w:r w:rsidR="00012219">
        <w:t xml:space="preserve">Personal rights </w:t>
      </w:r>
      <w:r w:rsidR="00012219" w:rsidRPr="00012219">
        <w:t xml:space="preserve">— </w:t>
      </w:r>
      <w:r w:rsidR="00012219">
        <w:t>reversionary clauses</w:t>
      </w:r>
    </w:p>
    <w:p w14:paraId="49D85B00" w14:textId="77777777" w:rsidR="004D02BA" w:rsidRPr="00012219" w:rsidRDefault="004D02BA" w:rsidP="004D02BA">
      <w:pPr>
        <w:spacing w:line="240" w:lineRule="auto"/>
        <w:ind w:left="2160" w:hanging="2160"/>
      </w:pPr>
    </w:p>
    <w:p w14:paraId="7213B22A" w14:textId="6A9511FD" w:rsidR="004D02BA" w:rsidRDefault="00012219" w:rsidP="00012219">
      <w:pPr>
        <w:spacing w:line="240" w:lineRule="auto"/>
        <w:ind w:left="2160"/>
      </w:pPr>
      <w:r>
        <w:t xml:space="preserve">Deeds Registries Act 47 of 1937 </w:t>
      </w:r>
      <w:r w:rsidR="006724E0" w:rsidRPr="00012219">
        <w:t>—</w:t>
      </w:r>
      <w:r w:rsidR="004D02BA" w:rsidRPr="00012219">
        <w:t xml:space="preserve"> </w:t>
      </w:r>
      <w:r>
        <w:t>Registration of Personal Rights</w:t>
      </w:r>
      <w:bookmarkStart w:id="0" w:name="_GoBack"/>
      <w:bookmarkEnd w:id="0"/>
    </w:p>
    <w:p w14:paraId="78A6DB02" w14:textId="77777777" w:rsidR="004D02BA" w:rsidRDefault="004D02BA" w:rsidP="004D02BA">
      <w:pPr>
        <w:spacing w:line="240" w:lineRule="auto"/>
      </w:pPr>
    </w:p>
    <w:p w14:paraId="342CCF58" w14:textId="77777777" w:rsidR="004D02BA" w:rsidRDefault="004D02BA" w:rsidP="004D02BA">
      <w:pPr>
        <w:spacing w:line="240" w:lineRule="auto"/>
      </w:pPr>
    </w:p>
    <w:p w14:paraId="73E002F4" w14:textId="77777777" w:rsidR="00012219" w:rsidRDefault="00012219" w:rsidP="004D02BA">
      <w:pPr>
        <w:spacing w:line="240" w:lineRule="auto"/>
      </w:pPr>
    </w:p>
    <w:p w14:paraId="73DE47FE" w14:textId="77777777" w:rsidR="00012219" w:rsidRPr="004110F6" w:rsidRDefault="00012219" w:rsidP="004D02BA">
      <w:pPr>
        <w:spacing w:line="240" w:lineRule="auto"/>
      </w:pPr>
    </w:p>
    <w:p w14:paraId="361B20EF" w14:textId="77777777" w:rsidR="003A18CF" w:rsidRPr="009C3888" w:rsidRDefault="003A18CF" w:rsidP="003A18CF">
      <w:pPr>
        <w:keepNext/>
        <w:pBdr>
          <w:top w:val="single" w:sz="4" w:space="1" w:color="auto"/>
          <w:bottom w:val="single" w:sz="4" w:space="1" w:color="auto"/>
        </w:pBdr>
        <w:spacing w:line="240" w:lineRule="auto"/>
        <w:jc w:val="center"/>
      </w:pPr>
    </w:p>
    <w:p w14:paraId="49CB52FB" w14:textId="77777777"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14:paraId="183B3F14" w14:textId="77777777" w:rsidR="003A18CF" w:rsidRPr="009C3888" w:rsidRDefault="003A18CF" w:rsidP="003A18CF">
      <w:pPr>
        <w:pBdr>
          <w:top w:val="single" w:sz="4" w:space="1" w:color="auto"/>
          <w:bottom w:val="single" w:sz="4" w:space="1" w:color="auto"/>
        </w:pBdr>
        <w:spacing w:line="240" w:lineRule="auto"/>
        <w:jc w:val="center"/>
      </w:pPr>
    </w:p>
    <w:p w14:paraId="33EF9837" w14:textId="77777777" w:rsidR="003A18CF" w:rsidRDefault="003A18CF" w:rsidP="003A18CF">
      <w:pPr>
        <w:spacing w:line="240" w:lineRule="auto"/>
      </w:pPr>
    </w:p>
    <w:p w14:paraId="09AF476E" w14:textId="77777777" w:rsidR="003A18CF" w:rsidRPr="009C3888" w:rsidRDefault="003A18CF" w:rsidP="003A18CF">
      <w:pPr>
        <w:spacing w:line="240" w:lineRule="auto"/>
      </w:pPr>
    </w:p>
    <w:p w14:paraId="1DCB3697" w14:textId="77777777" w:rsidR="00012219" w:rsidRDefault="001423DB" w:rsidP="00405CBB">
      <w:pPr>
        <w:pStyle w:val="JUDGMENTNUMBERED"/>
        <w:numPr>
          <w:ilvl w:val="0"/>
          <w:numId w:val="0"/>
        </w:numPr>
      </w:pPr>
      <w:r w:rsidRPr="001716C8">
        <w:t>On appeal from the Supreme Court of Appeal</w:t>
      </w:r>
      <w:r w:rsidR="00012219">
        <w:t>:</w:t>
      </w:r>
    </w:p>
    <w:p w14:paraId="583E3988" w14:textId="17F9FFAC" w:rsidR="00405CBB" w:rsidRPr="00012219" w:rsidRDefault="00405CBB" w:rsidP="00012219">
      <w:pPr>
        <w:pStyle w:val="ORDER"/>
        <w:numPr>
          <w:ilvl w:val="0"/>
          <w:numId w:val="18"/>
        </w:numPr>
      </w:pPr>
      <w:r w:rsidRPr="00012219">
        <w:t>Leave to appeal is refused with costs.</w:t>
      </w:r>
    </w:p>
    <w:p w14:paraId="4747EF01" w14:textId="2C48990B" w:rsidR="003A18CF" w:rsidRDefault="003A18CF" w:rsidP="000C38CF">
      <w:pPr>
        <w:pStyle w:val="JUDGMENTCONTINUED"/>
      </w:pPr>
    </w:p>
    <w:p w14:paraId="7945CCE5" w14:textId="5E716E66" w:rsidR="00CB0CB2" w:rsidRDefault="00CB0CB2" w:rsidP="000C38CF">
      <w:pPr>
        <w:pStyle w:val="JUDGMENTCONTINUED"/>
        <w:sectPr w:rsidR="00CB0CB2" w:rsidSect="009559B5">
          <w:footerReference w:type="default" r:id="rId9"/>
          <w:pgSz w:w="11907" w:h="16839" w:code="9"/>
          <w:pgMar w:top="1440" w:right="1440" w:bottom="1440" w:left="1440" w:header="708" w:footer="708" w:gutter="0"/>
          <w:pgNumType w:start="1"/>
          <w:cols w:space="708"/>
          <w:titlePg/>
          <w:docGrid w:linePitch="360"/>
        </w:sectPr>
      </w:pPr>
    </w:p>
    <w:p w14:paraId="05D26275" w14:textId="77777777" w:rsidR="000704F2" w:rsidRPr="009C3888" w:rsidRDefault="000704F2" w:rsidP="00F245CE">
      <w:pPr>
        <w:keepNext/>
        <w:pBdr>
          <w:top w:val="single" w:sz="4" w:space="1" w:color="auto"/>
          <w:bottom w:val="single" w:sz="4" w:space="1" w:color="auto"/>
        </w:pBdr>
        <w:spacing w:line="240" w:lineRule="auto"/>
        <w:jc w:val="center"/>
      </w:pPr>
    </w:p>
    <w:p w14:paraId="7317E051" w14:textId="070FC561" w:rsidR="00E4607C" w:rsidRPr="003A18CF" w:rsidRDefault="001423DB" w:rsidP="00F245CE">
      <w:pPr>
        <w:keepNext/>
        <w:pBdr>
          <w:top w:val="single" w:sz="4" w:space="1" w:color="auto"/>
          <w:bottom w:val="single" w:sz="4" w:space="1" w:color="auto"/>
        </w:pBdr>
        <w:spacing w:line="240" w:lineRule="auto"/>
        <w:jc w:val="center"/>
        <w:outlineLvl w:val="0"/>
        <w:rPr>
          <w:b/>
        </w:rPr>
      </w:pPr>
      <w:r>
        <w:rPr>
          <w:b/>
        </w:rPr>
        <w:t>JUDGMENT</w:t>
      </w:r>
    </w:p>
    <w:p w14:paraId="76057E01" w14:textId="77777777" w:rsidR="000704F2" w:rsidRPr="009C3888" w:rsidRDefault="000704F2" w:rsidP="000704F2">
      <w:pPr>
        <w:pBdr>
          <w:top w:val="single" w:sz="4" w:space="1" w:color="auto"/>
          <w:bottom w:val="single" w:sz="4" w:space="1" w:color="auto"/>
        </w:pBdr>
        <w:spacing w:line="240" w:lineRule="auto"/>
        <w:jc w:val="center"/>
      </w:pPr>
    </w:p>
    <w:p w14:paraId="4BBFF2DC" w14:textId="77777777" w:rsidR="000704F2" w:rsidRPr="009C3888" w:rsidRDefault="000704F2" w:rsidP="000704F2">
      <w:pPr>
        <w:spacing w:line="240" w:lineRule="auto"/>
      </w:pPr>
    </w:p>
    <w:p w14:paraId="1DD4BD90" w14:textId="77777777" w:rsidR="00F12F57" w:rsidRDefault="00F12F57" w:rsidP="000704F2">
      <w:pPr>
        <w:spacing w:line="240" w:lineRule="auto"/>
      </w:pPr>
    </w:p>
    <w:p w14:paraId="0578F669" w14:textId="77777777" w:rsidR="006E3711" w:rsidRPr="009C3888" w:rsidRDefault="006E3711" w:rsidP="000704F2">
      <w:pPr>
        <w:spacing w:line="240" w:lineRule="auto"/>
      </w:pPr>
    </w:p>
    <w:p w14:paraId="0C91DD5C" w14:textId="5253FC86" w:rsidR="000704F2" w:rsidRPr="007B5814" w:rsidRDefault="00693733" w:rsidP="007B5814">
      <w:pPr>
        <w:pStyle w:val="BODYNON-NUMBERED"/>
        <w:spacing w:after="0"/>
        <w:rPr>
          <w:szCs w:val="26"/>
        </w:rPr>
      </w:pPr>
      <w:r>
        <w:t>F</w:t>
      </w:r>
      <w:r w:rsidR="00A71A36">
        <w:t>R</w:t>
      </w:r>
      <w:r>
        <w:t>ONEMAN</w:t>
      </w:r>
      <w:r w:rsidR="003644DF">
        <w:t> </w:t>
      </w:r>
      <w:r w:rsidR="00AE7602" w:rsidRPr="009C3888">
        <w:t>J</w:t>
      </w:r>
      <w:r w:rsidR="003644DF">
        <w:t xml:space="preserve"> (</w:t>
      </w:r>
      <w:r w:rsidR="001716C8">
        <w:rPr>
          <w:szCs w:val="26"/>
        </w:rPr>
        <w:t xml:space="preserve">Mogoeng CJ, Basson AJ </w:t>
      </w:r>
      <w:r w:rsidR="001716C8" w:rsidRPr="002162D7">
        <w:rPr>
          <w:szCs w:val="26"/>
        </w:rPr>
        <w:t>Cameron J</w:t>
      </w:r>
      <w:r w:rsidR="001716C8">
        <w:rPr>
          <w:szCs w:val="26"/>
        </w:rPr>
        <w:t>, Dlodlo AJ, Goliath AJ, Khampepe J, Mhlantla J, Petse AJ and Theron J</w:t>
      </w:r>
      <w:r w:rsidR="003644DF">
        <w:t>)</w:t>
      </w:r>
      <w:r w:rsidR="00AE7602" w:rsidRPr="009C3888">
        <w:t>:</w:t>
      </w:r>
    </w:p>
    <w:p w14:paraId="52E5C346" w14:textId="77777777" w:rsidR="00AE7602" w:rsidRDefault="00AE7602" w:rsidP="000704F2">
      <w:pPr>
        <w:spacing w:line="240" w:lineRule="auto"/>
      </w:pPr>
    </w:p>
    <w:p w14:paraId="435A3619" w14:textId="77777777" w:rsidR="005D3F51" w:rsidRPr="009C3888" w:rsidRDefault="005D3F51" w:rsidP="000704F2">
      <w:pPr>
        <w:spacing w:line="240" w:lineRule="auto"/>
      </w:pPr>
    </w:p>
    <w:p w14:paraId="2051424A" w14:textId="2450409F" w:rsidR="000872E5" w:rsidRPr="001423DB" w:rsidRDefault="00960FDD" w:rsidP="001423DB">
      <w:pPr>
        <w:pStyle w:val="HEADING"/>
      </w:pPr>
      <w:r>
        <w:t>Introduction</w:t>
      </w:r>
    </w:p>
    <w:p w14:paraId="6868D1FE" w14:textId="21D05201" w:rsidR="00CE5F9F" w:rsidRDefault="00696AEE" w:rsidP="00693733">
      <w:pPr>
        <w:pStyle w:val="JUDGMENTNUMBERED"/>
      </w:pPr>
      <w:r>
        <w:t>The applicant (</w:t>
      </w:r>
      <w:r w:rsidR="009D40B7">
        <w:t xml:space="preserve">the </w:t>
      </w:r>
      <w:r w:rsidR="00F67EFE">
        <w:t>Municipality) seeks leave to appeal against a decision of the Supreme Court of Appeal</w:t>
      </w:r>
      <w:r>
        <w:t xml:space="preserve">. </w:t>
      </w:r>
      <w:r w:rsidR="006F02C8">
        <w:t xml:space="preserve"> </w:t>
      </w:r>
      <w:r>
        <w:t>T</w:t>
      </w:r>
      <w:r w:rsidR="00F67EFE">
        <w:t xml:space="preserve">hat </w:t>
      </w:r>
      <w:r>
        <w:t>Court confirmed the dismissal in the High Court</w:t>
      </w:r>
      <w:r>
        <w:rPr>
          <w:rStyle w:val="FootnoteReference"/>
        </w:rPr>
        <w:footnoteReference w:id="1"/>
      </w:r>
      <w:r w:rsidR="00F67EFE">
        <w:t xml:space="preserve"> </w:t>
      </w:r>
      <w:r>
        <w:t>of the Municipality’s</w:t>
      </w:r>
      <w:r w:rsidR="00F67EFE">
        <w:t xml:space="preserve"> application to compel the respondent (Mounth</w:t>
      </w:r>
      <w:r>
        <w:t>aven) to re-transfer a property that it had earlier sold to Mounthaven.</w:t>
      </w:r>
      <w:r w:rsidR="006F02C8">
        <w:t xml:space="preserve"> </w:t>
      </w:r>
      <w:r>
        <w:t xml:space="preserve"> The Municipality’s case rests</w:t>
      </w:r>
      <w:r w:rsidR="00BC5775">
        <w:t xml:space="preserve"> on the proper interpretation </w:t>
      </w:r>
      <w:r>
        <w:t xml:space="preserve">and effect </w:t>
      </w:r>
      <w:r w:rsidR="00BC5775">
        <w:t xml:space="preserve">of a reversionary clause in the </w:t>
      </w:r>
      <w:r>
        <w:t xml:space="preserve">original </w:t>
      </w:r>
      <w:r w:rsidR="00BC5775">
        <w:t>deed of</w:t>
      </w:r>
      <w:r>
        <w:t xml:space="preserve"> sale and subsequent deed of</w:t>
      </w:r>
      <w:r w:rsidR="00BC5775">
        <w:t xml:space="preserve"> transfer. </w:t>
      </w:r>
      <w:r w:rsidR="006F02C8">
        <w:t xml:space="preserve"> </w:t>
      </w:r>
      <w:r w:rsidR="00BC5775">
        <w:t xml:space="preserve">The Supreme Court of Appeal upheld the decision of the High Court that the registered right </w:t>
      </w:r>
      <w:r>
        <w:t xml:space="preserve">contained in the clause </w:t>
      </w:r>
      <w:r w:rsidR="00BC5775">
        <w:t xml:space="preserve">constituted a </w:t>
      </w:r>
      <w:r w:rsidR="006D34E3">
        <w:t>“</w:t>
      </w:r>
      <w:r w:rsidR="00BC5775">
        <w:t>debt</w:t>
      </w:r>
      <w:r w:rsidR="006D34E3">
        <w:t>”</w:t>
      </w:r>
      <w:r>
        <w:t xml:space="preserve"> that</w:t>
      </w:r>
      <w:r w:rsidR="00D46728">
        <w:t xml:space="preserve"> had prescribed under the Prescription Act</w:t>
      </w:r>
      <w:r w:rsidR="00335A91">
        <w:rPr>
          <w:rStyle w:val="FootnoteReference"/>
        </w:rPr>
        <w:footnoteReference w:id="2"/>
      </w:r>
      <w:r w:rsidR="00335A91">
        <w:t xml:space="preserve"> and that the application for a re-transfer thus had to be dismissed</w:t>
      </w:r>
      <w:r w:rsidR="00D46728">
        <w:t>.</w:t>
      </w:r>
    </w:p>
    <w:p w14:paraId="184CF78F" w14:textId="77777777" w:rsidR="00D46728" w:rsidRDefault="00D46728" w:rsidP="00D46728">
      <w:pPr>
        <w:pStyle w:val="JUDGMENTCONTINUED"/>
      </w:pPr>
    </w:p>
    <w:p w14:paraId="5BC1ED35" w14:textId="7D0B0FB8" w:rsidR="00D46728" w:rsidRDefault="00D46728" w:rsidP="00D46728">
      <w:pPr>
        <w:pStyle w:val="JUDGMENTNUMBERED"/>
      </w:pPr>
      <w:r>
        <w:t xml:space="preserve">Relying on this Court’s decision in </w:t>
      </w:r>
      <w:r>
        <w:rPr>
          <w:i/>
        </w:rPr>
        <w:t>Makate</w:t>
      </w:r>
      <w:r w:rsidR="00871E05">
        <w:t>,</w:t>
      </w:r>
      <w:bookmarkStart w:id="1" w:name="_Ref527555969"/>
      <w:r w:rsidRPr="00D46728">
        <w:rPr>
          <w:rStyle w:val="FootnoteReference"/>
        </w:rPr>
        <w:footnoteReference w:id="3"/>
      </w:r>
      <w:bookmarkEnd w:id="1"/>
      <w:r>
        <w:rPr>
          <w:i/>
        </w:rPr>
        <w:t xml:space="preserve"> </w:t>
      </w:r>
      <w:r>
        <w:t>the Municipality contends that a constitutional issue arises</w:t>
      </w:r>
      <w:r w:rsidR="00335A91">
        <w:t>,</w:t>
      </w:r>
      <w:r>
        <w:t xml:space="preserve"> in that prescription presents a possible bar to access to the courts under section 34 of the Constitution.</w:t>
      </w:r>
      <w:r w:rsidR="006F02C8">
        <w:t xml:space="preserve"> </w:t>
      </w:r>
      <w:r>
        <w:t xml:space="preserve"> In addition</w:t>
      </w:r>
      <w:r w:rsidR="00BA057A">
        <w:t>,</w:t>
      </w:r>
      <w:r>
        <w:t xml:space="preserve"> it says that the </w:t>
      </w:r>
      <w:r w:rsidR="009D40B7">
        <w:lastRenderedPageBreak/>
        <w:t>Supreme </w:t>
      </w:r>
      <w:r>
        <w:t>Court</w:t>
      </w:r>
      <w:r w:rsidR="009D40B7">
        <w:t> </w:t>
      </w:r>
      <w:r>
        <w:t xml:space="preserve"> of</w:t>
      </w:r>
      <w:r w:rsidR="009D40B7">
        <w:t> </w:t>
      </w:r>
      <w:r>
        <w:t xml:space="preserve"> Appeal judgment has created uncertainty about standard reversionary cla</w:t>
      </w:r>
      <w:r w:rsidR="00871E05">
        <w:t xml:space="preserve">uses </w:t>
      </w:r>
      <w:r w:rsidR="00115962">
        <w:t>that advance</w:t>
      </w:r>
      <w:r w:rsidR="00871E05">
        <w:t xml:space="preserve"> developmental purposes for many local authorities and that this has serious and potentially unknown ramifications for these organs of state. </w:t>
      </w:r>
      <w:r w:rsidR="006F02C8">
        <w:t xml:space="preserve"> </w:t>
      </w:r>
      <w:r w:rsidR="00655FCB">
        <w:t>T</w:t>
      </w:r>
      <w:r w:rsidR="00335A91">
        <w:t xml:space="preserve">he legal issue is thus </w:t>
      </w:r>
      <w:r w:rsidR="00655FCB">
        <w:t>said to be</w:t>
      </w:r>
      <w:r w:rsidR="00335A91">
        <w:t xml:space="preserve"> also</w:t>
      </w:r>
      <w:r w:rsidR="00655FCB">
        <w:t xml:space="preserve"> </w:t>
      </w:r>
      <w:r w:rsidR="00871E05">
        <w:t>an arguable one of general public importance.</w:t>
      </w:r>
      <w:r w:rsidR="00871E05">
        <w:rPr>
          <w:rStyle w:val="FootnoteReference"/>
        </w:rPr>
        <w:footnoteReference w:id="4"/>
      </w:r>
    </w:p>
    <w:p w14:paraId="39B5F64D" w14:textId="77777777" w:rsidR="004E2CBD" w:rsidRDefault="004E2CBD" w:rsidP="004E2CBD">
      <w:pPr>
        <w:pStyle w:val="JUDGMENTCONTINUED"/>
      </w:pPr>
    </w:p>
    <w:p w14:paraId="14B6BEF8" w14:textId="524072B9" w:rsidR="004E2CBD" w:rsidRDefault="009A367E" w:rsidP="004E2CBD">
      <w:pPr>
        <w:pStyle w:val="JUDGMENTNUMBERED"/>
      </w:pPr>
      <w:r>
        <w:t>The Municipality</w:t>
      </w:r>
      <w:r w:rsidR="00655FCB">
        <w:t>’</w:t>
      </w:r>
      <w:r>
        <w:t>s argument</w:t>
      </w:r>
      <w:r w:rsidR="00655FCB">
        <w:t xml:space="preserve"> before this</w:t>
      </w:r>
      <w:r w:rsidR="00115962">
        <w:t xml:space="preserve"> C</w:t>
      </w:r>
      <w:r w:rsidR="00655FCB">
        <w:t xml:space="preserve">ourt is that: (1) its claim is not a </w:t>
      </w:r>
      <w:r w:rsidR="007A00E0">
        <w:t>“</w:t>
      </w:r>
      <w:r w:rsidR="00655FCB">
        <w:t>debt</w:t>
      </w:r>
      <w:r w:rsidR="007A00E0">
        <w:t>”</w:t>
      </w:r>
      <w:r w:rsidR="00655FCB">
        <w:t xml:space="preserve"> under the Prescription Act</w:t>
      </w:r>
      <w:r w:rsidR="00BB397C">
        <w:t>;</w:t>
      </w:r>
      <w:r w:rsidR="00655FCB">
        <w:t xml:space="preserve"> (2) the reversionary right under the deed of transfer is a limited real right in the property, not subject to prescription; </w:t>
      </w:r>
      <w:r>
        <w:t>and</w:t>
      </w:r>
      <w:r w:rsidR="00115962">
        <w:t>, alternatively</w:t>
      </w:r>
      <w:r w:rsidR="00BB397C">
        <w:t>;</w:t>
      </w:r>
      <w:r>
        <w:t xml:space="preserve"> </w:t>
      </w:r>
      <w:r w:rsidR="00115962">
        <w:t>(3)</w:t>
      </w:r>
      <w:r w:rsidR="00655FCB">
        <w:t xml:space="preserve"> it is a claim secured by a mortgage bond</w:t>
      </w:r>
      <w:r>
        <w:t xml:space="preserve"> that only prescribes after 30</w:t>
      </w:r>
      <w:r w:rsidR="000005CE">
        <w:t> </w:t>
      </w:r>
      <w:r>
        <w:t>years</w:t>
      </w:r>
      <w:r w:rsidR="00335A91">
        <w:t xml:space="preserve"> under the Prescription Act</w:t>
      </w:r>
      <w:r>
        <w:t>.</w:t>
      </w:r>
      <w:r>
        <w:rPr>
          <w:rStyle w:val="FootnoteReference"/>
        </w:rPr>
        <w:footnoteReference w:id="5"/>
      </w:r>
      <w:r>
        <w:t xml:space="preserve"> </w:t>
      </w:r>
      <w:r w:rsidR="006F02C8">
        <w:t xml:space="preserve"> </w:t>
      </w:r>
      <w:r>
        <w:t xml:space="preserve">Mounthaven supports the </w:t>
      </w:r>
      <w:r w:rsidR="00F74903">
        <w:t xml:space="preserve">decision of the </w:t>
      </w:r>
      <w:r>
        <w:t>High</w:t>
      </w:r>
      <w:r w:rsidR="000005CE">
        <w:t> </w:t>
      </w:r>
      <w:r>
        <w:t xml:space="preserve">Court and </w:t>
      </w:r>
      <w:r w:rsidR="00335A91">
        <w:t xml:space="preserve">the </w:t>
      </w:r>
      <w:r>
        <w:t>S</w:t>
      </w:r>
      <w:r w:rsidR="00335A91">
        <w:t>upreme Court of Appeal</w:t>
      </w:r>
      <w:r>
        <w:t xml:space="preserve"> that the</w:t>
      </w:r>
      <w:r w:rsidR="00335A91">
        <w:t xml:space="preserve"> Municipality’s</w:t>
      </w:r>
      <w:r>
        <w:t xml:space="preserve"> claim is a </w:t>
      </w:r>
      <w:r w:rsidR="007A00E0">
        <w:t>“</w:t>
      </w:r>
      <w:r>
        <w:t>debt</w:t>
      </w:r>
      <w:r w:rsidR="007A00E0">
        <w:t>”</w:t>
      </w:r>
      <w:r>
        <w:t xml:space="preserve"> that has become prescribed</w:t>
      </w:r>
      <w:r w:rsidR="00115962">
        <w:t xml:space="preserve"> under the Prescription Act</w:t>
      </w:r>
      <w:r>
        <w:t>.</w:t>
      </w:r>
    </w:p>
    <w:p w14:paraId="41C8DF26" w14:textId="77777777" w:rsidR="009A367E" w:rsidRDefault="009A367E" w:rsidP="009A367E">
      <w:pPr>
        <w:pStyle w:val="JUDGMENTCONTINUED"/>
      </w:pPr>
    </w:p>
    <w:p w14:paraId="52259157" w14:textId="43E7ACC5" w:rsidR="009A367E" w:rsidRDefault="00335A91" w:rsidP="009A367E">
      <w:pPr>
        <w:pStyle w:val="JUDGMENTNUMBERED"/>
      </w:pPr>
      <w:r>
        <w:t xml:space="preserve">The sale was concluded on 24 May 1985. </w:t>
      </w:r>
      <w:r w:rsidR="007A00E0">
        <w:t xml:space="preserve"> </w:t>
      </w:r>
      <w:r w:rsidR="009255A8">
        <w:t>In August 1986 t</w:t>
      </w:r>
      <w:r w:rsidR="009A367E">
        <w:t>he property was transferred to Mounthaven by the Municipality</w:t>
      </w:r>
      <w:r>
        <w:t>,</w:t>
      </w:r>
      <w:r w:rsidR="009A367E">
        <w:t xml:space="preserve"> subject to the following special conditions</w:t>
      </w:r>
      <w:r>
        <w:t xml:space="preserve"> recorded </w:t>
      </w:r>
      <w:r w:rsidR="004935EB">
        <w:t xml:space="preserve">under </w:t>
      </w:r>
      <w:r w:rsidR="00CC2A8D">
        <w:t xml:space="preserve">clause </w:t>
      </w:r>
      <w:r w:rsidR="004935EB">
        <w:t xml:space="preserve">C </w:t>
      </w:r>
      <w:r>
        <w:t>in the deed of transfer</w:t>
      </w:r>
      <w:r w:rsidR="009A367E">
        <w:t>:</w:t>
      </w:r>
    </w:p>
    <w:p w14:paraId="06459CF6" w14:textId="77777777" w:rsidR="007A00E0" w:rsidRPr="008B73B2" w:rsidRDefault="007A00E0" w:rsidP="0065032B">
      <w:pPr>
        <w:pStyle w:val="QUOTATION"/>
      </w:pPr>
    </w:p>
    <w:p w14:paraId="0D143420" w14:textId="463DD1FA" w:rsidR="007A00E0" w:rsidRPr="007A00E0" w:rsidRDefault="007A00E0" w:rsidP="002B7D73">
      <w:pPr>
        <w:pStyle w:val="QUOTATION"/>
        <w:spacing w:after="120"/>
        <w:ind w:left="1440" w:hanging="720"/>
      </w:pPr>
      <w:r>
        <w:t>“(1)</w:t>
      </w:r>
      <w:r>
        <w:tab/>
      </w:r>
      <w:r w:rsidRPr="007A00E0">
        <w:t>The purchaser shall erect, or cause to be erected on the property, buildings to the value of not less than ONE HUNDRED THOUSAND RAND (R100</w:t>
      </w:r>
      <w:r w:rsidR="006558A2">
        <w:t> </w:t>
      </w:r>
      <w:r w:rsidRPr="007A00E0">
        <w:t>0</w:t>
      </w:r>
      <w:r w:rsidR="004935EB">
        <w:t>0</w:t>
      </w:r>
      <w:r w:rsidRPr="007A00E0">
        <w:t>0</w:t>
      </w:r>
      <w:r w:rsidR="006558A2">
        <w:t>.00</w:t>
      </w:r>
      <w:r w:rsidRPr="007A00E0">
        <w:t xml:space="preserve">) and failing the erection of buildings to that value within two (2) years from date of sale, then, for the purpose of levying the general rate and sewer rate payable to the Verulam Town Council by the Purchaser or his successors in title, there shall be deemed to be buildings to such required value on the property and all valuation and rating provisions of </w:t>
      </w:r>
      <w:r w:rsidR="002D4CDC">
        <w:t>s</w:t>
      </w:r>
      <w:r w:rsidRPr="007A00E0">
        <w:t>ection 1</w:t>
      </w:r>
      <w:r w:rsidR="002D4CDC">
        <w:t>5</w:t>
      </w:r>
      <w:r w:rsidRPr="007A00E0">
        <w:t>7 of Ordinance</w:t>
      </w:r>
      <w:r w:rsidR="002D4CDC">
        <w:t> </w:t>
      </w:r>
      <w:r w:rsidRPr="007A00E0">
        <w:t>25 of 1974 or any amendment thereof shall apply to the property and be binding upon the Purchaser or his successors in title.</w:t>
      </w:r>
    </w:p>
    <w:p w14:paraId="06699865" w14:textId="52E46618" w:rsidR="007A00E0" w:rsidRPr="007A00E0" w:rsidRDefault="007A00E0" w:rsidP="002B7D73">
      <w:pPr>
        <w:pStyle w:val="QUOTATION"/>
        <w:spacing w:after="120"/>
        <w:ind w:left="1440" w:hanging="720"/>
      </w:pPr>
      <w:r>
        <w:lastRenderedPageBreak/>
        <w:t>(2)</w:t>
      </w:r>
      <w:r>
        <w:tab/>
      </w:r>
      <w:r w:rsidRPr="007A00E0">
        <w:t>If at the expiry of a period of three (3) years from the date of sale the Purchaser has failed to complete buildings to the value of not less than ONE</w:t>
      </w:r>
      <w:r w:rsidR="002D4CDC">
        <w:t> </w:t>
      </w:r>
      <w:r w:rsidRPr="007A00E0">
        <w:t xml:space="preserve">HUNDRED THOUSAND </w:t>
      </w:r>
      <w:r w:rsidR="00BB397C">
        <w:t xml:space="preserve">RAND </w:t>
      </w:r>
      <w:r w:rsidRPr="007A00E0">
        <w:t>(R100</w:t>
      </w:r>
      <w:r w:rsidR="006558A2">
        <w:t> </w:t>
      </w:r>
      <w:r w:rsidRPr="007A00E0">
        <w:t>00</w:t>
      </w:r>
      <w:r w:rsidR="00B915C8">
        <w:t>0</w:t>
      </w:r>
      <w:r w:rsidR="006558A2">
        <w:t>.00</w:t>
      </w:r>
      <w:r w:rsidRPr="007A00E0">
        <w:t>) on the property, ownership of the property shall revert to the Seller which shall be entitled to demand re-transfer thereof to it from the Purchaser who shall be obliged to effect transfer thereof to the Seller against payment by the Seller to the Purchaser of all payments made on account of the purchase price less any costs</w:t>
      </w:r>
      <w:r w:rsidR="002D4CDC">
        <w:t xml:space="preserve"> incurred by the Seller in obtaining re-transfer of the property into its name, including costs</w:t>
      </w:r>
      <w:r w:rsidRPr="007A00E0">
        <w:t xml:space="preserve"> as between attorney and client, all costs of transfer, transfer duty, stamp duty and the like.</w:t>
      </w:r>
    </w:p>
    <w:p w14:paraId="1C080BEC" w14:textId="05F6ABE4" w:rsidR="009A367E" w:rsidRDefault="007A00E0" w:rsidP="002B7D73">
      <w:pPr>
        <w:pStyle w:val="QUOTATION"/>
        <w:spacing w:after="120"/>
        <w:ind w:left="1440" w:hanging="720"/>
      </w:pPr>
      <w:r>
        <w:t>(3)</w:t>
      </w:r>
      <w:r>
        <w:tab/>
      </w:r>
      <w:r w:rsidRPr="007A00E0">
        <w:t xml:space="preserve">The Seller shall have a pre-emptive right to re-purchase the property at the price paid by the </w:t>
      </w:r>
      <w:r w:rsidR="002D4CDC">
        <w:t>P</w:t>
      </w:r>
      <w:r w:rsidRPr="007A00E0">
        <w:t xml:space="preserve">urchaser, if the Purchaser desires to sell the property within five (5) years from the date of sale, provided that this condition shall </w:t>
      </w:r>
      <w:r w:rsidR="002D4CDC">
        <w:t xml:space="preserve">not </w:t>
      </w:r>
      <w:r w:rsidRPr="007A00E0">
        <w:t xml:space="preserve">apply where buildings to the value of not less than ONE HUNDRED THOUSAND </w:t>
      </w:r>
      <w:r w:rsidR="002D4CDC">
        <w:t xml:space="preserve">RAND </w:t>
      </w:r>
      <w:r w:rsidRPr="007A00E0">
        <w:t>(R100</w:t>
      </w:r>
      <w:r w:rsidR="006558A2">
        <w:t> </w:t>
      </w:r>
      <w:r w:rsidRPr="007A00E0">
        <w:t>00</w:t>
      </w:r>
      <w:r w:rsidR="006558A2">
        <w:t>0.</w:t>
      </w:r>
      <w:r w:rsidR="00B915C8">
        <w:t>0</w:t>
      </w:r>
      <w:r w:rsidRPr="007A00E0">
        <w:t>0) shall have been erected on the Lot within three (3) years from the date of sale.</w:t>
      </w:r>
      <w:r w:rsidR="009A367E">
        <w:t>”</w:t>
      </w:r>
    </w:p>
    <w:p w14:paraId="7BBE1D2B" w14:textId="77777777" w:rsidR="009A367E" w:rsidRDefault="009A367E" w:rsidP="009A367E">
      <w:pPr>
        <w:pStyle w:val="JUDGMENTCONTINUED"/>
      </w:pPr>
    </w:p>
    <w:p w14:paraId="477202EA" w14:textId="5F239053" w:rsidR="009A367E" w:rsidRDefault="009A367E" w:rsidP="009A367E">
      <w:pPr>
        <w:pStyle w:val="JUDGMENTNUMBERED"/>
      </w:pPr>
      <w:r>
        <w:t>Mounthave</w:t>
      </w:r>
      <w:r w:rsidR="009255A8">
        <w:t xml:space="preserve">n failed to erect and complete the buildings within three years </w:t>
      </w:r>
      <w:r w:rsidR="00335A91">
        <w:t>of the date of sale</w:t>
      </w:r>
      <w:r w:rsidR="009255A8">
        <w:t xml:space="preserve">. </w:t>
      </w:r>
      <w:r w:rsidR="00F7632A">
        <w:t xml:space="preserve"> </w:t>
      </w:r>
      <w:r w:rsidR="009255A8">
        <w:t xml:space="preserve">The Municipality brought the application to compel re-transfer in the High Court </w:t>
      </w:r>
      <w:r w:rsidR="002C6AA5">
        <w:t xml:space="preserve">only </w:t>
      </w:r>
      <w:r w:rsidR="009255A8">
        <w:t xml:space="preserve">in 2014. </w:t>
      </w:r>
      <w:r w:rsidR="00F7632A">
        <w:t xml:space="preserve"> </w:t>
      </w:r>
      <w:r w:rsidR="009255A8">
        <w:t xml:space="preserve">If the claim for re-transfer is a </w:t>
      </w:r>
      <w:r w:rsidR="00F7632A">
        <w:t>“</w:t>
      </w:r>
      <w:r w:rsidR="009255A8">
        <w:t>debt</w:t>
      </w:r>
      <w:r w:rsidR="00F7632A">
        <w:t>”</w:t>
      </w:r>
      <w:r w:rsidR="009255A8">
        <w:t>, it would have prescribed three years after the period within which the buildings had to be completed</w:t>
      </w:r>
      <w:r w:rsidR="002D4CDC">
        <w:t xml:space="preserve"> −</w:t>
      </w:r>
      <w:r w:rsidR="007D4F7E">
        <w:t xml:space="preserve"> that is, by</w:t>
      </w:r>
      <w:r w:rsidR="00960FDD">
        <w:t xml:space="preserve"> May 1991. </w:t>
      </w:r>
      <w:r w:rsidR="00F7632A">
        <w:t xml:space="preserve"> </w:t>
      </w:r>
      <w:r w:rsidR="00335A91">
        <w:t>If it is a real right, then the submission is that prescription does not apply.</w:t>
      </w:r>
      <w:r w:rsidR="00F7632A">
        <w:t xml:space="preserve"> </w:t>
      </w:r>
      <w:r w:rsidR="000872E5">
        <w:t xml:space="preserve"> If it is a right secured by mortgage bond, </w:t>
      </w:r>
      <w:r w:rsidR="00C46079">
        <w:t xml:space="preserve">the submission is that </w:t>
      </w:r>
      <w:r w:rsidR="000872E5">
        <w:t>the prescription period of 30 years has not yet elapsed.</w:t>
      </w:r>
      <w:r w:rsidR="007D4F7E">
        <w:rPr>
          <w:rStyle w:val="FootnoteReference"/>
        </w:rPr>
        <w:footnoteReference w:id="6"/>
      </w:r>
      <w:r w:rsidR="000872E5">
        <w:t xml:space="preserve"> </w:t>
      </w:r>
      <w:r w:rsidR="00F7632A">
        <w:t xml:space="preserve"> </w:t>
      </w:r>
      <w:r w:rsidR="000872E5">
        <w:t xml:space="preserve">All </w:t>
      </w:r>
      <w:r w:rsidR="00C46079">
        <w:t xml:space="preserve">thus </w:t>
      </w:r>
      <w:r w:rsidR="000872E5">
        <w:t xml:space="preserve">turns on whether it is a </w:t>
      </w:r>
      <w:r w:rsidR="00F7632A">
        <w:t>“</w:t>
      </w:r>
      <w:r w:rsidR="000872E5">
        <w:t>debt</w:t>
      </w:r>
      <w:r w:rsidR="00F7632A">
        <w:t>”</w:t>
      </w:r>
      <w:r w:rsidR="00C46079">
        <w:t>, to the exclusion of the latter</w:t>
      </w:r>
      <w:r w:rsidR="000872E5">
        <w:t xml:space="preserve"> two possibilities.</w:t>
      </w:r>
    </w:p>
    <w:p w14:paraId="7BE6B46E" w14:textId="77777777" w:rsidR="00960FDD" w:rsidRDefault="00960FDD" w:rsidP="00960FDD">
      <w:pPr>
        <w:pStyle w:val="JUDGMENTCONTINUED"/>
      </w:pPr>
    </w:p>
    <w:p w14:paraId="5CA4CF9A" w14:textId="77777777" w:rsidR="000872E5" w:rsidRDefault="00960FDD" w:rsidP="0065032B">
      <w:pPr>
        <w:pStyle w:val="HEADING"/>
      </w:pPr>
      <w:r>
        <w:t>Jurisdiction</w:t>
      </w:r>
    </w:p>
    <w:p w14:paraId="39BD39A9" w14:textId="35A51833" w:rsidR="00960FDD" w:rsidRPr="000872E5" w:rsidRDefault="00960FDD" w:rsidP="000872E5">
      <w:pPr>
        <w:pStyle w:val="JUDGMENTNUMBERED"/>
        <w:rPr>
          <w:i/>
        </w:rPr>
      </w:pPr>
      <w:r>
        <w:t>I accept that in appropriate cases</w:t>
      </w:r>
      <w:r w:rsidR="000872E5">
        <w:t>,</w:t>
      </w:r>
      <w:r>
        <w:t xml:space="preserve"> where the interpretation of the Prescription Act may </w:t>
      </w:r>
      <w:r w:rsidR="000005CE">
        <w:t xml:space="preserve">have </w:t>
      </w:r>
      <w:r>
        <w:t>impact on the fundament</w:t>
      </w:r>
      <w:r w:rsidR="000872E5">
        <w:t>al right of access to justice, tha</w:t>
      </w:r>
      <w:r>
        <w:t>t will raise a constitutional issue that clothes this Court with jurisdiction.</w:t>
      </w:r>
      <w:r>
        <w:rPr>
          <w:rStyle w:val="FootnoteReference"/>
        </w:rPr>
        <w:footnoteReference w:id="7"/>
      </w:r>
      <w:r>
        <w:t xml:space="preserve"> </w:t>
      </w:r>
      <w:r w:rsidR="00F7632A">
        <w:t xml:space="preserve"> </w:t>
      </w:r>
      <w:r w:rsidR="007D4F7E">
        <w:t>I will further accept</w:t>
      </w:r>
      <w:r>
        <w:t xml:space="preserve"> that this is the case here.</w:t>
      </w:r>
      <w:r w:rsidR="00F7632A">
        <w:t xml:space="preserve"> </w:t>
      </w:r>
      <w:r>
        <w:t xml:space="preserve"> I am doubtful that</w:t>
      </w:r>
      <w:r w:rsidR="000872E5">
        <w:t>,</w:t>
      </w:r>
      <w:r>
        <w:t xml:space="preserve"> in addition</w:t>
      </w:r>
      <w:r w:rsidR="000872E5">
        <w:t>,</w:t>
      </w:r>
      <w:r>
        <w:t xml:space="preserve"> a separate arguable point of law of </w:t>
      </w:r>
      <w:r>
        <w:lastRenderedPageBreak/>
        <w:t>genera</w:t>
      </w:r>
      <w:r w:rsidR="000872E5">
        <w:t>l public importance is at issue, but there</w:t>
      </w:r>
      <w:r w:rsidR="0065032B">
        <w:t xml:space="preserve"> is no need to pronounce on this</w:t>
      </w:r>
      <w:r w:rsidR="000872E5">
        <w:t xml:space="preserve"> </w:t>
      </w:r>
      <w:r w:rsidR="0055447C">
        <w:t>further alleged</w:t>
      </w:r>
      <w:r w:rsidR="000872E5">
        <w:t xml:space="preserve"> jurisdictional ground.</w:t>
      </w:r>
    </w:p>
    <w:p w14:paraId="2B59E5C2" w14:textId="77777777" w:rsidR="00960FDD" w:rsidRDefault="00960FDD" w:rsidP="00960FDD">
      <w:pPr>
        <w:pStyle w:val="JUDGMENTCONTINUED"/>
      </w:pPr>
    </w:p>
    <w:p w14:paraId="32D00364" w14:textId="77777777" w:rsidR="000872E5" w:rsidRPr="0055447C" w:rsidRDefault="00960FDD" w:rsidP="0065032B">
      <w:pPr>
        <w:pStyle w:val="HEADING"/>
      </w:pPr>
      <w:r>
        <w:t>Leave to appeal</w:t>
      </w:r>
    </w:p>
    <w:p w14:paraId="711EEAD7" w14:textId="2818BEED" w:rsidR="00960FDD" w:rsidRDefault="00DC7F28" w:rsidP="00960FDD">
      <w:pPr>
        <w:pStyle w:val="JUDGMENTNUMBERED"/>
      </w:pPr>
      <w:r>
        <w:t>In order to grant leave to appeal it must be in the interests of justice to do so.</w:t>
      </w:r>
      <w:r>
        <w:rPr>
          <w:rStyle w:val="FootnoteReference"/>
        </w:rPr>
        <w:footnoteReference w:id="8"/>
      </w:r>
      <w:r>
        <w:t xml:space="preserve"> </w:t>
      </w:r>
      <w:r w:rsidR="00F7632A">
        <w:t xml:space="preserve"> </w:t>
      </w:r>
      <w:r>
        <w:t>Although not conclusive, it is generally not in the interests of justice to grant leave where there are no reasonable prospects of success on the merits.</w:t>
      </w:r>
      <w:r>
        <w:rPr>
          <w:rStyle w:val="FootnoteReference"/>
        </w:rPr>
        <w:footnoteReference w:id="9"/>
      </w:r>
      <w:r>
        <w:t xml:space="preserve"> </w:t>
      </w:r>
      <w:r w:rsidR="00F7632A">
        <w:t xml:space="preserve"> </w:t>
      </w:r>
      <w:r>
        <w:t xml:space="preserve">Here it is difficult to discern any compelling factor that would justify granting leave if there are no reasonable prospects of success. </w:t>
      </w:r>
      <w:r w:rsidR="00682A36">
        <w:t xml:space="preserve"> </w:t>
      </w:r>
      <w:r>
        <w:t>So the prospects of success are crucial for the Municipality</w:t>
      </w:r>
      <w:r w:rsidR="00A27264">
        <w:t xml:space="preserve"> a</w:t>
      </w:r>
      <w:r w:rsidR="000872E5">
        <w:t>nd they are not good, not on any of the legal issues the Municipality relies upon.</w:t>
      </w:r>
    </w:p>
    <w:p w14:paraId="4A24404D" w14:textId="77777777" w:rsidR="000872E5" w:rsidRPr="000872E5" w:rsidRDefault="000872E5" w:rsidP="000872E5">
      <w:pPr>
        <w:pStyle w:val="JUDGMENTCONTINUED"/>
      </w:pPr>
    </w:p>
    <w:p w14:paraId="6BC3B019" w14:textId="2A8BC823" w:rsidR="000872E5" w:rsidRPr="0055447C" w:rsidRDefault="000872E5" w:rsidP="0065032B">
      <w:pPr>
        <w:pStyle w:val="HEADING"/>
      </w:pPr>
      <w:r>
        <w:t xml:space="preserve">Is the claim a </w:t>
      </w:r>
      <w:r w:rsidR="002C6AA5">
        <w:t>“</w:t>
      </w:r>
      <w:r>
        <w:t>debt</w:t>
      </w:r>
      <w:r w:rsidR="002C6AA5">
        <w:t>”</w:t>
      </w:r>
      <w:r>
        <w:t>?</w:t>
      </w:r>
    </w:p>
    <w:p w14:paraId="4D479F06" w14:textId="4F89BB4F" w:rsidR="00DC7F28" w:rsidRDefault="005C2BF9" w:rsidP="00DC7F28">
      <w:pPr>
        <w:pStyle w:val="JUDGMENTNUMBERED"/>
      </w:pPr>
      <w:r>
        <w:t xml:space="preserve">In terms of the dictionary meaning of </w:t>
      </w:r>
      <w:r w:rsidR="00321426">
        <w:t>“</w:t>
      </w:r>
      <w:r>
        <w:t>debt</w:t>
      </w:r>
      <w:r w:rsidR="00321426">
        <w:t>”</w:t>
      </w:r>
      <w:r>
        <w:t xml:space="preserve"> accepted in </w:t>
      </w:r>
      <w:r>
        <w:rPr>
          <w:i/>
        </w:rPr>
        <w:t>Makate</w:t>
      </w:r>
      <w:r>
        <w:t>, an obligation to pay money, de</w:t>
      </w:r>
      <w:r w:rsidR="007D4F7E">
        <w:t>liver goods, or render services</w:t>
      </w:r>
      <w:r>
        <w:t xml:space="preserve"> is included under the definition and would prescribe within three years under the Prescription Act.</w:t>
      </w:r>
      <w:r>
        <w:rPr>
          <w:rStyle w:val="FootnoteReference"/>
        </w:rPr>
        <w:footnoteReference w:id="10"/>
      </w:r>
      <w:r w:rsidR="003D14F5">
        <w:t xml:space="preserve"> </w:t>
      </w:r>
      <w:r w:rsidR="001647E7">
        <w:t xml:space="preserve"> </w:t>
      </w:r>
      <w:r w:rsidR="003D14F5">
        <w:t xml:space="preserve">Material </w:t>
      </w:r>
      <w:r w:rsidR="00394B9E">
        <w:t xml:space="preserve">or corporeal </w:t>
      </w:r>
      <w:r w:rsidR="003D14F5">
        <w:t>g</w:t>
      </w:r>
      <w:r>
        <w:t>oods consist of property, movable or immovable.</w:t>
      </w:r>
      <w:r w:rsidR="001647E7">
        <w:t xml:space="preserve"> </w:t>
      </w:r>
      <w:r w:rsidR="003D14F5">
        <w:t xml:space="preserve"> Ownership of movable</w:t>
      </w:r>
      <w:r w:rsidR="00790BF0">
        <w:t xml:space="preserve"> corporeal</w:t>
      </w:r>
      <w:r w:rsidR="003D14F5">
        <w:t xml:space="preserve"> </w:t>
      </w:r>
      <w:r w:rsidR="003D14F5">
        <w:lastRenderedPageBreak/>
        <w:t>property is transferred to another by delivery, actual or deemed, of the goods.</w:t>
      </w:r>
      <w:r w:rsidR="003D14F5">
        <w:rPr>
          <w:rStyle w:val="FootnoteReference"/>
        </w:rPr>
        <w:footnoteReference w:id="11"/>
      </w:r>
      <w:r w:rsidR="003D14F5">
        <w:t xml:space="preserve"> </w:t>
      </w:r>
      <w:r w:rsidR="001647E7">
        <w:t xml:space="preserve"> </w:t>
      </w:r>
      <w:r w:rsidR="003D14F5">
        <w:t xml:space="preserve">That is practically impossible in the case of immovable property like land. </w:t>
      </w:r>
      <w:r w:rsidR="001647E7">
        <w:t xml:space="preserve"> </w:t>
      </w:r>
      <w:r w:rsidR="003D14F5">
        <w:t>Hence it is an accepted principle of venerable ancestry in our law that the equivalent of delivery of movables is, in the case of immovable property, registration of transfer in the deeds office.</w:t>
      </w:r>
      <w:bookmarkStart w:id="4" w:name="_Ref527556128"/>
      <w:r w:rsidR="003D14F5">
        <w:rPr>
          <w:rStyle w:val="FootnoteReference"/>
        </w:rPr>
        <w:footnoteReference w:id="12"/>
      </w:r>
      <w:bookmarkEnd w:id="4"/>
      <w:r w:rsidR="003D14F5">
        <w:t xml:space="preserve"> </w:t>
      </w:r>
      <w:r w:rsidR="001647E7">
        <w:t xml:space="preserve"> </w:t>
      </w:r>
      <w:r w:rsidR="003D14F5">
        <w:t>A claim to transfer immovable property in the name of another is thus a claim to perform an obligation to deliver goods</w:t>
      </w:r>
      <w:r w:rsidR="00D94080">
        <w:t xml:space="preserve"> in the form of immovable property</w:t>
      </w:r>
      <w:r w:rsidR="003D14F5">
        <w:t xml:space="preserve">. </w:t>
      </w:r>
      <w:r w:rsidR="001647E7">
        <w:t xml:space="preserve"> </w:t>
      </w:r>
      <w:r w:rsidR="003D14F5">
        <w:t xml:space="preserve">It is a </w:t>
      </w:r>
      <w:r w:rsidR="00065E91">
        <w:t>“</w:t>
      </w:r>
      <w:r w:rsidR="003D14F5">
        <w:t>debt</w:t>
      </w:r>
      <w:r w:rsidR="00065E91">
        <w:t>”</w:t>
      </w:r>
      <w:r w:rsidR="00D94080">
        <w:t xml:space="preserve"> in the dictionary sense accepted in </w:t>
      </w:r>
      <w:r w:rsidR="00D94080">
        <w:rPr>
          <w:i/>
        </w:rPr>
        <w:t>Makate</w:t>
      </w:r>
      <w:r w:rsidR="00D94080">
        <w:t xml:space="preserve">. </w:t>
      </w:r>
      <w:r w:rsidR="00065E91">
        <w:t xml:space="preserve"> </w:t>
      </w:r>
      <w:r w:rsidR="00D94080">
        <w:t>It really is as simple and straightforward as that.</w:t>
      </w:r>
    </w:p>
    <w:p w14:paraId="4FAC9168" w14:textId="77777777" w:rsidR="00D94080" w:rsidRDefault="00D94080" w:rsidP="00D94080">
      <w:pPr>
        <w:pStyle w:val="JUDGMENTCONTINUED"/>
      </w:pPr>
    </w:p>
    <w:p w14:paraId="2A530FA9" w14:textId="77777777" w:rsidR="0055447C" w:rsidRPr="0055447C" w:rsidRDefault="0055447C" w:rsidP="0065032B">
      <w:pPr>
        <w:pStyle w:val="HEADING"/>
      </w:pPr>
      <w:r>
        <w:t>A real right?</w:t>
      </w:r>
    </w:p>
    <w:p w14:paraId="4F8C87CE" w14:textId="44D69E05" w:rsidR="0055447C" w:rsidRDefault="00D94080" w:rsidP="00D94080">
      <w:pPr>
        <w:pStyle w:val="JUDGMENTNUMBERED"/>
      </w:pPr>
      <w:r>
        <w:t xml:space="preserve">But, says the Municipality, this </w:t>
      </w:r>
      <w:r w:rsidR="00065E91">
        <w:t>“</w:t>
      </w:r>
      <w:r>
        <w:t>obligation</w:t>
      </w:r>
      <w:r w:rsidR="00065E91">
        <w:t>”</w:t>
      </w:r>
      <w:r>
        <w:t xml:space="preserve"> to deliver the immovable property (even i</w:t>
      </w:r>
      <w:r w:rsidR="0055447C">
        <w:t>f i</w:t>
      </w:r>
      <w:r>
        <w:t xml:space="preserve">n the form of registration of transfer) flows from a real, not personal, right. </w:t>
      </w:r>
      <w:r w:rsidR="00065E91">
        <w:t xml:space="preserve"> </w:t>
      </w:r>
      <w:r>
        <w:t>Real rights are concerned with the relationship between a person and a thing</w:t>
      </w:r>
      <w:r w:rsidR="002308DD">
        <w:t xml:space="preserve">, not with the relationship between persons as in the case of personal rights. </w:t>
      </w:r>
      <w:r w:rsidR="001647E7">
        <w:t xml:space="preserve"> </w:t>
      </w:r>
      <w:r w:rsidR="002308DD">
        <w:t xml:space="preserve">Real rights give rise to competencies, not correlative personal obligations that translate into a </w:t>
      </w:r>
      <w:r w:rsidR="002C6AA5">
        <w:t>“</w:t>
      </w:r>
      <w:r w:rsidR="002308DD">
        <w:t>debt</w:t>
      </w:r>
      <w:r w:rsidR="002C6AA5">
        <w:t>”</w:t>
      </w:r>
      <w:r w:rsidR="002308DD">
        <w:t xml:space="preserve"> for the purposes of prescription.</w:t>
      </w:r>
      <w:bookmarkStart w:id="5" w:name="_Ref527556080"/>
      <w:r w:rsidR="002308DD">
        <w:rPr>
          <w:rStyle w:val="FootnoteReference"/>
        </w:rPr>
        <w:footnoteReference w:id="13"/>
      </w:r>
      <w:bookmarkEnd w:id="5"/>
      <w:r w:rsidR="0055447C">
        <w:t xml:space="preserve"> </w:t>
      </w:r>
      <w:r w:rsidR="001647E7">
        <w:t xml:space="preserve"> </w:t>
      </w:r>
      <w:r w:rsidR="0055447C">
        <w:t>Because of that real rights cannot prescribe, the argument goes.</w:t>
      </w:r>
    </w:p>
    <w:p w14:paraId="5D42D9A1" w14:textId="77777777" w:rsidR="0055447C" w:rsidRPr="0055447C" w:rsidRDefault="0055447C" w:rsidP="0055447C">
      <w:pPr>
        <w:pStyle w:val="JUDGMENTCONTINUED"/>
      </w:pPr>
    </w:p>
    <w:p w14:paraId="68A3CFA0" w14:textId="77777777" w:rsidR="00D94080" w:rsidRDefault="0055447C" w:rsidP="00D94080">
      <w:pPr>
        <w:pStyle w:val="JUDGMENTNUMBERED"/>
      </w:pPr>
      <w:r>
        <w:t>This</w:t>
      </w:r>
      <w:r w:rsidR="002308DD">
        <w:t xml:space="preserve"> argument, h</w:t>
      </w:r>
      <w:r>
        <w:t>owever, fails</w:t>
      </w:r>
      <w:r w:rsidR="00774990">
        <w:t xml:space="preserve"> at both a factual and legal level.</w:t>
      </w:r>
    </w:p>
    <w:p w14:paraId="6F611AAB" w14:textId="77777777" w:rsidR="00774990" w:rsidRDefault="00774990" w:rsidP="00774990">
      <w:pPr>
        <w:pStyle w:val="JUDGMENTCONTINUED"/>
      </w:pPr>
    </w:p>
    <w:p w14:paraId="7B490163" w14:textId="771ABB31" w:rsidR="00774990" w:rsidRDefault="00774990" w:rsidP="00774990">
      <w:pPr>
        <w:pStyle w:val="JUDGMENTNUMBERED"/>
      </w:pPr>
      <w:r>
        <w:lastRenderedPageBreak/>
        <w:t>The Supreme Court of Appeal has endorsed a test to determine whether a right is real</w:t>
      </w:r>
      <w:r w:rsidR="0055447C">
        <w:t>,</w:t>
      </w:r>
      <w:r>
        <w:t xml:space="preserve"> as </w:t>
      </w:r>
      <w:r w:rsidR="0055447C">
        <w:t>opposed to being perso</w:t>
      </w:r>
      <w:r w:rsidR="00396FC5">
        <w:t xml:space="preserve">nal. </w:t>
      </w:r>
      <w:r w:rsidR="001647E7">
        <w:t xml:space="preserve"> </w:t>
      </w:r>
      <w:r w:rsidR="00396FC5">
        <w:t>T</w:t>
      </w:r>
      <w:r>
        <w:t>wo requirements</w:t>
      </w:r>
      <w:r w:rsidR="00396FC5">
        <w:t xml:space="preserve"> must be met: (</w:t>
      </w:r>
      <w:r w:rsidR="002C6AA5">
        <w:t>1</w:t>
      </w:r>
      <w:r w:rsidR="00396FC5">
        <w:t xml:space="preserve">) </w:t>
      </w:r>
      <w:r>
        <w:t xml:space="preserve">the person who created the right must have intended </w:t>
      </w:r>
      <w:r w:rsidR="00AA4B8F">
        <w:t xml:space="preserve">the present owner as well as </w:t>
      </w:r>
      <w:r>
        <w:t>successors</w:t>
      </w:r>
      <w:r w:rsidR="00CC2A8D">
        <w:t> </w:t>
      </w:r>
      <w:r>
        <w:t>in</w:t>
      </w:r>
      <w:r w:rsidR="00CC2A8D">
        <w:t> </w:t>
      </w:r>
      <w:r>
        <w:t>title</w:t>
      </w:r>
      <w:r w:rsidR="00396FC5">
        <w:t xml:space="preserve"> to be bound</w:t>
      </w:r>
      <w:r w:rsidR="00000D0F">
        <w:t>;</w:t>
      </w:r>
      <w:r w:rsidR="00396FC5">
        <w:t xml:space="preserve"> and (2)</w:t>
      </w:r>
      <w:r>
        <w:t xml:space="preserve"> the right must result in a subtraction from the </w:t>
      </w:r>
      <w:r>
        <w:rPr>
          <w:i/>
        </w:rPr>
        <w:t xml:space="preserve">dominium </w:t>
      </w:r>
      <w:r w:rsidRPr="00774990">
        <w:t>of the land</w:t>
      </w:r>
      <w:r>
        <w:t xml:space="preserve"> against which it is registered.</w:t>
      </w:r>
      <w:bookmarkStart w:id="6" w:name="_Ref527556033"/>
      <w:r>
        <w:rPr>
          <w:rStyle w:val="FootnoteReference"/>
        </w:rPr>
        <w:footnoteReference w:id="14"/>
      </w:r>
      <w:bookmarkEnd w:id="6"/>
      <w:r w:rsidR="00F70CEB">
        <w:t xml:space="preserve"> </w:t>
      </w:r>
      <w:r w:rsidR="001647E7">
        <w:t xml:space="preserve"> </w:t>
      </w:r>
      <w:r w:rsidR="00F70CEB">
        <w:t>The Municipa</w:t>
      </w:r>
      <w:r w:rsidR="0055447C">
        <w:t xml:space="preserve">lity stumbles </w:t>
      </w:r>
      <w:r w:rsidR="00A67E99">
        <w:t xml:space="preserve">on the facts </w:t>
      </w:r>
      <w:r w:rsidR="0055447C">
        <w:t>at the first hurdle</w:t>
      </w:r>
      <w:r w:rsidR="00F70CEB">
        <w:t xml:space="preserve">. </w:t>
      </w:r>
      <w:r w:rsidR="001647E7">
        <w:t xml:space="preserve"> </w:t>
      </w:r>
      <w:r w:rsidR="00F70CEB">
        <w:t>Clause C(2) contains no provision that it is binding on successors-in-title, unlike the express provision to that effect in clause C(1).</w:t>
      </w:r>
    </w:p>
    <w:p w14:paraId="3AC72921" w14:textId="77777777" w:rsidR="00F70CEB" w:rsidRDefault="00F70CEB" w:rsidP="00F70CEB">
      <w:pPr>
        <w:pStyle w:val="JUDGMENTCONTINUED"/>
      </w:pPr>
    </w:p>
    <w:p w14:paraId="05819BB4" w14:textId="1E7B1140" w:rsidR="00F70CEB" w:rsidRDefault="00F70CEB" w:rsidP="00F70CEB">
      <w:pPr>
        <w:pStyle w:val="JUDGMENTNUMBERED"/>
      </w:pPr>
      <w:r>
        <w:t>Does the</w:t>
      </w:r>
      <w:r w:rsidR="00140D17">
        <w:t xml:space="preserve"> registration of clause C(2) under the Deeds Registr</w:t>
      </w:r>
      <w:r w:rsidR="003E2AB1">
        <w:t>ies</w:t>
      </w:r>
      <w:r w:rsidR="00140D17">
        <w:t xml:space="preserve"> Act</w:t>
      </w:r>
      <w:r w:rsidR="00140D17">
        <w:rPr>
          <w:rStyle w:val="FootnoteReference"/>
        </w:rPr>
        <w:footnoteReference w:id="15"/>
      </w:r>
      <w:r w:rsidR="00140D17">
        <w:t xml:space="preserve"> </w:t>
      </w:r>
      <w:r>
        <w:t>make any difference?</w:t>
      </w:r>
    </w:p>
    <w:p w14:paraId="583EEB28" w14:textId="77777777" w:rsidR="00396FC5" w:rsidRDefault="00396FC5" w:rsidP="00396FC5">
      <w:pPr>
        <w:pStyle w:val="JUDGMENTCONTINUED"/>
      </w:pPr>
    </w:p>
    <w:p w14:paraId="00D0422A" w14:textId="2FA349F2" w:rsidR="00396FC5" w:rsidRDefault="00396FC5" w:rsidP="00396FC5">
      <w:pPr>
        <w:pStyle w:val="JUDGMENTNUMBERED"/>
      </w:pPr>
      <w:r>
        <w:t>Section 63 of the Deeds Registries Act</w:t>
      </w:r>
      <w:r w:rsidR="00140D17">
        <w:t xml:space="preserve"> provides that no</w:t>
      </w:r>
      <w:r>
        <w:t xml:space="preserve"> condition in a deed of transfer </w:t>
      </w:r>
      <w:r w:rsidR="000E11C3">
        <w:t>“</w:t>
      </w:r>
      <w:r w:rsidR="005F6A2F">
        <w:t xml:space="preserve">purporting to </w:t>
      </w:r>
      <w:r>
        <w:t>creat</w:t>
      </w:r>
      <w:r w:rsidR="005F6A2F">
        <w:t>e</w:t>
      </w:r>
      <w:r>
        <w:t xml:space="preserve"> or embodying any personal right</w:t>
      </w:r>
      <w:r w:rsidR="000E11C3">
        <w:t>”</w:t>
      </w:r>
      <w:r>
        <w:t xml:space="preserve">, </w:t>
      </w:r>
      <w:r w:rsidR="00140D17">
        <w:t>n</w:t>
      </w:r>
      <w:r>
        <w:t xml:space="preserve">or one which </w:t>
      </w:r>
      <w:r w:rsidR="000E11C3">
        <w:t>“</w:t>
      </w:r>
      <w:r>
        <w:t>does not restrict the exercise of any right of ownership in respect of immovable property</w:t>
      </w:r>
      <w:r w:rsidR="000E11C3">
        <w:t>”</w:t>
      </w:r>
      <w:r>
        <w:t xml:space="preserve">, is capable of registration. </w:t>
      </w:r>
      <w:r w:rsidR="001647E7">
        <w:t xml:space="preserve"> </w:t>
      </w:r>
      <w:r>
        <w:t>But the section comes with a proviso: “</w:t>
      </w:r>
      <w:r w:rsidR="00AA4B8F">
        <w:t>[A]</w:t>
      </w:r>
      <w:r>
        <w:t xml:space="preserve"> deed containing such a condition</w:t>
      </w:r>
      <w:r w:rsidR="00140D17">
        <w:t xml:space="preserve"> </w:t>
      </w:r>
      <w:r w:rsidR="001647E7">
        <w:t>. . .</w:t>
      </w:r>
      <w:r>
        <w:t xml:space="preserve"> may be registered if, in the opinion of the reg</w:t>
      </w:r>
      <w:r w:rsidR="0065032B">
        <w:t>istrar, such condition is comple</w:t>
      </w:r>
      <w:r>
        <w:t xml:space="preserve">mentary or otherwise </w:t>
      </w:r>
      <w:r w:rsidR="00140D17">
        <w:t>ancillary to a registrable condition o</w:t>
      </w:r>
      <w:r w:rsidR="0065032B">
        <w:t>r right contained or conferred in</w:t>
      </w:r>
      <w:r w:rsidR="00140D17">
        <w:t xml:space="preserve"> such deed”.</w:t>
      </w:r>
    </w:p>
    <w:p w14:paraId="5086F68F" w14:textId="77777777" w:rsidR="00140D17" w:rsidRDefault="00140D17" w:rsidP="00140D17">
      <w:pPr>
        <w:pStyle w:val="JUDGMENTCONTINUED"/>
      </w:pPr>
    </w:p>
    <w:p w14:paraId="0A74CF88" w14:textId="3015670C" w:rsidR="001C668A" w:rsidRDefault="00140D17" w:rsidP="001C668A">
      <w:pPr>
        <w:pStyle w:val="JUDGMENTNUMBERED"/>
      </w:pPr>
      <w:r>
        <w:t xml:space="preserve">It may be accepted that registration of the reversionary clause was proper </w:t>
      </w:r>
      <w:r w:rsidR="0065032B">
        <w:t xml:space="preserve">in terms of the section, </w:t>
      </w:r>
      <w:r>
        <w:t>as being complementary or ancillary to transfer of ownership</w:t>
      </w:r>
      <w:r w:rsidR="0065032B">
        <w:t xml:space="preserve"> of the property</w:t>
      </w:r>
      <w:r>
        <w:t xml:space="preserve"> to Mounthaven. </w:t>
      </w:r>
      <w:r w:rsidR="000E11C3">
        <w:t xml:space="preserve"> </w:t>
      </w:r>
      <w:r>
        <w:t xml:space="preserve">But </w:t>
      </w:r>
      <w:r w:rsidR="00026D97">
        <w:t xml:space="preserve">registration of this kind, in conjunction with a real right, </w:t>
      </w:r>
      <w:r w:rsidR="001C668A">
        <w:t xml:space="preserve">or by mistake, </w:t>
      </w:r>
      <w:r w:rsidR="00026D97">
        <w:t>does not convert an ordinary p</w:t>
      </w:r>
      <w:r w:rsidR="001C668A">
        <w:t>ersonal right into a real right</w:t>
      </w:r>
      <w:r w:rsidR="00961549">
        <w:t>.</w:t>
      </w:r>
      <w:bookmarkStart w:id="7" w:name="_Ref527556184"/>
      <w:r w:rsidR="00961549">
        <w:rPr>
          <w:rStyle w:val="FootnoteReference"/>
        </w:rPr>
        <w:footnoteReference w:id="16"/>
      </w:r>
      <w:bookmarkEnd w:id="7"/>
    </w:p>
    <w:p w14:paraId="42DCB8F7" w14:textId="77777777" w:rsidR="001C668A" w:rsidRPr="001C668A" w:rsidRDefault="001C668A" w:rsidP="001C668A">
      <w:pPr>
        <w:pStyle w:val="JUDGMENTCONTINUED"/>
      </w:pPr>
    </w:p>
    <w:p w14:paraId="21956F81" w14:textId="015F13D8" w:rsidR="00E00254" w:rsidRDefault="00961549" w:rsidP="00E00254">
      <w:pPr>
        <w:pStyle w:val="JUDGMENTNUMBERED"/>
      </w:pPr>
      <w:r>
        <w:lastRenderedPageBreak/>
        <w:t xml:space="preserve">Against that is a remark made by Lord De Villiers CJ, in </w:t>
      </w:r>
      <w:r w:rsidRPr="00452146">
        <w:rPr>
          <w:i/>
        </w:rPr>
        <w:t>Ferreira Deep L</w:t>
      </w:r>
      <w:r w:rsidR="007106EB">
        <w:rPr>
          <w:i/>
        </w:rPr>
        <w:t>t</w:t>
      </w:r>
      <w:r w:rsidRPr="00452146">
        <w:rPr>
          <w:i/>
        </w:rPr>
        <w:t>d</w:t>
      </w:r>
      <w:r w:rsidRPr="002B7D73">
        <w:t>,</w:t>
      </w:r>
      <w:bookmarkStart w:id="8" w:name="_Ref527556051"/>
      <w:r>
        <w:rPr>
          <w:rStyle w:val="FootnoteReference"/>
        </w:rPr>
        <w:footnoteReference w:id="17"/>
      </w:r>
      <w:bookmarkEnd w:id="8"/>
      <w:r w:rsidRPr="00452146">
        <w:rPr>
          <w:i/>
        </w:rPr>
        <w:t xml:space="preserve"> </w:t>
      </w:r>
      <w:r w:rsidR="00452146">
        <w:t>to the effect that a certain</w:t>
      </w:r>
      <w:r>
        <w:t xml:space="preserve"> class of right</w:t>
      </w:r>
      <w:r w:rsidR="00BB397C">
        <w:t>s</w:t>
      </w:r>
      <w:r w:rsidR="00705439">
        <w:t xml:space="preserve"> </w:t>
      </w:r>
      <w:r>
        <w:t xml:space="preserve">– </w:t>
      </w:r>
      <w:r w:rsidR="00452146">
        <w:t>the so-</w:t>
      </w:r>
      <w:r>
        <w:t xml:space="preserve">called </w:t>
      </w:r>
      <w:r w:rsidR="000005CE">
        <w:rPr>
          <w:i/>
        </w:rPr>
        <w:t>j</w:t>
      </w:r>
      <w:r w:rsidR="00452146" w:rsidRPr="00452146">
        <w:rPr>
          <w:i/>
        </w:rPr>
        <w:t>ura</w:t>
      </w:r>
      <w:r w:rsidRPr="00452146">
        <w:rPr>
          <w:i/>
        </w:rPr>
        <w:t xml:space="preserve"> in personam ad rem acquirendam</w:t>
      </w:r>
      <w:r w:rsidR="0065032B" w:rsidRPr="00452146">
        <w:rPr>
          <w:i/>
        </w:rPr>
        <w:t xml:space="preserve"> </w:t>
      </w:r>
      <w:r w:rsidR="0065032B" w:rsidRPr="002B7D73">
        <w:t>(</w:t>
      </w:r>
      <w:r w:rsidR="00452146">
        <w:t xml:space="preserve">loosely translated, </w:t>
      </w:r>
      <w:r w:rsidR="00F85466">
        <w:t>personal rights to delivery of things</w:t>
      </w:r>
      <w:r w:rsidR="0065032B">
        <w:t>)</w:t>
      </w:r>
      <w:r w:rsidR="00F85466">
        <w:t xml:space="preserve"> – is personal until registration</w:t>
      </w:r>
      <w:r w:rsidR="00F32F90">
        <w:t>,</w:t>
      </w:r>
      <w:r w:rsidR="00F85466">
        <w:t xml:space="preserve"> when the rights are converted </w:t>
      </w:r>
      <w:r w:rsidR="00F32F90">
        <w:t>into real rights</w:t>
      </w:r>
      <w:r w:rsidR="00452146">
        <w:t xml:space="preserve"> by registration</w:t>
      </w:r>
      <w:r w:rsidR="0080561A">
        <w:t>:</w:t>
      </w:r>
    </w:p>
    <w:p w14:paraId="7870EB47" w14:textId="77777777" w:rsidR="00000D0F" w:rsidRPr="00000D0F" w:rsidRDefault="00000D0F" w:rsidP="002B7D73">
      <w:pPr>
        <w:pStyle w:val="QUOTATION"/>
      </w:pPr>
    </w:p>
    <w:p w14:paraId="4A20DCA1" w14:textId="4C9D613A" w:rsidR="0080561A" w:rsidRDefault="0080561A" w:rsidP="0080561A">
      <w:pPr>
        <w:pStyle w:val="QUOTATION"/>
      </w:pPr>
      <w:r>
        <w:t xml:space="preserve">“That personal rights, </w:t>
      </w:r>
      <w:r>
        <w:rPr>
          <w:i/>
        </w:rPr>
        <w:t>jura in personam</w:t>
      </w:r>
      <w:r>
        <w:t xml:space="preserve">, are not capable of registration is a truism. </w:t>
      </w:r>
      <w:r w:rsidR="00000D0F">
        <w:t xml:space="preserve"> </w:t>
      </w:r>
      <w:r>
        <w:t xml:space="preserve">The definition of such rights excludes their registration. </w:t>
      </w:r>
      <w:r w:rsidR="00AA4B8F">
        <w:t xml:space="preserve"> </w:t>
      </w:r>
      <w:r>
        <w:t xml:space="preserve">But that does not apply to the class of personal rights which are known as </w:t>
      </w:r>
      <w:r>
        <w:rPr>
          <w:i/>
        </w:rPr>
        <w:t>jura in personam ad rem acquirendam</w:t>
      </w:r>
      <w:r w:rsidR="00163B76">
        <w:t xml:space="preserve">. </w:t>
      </w:r>
      <w:r w:rsidR="00000D0F">
        <w:t xml:space="preserve"> </w:t>
      </w:r>
      <w:r w:rsidR="00163B76">
        <w:t xml:space="preserve">As contracts, with few exceptions, give rise only to personal rights, this class of right, although relating to immovable property, is a personal right until registration, when it is converted into a real right by such registration. </w:t>
      </w:r>
      <w:r w:rsidR="00000D0F">
        <w:t xml:space="preserve"> </w:t>
      </w:r>
      <w:r w:rsidR="00163B76">
        <w:t>The same applies to burdens upon land, encumbrances of immovable property (</w:t>
      </w:r>
      <w:r w:rsidR="00163B76" w:rsidRPr="00163B76">
        <w:rPr>
          <w:i/>
        </w:rPr>
        <w:t>onera realia</w:t>
      </w:r>
      <w:r w:rsidR="00163B76">
        <w:t xml:space="preserve">). </w:t>
      </w:r>
      <w:r w:rsidR="00000D0F">
        <w:t xml:space="preserve"> </w:t>
      </w:r>
      <w:r w:rsidR="00163B76">
        <w:t>They are personal until registration, when they become real.”</w:t>
      </w:r>
      <w:r w:rsidR="00163B76">
        <w:rPr>
          <w:rStyle w:val="FootnoteReference"/>
        </w:rPr>
        <w:footnoteReference w:id="18"/>
      </w:r>
    </w:p>
    <w:p w14:paraId="4CA7DBC4" w14:textId="75B169BF" w:rsidR="00594CFC" w:rsidRDefault="00594CFC" w:rsidP="00594CFC">
      <w:pPr>
        <w:pStyle w:val="JUDGMENTCONTINUED"/>
      </w:pPr>
    </w:p>
    <w:p w14:paraId="644CD1FE" w14:textId="150F6DC4" w:rsidR="00594CFC" w:rsidRDefault="00594CFC" w:rsidP="00594CFC">
      <w:pPr>
        <w:pStyle w:val="JUDGMENTNUMBERED"/>
      </w:pPr>
      <w:r>
        <w:t xml:space="preserve">The reversionary clause creates a reversionary right for the Municipality. </w:t>
      </w:r>
      <w:r w:rsidR="002949A5">
        <w:t xml:space="preserve"> </w:t>
      </w:r>
      <w:r>
        <w:t>That a reversionary right has the effect of restricting the landowner’s exercise or full enjoyment of her right of ownership, like keeping it undeveloped as long as it so wishes or bui</w:t>
      </w:r>
      <w:r w:rsidR="006558A2">
        <w:t>lding a structure worth R100 000.</w:t>
      </w:r>
      <w:r>
        <w:t>00, does not in any way detract from its true character as a personal but not a real right:</w:t>
      </w:r>
    </w:p>
    <w:p w14:paraId="2CED100D" w14:textId="77777777" w:rsidR="00594CFC" w:rsidRPr="00594CFC" w:rsidRDefault="00594CFC" w:rsidP="006558A2">
      <w:pPr>
        <w:pStyle w:val="QUOTATION"/>
      </w:pPr>
    </w:p>
    <w:p w14:paraId="0880C0E7" w14:textId="4F326228" w:rsidR="00594CFC" w:rsidRDefault="00594CFC" w:rsidP="00594CFC">
      <w:pPr>
        <w:pStyle w:val="QUOTATION"/>
      </w:pPr>
      <w:r>
        <w:t>“Not only recognised real rights but also personal rights can impose an obligation on a landowner, which restricts the free exercise of his or her right of ownership.</w:t>
      </w:r>
      <w:r w:rsidR="006558A2">
        <w:t xml:space="preserve"> </w:t>
      </w:r>
      <w:r>
        <w:t xml:space="preserve"> An owner’s right of disposal of his or her property is for instance restricted by a prohibition on alienation, a right of pre-emption, </w:t>
      </w:r>
      <w:r w:rsidRPr="00267FE2">
        <w:rPr>
          <w:i/>
        </w:rPr>
        <w:t>a reversionary right</w:t>
      </w:r>
      <w:r>
        <w:t>, a</w:t>
      </w:r>
      <w:r w:rsidR="00267FE2">
        <w:t>n</w:t>
      </w:r>
      <w:r>
        <w:t xml:space="preserve"> option and a fideicommissary right. </w:t>
      </w:r>
      <w:r w:rsidR="006558A2">
        <w:t xml:space="preserve"> </w:t>
      </w:r>
      <w:r>
        <w:t xml:space="preserve">Ostensibly such rights are only binding on a landowner in his or her personal capacity since his or her successors in title are by no means involved if the landowner fulfils his or her obligations. </w:t>
      </w:r>
      <w:r w:rsidR="006558A2">
        <w:t xml:space="preserve"> </w:t>
      </w:r>
      <w:r>
        <w:t xml:space="preserve">Historical practices and policy considerations have however resulted in some of these rights, such as an option, being placed in the category of personal rights whereas others, such as a prohibition on the </w:t>
      </w:r>
      <w:r>
        <w:lastRenderedPageBreak/>
        <w:t>alienation of land, are recognised as registrable real rights.  Moreover, rights of pre-emption, reversionary rights and fideicommissary rights are registered on account of established practices or usage in spite of the prohibition on the registration of personal rights in the Deed Registries Act”.</w:t>
      </w:r>
      <w:r>
        <w:rPr>
          <w:rStyle w:val="FootnoteReference"/>
        </w:rPr>
        <w:footnoteReference w:id="19"/>
      </w:r>
      <w:r w:rsidR="00267FE2">
        <w:t xml:space="preserve">  (Footnotes omitted.)</w:t>
      </w:r>
    </w:p>
    <w:p w14:paraId="0B6863FF" w14:textId="77777777" w:rsidR="006558A2" w:rsidRPr="006558A2" w:rsidRDefault="006558A2" w:rsidP="006558A2">
      <w:pPr>
        <w:pStyle w:val="JUDGMENTCONTINUED"/>
      </w:pPr>
    </w:p>
    <w:p w14:paraId="3232C7BD" w14:textId="638E8AE2" w:rsidR="00594CFC" w:rsidRPr="00594CFC" w:rsidRDefault="00594CFC" w:rsidP="00594CFC">
      <w:pPr>
        <w:pStyle w:val="JUDGMENTNUMBERED"/>
        <w:numPr>
          <w:ilvl w:val="0"/>
          <w:numId w:val="0"/>
        </w:numPr>
      </w:pPr>
      <w:r>
        <w:t>It follows that though registrable, a reversionary right is not by mere reason of registration in any way elev</w:t>
      </w:r>
      <w:r w:rsidR="006E7E8C">
        <w:t>ated from a personal right</w:t>
      </w:r>
      <w:r>
        <w:t xml:space="preserve"> to a real right. Because this matter involves a reversionary right, the decision in </w:t>
      </w:r>
      <w:r>
        <w:rPr>
          <w:i/>
        </w:rPr>
        <w:t>Ferreira Deep Ltd</w:t>
      </w:r>
      <w:r>
        <w:t xml:space="preserve"> does not find direct application here.</w:t>
      </w:r>
    </w:p>
    <w:p w14:paraId="1CBD5DB2" w14:textId="77777777" w:rsidR="00452146" w:rsidRPr="00452146" w:rsidRDefault="00452146" w:rsidP="00452146">
      <w:pPr>
        <w:pStyle w:val="JUDGMENTCONTINUED"/>
      </w:pPr>
    </w:p>
    <w:p w14:paraId="1DE0374D" w14:textId="2C3BAD44" w:rsidR="007D6FFD" w:rsidRDefault="00163B76" w:rsidP="007D6FFD">
      <w:pPr>
        <w:pStyle w:val="JUDGMENTNUMBERED"/>
      </w:pPr>
      <w:r>
        <w:t>One should</w:t>
      </w:r>
      <w:r w:rsidR="00594CFC">
        <w:t xml:space="preserve"> in any event</w:t>
      </w:r>
      <w:r w:rsidR="00D348D4">
        <w:t xml:space="preserve"> be careful</w:t>
      </w:r>
      <w:r>
        <w:t xml:space="preserve"> </w:t>
      </w:r>
      <w:r w:rsidR="00594CFC">
        <w:t>not to elevate the</w:t>
      </w:r>
      <w:r w:rsidR="008312BD">
        <w:t xml:space="preserve"> practical judicial sanction of the then usage and practice in the </w:t>
      </w:r>
      <w:r w:rsidR="002C6AA5">
        <w:t xml:space="preserve">then </w:t>
      </w:r>
      <w:r w:rsidR="008312BD">
        <w:t>Transvaal</w:t>
      </w:r>
      <w:r w:rsidR="007D4F7E">
        <w:t xml:space="preserve"> in relation to claim and stand licences</w:t>
      </w:r>
      <w:r w:rsidR="008312BD">
        <w:rPr>
          <w:rStyle w:val="FootnoteReference"/>
        </w:rPr>
        <w:footnoteReference w:id="20"/>
      </w:r>
      <w:r w:rsidR="008312BD">
        <w:t xml:space="preserve"> as fundamentally</w:t>
      </w:r>
      <w:r w:rsidR="006F764F">
        <w:t xml:space="preserve"> impacting on the legal conceptualisation of the difference between real and personal rights.</w:t>
      </w:r>
      <w:r w:rsidR="008312BD">
        <w:t xml:space="preserve"> </w:t>
      </w:r>
      <w:r w:rsidR="00E94181">
        <w:t xml:space="preserve"> </w:t>
      </w:r>
      <w:r w:rsidR="005162C1">
        <w:t xml:space="preserve">A more acceptable </w:t>
      </w:r>
      <w:r w:rsidR="008E183E">
        <w:t xml:space="preserve">and logical </w:t>
      </w:r>
      <w:r w:rsidR="005162C1">
        <w:t xml:space="preserve">explanation </w:t>
      </w:r>
      <w:r w:rsidR="008E183E">
        <w:t>is</w:t>
      </w:r>
      <w:r w:rsidR="005162C1">
        <w:t xml:space="preserve"> “that although these rights are not converted into real rights and although they do not constitute real burdens on land their registration nevertheless has certain practical consequences”.</w:t>
      </w:r>
      <w:r w:rsidR="005162C1">
        <w:rPr>
          <w:rStyle w:val="FootnoteReference"/>
        </w:rPr>
        <w:footnoteReference w:id="21"/>
      </w:r>
      <w:r w:rsidR="005162C1">
        <w:t xml:space="preserve"> </w:t>
      </w:r>
      <w:r w:rsidR="00E94181">
        <w:t xml:space="preserve"> </w:t>
      </w:r>
      <w:r w:rsidR="007D6FFD">
        <w:t>One of these may be that, because of registration, the doctrine of notice may operate in appropriate circumstances to prevent a third party from establishing a real right in respect of the land in question.</w:t>
      </w:r>
      <w:r w:rsidR="007D6FFD">
        <w:rPr>
          <w:rStyle w:val="FootnoteReference"/>
        </w:rPr>
        <w:footnoteReference w:id="22"/>
      </w:r>
    </w:p>
    <w:p w14:paraId="27ED0BC8" w14:textId="77777777" w:rsidR="007D6FFD" w:rsidRPr="007D6FFD" w:rsidRDefault="007D6FFD" w:rsidP="007D6FFD">
      <w:pPr>
        <w:pStyle w:val="JUDGMENTCONTINUED"/>
      </w:pPr>
    </w:p>
    <w:p w14:paraId="7E6D810B" w14:textId="5AB64F21" w:rsidR="007D6FFD" w:rsidRDefault="00465AB2" w:rsidP="00E03AC1">
      <w:pPr>
        <w:pStyle w:val="JUDGMENTNUMBERED"/>
      </w:pPr>
      <w:r>
        <w:t xml:space="preserve">The </w:t>
      </w:r>
      <w:r w:rsidR="002C6AA5">
        <w:t>“</w:t>
      </w:r>
      <w:r>
        <w:t>right to delivery of a thing</w:t>
      </w:r>
      <w:r w:rsidR="002C6AA5">
        <w:t>”</w:t>
      </w:r>
      <w:r>
        <w:t xml:space="preserve"> remains a personal obligation</w:t>
      </w:r>
      <w:r w:rsidR="003A2248">
        <w:t xml:space="preserve"> between </w:t>
      </w:r>
      <w:r>
        <w:t>person</w:t>
      </w:r>
      <w:r w:rsidR="001423DB">
        <w:t>s </w:t>
      </w:r>
      <w:r w:rsidR="003A2248">
        <w:t>– the one</w:t>
      </w:r>
      <w:r>
        <w:t xml:space="preserve"> who owes</w:t>
      </w:r>
      <w:r w:rsidR="003A2248">
        <w:t xml:space="preserve"> the obligation to deliver the thing to another </w:t>
      </w:r>
      <w:r w:rsidR="000E2DCB">
        <w:t>−</w:t>
      </w:r>
      <w:r w:rsidR="003A2248">
        <w:t xml:space="preserve"> until</w:t>
      </w:r>
      <w:r>
        <w:t xml:space="preserve"> actual </w:t>
      </w:r>
      <w:r>
        <w:lastRenderedPageBreak/>
        <w:t xml:space="preserve">delivery </w:t>
      </w:r>
      <w:r w:rsidR="00A74930">
        <w:t>(</w:t>
      </w:r>
      <w:r>
        <w:t xml:space="preserve">in the form of </w:t>
      </w:r>
      <w:r w:rsidR="007D6FFD">
        <w:t xml:space="preserve">registration of </w:t>
      </w:r>
      <w:r>
        <w:t>transfer</w:t>
      </w:r>
      <w:r w:rsidR="00A74930">
        <w:t xml:space="preserve">) of the </w:t>
      </w:r>
      <w:r w:rsidR="002C6AA5">
        <w:t>“</w:t>
      </w:r>
      <w:r w:rsidR="00A74930">
        <w:t>thing</w:t>
      </w:r>
      <w:r w:rsidR="002C6AA5">
        <w:t>”</w:t>
      </w:r>
      <w:r w:rsidR="003A2248">
        <w:t xml:space="preserve">, </w:t>
      </w:r>
      <w:r w:rsidR="00A74930">
        <w:t>in this case the immovable property itself</w:t>
      </w:r>
      <w:r w:rsidR="007D6FFD">
        <w:t>:</w:t>
      </w:r>
    </w:p>
    <w:p w14:paraId="71DBB7A0" w14:textId="77777777" w:rsidR="002C6AA5" w:rsidRPr="002C6AA5" w:rsidRDefault="002C6AA5" w:rsidP="001423DB">
      <w:pPr>
        <w:pStyle w:val="QUOTATION"/>
      </w:pPr>
    </w:p>
    <w:p w14:paraId="0011686F" w14:textId="2FB6A9BD" w:rsidR="007D6FFD" w:rsidRDefault="007D6FFD" w:rsidP="007D6FFD">
      <w:pPr>
        <w:pStyle w:val="QUOTATION"/>
      </w:pPr>
      <w:r>
        <w:t xml:space="preserve">“The moment registration takes place, A’s personal right, in terms whereof he may claim transfer, is terminated and he becomes owner of the land because B’s right of ownership has been </w:t>
      </w:r>
      <w:r w:rsidRPr="007D6FFD">
        <w:rPr>
          <w:i/>
        </w:rPr>
        <w:t xml:space="preserve">transferred </w:t>
      </w:r>
      <w:r>
        <w:t xml:space="preserve">to him, and not because of the registration of any </w:t>
      </w:r>
      <w:r>
        <w:rPr>
          <w:i/>
        </w:rPr>
        <w:t>ius in personam ad rem acquirendam</w:t>
      </w:r>
      <w:r w:rsidR="001423DB">
        <w:t>.”</w:t>
      </w:r>
      <w:r>
        <w:rPr>
          <w:rStyle w:val="FootnoteReference"/>
        </w:rPr>
        <w:footnoteReference w:id="23"/>
      </w:r>
    </w:p>
    <w:p w14:paraId="0D9A8BCF" w14:textId="77777777" w:rsidR="00694B55" w:rsidRPr="00694B55" w:rsidRDefault="00694B55" w:rsidP="00694B55">
      <w:pPr>
        <w:pStyle w:val="JUDGMENTCONTINUED"/>
      </w:pPr>
    </w:p>
    <w:p w14:paraId="7D5DB082" w14:textId="1B1D3BF7" w:rsidR="008E183E" w:rsidRPr="008E183E" w:rsidRDefault="008E183E" w:rsidP="00694B55">
      <w:pPr>
        <w:pStyle w:val="JUDGMENTCONTINUED"/>
      </w:pPr>
      <w:r>
        <w:t xml:space="preserve">This is the change from personal to real rights upon registration that </w:t>
      </w:r>
      <w:r w:rsidRPr="00694B55">
        <w:rPr>
          <w:i/>
        </w:rPr>
        <w:t>Ferreira Deep Ltd</w:t>
      </w:r>
      <w:r>
        <w:t>,</w:t>
      </w:r>
      <w:r w:rsidR="00694B55">
        <w:t xml:space="preserve"> properly construed, speaks to</w:t>
      </w:r>
      <w:r>
        <w:t>. Before that happens</w:t>
      </w:r>
      <w:r w:rsidR="00C70DD8">
        <w:t xml:space="preserve"> the doctrine of knowledge may operate against new purchasers, nothing more.</w:t>
      </w:r>
    </w:p>
    <w:p w14:paraId="114786F7" w14:textId="77777777" w:rsidR="007D6FFD" w:rsidRDefault="007D6FFD" w:rsidP="007D6FFD">
      <w:pPr>
        <w:pStyle w:val="JUDGMENTNUMBERED"/>
        <w:numPr>
          <w:ilvl w:val="0"/>
          <w:numId w:val="0"/>
        </w:numPr>
      </w:pPr>
    </w:p>
    <w:p w14:paraId="69F5E7C0" w14:textId="5ECAED50" w:rsidR="00E03AC1" w:rsidRDefault="0004436F" w:rsidP="0004436F">
      <w:pPr>
        <w:pStyle w:val="JUDGMENTNUMBERED"/>
      </w:pPr>
      <w:r>
        <w:t>Put differently, before registration</w:t>
      </w:r>
      <w:r w:rsidR="003A2248">
        <w:t xml:space="preserve"> </w:t>
      </w:r>
      <w:r w:rsidR="00A74930">
        <w:t>there is as yet no relationship between the person who holds the right to delivery</w:t>
      </w:r>
      <w:r w:rsidR="003A2248">
        <w:t xml:space="preserve"> and the object of the right, the thing or property.</w:t>
      </w:r>
      <w:r w:rsidR="00E94181">
        <w:t xml:space="preserve"> </w:t>
      </w:r>
      <w:r w:rsidR="003A2248">
        <w:t xml:space="preserve"> There is no real right, in the sense of a relationship between the person </w:t>
      </w:r>
      <w:r>
        <w:t xml:space="preserve">who holds the right to delivery </w:t>
      </w:r>
      <w:r w:rsidR="003A2248">
        <w:t>and the objec</w:t>
      </w:r>
      <w:r>
        <w:t>t of the right, the property.</w:t>
      </w:r>
      <w:r w:rsidR="007B6DA9">
        <w:rPr>
          <w:rStyle w:val="FootnoteReference"/>
        </w:rPr>
        <w:footnoteReference w:id="24"/>
      </w:r>
      <w:r>
        <w:t xml:space="preserve"> </w:t>
      </w:r>
      <w:r w:rsidR="00E94181">
        <w:t xml:space="preserve"> </w:t>
      </w:r>
      <w:r>
        <w:t xml:space="preserve">Upon registration the real right becomes that of ownership, a relationship between the owner and the property. </w:t>
      </w:r>
      <w:r w:rsidR="00E94181">
        <w:t xml:space="preserve"> </w:t>
      </w:r>
      <w:r>
        <w:t>The initial personal right to acquire the property</w:t>
      </w:r>
      <w:r w:rsidR="00030819">
        <w:t xml:space="preserve"> </w:t>
      </w:r>
      <w:r w:rsidR="00FF4C0E">
        <w:t xml:space="preserve">from another person </w:t>
      </w:r>
      <w:r w:rsidR="00030819">
        <w:t xml:space="preserve">has </w:t>
      </w:r>
      <w:r w:rsidR="00A85415">
        <w:t xml:space="preserve">then </w:t>
      </w:r>
      <w:r w:rsidR="00030819">
        <w:t>served its purpose and comes to an end</w:t>
      </w:r>
      <w:r>
        <w:t>.</w:t>
      </w:r>
      <w:r w:rsidR="00030819">
        <w:rPr>
          <w:rStyle w:val="FootnoteReference"/>
        </w:rPr>
        <w:footnoteReference w:id="25"/>
      </w:r>
    </w:p>
    <w:p w14:paraId="28DC2A7E" w14:textId="77777777" w:rsidR="007D6FFD" w:rsidRPr="007D6FFD" w:rsidRDefault="007D6FFD" w:rsidP="007D6FFD">
      <w:pPr>
        <w:pStyle w:val="JUDGMENTCONTINUED"/>
      </w:pPr>
    </w:p>
    <w:p w14:paraId="19C8A5CA" w14:textId="553D18C5" w:rsidR="00E03AC1" w:rsidRDefault="00E03AC1" w:rsidP="00E03AC1">
      <w:pPr>
        <w:pStyle w:val="JUDGMENTNUMBERED"/>
      </w:pPr>
      <w:r>
        <w:t xml:space="preserve">This is of little assistance to the Municipality. </w:t>
      </w:r>
      <w:r w:rsidR="001647E7">
        <w:t xml:space="preserve"> </w:t>
      </w:r>
      <w:r w:rsidR="00A85415">
        <w:t>The reversionary clause in C(2) creates a personal obligation on Mounthaven to complete buildings to a certain value within a limited time.</w:t>
      </w:r>
      <w:r w:rsidR="00E94181">
        <w:t xml:space="preserve"> </w:t>
      </w:r>
      <w:r w:rsidR="00A85415">
        <w:t xml:space="preserve"> The clause is not of a kind that creates a real burden </w:t>
      </w:r>
      <w:r w:rsidR="00BE3269">
        <w:t>(</w:t>
      </w:r>
      <w:r w:rsidR="00A85415">
        <w:rPr>
          <w:i/>
        </w:rPr>
        <w:t>modus</w:t>
      </w:r>
      <w:r w:rsidR="00BE3269" w:rsidRPr="002B7D73">
        <w:t>)</w:t>
      </w:r>
      <w:r w:rsidR="00A85415">
        <w:rPr>
          <w:i/>
        </w:rPr>
        <w:t xml:space="preserve"> </w:t>
      </w:r>
      <w:r w:rsidR="00A85415">
        <w:t xml:space="preserve">on the property itself, in which case the real right might exist in the relationship between </w:t>
      </w:r>
      <w:r w:rsidR="00A85415">
        <w:lastRenderedPageBreak/>
        <w:t>the holder and the burdened object of the right.</w:t>
      </w:r>
      <w:r w:rsidR="00A85415">
        <w:rPr>
          <w:rStyle w:val="FootnoteReference"/>
        </w:rPr>
        <w:footnoteReference w:id="26"/>
      </w:r>
      <w:r w:rsidR="00A85415">
        <w:t xml:space="preserve"> </w:t>
      </w:r>
      <w:r w:rsidR="00E94181">
        <w:t xml:space="preserve"> </w:t>
      </w:r>
      <w:r w:rsidR="00A46996">
        <w:t>There is no third party</w:t>
      </w:r>
      <w:r>
        <w:t xml:space="preserve"> involved here. </w:t>
      </w:r>
      <w:r w:rsidR="001647E7">
        <w:t xml:space="preserve"> </w:t>
      </w:r>
      <w:r>
        <w:t xml:space="preserve">Had there been, </w:t>
      </w:r>
      <w:r w:rsidR="00A46996">
        <w:t>an argument could perhaps have been made that the third party should be</w:t>
      </w:r>
      <w:r>
        <w:t xml:space="preserve"> held t</w:t>
      </w:r>
      <w:r w:rsidR="001C6C4C">
        <w:t>o the condition if</w:t>
      </w:r>
      <w:r>
        <w:t xml:space="preserve"> the property </w:t>
      </w:r>
      <w:r w:rsidR="001C6C4C">
        <w:t xml:space="preserve">was acquired </w:t>
      </w:r>
      <w:r>
        <w:t>before 1991, when the debt created by the reversionary clause prescribed, but for nothing more.</w:t>
      </w:r>
      <w:r w:rsidR="00E94181">
        <w:t xml:space="preserve"> </w:t>
      </w:r>
      <w:r w:rsidR="001C6C4C">
        <w:t xml:space="preserve"> It is not, however, an issue that arises for decision here.</w:t>
      </w:r>
    </w:p>
    <w:p w14:paraId="418D0595" w14:textId="77777777" w:rsidR="00E03AC1" w:rsidRDefault="00E03AC1" w:rsidP="00E03AC1">
      <w:pPr>
        <w:pStyle w:val="JUDGMENTCONTINUED"/>
      </w:pPr>
    </w:p>
    <w:p w14:paraId="5A1BFEBE" w14:textId="53F71D65" w:rsidR="00E03AC1" w:rsidRDefault="00E03AC1" w:rsidP="00E03AC1">
      <w:pPr>
        <w:pStyle w:val="JUDGMENTNUMBERED"/>
      </w:pPr>
      <w:r>
        <w:t>This also effectively disposes of the alternative argument that the registration of the reversionary right created a mortgage bond to secure</w:t>
      </w:r>
      <w:r w:rsidR="00602DE0">
        <w:t xml:space="preserve"> compliance with its provisions, </w:t>
      </w:r>
      <w:r>
        <w:t xml:space="preserve">which only prescribed after thirty years. </w:t>
      </w:r>
      <w:r w:rsidR="001647E7">
        <w:t xml:space="preserve"> </w:t>
      </w:r>
      <w:r w:rsidR="00602DE0">
        <w:t xml:space="preserve">A mortgage bond creates accessory liability as security for compliance with the principal debt. </w:t>
      </w:r>
      <w:r w:rsidR="001647E7">
        <w:t xml:space="preserve"> </w:t>
      </w:r>
      <w:r w:rsidR="00602DE0">
        <w:t>It does not extend the accessory liability beyond that of the principal liability.</w:t>
      </w:r>
      <w:r w:rsidR="00602DE0">
        <w:rPr>
          <w:rStyle w:val="FootnoteReference"/>
        </w:rPr>
        <w:footnoteReference w:id="27"/>
      </w:r>
      <w:r w:rsidR="00602DE0">
        <w:t xml:space="preserve"> </w:t>
      </w:r>
      <w:r w:rsidR="001647E7">
        <w:t xml:space="preserve"> </w:t>
      </w:r>
      <w:r w:rsidR="00602DE0">
        <w:t>For as long as the obligation to comply with clause C</w:t>
      </w:r>
      <w:r w:rsidR="002210E5">
        <w:t xml:space="preserve">(2) existed </w:t>
      </w:r>
      <w:r w:rsidR="001423DB">
        <w:t xml:space="preserve">− </w:t>
      </w:r>
      <w:r w:rsidR="002210E5">
        <w:t>until 1991</w:t>
      </w:r>
      <w:r w:rsidR="001423DB">
        <w:t xml:space="preserve"> − </w:t>
      </w:r>
      <w:r w:rsidR="002210E5">
        <w:t>Mounthaven</w:t>
      </w:r>
      <w:r w:rsidR="00602DE0">
        <w:t xml:space="preserve"> was liable to re-transfer in the event of non-compliance. </w:t>
      </w:r>
      <w:r w:rsidR="001647E7">
        <w:t xml:space="preserve"> </w:t>
      </w:r>
      <w:r w:rsidR="00602DE0">
        <w:t>But once the period for compliance with the principal debt or obligation to complete the buildings</w:t>
      </w:r>
      <w:r w:rsidR="00E90823">
        <w:t xml:space="preserve"> lapsed because of prescription, so did the accessory obligation.</w:t>
      </w:r>
      <w:r w:rsidR="00E90823">
        <w:rPr>
          <w:rStyle w:val="FootnoteReference"/>
        </w:rPr>
        <w:footnoteReference w:id="28"/>
      </w:r>
    </w:p>
    <w:p w14:paraId="7F08A226" w14:textId="77777777" w:rsidR="00E90823" w:rsidRDefault="00E90823" w:rsidP="00E90823">
      <w:pPr>
        <w:pStyle w:val="JUDGMENTCONTINUED"/>
      </w:pPr>
    </w:p>
    <w:p w14:paraId="094197ED" w14:textId="051954D9" w:rsidR="00E90823" w:rsidRDefault="00E90823" w:rsidP="00E90823">
      <w:pPr>
        <w:pStyle w:val="JUDGMENTNUMBERED"/>
      </w:pPr>
      <w:r>
        <w:lastRenderedPageBreak/>
        <w:t xml:space="preserve">There are thus no reasonable prospects on appeal. </w:t>
      </w:r>
      <w:r w:rsidR="00E94181">
        <w:t xml:space="preserve"> </w:t>
      </w:r>
      <w:r>
        <w:t>It is not in the interests of justice to grant leave under these circumstances.</w:t>
      </w:r>
    </w:p>
    <w:p w14:paraId="346E05FD" w14:textId="77777777" w:rsidR="00E90823" w:rsidRDefault="00E90823" w:rsidP="00E90823">
      <w:pPr>
        <w:pStyle w:val="JUDGMENTCONTINUED"/>
      </w:pPr>
    </w:p>
    <w:p w14:paraId="7BE878CC" w14:textId="77777777" w:rsidR="00E90823" w:rsidRDefault="00E90823" w:rsidP="008D7A93">
      <w:pPr>
        <w:pStyle w:val="HEADING"/>
      </w:pPr>
      <w:r>
        <w:t>Order</w:t>
      </w:r>
    </w:p>
    <w:p w14:paraId="5F0AD835" w14:textId="0256E8EE" w:rsidR="005A1F8C" w:rsidRDefault="00E90823" w:rsidP="00400BBB">
      <w:pPr>
        <w:pStyle w:val="JUDGMENTNUMBERED"/>
      </w:pPr>
      <w:r>
        <w:t>Leave to appeal is refused wit</w:t>
      </w:r>
      <w:r w:rsidR="00405CBB">
        <w:t>h costs.</w:t>
      </w:r>
    </w:p>
    <w:p w14:paraId="1F23CFBC" w14:textId="4A772676" w:rsidR="00FA259E" w:rsidRDefault="00FA259E" w:rsidP="00FA259E">
      <w:pPr>
        <w:pStyle w:val="JUDGMENTCONTINUED"/>
      </w:pPr>
    </w:p>
    <w:p w14:paraId="32FF33FE" w14:textId="77777777" w:rsidR="00FA259E" w:rsidRPr="00FA259E" w:rsidRDefault="00FA259E" w:rsidP="00FA259E"/>
    <w:p w14:paraId="0B049AB4" w14:textId="77777777" w:rsidR="00FA259E" w:rsidRPr="00FA259E" w:rsidRDefault="00FA259E" w:rsidP="00FA259E"/>
    <w:p w14:paraId="4DCAA3B1" w14:textId="77777777" w:rsidR="00FA259E" w:rsidRPr="00FA259E" w:rsidRDefault="00FA259E" w:rsidP="00FA259E"/>
    <w:p w14:paraId="1CB4EA62" w14:textId="77777777" w:rsidR="00FA259E" w:rsidRPr="00FA259E" w:rsidRDefault="00FA259E" w:rsidP="00FA259E"/>
    <w:p w14:paraId="34BF0ABC" w14:textId="77777777" w:rsidR="00FA259E" w:rsidRPr="00FA259E" w:rsidRDefault="00FA259E" w:rsidP="00FA259E"/>
    <w:p w14:paraId="580B604C" w14:textId="200B8D04" w:rsidR="00FA259E" w:rsidRDefault="00FA259E" w:rsidP="00FA259E"/>
    <w:p w14:paraId="762D8733" w14:textId="59C42BC5" w:rsidR="00FA259E" w:rsidRDefault="00FA259E" w:rsidP="00FA259E">
      <w:pPr>
        <w:tabs>
          <w:tab w:val="left" w:pos="4009"/>
        </w:tabs>
      </w:pPr>
      <w:r>
        <w:tab/>
      </w:r>
    </w:p>
    <w:p w14:paraId="50161F2A" w14:textId="5FB7C46B" w:rsidR="00FA259E" w:rsidRDefault="00FA259E" w:rsidP="00FA259E"/>
    <w:p w14:paraId="27F72207" w14:textId="77777777" w:rsidR="00FA259E" w:rsidRPr="00FA259E" w:rsidRDefault="00FA259E" w:rsidP="00FA259E">
      <w:pPr>
        <w:sectPr w:rsidR="00FA259E" w:rsidRPr="00FA259E" w:rsidSect="002B7D73">
          <w:headerReference w:type="default" r:id="rId10"/>
          <w:footerReference w:type="default" r:id="rId11"/>
          <w:type w:val="continuous"/>
          <w:pgSz w:w="11907" w:h="16839" w:code="9"/>
          <w:pgMar w:top="1440" w:right="1440" w:bottom="1440" w:left="1440" w:header="708" w:footer="708" w:gutter="0"/>
          <w:pgNumType w:start="2"/>
          <w:cols w:space="708"/>
          <w:titlePg/>
          <w:docGrid w:linePitch="360"/>
        </w:sectPr>
      </w:pPr>
    </w:p>
    <w:p w14:paraId="57796709" w14:textId="2D5E1F45" w:rsidR="005A1F8C" w:rsidRPr="009C3888" w:rsidRDefault="005A1F8C" w:rsidP="002B7D73">
      <w:pPr>
        <w:pStyle w:val="COUNSELDETAILS"/>
        <w:ind w:left="5103" w:hanging="5103"/>
      </w:pPr>
      <w:r w:rsidRPr="009C3888">
        <w:lastRenderedPageBreak/>
        <w:t xml:space="preserve">For the </w:t>
      </w:r>
      <w:r>
        <w:t>Applicant</w:t>
      </w:r>
      <w:r w:rsidRPr="009C3888">
        <w:t>:</w:t>
      </w:r>
      <w:r>
        <w:tab/>
        <w:t>G D Goddard SC, S Mahabeer and T R Palmer instructed by Moodie &amp; Robertson Attorneys</w:t>
      </w:r>
    </w:p>
    <w:p w14:paraId="35C62BB6" w14:textId="77777777" w:rsidR="005A1F8C" w:rsidRPr="009C3888" w:rsidRDefault="005A1F8C" w:rsidP="005A1F8C">
      <w:pPr>
        <w:pStyle w:val="COUNSELDETAILS"/>
      </w:pPr>
    </w:p>
    <w:p w14:paraId="1FDE6CD6" w14:textId="64C1957A" w:rsidR="005A1F8C" w:rsidRPr="009C3888" w:rsidRDefault="005A1F8C" w:rsidP="002B7D73">
      <w:pPr>
        <w:pStyle w:val="COUNSELDETAILS"/>
        <w:ind w:left="5103" w:hanging="5103"/>
      </w:pPr>
      <w:r w:rsidRPr="009C3888">
        <w:t xml:space="preserve">For </w:t>
      </w:r>
      <w:r w:rsidR="00923707">
        <w:t xml:space="preserve">the </w:t>
      </w:r>
      <w:r>
        <w:t>Respondent</w:t>
      </w:r>
      <w:r w:rsidR="00923707">
        <w:t>:</w:t>
      </w:r>
      <w:r>
        <w:tab/>
        <w:t>D D Naidoo instructed by Mervyn Gouden &amp; Associates</w:t>
      </w:r>
    </w:p>
    <w:p w14:paraId="378A6CC1" w14:textId="166EA122" w:rsidR="00236F9A" w:rsidRPr="009C3888" w:rsidRDefault="00236F9A" w:rsidP="00860C4E">
      <w:pPr>
        <w:sectPr w:rsidR="00236F9A" w:rsidRPr="009C3888" w:rsidSect="009559B5">
          <w:headerReference w:type="default" r:id="rId12"/>
          <w:footerReference w:type="default" r:id="rId13"/>
          <w:pgSz w:w="11907" w:h="16839" w:code="9"/>
          <w:pgMar w:top="1440" w:right="1440" w:bottom="1440" w:left="1440" w:header="708" w:footer="708" w:gutter="0"/>
          <w:pgNumType w:start="1"/>
          <w:cols w:space="708"/>
          <w:docGrid w:linePitch="360"/>
        </w:sectPr>
      </w:pPr>
    </w:p>
    <w:p w14:paraId="547AEFBE" w14:textId="77777777" w:rsidR="00860C4E" w:rsidRPr="009C3888" w:rsidRDefault="00860C4E" w:rsidP="005A1F8C">
      <w:pPr>
        <w:pStyle w:val="COUNSELDETAILS"/>
      </w:pPr>
    </w:p>
    <w:sectPr w:rsidR="00860C4E"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6A9810" w14:textId="77777777" w:rsidR="009F1615" w:rsidRDefault="009F1615" w:rsidP="00E4607C">
      <w:pPr>
        <w:spacing w:line="240" w:lineRule="auto"/>
      </w:pPr>
      <w:r>
        <w:separator/>
      </w:r>
    </w:p>
  </w:endnote>
  <w:endnote w:type="continuationSeparator" w:id="0">
    <w:p w14:paraId="2A1CD920" w14:textId="77777777" w:rsidR="009F1615" w:rsidRDefault="009F1615"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71399103"/>
      <w:docPartObj>
        <w:docPartGallery w:val="Page Numbers (Bottom of Page)"/>
        <w:docPartUnique/>
      </w:docPartObj>
    </w:sdtPr>
    <w:sdtEndPr>
      <w:rPr>
        <w:noProof/>
      </w:rPr>
    </w:sdtEndPr>
    <w:sdtContent>
      <w:p w14:paraId="487B26DA" w14:textId="229F5212" w:rsidR="002B7D73" w:rsidRDefault="002B7D73">
        <w:pPr>
          <w:pStyle w:val="Footer"/>
          <w:jc w:val="center"/>
        </w:pPr>
        <w:r>
          <w:fldChar w:fldCharType="begin"/>
        </w:r>
        <w:r>
          <w:instrText xml:space="preserve"> PAGE   \* MERGEFORMAT </w:instrText>
        </w:r>
        <w:r>
          <w:fldChar w:fldCharType="separate"/>
        </w:r>
        <w:r w:rsidR="003340B7">
          <w:rPr>
            <w:noProof/>
          </w:rPr>
          <w:t>2</w:t>
        </w:r>
        <w:r>
          <w:rPr>
            <w:noProof/>
          </w:rPr>
          <w:fldChar w:fldCharType="end"/>
        </w:r>
      </w:p>
    </w:sdtContent>
  </w:sdt>
  <w:p w14:paraId="61D45873" w14:textId="24CF8702" w:rsidR="008C727F" w:rsidRPr="002B7D73" w:rsidRDefault="008C727F" w:rsidP="00D23BF9">
    <w:pPr>
      <w:pStyle w:val="Footer"/>
      <w:jc w:val="center"/>
      <w:rPr>
        <w:color w:val="FFFFFF" w:themeColor="background1"/>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9709641"/>
      <w:docPartObj>
        <w:docPartGallery w:val="Page Numbers (Bottom of Page)"/>
        <w:docPartUnique/>
      </w:docPartObj>
    </w:sdtPr>
    <w:sdtEndPr>
      <w:rPr>
        <w:noProof/>
      </w:rPr>
    </w:sdtEndPr>
    <w:sdtContent>
      <w:p w14:paraId="671E9BEF" w14:textId="119A5159" w:rsidR="00D23BF9" w:rsidRDefault="00D23BF9">
        <w:pPr>
          <w:pStyle w:val="Footer"/>
          <w:jc w:val="center"/>
        </w:pPr>
        <w:r>
          <w:fldChar w:fldCharType="begin"/>
        </w:r>
        <w:r>
          <w:instrText xml:space="preserve"> PAGE   \* MERGEFORMAT </w:instrText>
        </w:r>
        <w:r>
          <w:fldChar w:fldCharType="separate"/>
        </w:r>
        <w:r w:rsidR="003340B7">
          <w:rPr>
            <w:noProof/>
          </w:rPr>
          <w:t>9</w:t>
        </w:r>
        <w:r>
          <w:rPr>
            <w:noProof/>
          </w:rPr>
          <w:fldChar w:fldCharType="end"/>
        </w:r>
      </w:p>
    </w:sdtContent>
  </w:sdt>
  <w:p w14:paraId="7F63E7C8" w14:textId="77777777" w:rsidR="005A1F8C" w:rsidRDefault="005A1F8C" w:rsidP="005A1F8C">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6E520F" w14:textId="77777777" w:rsidR="0087217E" w:rsidRDefault="0087217E"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727073" w14:textId="77777777" w:rsidR="009F1615" w:rsidRDefault="009F1615" w:rsidP="00E4607C">
      <w:pPr>
        <w:spacing w:line="240" w:lineRule="auto"/>
      </w:pPr>
      <w:r>
        <w:separator/>
      </w:r>
    </w:p>
  </w:footnote>
  <w:footnote w:type="continuationSeparator" w:id="0">
    <w:p w14:paraId="7F2C5CDB" w14:textId="77777777" w:rsidR="009F1615" w:rsidRDefault="009F1615" w:rsidP="00E4607C">
      <w:pPr>
        <w:spacing w:line="240" w:lineRule="auto"/>
      </w:pPr>
      <w:r>
        <w:continuationSeparator/>
      </w:r>
    </w:p>
  </w:footnote>
  <w:footnote w:id="1">
    <w:p w14:paraId="78C5E9D7" w14:textId="7553F519" w:rsidR="00696AEE" w:rsidRDefault="00696AEE">
      <w:pPr>
        <w:pStyle w:val="FootnoteText"/>
      </w:pPr>
      <w:r>
        <w:rPr>
          <w:rStyle w:val="FootnoteReference"/>
        </w:rPr>
        <w:footnoteRef/>
      </w:r>
      <w:r>
        <w:t xml:space="preserve"> </w:t>
      </w:r>
      <w:r w:rsidR="007A00E0">
        <w:t>High Court of South Africa, KwaZulu-Natal Local Division, Durban</w:t>
      </w:r>
      <w:r>
        <w:t>.</w:t>
      </w:r>
    </w:p>
  </w:footnote>
  <w:footnote w:id="2">
    <w:p w14:paraId="5BA8D37E" w14:textId="77777777" w:rsidR="00335A91" w:rsidRDefault="00335A91">
      <w:pPr>
        <w:pStyle w:val="FootnoteText"/>
      </w:pPr>
      <w:r>
        <w:rPr>
          <w:rStyle w:val="FootnoteReference"/>
        </w:rPr>
        <w:footnoteRef/>
      </w:r>
      <w:r>
        <w:t xml:space="preserve"> 68 of 1969.</w:t>
      </w:r>
    </w:p>
  </w:footnote>
  <w:footnote w:id="3">
    <w:p w14:paraId="76C6624F" w14:textId="30EEB80B" w:rsidR="00D46728" w:rsidRPr="0065032B" w:rsidRDefault="00D46728">
      <w:pPr>
        <w:pStyle w:val="FootnoteText"/>
        <w:rPr>
          <w:highlight w:val="yellow"/>
        </w:rPr>
      </w:pPr>
      <w:r>
        <w:rPr>
          <w:rStyle w:val="FootnoteReference"/>
        </w:rPr>
        <w:footnoteRef/>
      </w:r>
      <w:r>
        <w:t xml:space="preserve"> </w:t>
      </w:r>
      <w:r w:rsidR="007A00E0" w:rsidRPr="0065032B">
        <w:rPr>
          <w:i/>
        </w:rPr>
        <w:t>Makate v Vodacom Ltd</w:t>
      </w:r>
      <w:r w:rsidR="007A00E0" w:rsidRPr="0065032B">
        <w:t xml:space="preserve"> [2016] ZACC 13; 2016 (4) SA 121 (CC); 2016 (6) BCLR 709 (CC) at para</w:t>
      </w:r>
      <w:r w:rsidR="006D34E3" w:rsidRPr="0065032B">
        <w:t xml:space="preserve"> 90</w:t>
      </w:r>
      <w:r w:rsidR="00335A91" w:rsidRPr="0065032B">
        <w:t>.</w:t>
      </w:r>
    </w:p>
  </w:footnote>
  <w:footnote w:id="4">
    <w:p w14:paraId="33B6733A" w14:textId="5117507E" w:rsidR="00871E05" w:rsidRPr="00321426" w:rsidRDefault="00871E05">
      <w:pPr>
        <w:pStyle w:val="FootnoteText"/>
        <w:rPr>
          <w:bCs/>
        </w:rPr>
      </w:pPr>
      <w:r>
        <w:rPr>
          <w:rStyle w:val="FootnoteReference"/>
        </w:rPr>
        <w:footnoteRef/>
      </w:r>
      <w:r>
        <w:t xml:space="preserve"> Section 167(3) of the Constitution and </w:t>
      </w:r>
      <w:r w:rsidR="00C22946" w:rsidRPr="00132B17">
        <w:rPr>
          <w:bCs/>
          <w:i/>
        </w:rPr>
        <w:t>Mokone v Tassos Properties CC</w:t>
      </w:r>
      <w:r w:rsidR="00C22946" w:rsidRPr="00C22946">
        <w:rPr>
          <w:bCs/>
        </w:rPr>
        <w:t xml:space="preserve"> </w:t>
      </w:r>
      <w:r w:rsidR="00682A36" w:rsidRPr="00682A36">
        <w:rPr>
          <w:bCs/>
        </w:rPr>
        <w:t>[2017] ZACC 25</w:t>
      </w:r>
      <w:r w:rsidR="00682A36">
        <w:rPr>
          <w:bCs/>
        </w:rPr>
        <w:t xml:space="preserve">; </w:t>
      </w:r>
      <w:r w:rsidR="00C22946" w:rsidRPr="00132B17">
        <w:rPr>
          <w:bCs/>
        </w:rPr>
        <w:t>2017 (5) SA 456 (CC)</w:t>
      </w:r>
      <w:r w:rsidR="00682A36">
        <w:rPr>
          <w:bCs/>
        </w:rPr>
        <w:t xml:space="preserve">; </w:t>
      </w:r>
      <w:r w:rsidR="00682A36" w:rsidRPr="00682A36">
        <w:rPr>
          <w:bCs/>
        </w:rPr>
        <w:t>2017 (1) BCLR 1261 (CC)</w:t>
      </w:r>
      <w:r w:rsidR="00C22946">
        <w:rPr>
          <w:bCs/>
        </w:rPr>
        <w:t xml:space="preserve"> at para 17</w:t>
      </w:r>
      <w:r w:rsidRPr="00C22946">
        <w:t>.</w:t>
      </w:r>
    </w:p>
  </w:footnote>
  <w:footnote w:id="5">
    <w:p w14:paraId="3B534F99" w14:textId="77777777" w:rsidR="009A367E" w:rsidRDefault="009A367E">
      <w:pPr>
        <w:pStyle w:val="FootnoteText"/>
      </w:pPr>
      <w:r>
        <w:rPr>
          <w:rStyle w:val="FootnoteReference"/>
        </w:rPr>
        <w:footnoteRef/>
      </w:r>
      <w:r>
        <w:t xml:space="preserve"> </w:t>
      </w:r>
      <w:r w:rsidR="000A09A9">
        <w:t>S</w:t>
      </w:r>
      <w:r w:rsidR="006D34E3">
        <w:t>ection 11(a)(i)</w:t>
      </w:r>
      <w:r>
        <w:t xml:space="preserve"> </w:t>
      </w:r>
      <w:r w:rsidR="000A09A9">
        <w:t>provides that</w:t>
      </w:r>
      <w:r w:rsidR="000A09A9">
        <w:sym w:font="Symbol" w:char="F0BE"/>
      </w:r>
    </w:p>
    <w:p w14:paraId="06217255" w14:textId="77777777" w:rsidR="000A09A9" w:rsidRPr="000A09A9" w:rsidRDefault="000A09A9" w:rsidP="000A09A9">
      <w:pPr>
        <w:pStyle w:val="QUOTEINFOOTNOTE"/>
      </w:pPr>
      <w:r>
        <w:t>“[t]</w:t>
      </w:r>
      <w:r w:rsidRPr="000A09A9">
        <w:t>he periods of prescription of debts shall be the following:</w:t>
      </w:r>
    </w:p>
    <w:p w14:paraId="4C2BE0DF" w14:textId="4C57D8B5" w:rsidR="000A09A9" w:rsidRPr="000A09A9" w:rsidRDefault="000A09A9" w:rsidP="0065032B">
      <w:pPr>
        <w:pStyle w:val="QUOTEINFOOTNOTE"/>
        <w:ind w:left="1440" w:hanging="720"/>
      </w:pPr>
      <w:bookmarkStart w:id="2" w:name="0-0-0-215093"/>
      <w:bookmarkEnd w:id="2"/>
      <w:r w:rsidRPr="000A09A9">
        <w:t>(a</w:t>
      </w:r>
      <w:r>
        <w:t>)</w:t>
      </w:r>
      <w:r>
        <w:tab/>
      </w:r>
      <w:r w:rsidRPr="000A09A9">
        <w:t>thirty years in respect of</w:t>
      </w:r>
      <w:r w:rsidR="00AA1637">
        <w:sym w:font="Symbol" w:char="F0BE"/>
      </w:r>
    </w:p>
    <w:p w14:paraId="4A5EBB7B" w14:textId="77777777" w:rsidR="000A09A9" w:rsidRDefault="000A09A9" w:rsidP="0065032B">
      <w:pPr>
        <w:pStyle w:val="QUOTEINFOOTNOTE"/>
        <w:ind w:left="1440"/>
      </w:pPr>
      <w:bookmarkStart w:id="3" w:name="0-0-0-215097"/>
      <w:bookmarkEnd w:id="3"/>
      <w:r>
        <w:t>(i)</w:t>
      </w:r>
      <w:r>
        <w:tab/>
      </w:r>
      <w:r w:rsidRPr="000A09A9">
        <w:t>any debt secured by mortgage bond</w:t>
      </w:r>
      <w:r>
        <w:t>.”</w:t>
      </w:r>
    </w:p>
  </w:footnote>
  <w:footnote w:id="6">
    <w:p w14:paraId="3CE9CC0D" w14:textId="3CB6F89D" w:rsidR="007D4F7E" w:rsidRDefault="007D4F7E">
      <w:pPr>
        <w:pStyle w:val="FootnoteText"/>
      </w:pPr>
      <w:r>
        <w:rPr>
          <w:rStyle w:val="FootnoteReference"/>
        </w:rPr>
        <w:footnoteRef/>
      </w:r>
      <w:r>
        <w:t xml:space="preserve"> Section </w:t>
      </w:r>
      <w:r w:rsidR="008966B1" w:rsidRPr="001423DB">
        <w:t>11(a)(i)</w:t>
      </w:r>
      <w:r>
        <w:t xml:space="preserve"> of the Prescription Act.</w:t>
      </w:r>
    </w:p>
  </w:footnote>
  <w:footnote w:id="7">
    <w:p w14:paraId="2F4B29D0" w14:textId="526C6EE8" w:rsidR="00960FDD" w:rsidRDefault="00960FDD">
      <w:pPr>
        <w:pStyle w:val="FootnoteText"/>
      </w:pPr>
      <w:r>
        <w:rPr>
          <w:rStyle w:val="FootnoteReference"/>
        </w:rPr>
        <w:footnoteRef/>
      </w:r>
      <w:r>
        <w:t xml:space="preserve"> </w:t>
      </w:r>
      <w:r w:rsidR="00F7632A" w:rsidRPr="0065032B">
        <w:rPr>
          <w:i/>
        </w:rPr>
        <w:t>Makate</w:t>
      </w:r>
      <w:r w:rsidR="00F7632A">
        <w:t xml:space="preserve"> above n </w:t>
      </w:r>
      <w:r w:rsidR="00025459">
        <w:fldChar w:fldCharType="begin"/>
      </w:r>
      <w:r w:rsidR="00025459">
        <w:instrText xml:space="preserve"> NOTEREF _Ref527555969 \h </w:instrText>
      </w:r>
      <w:r w:rsidR="00025459">
        <w:fldChar w:fldCharType="separate"/>
      </w:r>
      <w:r w:rsidR="000976F6">
        <w:t>3</w:t>
      </w:r>
      <w:r w:rsidR="00025459">
        <w:fldChar w:fldCharType="end"/>
      </w:r>
      <w:r w:rsidR="0067624D">
        <w:t xml:space="preserve"> at para </w:t>
      </w:r>
      <w:r w:rsidR="00815445">
        <w:t>29</w:t>
      </w:r>
      <w:r w:rsidR="00F7632A">
        <w:t>.</w:t>
      </w:r>
    </w:p>
  </w:footnote>
  <w:footnote w:id="8">
    <w:p w14:paraId="718FD904" w14:textId="1AB4ED03" w:rsidR="00DC7F28" w:rsidRDefault="00DC7F28" w:rsidP="00F7632A">
      <w:pPr>
        <w:pStyle w:val="FootnoteText"/>
      </w:pPr>
      <w:r>
        <w:rPr>
          <w:rStyle w:val="FootnoteReference"/>
        </w:rPr>
        <w:footnoteRef/>
      </w:r>
      <w:r>
        <w:t xml:space="preserve"> </w:t>
      </w:r>
      <w:r w:rsidR="00F7632A" w:rsidRPr="0065032B">
        <w:rPr>
          <w:i/>
        </w:rPr>
        <w:t>Paulsen v Slip Knot Investments 777 (Pty) Ltd</w:t>
      </w:r>
      <w:r w:rsidR="00F7632A" w:rsidRPr="00F7632A">
        <w:t xml:space="preserve"> [2015] ZACC 5; 2015 (3) SA 479 (CC); 2015 (5) BCLR 509 (CC)</w:t>
      </w:r>
      <w:r w:rsidR="00F7632A">
        <w:t xml:space="preserve"> at paras 29-30</w:t>
      </w:r>
      <w:r w:rsidR="00B915C8">
        <w:t xml:space="preserve">. </w:t>
      </w:r>
      <w:r w:rsidR="0067624D">
        <w:t xml:space="preserve"> </w:t>
      </w:r>
      <w:r w:rsidR="00B915C8">
        <w:t>S</w:t>
      </w:r>
      <w:r w:rsidR="0067624D">
        <w:t>ee also section 167(6) of the Constitution.</w:t>
      </w:r>
    </w:p>
  </w:footnote>
  <w:footnote w:id="9">
    <w:p w14:paraId="36856118" w14:textId="1159A210" w:rsidR="00DC7F28" w:rsidRDefault="00DC7F28">
      <w:pPr>
        <w:pStyle w:val="FootnoteText"/>
      </w:pPr>
      <w:r>
        <w:rPr>
          <w:rStyle w:val="FootnoteReference"/>
        </w:rPr>
        <w:footnoteRef/>
      </w:r>
      <w:r>
        <w:t xml:space="preserve"> </w:t>
      </w:r>
      <w:r w:rsidR="00665D55" w:rsidRPr="00665D55">
        <w:t xml:space="preserve">See for example, </w:t>
      </w:r>
      <w:r w:rsidR="00107FDA" w:rsidRPr="00132B17">
        <w:rPr>
          <w:i/>
        </w:rPr>
        <w:t>Marshall v Commissioner, South African Revenue Service</w:t>
      </w:r>
      <w:r w:rsidR="00107FDA" w:rsidRPr="00682A36">
        <w:t xml:space="preserve"> [2018] ZACC 11</w:t>
      </w:r>
      <w:r w:rsidR="00107FDA">
        <w:t xml:space="preserve">; 2018 (7) BCLR 830 (CC) at para 14; </w:t>
      </w:r>
      <w:r w:rsidR="00107FDA" w:rsidRPr="00665D55">
        <w:rPr>
          <w:i/>
        </w:rPr>
        <w:t>Snyders N.O. v Louistef (Pty) Ltd</w:t>
      </w:r>
      <w:r w:rsidR="00107FDA" w:rsidRPr="00665D55">
        <w:t xml:space="preserve"> [2017] ZACC 28; 2017 (6) SA 646 (CC)</w:t>
      </w:r>
      <w:r w:rsidR="00107FDA">
        <w:t>; 2018 (1) BCLR 19 (CC)</w:t>
      </w:r>
      <w:r w:rsidR="00107FDA" w:rsidRPr="00665D55">
        <w:t xml:space="preserve"> at para 14; </w:t>
      </w:r>
      <w:r w:rsidR="00107FDA" w:rsidRPr="00665D55">
        <w:rPr>
          <w:i/>
        </w:rPr>
        <w:t>Radio Pretoria v Chairperson, Independent Communications Authority of South Africa</w:t>
      </w:r>
      <w:r w:rsidR="00107FDA" w:rsidRPr="00665D55">
        <w:t xml:space="preserve"> [2004] ZACC 24; 2005 (4) SA 319 (CC); 2005 (3) BCLR 231 (CC) at para 22</w:t>
      </w:r>
      <w:r w:rsidR="00107FDA">
        <w:t xml:space="preserve">; </w:t>
      </w:r>
      <w:r w:rsidR="00107FDA" w:rsidRPr="00665D55">
        <w:rPr>
          <w:i/>
        </w:rPr>
        <w:t>De Reuck v Director of Public Prosecutions, Witwatersrand Local Division</w:t>
      </w:r>
      <w:r w:rsidR="00107FDA" w:rsidRPr="00665D55">
        <w:t xml:space="preserve"> [2003] ZACC 19; 2004 (1) SA 406 (CC); 2003 (12) BCLR 1333 (CC) at para 3;</w:t>
      </w:r>
      <w:r w:rsidR="00107FDA">
        <w:t xml:space="preserve"> </w:t>
      </w:r>
      <w:r w:rsidR="00107FDA" w:rsidRPr="00665D55">
        <w:rPr>
          <w:i/>
        </w:rPr>
        <w:t>National Education Health and Allied Workers Union v University of Cape Town</w:t>
      </w:r>
      <w:r w:rsidR="00107FDA" w:rsidRPr="00665D55">
        <w:t xml:space="preserve"> [2002] ZACC 27; 2003 (3) SA 1 (CC); 2003 (2) BCLR 154 (CC) at para 25</w:t>
      </w:r>
      <w:r w:rsidR="00107FDA">
        <w:t xml:space="preserve">; </w:t>
      </w:r>
      <w:r w:rsidR="00A27264" w:rsidRPr="00665D55">
        <w:rPr>
          <w:i/>
        </w:rPr>
        <w:t>Islamic Unity Convention v Independent Broadcasting Authority</w:t>
      </w:r>
      <w:r w:rsidR="00A27264" w:rsidRPr="00665D55">
        <w:t xml:space="preserve"> [2002] ZACC 3; 2002 (4) SA 294 (CC); 2002 (5) BCLR 433 (CC) at para 18;</w:t>
      </w:r>
      <w:r w:rsidR="00A27264">
        <w:t xml:space="preserve"> </w:t>
      </w:r>
      <w:r w:rsidR="00107FDA" w:rsidRPr="00665D55">
        <w:rPr>
          <w:i/>
        </w:rPr>
        <w:t>S v Boesak</w:t>
      </w:r>
      <w:r w:rsidR="00107FDA" w:rsidRPr="00665D55">
        <w:t xml:space="preserve"> [2000] ZACC 25; 2001 (1) SA 912 (CC); 2001 (</w:t>
      </w:r>
      <w:r w:rsidR="00107FDA">
        <w:t xml:space="preserve">1) BCLR 36 (CC) at para 12; </w:t>
      </w:r>
      <w:r w:rsidR="00107FDA" w:rsidRPr="00665D55">
        <w:rPr>
          <w:i/>
        </w:rPr>
        <w:t>Brummer v Gorfil Brothers Investments (Pty) Ltd</w:t>
      </w:r>
      <w:r w:rsidR="00107FDA" w:rsidRPr="00665D55">
        <w:t xml:space="preserve"> [2000] ZACC 3; 2000 (2) SA 837 (CC); 2</w:t>
      </w:r>
      <w:r w:rsidR="00107FDA">
        <w:t xml:space="preserve">000 (5) BCLR 465 (CC) at para 3; </w:t>
      </w:r>
      <w:r w:rsidR="00665D55" w:rsidRPr="00665D55">
        <w:rPr>
          <w:i/>
        </w:rPr>
        <w:t xml:space="preserve">Fraser v Naude </w:t>
      </w:r>
      <w:r w:rsidR="00665D55" w:rsidRPr="002B7D73">
        <w:t>[</w:t>
      </w:r>
      <w:r w:rsidR="00665D55" w:rsidRPr="00665D55">
        <w:t xml:space="preserve">1998] ZACC 13; 1999 (1) SA 1 (CC); 1998 (11) BCLR 1357 </w:t>
      </w:r>
      <w:r w:rsidR="00107FDA">
        <w:t xml:space="preserve">(CC) </w:t>
      </w:r>
      <w:r w:rsidR="00665D55" w:rsidRPr="00665D55">
        <w:t>at para 7</w:t>
      </w:r>
      <w:r w:rsidR="00107FDA">
        <w:t>.</w:t>
      </w:r>
    </w:p>
  </w:footnote>
  <w:footnote w:id="10">
    <w:p w14:paraId="12FBAA7E" w14:textId="10A8BE9D" w:rsidR="003E2C8D" w:rsidRDefault="005C2BF9" w:rsidP="003E2C8D">
      <w:pPr>
        <w:pStyle w:val="FootnoteText"/>
      </w:pPr>
      <w:r>
        <w:rPr>
          <w:rStyle w:val="FootnoteReference"/>
        </w:rPr>
        <w:footnoteRef/>
      </w:r>
      <w:r w:rsidR="00020005">
        <w:t xml:space="preserve"> </w:t>
      </w:r>
      <w:r w:rsidR="003E2C8D" w:rsidRPr="0065032B">
        <w:rPr>
          <w:i/>
        </w:rPr>
        <w:t>Makate</w:t>
      </w:r>
      <w:r w:rsidR="003E2C8D">
        <w:t xml:space="preserve"> above n </w:t>
      </w:r>
      <w:r w:rsidR="00025459">
        <w:fldChar w:fldCharType="begin"/>
      </w:r>
      <w:r w:rsidR="00025459">
        <w:instrText xml:space="preserve"> NOTEREF _Ref527555969 \h </w:instrText>
      </w:r>
      <w:r w:rsidR="00025459">
        <w:fldChar w:fldCharType="separate"/>
      </w:r>
      <w:r w:rsidR="000976F6">
        <w:t>3</w:t>
      </w:r>
      <w:r w:rsidR="00025459">
        <w:fldChar w:fldCharType="end"/>
      </w:r>
      <w:r w:rsidR="003E2C8D">
        <w:t xml:space="preserve"> at para</w:t>
      </w:r>
      <w:r w:rsidR="007355F3">
        <w:t>s</w:t>
      </w:r>
      <w:r w:rsidR="003E2C8D">
        <w:t xml:space="preserve"> </w:t>
      </w:r>
      <w:r w:rsidR="007355F3">
        <w:t xml:space="preserve">83 and </w:t>
      </w:r>
      <w:r w:rsidR="003E2C8D">
        <w:t>85</w:t>
      </w:r>
      <w:r w:rsidR="007355F3">
        <w:t>. Paragraph 85 states:</w:t>
      </w:r>
    </w:p>
    <w:p w14:paraId="5BC864E2" w14:textId="4F77F598" w:rsidR="003E2C8D" w:rsidRPr="00321426" w:rsidRDefault="003E2C8D" w:rsidP="003E2C8D">
      <w:pPr>
        <w:pStyle w:val="QUOTEINFOOTNOTE"/>
      </w:pPr>
      <w:r>
        <w:t xml:space="preserve">“In </w:t>
      </w:r>
      <w:r>
        <w:rPr>
          <w:i/>
        </w:rPr>
        <w:t xml:space="preserve">Escom </w:t>
      </w:r>
      <w:r>
        <w:t>the Appellate Division said that the</w:t>
      </w:r>
      <w:r w:rsidRPr="00321426">
        <w:rPr>
          <w:lang w:val="en-GB"/>
        </w:rPr>
        <w:t xml:space="preserve"> word </w:t>
      </w:r>
      <w:r w:rsidR="00C71C33">
        <w:rPr>
          <w:lang w:val="en-GB"/>
        </w:rPr>
        <w:t>‘debt’</w:t>
      </w:r>
      <w:r>
        <w:rPr>
          <w:lang w:val="en-GB"/>
        </w:rPr>
        <w:t xml:space="preserve"> in</w:t>
      </w:r>
      <w:r w:rsidRPr="00321426">
        <w:rPr>
          <w:lang w:val="en-GB"/>
        </w:rPr>
        <w:t xml:space="preserve"> the Prescription Act </w:t>
      </w:r>
      <w:r>
        <w:rPr>
          <w:lang w:val="en-GB"/>
        </w:rPr>
        <w:t>should be the meaning given the meaning ascribed to it</w:t>
      </w:r>
      <w:r w:rsidR="00C71C33">
        <w:rPr>
          <w:lang w:val="en-GB"/>
        </w:rPr>
        <w:t xml:space="preserve"> in the</w:t>
      </w:r>
      <w:r w:rsidRPr="00321426">
        <w:rPr>
          <w:lang w:val="en-GB"/>
        </w:rPr>
        <w:t xml:space="preserve"> Shorter Oxford Dictionary,</w:t>
      </w:r>
      <w:r w:rsidRPr="0093369E">
        <w:rPr>
          <w:b/>
          <w:bCs/>
          <w:lang w:val="en-GB"/>
        </w:rPr>
        <w:t xml:space="preserve"> </w:t>
      </w:r>
      <w:r w:rsidRPr="00321426">
        <w:rPr>
          <w:lang w:val="en-GB"/>
        </w:rPr>
        <w:t>namely:</w:t>
      </w:r>
    </w:p>
    <w:p w14:paraId="15E805A5" w14:textId="36AAF430" w:rsidR="003E2C8D" w:rsidRDefault="003E2C8D" w:rsidP="002B7D73">
      <w:pPr>
        <w:pStyle w:val="QUOTEINFOOTNOTE"/>
        <w:ind w:left="1418"/>
      </w:pPr>
      <w:r>
        <w:t xml:space="preserve">‘1. </w:t>
      </w:r>
      <w:r w:rsidRPr="00321426">
        <w:t>Somet</w:t>
      </w:r>
      <w:r>
        <w:t xml:space="preserve">hing owed or due: something (as </w:t>
      </w:r>
      <w:r w:rsidRPr="00321426">
        <w:t>money, goods or service) which one person is under an obligation to pay or render to another.</w:t>
      </w:r>
      <w:r>
        <w:t xml:space="preserve"> </w:t>
      </w:r>
      <w:r w:rsidR="00C71C33">
        <w:t xml:space="preserve"> </w:t>
      </w:r>
      <w:r>
        <w:t xml:space="preserve">2. </w:t>
      </w:r>
      <w:r w:rsidRPr="00321426">
        <w:t>A liability or obligation to pay or render something; the condition of being so obligated.</w:t>
      </w:r>
      <w:r>
        <w:t>’</w:t>
      </w:r>
      <w:r w:rsidRPr="00321426">
        <w:t>”</w:t>
      </w:r>
    </w:p>
    <w:p w14:paraId="0F4B2736" w14:textId="1AC6138E" w:rsidR="005C2BF9" w:rsidRDefault="00A67E99" w:rsidP="002B7D73">
      <w:pPr>
        <w:pStyle w:val="FootnoteText1"/>
      </w:pPr>
      <w:r>
        <w:t xml:space="preserve">See also </w:t>
      </w:r>
      <w:r w:rsidR="00376D37" w:rsidRPr="00376D37">
        <w:rPr>
          <w:i/>
        </w:rPr>
        <w:t>Food and Allied Workers’ Union obo Gaoshubelwe v Pieman’s Pantry (Pty) L</w:t>
      </w:r>
      <w:r w:rsidR="002D4CDC">
        <w:rPr>
          <w:i/>
        </w:rPr>
        <w:t>t</w:t>
      </w:r>
      <w:r w:rsidR="00376D37" w:rsidRPr="00376D37">
        <w:rPr>
          <w:i/>
        </w:rPr>
        <w:t>d</w:t>
      </w:r>
      <w:r w:rsidR="00376D37" w:rsidRPr="00376D37">
        <w:t xml:space="preserve"> [2018] ZACC 7</w:t>
      </w:r>
      <w:r w:rsidR="007355F3">
        <w:t>; 2018 (5) BCLR 527 (CC)</w:t>
      </w:r>
      <w:r w:rsidR="00376D37">
        <w:t xml:space="preserve"> at paras 155-6.</w:t>
      </w:r>
    </w:p>
  </w:footnote>
  <w:footnote w:id="11">
    <w:p w14:paraId="294D933E" w14:textId="3BE8FB8A" w:rsidR="00485083" w:rsidRDefault="003D14F5">
      <w:pPr>
        <w:pStyle w:val="FootnoteText"/>
      </w:pPr>
      <w:r>
        <w:rPr>
          <w:rStyle w:val="FootnoteReference"/>
        </w:rPr>
        <w:footnoteRef/>
      </w:r>
      <w:r>
        <w:t xml:space="preserve"> </w:t>
      </w:r>
      <w:r w:rsidR="00065E91">
        <w:rPr>
          <w:i/>
          <w:iCs/>
        </w:rPr>
        <w:t xml:space="preserve">Info Plus v Scheelke </w:t>
      </w:r>
      <w:r w:rsidR="00CD01C3">
        <w:rPr>
          <w:iCs/>
        </w:rPr>
        <w:t xml:space="preserve">[1998] ZASCA 21; </w:t>
      </w:r>
      <w:r w:rsidR="00065E91" w:rsidRPr="00132B17">
        <w:t>1998 (3) SA 184 (SCA)</w:t>
      </w:r>
      <w:r w:rsidR="00065E91">
        <w:t xml:space="preserve"> at 189</w:t>
      </w:r>
      <w:r w:rsidR="00CD01C3">
        <w:t>D-9</w:t>
      </w:r>
      <w:r w:rsidR="00485083">
        <w:t>E:</w:t>
      </w:r>
    </w:p>
    <w:p w14:paraId="512C0082" w14:textId="414CBFD3" w:rsidR="003D14F5" w:rsidRDefault="00485083" w:rsidP="00485083">
      <w:pPr>
        <w:pStyle w:val="QUOTEINFOOTNOTE"/>
      </w:pPr>
      <w:r>
        <w:t>“It is, of course, trite</w:t>
      </w:r>
      <w:r w:rsidR="00790BF0">
        <w:t xml:space="preserve"> law that t</w:t>
      </w:r>
      <w:r>
        <w:t xml:space="preserve">ransfer of ownership </w:t>
      </w:r>
      <w:r w:rsidR="00790BF0">
        <w:t>of corporeal movable property requires delivery, ie transfer of possession, of the property by the owner to the transferee coupled with a real agreement between them</w:t>
      </w:r>
      <w:r w:rsidR="00065E91">
        <w:t>.</w:t>
      </w:r>
      <w:r w:rsidR="00790BF0">
        <w:t>”</w:t>
      </w:r>
    </w:p>
  </w:footnote>
  <w:footnote w:id="12">
    <w:p w14:paraId="24302B62" w14:textId="540A3717" w:rsidR="00394B9E" w:rsidRDefault="003D14F5" w:rsidP="00394B9E">
      <w:pPr>
        <w:pStyle w:val="FootnoteText"/>
      </w:pPr>
      <w:r>
        <w:rPr>
          <w:rStyle w:val="FootnoteReference"/>
        </w:rPr>
        <w:footnoteRef/>
      </w:r>
      <w:r>
        <w:t xml:space="preserve"> </w:t>
      </w:r>
      <w:r w:rsidR="00394B9E">
        <w:rPr>
          <w:i/>
        </w:rPr>
        <w:t xml:space="preserve">Harris v Trustee of Buissine </w:t>
      </w:r>
      <w:r w:rsidR="00394B9E" w:rsidRPr="002B7D73">
        <w:t>(18</w:t>
      </w:r>
      <w:r w:rsidR="00486722" w:rsidRPr="002B7D73">
        <w:t>40</w:t>
      </w:r>
      <w:r w:rsidR="00394B9E" w:rsidRPr="002B7D73">
        <w:t>)</w:t>
      </w:r>
      <w:r w:rsidR="00394B9E">
        <w:rPr>
          <w:i/>
        </w:rPr>
        <w:t xml:space="preserve"> </w:t>
      </w:r>
      <w:r w:rsidR="00394B9E">
        <w:t xml:space="preserve">2 Menz 105 at 107-8 quoted in </w:t>
      </w:r>
      <w:r w:rsidR="00394B9E">
        <w:rPr>
          <w:i/>
        </w:rPr>
        <w:t>Jordaan v Tshwane Metropolitan Municipality</w:t>
      </w:r>
      <w:r w:rsidR="00394B9E">
        <w:t xml:space="preserve"> [2017] ZACC 3</w:t>
      </w:r>
      <w:r w:rsidR="006442F7">
        <w:t>1</w:t>
      </w:r>
      <w:r w:rsidR="00394B9E">
        <w:t>; 2017 (6) SA 287 (CC); 2017 (11) BCLR 1370 (CC) at para 34:</w:t>
      </w:r>
    </w:p>
    <w:p w14:paraId="66FD2225" w14:textId="24C42D6D" w:rsidR="00394B9E" w:rsidRDefault="00394B9E" w:rsidP="00394B9E">
      <w:pPr>
        <w:pStyle w:val="QUOTEINFOOTNOTE"/>
      </w:pPr>
      <w:r>
        <w:t xml:space="preserve">“[T]he </w:t>
      </w:r>
      <w:r>
        <w:rPr>
          <w:i/>
        </w:rPr>
        <w:t>dominium</w:t>
      </w:r>
      <w:r>
        <w:t xml:space="preserve"> [title] or </w:t>
      </w:r>
      <w:r>
        <w:rPr>
          <w:i/>
        </w:rPr>
        <w:t>jus in re</w:t>
      </w:r>
      <w:r>
        <w:t xml:space="preserve"> [real right] of immovable property can only be conveyed by transfer made </w:t>
      </w:r>
      <w:r>
        <w:rPr>
          <w:i/>
        </w:rPr>
        <w:t>coram legi loci</w:t>
      </w:r>
      <w:r>
        <w:t xml:space="preserve"> [formally according to the law of the place concerned], and this species of transfer is an essential to divest the seller of, and invest the buyer wit</w:t>
      </w:r>
      <w:r w:rsidR="003E32D3">
        <w:t>h</w:t>
      </w:r>
      <w:r>
        <w:t xml:space="preserve">, the </w:t>
      </w:r>
      <w:r>
        <w:rPr>
          <w:i/>
        </w:rPr>
        <w:t xml:space="preserve">dominium </w:t>
      </w:r>
      <w:r>
        <w:t xml:space="preserve">or </w:t>
      </w:r>
      <w:r>
        <w:rPr>
          <w:i/>
        </w:rPr>
        <w:t xml:space="preserve">jus in re </w:t>
      </w:r>
      <w:r>
        <w:t xml:space="preserve">of immovable property as actual </w:t>
      </w:r>
      <w:r w:rsidRPr="001423DB">
        <w:rPr>
          <w:i/>
        </w:rPr>
        <w:t>traditio</w:t>
      </w:r>
      <w:r>
        <w:t xml:space="preserve"> [handing over or conveyance] is to convey the </w:t>
      </w:r>
      <w:r>
        <w:rPr>
          <w:i/>
        </w:rPr>
        <w:t>dominium</w:t>
      </w:r>
      <w:r>
        <w:t xml:space="preserve"> of movables</w:t>
      </w:r>
      <w:r w:rsidR="002949A5">
        <w:t>.</w:t>
      </w:r>
      <w:r>
        <w:t>”</w:t>
      </w:r>
    </w:p>
    <w:p w14:paraId="201C566B" w14:textId="027F166A" w:rsidR="003D14F5" w:rsidRDefault="00394B9E">
      <w:pPr>
        <w:pStyle w:val="FootnoteText"/>
      </w:pPr>
      <w:r>
        <w:t xml:space="preserve">See further </w:t>
      </w:r>
      <w:r w:rsidR="00DE513E">
        <w:rPr>
          <w:i/>
        </w:rPr>
        <w:t>Jordaan</w:t>
      </w:r>
      <w:r w:rsidR="00DE513E">
        <w:t xml:space="preserve"> at paras 31-8 </w:t>
      </w:r>
      <w:r w:rsidR="00DE513E" w:rsidRPr="00EC48D5">
        <w:t xml:space="preserve">for </w:t>
      </w:r>
      <w:r>
        <w:t xml:space="preserve">a </w:t>
      </w:r>
      <w:r w:rsidR="00DE513E" w:rsidRPr="00EC48D5">
        <w:t>crisp discussion on the history</w:t>
      </w:r>
      <w:r w:rsidR="00EC48D5" w:rsidRPr="00EC48D5">
        <w:t xml:space="preserve"> of registration of immovable property</w:t>
      </w:r>
      <w:r w:rsidR="00EC48D5">
        <w:t xml:space="preserve"> in South Africa.</w:t>
      </w:r>
    </w:p>
  </w:footnote>
  <w:footnote w:id="13">
    <w:p w14:paraId="7A2BFC84" w14:textId="45A452C5" w:rsidR="002308DD" w:rsidRPr="002308DD" w:rsidRDefault="002308DD">
      <w:pPr>
        <w:pStyle w:val="FootnoteText"/>
      </w:pPr>
      <w:r>
        <w:rPr>
          <w:rStyle w:val="FootnoteReference"/>
        </w:rPr>
        <w:footnoteRef/>
      </w:r>
      <w:r>
        <w:t xml:space="preserve"> </w:t>
      </w:r>
      <w:r w:rsidR="00065E91" w:rsidRPr="0093369E">
        <w:rPr>
          <w:bCs/>
          <w:i/>
        </w:rPr>
        <w:t xml:space="preserve">National Stadium South Africa (Pty) Ltd </w:t>
      </w:r>
      <w:r w:rsidR="00065E91">
        <w:rPr>
          <w:bCs/>
          <w:i/>
        </w:rPr>
        <w:t xml:space="preserve">v </w:t>
      </w:r>
      <w:r w:rsidR="00065E91" w:rsidRPr="0093369E">
        <w:rPr>
          <w:bCs/>
          <w:i/>
        </w:rPr>
        <w:t>First</w:t>
      </w:r>
      <w:r w:rsidR="006442F7">
        <w:rPr>
          <w:bCs/>
          <w:i/>
        </w:rPr>
        <w:t>R</w:t>
      </w:r>
      <w:r w:rsidR="00065E91" w:rsidRPr="0093369E">
        <w:rPr>
          <w:bCs/>
          <w:i/>
        </w:rPr>
        <w:t>and Bank Ltd</w:t>
      </w:r>
      <w:r w:rsidR="00065E91">
        <w:rPr>
          <w:b/>
          <w:bCs/>
        </w:rPr>
        <w:t xml:space="preserve"> </w:t>
      </w:r>
      <w:r w:rsidR="0067624D">
        <w:rPr>
          <w:bCs/>
        </w:rPr>
        <w:t xml:space="preserve">[2011] ZASCA 164; </w:t>
      </w:r>
      <w:r>
        <w:t>2011</w:t>
      </w:r>
      <w:r w:rsidR="00065E91">
        <w:t xml:space="preserve"> </w:t>
      </w:r>
      <w:r>
        <w:t xml:space="preserve">(2) SA 157 (SCA) </w:t>
      </w:r>
      <w:r w:rsidR="00C71C33">
        <w:t xml:space="preserve">at </w:t>
      </w:r>
      <w:r>
        <w:t>para 31</w:t>
      </w:r>
      <w:r w:rsidR="0067624D">
        <w:t xml:space="preserve"> which was</w:t>
      </w:r>
      <w:r>
        <w:t xml:space="preserve"> </w:t>
      </w:r>
      <w:r w:rsidR="00394B9E">
        <w:t>cited with approval in</w:t>
      </w:r>
      <w:r w:rsidR="0014415A">
        <w:t xml:space="preserve"> </w:t>
      </w:r>
      <w:r>
        <w:rPr>
          <w:i/>
        </w:rPr>
        <w:t>A</w:t>
      </w:r>
      <w:r w:rsidR="006442F7">
        <w:rPr>
          <w:i/>
        </w:rPr>
        <w:t>bsa</w:t>
      </w:r>
      <w:r>
        <w:rPr>
          <w:i/>
        </w:rPr>
        <w:t xml:space="preserve"> </w:t>
      </w:r>
      <w:r w:rsidR="0067624D">
        <w:rPr>
          <w:i/>
        </w:rPr>
        <w:t xml:space="preserve">Bank Ltd </w:t>
      </w:r>
      <w:r>
        <w:rPr>
          <w:i/>
        </w:rPr>
        <w:t xml:space="preserve">v Keet </w:t>
      </w:r>
      <w:r w:rsidR="0067624D">
        <w:t xml:space="preserve">[2015] ZASCA 81; </w:t>
      </w:r>
      <w:r>
        <w:t>2015</w:t>
      </w:r>
      <w:r w:rsidR="0067624D">
        <w:t xml:space="preserve"> </w:t>
      </w:r>
      <w:r>
        <w:t>(4) SA 474 (SCA)</w:t>
      </w:r>
      <w:r w:rsidR="0014415A">
        <w:t xml:space="preserve"> at para 21</w:t>
      </w:r>
      <w:r>
        <w:t>.</w:t>
      </w:r>
    </w:p>
  </w:footnote>
  <w:footnote w:id="14">
    <w:p w14:paraId="04835642" w14:textId="14937397" w:rsidR="00774990" w:rsidRPr="00AA479A" w:rsidRDefault="00774990">
      <w:pPr>
        <w:pStyle w:val="FootnoteText"/>
      </w:pPr>
      <w:r>
        <w:rPr>
          <w:rStyle w:val="FootnoteReference"/>
        </w:rPr>
        <w:footnoteRef/>
      </w:r>
      <w:r>
        <w:t xml:space="preserve"> </w:t>
      </w:r>
      <w:r w:rsidR="00705439" w:rsidRPr="00132B17">
        <w:rPr>
          <w:bCs/>
          <w:i/>
        </w:rPr>
        <w:t>Willow Waters Homeowners Association (Pty) Ltd v</w:t>
      </w:r>
      <w:r w:rsidR="00705439" w:rsidRPr="0093369E">
        <w:rPr>
          <w:bCs/>
          <w:i/>
        </w:rPr>
        <w:t xml:space="preserve"> Koka N</w:t>
      </w:r>
      <w:r w:rsidR="00AA4B8F">
        <w:rPr>
          <w:bCs/>
          <w:i/>
        </w:rPr>
        <w:t>.</w:t>
      </w:r>
      <w:r w:rsidR="00705439" w:rsidRPr="0093369E">
        <w:rPr>
          <w:bCs/>
          <w:i/>
        </w:rPr>
        <w:t>O</w:t>
      </w:r>
      <w:r w:rsidR="00AA4B8F">
        <w:rPr>
          <w:bCs/>
          <w:i/>
        </w:rPr>
        <w:t>.</w:t>
      </w:r>
      <w:r w:rsidR="00705439" w:rsidRPr="0093369E">
        <w:rPr>
          <w:bCs/>
        </w:rPr>
        <w:t xml:space="preserve"> </w:t>
      </w:r>
      <w:r w:rsidR="00705439">
        <w:rPr>
          <w:bCs/>
        </w:rPr>
        <w:t>[2014] ZASCA 220; 2015 (5) SA</w:t>
      </w:r>
      <w:r w:rsidR="00705439" w:rsidRPr="008B4306">
        <w:rPr>
          <w:bCs/>
        </w:rPr>
        <w:t xml:space="preserve"> 3</w:t>
      </w:r>
      <w:r w:rsidR="00705439">
        <w:rPr>
          <w:bCs/>
        </w:rPr>
        <w:t>04 (SCA</w:t>
      </w:r>
      <w:r w:rsidR="00705439" w:rsidRPr="008B4306">
        <w:rPr>
          <w:bCs/>
        </w:rPr>
        <w:t>)</w:t>
      </w:r>
      <w:r w:rsidR="00705439">
        <w:rPr>
          <w:bCs/>
        </w:rPr>
        <w:t xml:space="preserve"> at para 16; and </w:t>
      </w:r>
      <w:r w:rsidR="00705439" w:rsidRPr="00132B17">
        <w:rPr>
          <w:bCs/>
          <w:i/>
        </w:rPr>
        <w:t xml:space="preserve">Cape Explosive Works Ltd </w:t>
      </w:r>
      <w:r w:rsidR="00705439">
        <w:rPr>
          <w:bCs/>
          <w:i/>
        </w:rPr>
        <w:t>v</w:t>
      </w:r>
      <w:r w:rsidR="00705439" w:rsidRPr="00132B17">
        <w:rPr>
          <w:bCs/>
          <w:i/>
        </w:rPr>
        <w:t xml:space="preserve"> Denel (Pty) Ltd </w:t>
      </w:r>
      <w:r w:rsidR="00705439">
        <w:rPr>
          <w:bCs/>
        </w:rPr>
        <w:t xml:space="preserve">[2001] ZASCA 28; </w:t>
      </w:r>
      <w:r w:rsidR="00705439" w:rsidRPr="0093369E">
        <w:rPr>
          <w:bCs/>
        </w:rPr>
        <w:t>2001 (3) SA 569 (SCA</w:t>
      </w:r>
      <w:r w:rsidR="00705439" w:rsidRPr="00132B17">
        <w:rPr>
          <w:bCs/>
        </w:rPr>
        <w:t>)</w:t>
      </w:r>
      <w:r w:rsidR="00705439">
        <w:rPr>
          <w:bCs/>
        </w:rPr>
        <w:t xml:space="preserve"> at para 1</w:t>
      </w:r>
      <w:r w:rsidR="00705439" w:rsidRPr="0093369E">
        <w:rPr>
          <w:bCs/>
        </w:rPr>
        <w:t>2</w:t>
      </w:r>
      <w:r w:rsidR="00705439" w:rsidRPr="00132B17">
        <w:t>.</w:t>
      </w:r>
      <w:r w:rsidR="001423DB">
        <w:t xml:space="preserve">  See also</w:t>
      </w:r>
      <w:r w:rsidR="00705439">
        <w:t xml:space="preserve"> Van der Merwe </w:t>
      </w:r>
      <w:r w:rsidR="00705439" w:rsidRPr="002B7D73">
        <w:t>“</w:t>
      </w:r>
      <w:r w:rsidR="00705439" w:rsidRPr="000D39D4">
        <w:t>Things</w:t>
      </w:r>
      <w:r w:rsidR="00705439" w:rsidRPr="002B7D73">
        <w:t>”</w:t>
      </w:r>
      <w:r w:rsidR="00705439">
        <w:t xml:space="preserve"> in </w:t>
      </w:r>
      <w:r w:rsidR="00705439" w:rsidRPr="00551400">
        <w:rPr>
          <w:i/>
        </w:rPr>
        <w:t>LAWSA</w:t>
      </w:r>
      <w:r w:rsidR="00705439">
        <w:t xml:space="preserve"> 2 ed (2014) vol 27 at paras 63-8.</w:t>
      </w:r>
    </w:p>
  </w:footnote>
  <w:footnote w:id="15">
    <w:p w14:paraId="3C4BF9F7" w14:textId="0BF8FC85" w:rsidR="00140D17" w:rsidRDefault="00140D17">
      <w:pPr>
        <w:pStyle w:val="FootnoteText"/>
      </w:pPr>
      <w:r>
        <w:rPr>
          <w:rStyle w:val="FootnoteReference"/>
        </w:rPr>
        <w:footnoteRef/>
      </w:r>
      <w:r>
        <w:t xml:space="preserve"> </w:t>
      </w:r>
      <w:r w:rsidR="008335E9">
        <w:t>4</w:t>
      </w:r>
      <w:r>
        <w:t>7 of 1937.</w:t>
      </w:r>
    </w:p>
  </w:footnote>
  <w:footnote w:id="16">
    <w:p w14:paraId="49C146A8" w14:textId="153C653A" w:rsidR="00961549" w:rsidRDefault="00961549" w:rsidP="0076579E">
      <w:pPr>
        <w:pStyle w:val="FootnoteText1"/>
      </w:pPr>
      <w:r>
        <w:rPr>
          <w:rStyle w:val="FootnoteReference"/>
        </w:rPr>
        <w:footnoteRef/>
      </w:r>
      <w:r>
        <w:t xml:space="preserve"> </w:t>
      </w:r>
      <w:r w:rsidR="00C607EC">
        <w:rPr>
          <w:i/>
          <w:iCs/>
        </w:rPr>
        <w:t>Nel N</w:t>
      </w:r>
      <w:r w:rsidR="00AA4B8F">
        <w:rPr>
          <w:i/>
          <w:iCs/>
        </w:rPr>
        <w:t>.</w:t>
      </w:r>
      <w:r w:rsidR="00C607EC">
        <w:rPr>
          <w:i/>
          <w:iCs/>
        </w:rPr>
        <w:t>O</w:t>
      </w:r>
      <w:r w:rsidR="00AA4B8F">
        <w:rPr>
          <w:i/>
          <w:iCs/>
        </w:rPr>
        <w:t>.</w:t>
      </w:r>
      <w:r w:rsidR="00C607EC">
        <w:rPr>
          <w:i/>
          <w:iCs/>
        </w:rPr>
        <w:t xml:space="preserve"> v Commissioner for Inland Revenue</w:t>
      </w:r>
      <w:r w:rsidR="00C607EC">
        <w:t xml:space="preserve"> 1960 (1) SA 227 (A) at 235A; </w:t>
      </w:r>
      <w:r w:rsidR="00C607EC" w:rsidRPr="0076579E">
        <w:rPr>
          <w:i/>
        </w:rPr>
        <w:t>Low Water Properties (Pty) Ltd v Wahloo Sand CC</w:t>
      </w:r>
      <w:r w:rsidR="00C607EC">
        <w:t xml:space="preserve"> 1999 (1) SA 655 (SE) at</w:t>
      </w:r>
      <w:r w:rsidR="00C607EC" w:rsidRPr="002257D2">
        <w:t xml:space="preserve"> 662</w:t>
      </w:r>
      <w:r w:rsidR="00C607EC">
        <w:t xml:space="preserve">A-H; </w:t>
      </w:r>
      <w:r w:rsidR="00C607EC" w:rsidRPr="001C668A">
        <w:rPr>
          <w:i/>
        </w:rPr>
        <w:t xml:space="preserve">Ex </w:t>
      </w:r>
      <w:r w:rsidR="007106EB">
        <w:rPr>
          <w:i/>
        </w:rPr>
        <w:t>p</w:t>
      </w:r>
      <w:r w:rsidR="00C607EC" w:rsidRPr="001C668A">
        <w:rPr>
          <w:i/>
        </w:rPr>
        <w:t>arte Menzies et Uxor</w:t>
      </w:r>
      <w:r w:rsidR="00C607EC">
        <w:t xml:space="preserve"> </w:t>
      </w:r>
      <w:r w:rsidR="007106EB">
        <w:t>(</w:t>
      </w:r>
      <w:r w:rsidR="007106EB" w:rsidRPr="002B7D73">
        <w:rPr>
          <w:i/>
        </w:rPr>
        <w:t>Ex part</w:t>
      </w:r>
      <w:r w:rsidR="007106EB">
        <w:rPr>
          <w:i/>
        </w:rPr>
        <w:t>e</w:t>
      </w:r>
      <w:r w:rsidR="007106EB" w:rsidRPr="002B7D73">
        <w:rPr>
          <w:i/>
        </w:rPr>
        <w:t xml:space="preserve"> Menzies</w:t>
      </w:r>
      <w:r w:rsidR="007106EB">
        <w:t xml:space="preserve">) </w:t>
      </w:r>
      <w:r w:rsidR="00C607EC">
        <w:t>1993 (3) SA 799 (C) at 806</w:t>
      </w:r>
      <w:r w:rsidR="000E2DCB">
        <w:t>F</w:t>
      </w:r>
      <w:r w:rsidR="00C607EC">
        <w:t>;</w:t>
      </w:r>
      <w:r w:rsidR="00C607EC" w:rsidRPr="00B669F3">
        <w:rPr>
          <w:bCs/>
          <w:i/>
        </w:rPr>
        <w:t xml:space="preserve"> </w:t>
      </w:r>
      <w:r w:rsidR="00C607EC">
        <w:rPr>
          <w:bCs/>
          <w:i/>
        </w:rPr>
        <w:t>Lorentz v Melle</w:t>
      </w:r>
      <w:r w:rsidR="00C607EC">
        <w:rPr>
          <w:bCs/>
        </w:rPr>
        <w:t xml:space="preserve"> 1978 (3) SA 1044 (T) at 1055</w:t>
      </w:r>
      <w:r w:rsidR="007106EB">
        <w:rPr>
          <w:bCs/>
        </w:rPr>
        <w:t>E</w:t>
      </w:r>
      <w:r w:rsidR="00C607EC">
        <w:rPr>
          <w:bCs/>
        </w:rPr>
        <w:t>;</w:t>
      </w:r>
      <w:r w:rsidR="00C607EC">
        <w:t xml:space="preserve"> </w:t>
      </w:r>
      <w:r w:rsidR="00C607EC" w:rsidRPr="001C668A">
        <w:rPr>
          <w:i/>
        </w:rPr>
        <w:t>Fine Wool Products of SA Ltd v Director of Valuations</w:t>
      </w:r>
      <w:r w:rsidR="00C607EC">
        <w:t xml:space="preserve"> 1950 (4) SA 490 (E) at 499A-C.</w:t>
      </w:r>
    </w:p>
  </w:footnote>
  <w:footnote w:id="17">
    <w:p w14:paraId="16C07147" w14:textId="14F48102" w:rsidR="00961549" w:rsidRPr="0093369E" w:rsidRDefault="00961549">
      <w:pPr>
        <w:pStyle w:val="FootnoteText"/>
      </w:pPr>
      <w:r>
        <w:rPr>
          <w:rStyle w:val="FootnoteReference"/>
        </w:rPr>
        <w:footnoteRef/>
      </w:r>
      <w:r>
        <w:t xml:space="preserve"> </w:t>
      </w:r>
      <w:r>
        <w:rPr>
          <w:i/>
        </w:rPr>
        <w:t>Registrar of Deeds (</w:t>
      </w:r>
      <w:r w:rsidR="00F3479D">
        <w:rPr>
          <w:i/>
        </w:rPr>
        <w:t>Transvaal</w:t>
      </w:r>
      <w:r>
        <w:rPr>
          <w:i/>
        </w:rPr>
        <w:t xml:space="preserve">) v Ferreira Deep Ltd </w:t>
      </w:r>
      <w:r>
        <w:t xml:space="preserve">1930 AD 169 </w:t>
      </w:r>
      <w:r w:rsidR="006D60D7">
        <w:t>(</w:t>
      </w:r>
      <w:r w:rsidR="00163B76">
        <w:rPr>
          <w:i/>
        </w:rPr>
        <w:t>Ferreira Deep</w:t>
      </w:r>
      <w:r w:rsidR="00000D0F">
        <w:rPr>
          <w:i/>
        </w:rPr>
        <w:t xml:space="preserve"> L</w:t>
      </w:r>
      <w:r w:rsidR="00AA4B8F">
        <w:rPr>
          <w:i/>
        </w:rPr>
        <w:t>t</w:t>
      </w:r>
      <w:r w:rsidR="00000D0F">
        <w:rPr>
          <w:i/>
        </w:rPr>
        <w:t>d</w:t>
      </w:r>
      <w:r w:rsidR="00163B76">
        <w:t>)</w:t>
      </w:r>
      <w:r w:rsidRPr="00132B17">
        <w:t>.</w:t>
      </w:r>
    </w:p>
  </w:footnote>
  <w:footnote w:id="18">
    <w:p w14:paraId="0516523F" w14:textId="52873295" w:rsidR="00163B76" w:rsidRPr="00163B76" w:rsidRDefault="00163B76">
      <w:pPr>
        <w:pStyle w:val="FootnoteText"/>
      </w:pPr>
      <w:r>
        <w:rPr>
          <w:rStyle w:val="FootnoteReference"/>
        </w:rPr>
        <w:footnoteRef/>
      </w:r>
      <w:r>
        <w:t xml:space="preserve"> </w:t>
      </w:r>
      <w:r>
        <w:rPr>
          <w:i/>
        </w:rPr>
        <w:t>Ferreira Deep</w:t>
      </w:r>
      <w:r w:rsidR="00AA4B8F">
        <w:t xml:space="preserve"> </w:t>
      </w:r>
      <w:r w:rsidR="00AA4B8F" w:rsidRPr="002B7D73">
        <w:rPr>
          <w:i/>
        </w:rPr>
        <w:t>Ltd</w:t>
      </w:r>
      <w:r>
        <w:t xml:space="preserve"> </w:t>
      </w:r>
      <w:r w:rsidR="001423DB">
        <w:t>i</w:t>
      </w:r>
      <w:r w:rsidR="00AA4B8F">
        <w:t>d</w:t>
      </w:r>
      <w:r>
        <w:t xml:space="preserve"> at 180.</w:t>
      </w:r>
      <w:r w:rsidR="008312BD">
        <w:t xml:space="preserve"> </w:t>
      </w:r>
      <w:r w:rsidR="00000D0F">
        <w:t xml:space="preserve"> </w:t>
      </w:r>
      <w:r w:rsidR="008312BD" w:rsidRPr="008312BD">
        <w:t>Prof</w:t>
      </w:r>
      <w:r w:rsidR="001423DB">
        <w:t>essor</w:t>
      </w:r>
      <w:r w:rsidR="008312BD" w:rsidRPr="008312BD">
        <w:t xml:space="preserve"> </w:t>
      </w:r>
      <w:r w:rsidR="00BB397C">
        <w:t>V</w:t>
      </w:r>
      <w:r w:rsidR="008312BD">
        <w:t>an der Merwe comments</w:t>
      </w:r>
      <w:r w:rsidR="008312BD" w:rsidRPr="008312BD">
        <w:t xml:space="preserve"> that </w:t>
      </w:r>
      <w:r w:rsidR="00282656">
        <w:t>“[</w:t>
      </w:r>
      <w:r w:rsidR="008312BD" w:rsidRPr="008312BD">
        <w:t>t</w:t>
      </w:r>
      <w:r w:rsidR="00282656">
        <w:t>]</w:t>
      </w:r>
      <w:r w:rsidR="008312BD" w:rsidRPr="008312BD">
        <w:t xml:space="preserve">his remark probably accounts for the peculiar definition </w:t>
      </w:r>
      <w:r w:rsidR="008312BD">
        <w:t xml:space="preserve">of a real right </w:t>
      </w:r>
      <w:r w:rsidR="008312BD" w:rsidRPr="008312BD">
        <w:t>in [section 102 of</w:t>
      </w:r>
      <w:r w:rsidR="008312BD">
        <w:t>] the Deeds Registr</w:t>
      </w:r>
      <w:r w:rsidR="00AA4B8F">
        <w:t>ies</w:t>
      </w:r>
      <w:r w:rsidR="008312BD">
        <w:t xml:space="preserve"> Act</w:t>
      </w:r>
      <w:r w:rsidR="008312BD" w:rsidRPr="008312BD">
        <w:t xml:space="preserve"> as comprising any right whic</w:t>
      </w:r>
      <w:r w:rsidR="008312BD">
        <w:t>h becomes real on registration”</w:t>
      </w:r>
      <w:r w:rsidR="002949A5">
        <w:t>,</w:t>
      </w:r>
      <w:r w:rsidR="005162C1">
        <w:t xml:space="preserve"> </w:t>
      </w:r>
      <w:r w:rsidR="00B330EB">
        <w:t xml:space="preserve">Van der Merwe above n </w:t>
      </w:r>
      <w:r w:rsidR="001423DB">
        <w:t>14</w:t>
      </w:r>
      <w:r w:rsidR="00B330EB">
        <w:t xml:space="preserve"> </w:t>
      </w:r>
      <w:r w:rsidR="001550C2">
        <w:t xml:space="preserve">at para </w:t>
      </w:r>
      <w:r w:rsidR="00487700">
        <w:t>69</w:t>
      </w:r>
      <w:r w:rsidR="005162C1">
        <w:t>.</w:t>
      </w:r>
      <w:r w:rsidR="00B330EB" w:rsidRPr="00B330EB">
        <w:t xml:space="preserve"> </w:t>
      </w:r>
      <w:r w:rsidR="00D31745">
        <w:t xml:space="preserve"> </w:t>
      </w:r>
      <w:r w:rsidR="00B330EB">
        <w:t xml:space="preserve">See also </w:t>
      </w:r>
      <w:r w:rsidR="00B330EB">
        <w:rPr>
          <w:i/>
        </w:rPr>
        <w:t>Odendaalsrus Gold, General Investments and Extensions Ltd v Registrar of Deeds</w:t>
      </w:r>
      <w:r w:rsidR="00B330EB">
        <w:t xml:space="preserve"> 1953 (1) SA 600 (O) at 607-8; and </w:t>
      </w:r>
      <w:r w:rsidR="00B330EB">
        <w:rPr>
          <w:i/>
        </w:rPr>
        <w:t>Ex parte Menzies</w:t>
      </w:r>
      <w:r w:rsidR="00B330EB">
        <w:t xml:space="preserve"> above n </w:t>
      </w:r>
      <w:r w:rsidR="002949A5">
        <w:t>16 at 806F.</w:t>
      </w:r>
    </w:p>
  </w:footnote>
  <w:footnote w:id="19">
    <w:p w14:paraId="0C4543EE" w14:textId="49D05A7D" w:rsidR="00594CFC" w:rsidRDefault="00594CFC" w:rsidP="00594CFC">
      <w:pPr>
        <w:pStyle w:val="FootnoteText"/>
      </w:pPr>
      <w:r>
        <w:rPr>
          <w:rStyle w:val="FootnoteReference"/>
        </w:rPr>
        <w:footnoteRef/>
      </w:r>
      <w:r>
        <w:t xml:space="preserve"> </w:t>
      </w:r>
      <w:r w:rsidR="00267FE2">
        <w:t>Van der Merwe above n 14 at</w:t>
      </w:r>
      <w:r w:rsidR="00267FE2" w:rsidDel="00487700">
        <w:t xml:space="preserve"> </w:t>
      </w:r>
      <w:r w:rsidR="00267FE2">
        <w:t xml:space="preserve">para </w:t>
      </w:r>
      <w:r w:rsidR="006558A2">
        <w:t>68.</w:t>
      </w:r>
    </w:p>
  </w:footnote>
  <w:footnote w:id="20">
    <w:p w14:paraId="6555F2DC" w14:textId="19688FF0" w:rsidR="008312BD" w:rsidRDefault="008312BD">
      <w:pPr>
        <w:pStyle w:val="FootnoteText"/>
      </w:pPr>
      <w:r>
        <w:rPr>
          <w:rStyle w:val="FootnoteReference"/>
        </w:rPr>
        <w:footnoteRef/>
      </w:r>
      <w:r>
        <w:t xml:space="preserve"> </w:t>
      </w:r>
      <w:r w:rsidR="005162C1">
        <w:rPr>
          <w:i/>
        </w:rPr>
        <w:t>Ferreira Deep</w:t>
      </w:r>
      <w:r w:rsidR="000E2DCB">
        <w:rPr>
          <w:i/>
        </w:rPr>
        <w:t xml:space="preserve"> Ltd</w:t>
      </w:r>
      <w:r w:rsidR="00000D0F">
        <w:t xml:space="preserve"> above n </w:t>
      </w:r>
      <w:r w:rsidR="001423DB">
        <w:t>17</w:t>
      </w:r>
      <w:r w:rsidR="005162C1">
        <w:t xml:space="preserve"> at</w:t>
      </w:r>
      <w:r>
        <w:t xml:space="preserve"> 18</w:t>
      </w:r>
      <w:r w:rsidR="00D334CC">
        <w:t>0-</w:t>
      </w:r>
      <w:r>
        <w:t>1.</w:t>
      </w:r>
    </w:p>
  </w:footnote>
  <w:footnote w:id="21">
    <w:p w14:paraId="1ED48A3E" w14:textId="70BA94B8" w:rsidR="005162C1" w:rsidRDefault="005162C1">
      <w:pPr>
        <w:pStyle w:val="FootnoteText"/>
      </w:pPr>
      <w:r>
        <w:rPr>
          <w:rStyle w:val="FootnoteReference"/>
        </w:rPr>
        <w:footnoteRef/>
      </w:r>
      <w:r>
        <w:t xml:space="preserve"> </w:t>
      </w:r>
      <w:r w:rsidR="00012AC6">
        <w:t>Van der Merwe</w:t>
      </w:r>
      <w:r w:rsidR="00B330EB">
        <w:t xml:space="preserve"> above n </w:t>
      </w:r>
      <w:r w:rsidR="001423DB">
        <w:t>14</w:t>
      </w:r>
      <w:r w:rsidR="00B330EB">
        <w:t xml:space="preserve"> at</w:t>
      </w:r>
      <w:r w:rsidR="00487700" w:rsidDel="00487700">
        <w:t xml:space="preserve"> </w:t>
      </w:r>
      <w:r>
        <w:t>para 69</w:t>
      </w:r>
      <w:r w:rsidR="007260FA">
        <w:t>.</w:t>
      </w:r>
    </w:p>
  </w:footnote>
  <w:footnote w:id="22">
    <w:p w14:paraId="34E5B648" w14:textId="5B669AAA" w:rsidR="007D6FFD" w:rsidRDefault="007D6FFD" w:rsidP="007D6FFD">
      <w:pPr>
        <w:pStyle w:val="FootnoteText"/>
        <w:rPr>
          <w:highlight w:val="yellow"/>
        </w:rPr>
      </w:pPr>
      <w:r>
        <w:rPr>
          <w:rStyle w:val="FootnoteReference"/>
        </w:rPr>
        <w:footnoteRef/>
      </w:r>
      <w:r>
        <w:t xml:space="preserve"> Id.</w:t>
      </w:r>
      <w:r w:rsidR="00E94181">
        <w:t xml:space="preserve"> </w:t>
      </w:r>
      <w:r>
        <w:t xml:space="preserve"> In </w:t>
      </w:r>
      <w:r>
        <w:rPr>
          <w:i/>
        </w:rPr>
        <w:t>Meridian Bay Restaurant (Pty) Ltd v Mitchell SC N</w:t>
      </w:r>
      <w:r w:rsidR="00012AC6">
        <w:rPr>
          <w:i/>
        </w:rPr>
        <w:t>.</w:t>
      </w:r>
      <w:r>
        <w:rPr>
          <w:i/>
        </w:rPr>
        <w:t>O</w:t>
      </w:r>
      <w:r w:rsidR="00012AC6">
        <w:rPr>
          <w:i/>
        </w:rPr>
        <w:t>.</w:t>
      </w:r>
      <w:r>
        <w:rPr>
          <w:i/>
        </w:rPr>
        <w:t xml:space="preserve"> </w:t>
      </w:r>
      <w:r>
        <w:t>[2011] ZASCA 30; 2011 (4) SA 1 (SCA) at para 14, Ponnan JA explains:</w:t>
      </w:r>
    </w:p>
    <w:p w14:paraId="7799FD13" w14:textId="318C97D0" w:rsidR="007D6FFD" w:rsidRDefault="001423DB" w:rsidP="002B7D73">
      <w:pPr>
        <w:pStyle w:val="QUOTEINFOOTNOTE"/>
      </w:pPr>
      <w:r>
        <w:t>“</w:t>
      </w:r>
      <w:r w:rsidR="007260FA">
        <w:t>U</w:t>
      </w:r>
      <w:r w:rsidR="007D6FFD">
        <w:t>nder the doctrine of notice, someone who acquires an asset with notice of a personal right to it which his predecessor in title has granted to another, may be held bound to give effect thereto.  Thus a purchaser who knows that the merx has been sold to another, may, in spite of having obtained transfer or delivery, be forced to hand it over to the prior purchaser.  Reverting to my earlier example: if C had purchased with knowledge of the prior sale to B, B would be entitled to claim that the transfer to C be set aside and that transfer be effected from A to B, or B may perhaps even claim transfer directly from C.”</w:t>
      </w:r>
    </w:p>
  </w:footnote>
  <w:footnote w:id="23">
    <w:p w14:paraId="07721AE5" w14:textId="44CF0590" w:rsidR="007D6FFD" w:rsidRDefault="007D6FFD">
      <w:pPr>
        <w:pStyle w:val="FootnoteText"/>
      </w:pPr>
      <w:r>
        <w:rPr>
          <w:rStyle w:val="FootnoteReference"/>
        </w:rPr>
        <w:footnoteRef/>
      </w:r>
      <w:r>
        <w:t xml:space="preserve"> </w:t>
      </w:r>
      <w:r w:rsidR="00FB34B2">
        <w:t xml:space="preserve">Badenhorst et al </w:t>
      </w:r>
      <w:r w:rsidR="00FB34B2">
        <w:rPr>
          <w:i/>
        </w:rPr>
        <w:t xml:space="preserve">Silberberg and Schoeman’s The Law of Property </w:t>
      </w:r>
      <w:r w:rsidR="00FB34B2">
        <w:t>5 ed (LexisNexis Butterworths, Durban 2006) at 67.</w:t>
      </w:r>
    </w:p>
  </w:footnote>
  <w:footnote w:id="24">
    <w:p w14:paraId="13EC0524" w14:textId="73F50F91" w:rsidR="007B6DA9" w:rsidRDefault="007B6DA9">
      <w:pPr>
        <w:pStyle w:val="FootnoteText"/>
      </w:pPr>
      <w:r>
        <w:rPr>
          <w:rStyle w:val="FootnoteReference"/>
        </w:rPr>
        <w:footnoteRef/>
      </w:r>
      <w:r>
        <w:t xml:space="preserve"> See </w:t>
      </w:r>
      <w:r>
        <w:rPr>
          <w:bCs/>
          <w:i/>
        </w:rPr>
        <w:t>National Stadium South Africa (Pty) Ltd</w:t>
      </w:r>
      <w:r>
        <w:t xml:space="preserve"> above n </w:t>
      </w:r>
      <w:r w:rsidR="001423DB">
        <w:t>13</w:t>
      </w:r>
      <w:r w:rsidR="00E94181">
        <w:t xml:space="preserve"> at</w:t>
      </w:r>
      <w:r>
        <w:t xml:space="preserve"> para 31.</w:t>
      </w:r>
    </w:p>
  </w:footnote>
  <w:footnote w:id="25">
    <w:p w14:paraId="72EE6FF4" w14:textId="5FC6F4B3" w:rsidR="00030819" w:rsidRPr="00FF4C0E" w:rsidRDefault="00030819">
      <w:pPr>
        <w:pStyle w:val="FootnoteText"/>
      </w:pPr>
      <w:r>
        <w:rPr>
          <w:rStyle w:val="FootnoteReference"/>
        </w:rPr>
        <w:footnoteRef/>
      </w:r>
      <w:r>
        <w:t xml:space="preserve"> A sale agreement to sell immovable property to another is also a “personal right to delivery of a thing”, but </w:t>
      </w:r>
      <w:r w:rsidR="00FF4C0E">
        <w:t xml:space="preserve">is </w:t>
      </w:r>
      <w:r>
        <w:t>not registrable for that reason.</w:t>
      </w:r>
      <w:r w:rsidR="00E94181">
        <w:t xml:space="preserve"> </w:t>
      </w:r>
      <w:r>
        <w:t xml:space="preserve"> The intermediate class of rights known as </w:t>
      </w:r>
      <w:r w:rsidR="00FF4C0E">
        <w:rPr>
          <w:i/>
        </w:rPr>
        <w:t xml:space="preserve">iura in personam ad rem acquirendam </w:t>
      </w:r>
      <w:r w:rsidR="00FF4C0E">
        <w:t xml:space="preserve">has its origin in feudal law and its only analogy in South African law may be the right created by virtue of section 20 of the Alienation of Land Act 68 of 1981, where the seller of land is compelled to have the contract of sale recorded in the Deeds Office. </w:t>
      </w:r>
      <w:r w:rsidR="00E94181">
        <w:t xml:space="preserve"> </w:t>
      </w:r>
      <w:r w:rsidR="00FF4C0E">
        <w:t>The effect is that the purchaser will upon execution or insolvency of the seller have a preferent claim in respect of the proceeds of the sale</w:t>
      </w:r>
      <w:r w:rsidR="00012AC6">
        <w:t>.</w:t>
      </w:r>
      <w:r w:rsidR="00FF4C0E">
        <w:t xml:space="preserve"> </w:t>
      </w:r>
      <w:r w:rsidR="0019463D">
        <w:t xml:space="preserve"> </w:t>
      </w:r>
      <w:r w:rsidR="00012AC6">
        <w:t>S</w:t>
      </w:r>
      <w:r w:rsidR="00FF4C0E">
        <w:t>ee</w:t>
      </w:r>
      <w:r w:rsidR="00012AC6">
        <w:t xml:space="preserve"> Van der Merwe</w:t>
      </w:r>
      <w:r w:rsidR="00B330EB">
        <w:t xml:space="preserve"> above n </w:t>
      </w:r>
      <w:r w:rsidR="001423DB">
        <w:t>14</w:t>
      </w:r>
      <w:r w:rsidR="00012AC6">
        <w:t xml:space="preserve"> at</w:t>
      </w:r>
      <w:r w:rsidR="00FF4C0E">
        <w:t xml:space="preserve"> para 69</w:t>
      </w:r>
      <w:r w:rsidR="00B330EB">
        <w:t>.</w:t>
      </w:r>
    </w:p>
  </w:footnote>
  <w:footnote w:id="26">
    <w:p w14:paraId="293E4FB5" w14:textId="105FBA5C" w:rsidR="00A85415" w:rsidRDefault="00A85415" w:rsidP="00A85415">
      <w:pPr>
        <w:pStyle w:val="FootnoteText1"/>
      </w:pPr>
      <w:r>
        <w:rPr>
          <w:rStyle w:val="FootnoteReference"/>
        </w:rPr>
        <w:footnoteRef/>
      </w:r>
      <w:r>
        <w:t xml:space="preserve"> Compare </w:t>
      </w:r>
      <w:r>
        <w:rPr>
          <w:i/>
        </w:rPr>
        <w:t>Benoni Town Council</w:t>
      </w:r>
      <w:r w:rsidR="008D7A93">
        <w:rPr>
          <w:i/>
        </w:rPr>
        <w:t xml:space="preserve"> Minister of Agricultural Credit and Land Tenure</w:t>
      </w:r>
      <w:r>
        <w:rPr>
          <w:i/>
        </w:rPr>
        <w:t xml:space="preserve"> </w:t>
      </w:r>
      <w:r>
        <w:t>1978</w:t>
      </w:r>
      <w:r w:rsidR="00936394">
        <w:t xml:space="preserve"> </w:t>
      </w:r>
      <w:r>
        <w:t>(1</w:t>
      </w:r>
      <w:r w:rsidR="00936394">
        <w:t>)</w:t>
      </w:r>
      <w:r>
        <w:t xml:space="preserve"> SA 978 (T) and the discussion of real security in </w:t>
      </w:r>
      <w:r>
        <w:rPr>
          <w:i/>
        </w:rPr>
        <w:t>Jordaan</w:t>
      </w:r>
      <w:r>
        <w:t xml:space="preserve"> above n </w:t>
      </w:r>
      <w:r w:rsidR="001423DB">
        <w:t>12</w:t>
      </w:r>
      <w:r w:rsidR="00427F0E">
        <w:t xml:space="preserve"> at para 38</w:t>
      </w:r>
      <w:r>
        <w:t>:</w:t>
      </w:r>
    </w:p>
    <w:p w14:paraId="08B3F6A6" w14:textId="782648EE" w:rsidR="00A85415" w:rsidRDefault="00A85415" w:rsidP="00A85415">
      <w:pPr>
        <w:pStyle w:val="QUOTEINFOOTNOTE"/>
      </w:pPr>
      <w:r>
        <w:t>“</w:t>
      </w:r>
      <w:r w:rsidRPr="00A85415">
        <w:t xml:space="preserve">Real security in property is a limited real right with the purpose of ensuring satisfaction of a debt or obligation to another, usually ahead of other, unsecured creditors. </w:t>
      </w:r>
      <w:r w:rsidR="008D7A93">
        <w:t xml:space="preserve"> </w:t>
      </w:r>
      <w:r w:rsidRPr="00A85415">
        <w:t xml:space="preserve">This is important for it illustrates the difference between real security rights specifically of security (which are designed to shore up debt, and are a sub-category of limited real rights) and limited real rights in the broader sense. </w:t>
      </w:r>
      <w:r w:rsidR="008D7A93">
        <w:t xml:space="preserve"> </w:t>
      </w:r>
      <w:r w:rsidRPr="00A85415">
        <w:t xml:space="preserve">It moves us away from asking whether a real security right is in principle enforceable against a third party – which, as a sub-species of limited real rights, it must in principle be – and towards focusing on the purpose for which the limited right was created. </w:t>
      </w:r>
      <w:r w:rsidR="008D7A93">
        <w:t xml:space="preserve"> </w:t>
      </w:r>
      <w:r w:rsidRPr="00A85415">
        <w:t xml:space="preserve">The point of the right of security in property is to ensure payment of a debt. </w:t>
      </w:r>
      <w:r w:rsidR="008D7A93">
        <w:t xml:space="preserve"> </w:t>
      </w:r>
      <w:r w:rsidRPr="00A85415">
        <w:t>Then the question becomes the one at issue here: if that debt could be satisfied by execution upon the property before the debtor disposes of the property – or even later – why should it be enforceable against innocent third parties who are unconnected with the debt and may not even know of its existence?</w:t>
      </w:r>
      <w:r>
        <w:t>”</w:t>
      </w:r>
    </w:p>
  </w:footnote>
  <w:footnote w:id="27">
    <w:p w14:paraId="35FAFFC3" w14:textId="2E3C5F79" w:rsidR="00602DE0" w:rsidRDefault="00602DE0">
      <w:pPr>
        <w:pStyle w:val="FootnoteText"/>
      </w:pPr>
      <w:r>
        <w:rPr>
          <w:rStyle w:val="FootnoteReference"/>
        </w:rPr>
        <w:footnoteRef/>
      </w:r>
      <w:r>
        <w:t xml:space="preserve"> </w:t>
      </w:r>
      <w:r w:rsidR="00584C3C">
        <w:t xml:space="preserve">See </w:t>
      </w:r>
      <w:r w:rsidR="00584C3C">
        <w:rPr>
          <w:i/>
        </w:rPr>
        <w:t>Panamo Properties 103 (Pty) Ltd v Land and Agricultural Development Bank of South Africa</w:t>
      </w:r>
      <w:r w:rsidR="00584C3C">
        <w:t xml:space="preserve"> [2015] ZASCA 70; 2016 (1) SA 202 (SCA) at para 24</w:t>
      </w:r>
      <w:r w:rsidR="00BB397C">
        <w:t xml:space="preserve"> </w:t>
      </w:r>
      <w:r w:rsidR="00584C3C">
        <w:t>(and the further authorities cited there):</w:t>
      </w:r>
    </w:p>
    <w:p w14:paraId="3D22A889" w14:textId="6FC8CF5D" w:rsidR="00584C3C" w:rsidRPr="006E2966" w:rsidRDefault="00584C3C" w:rsidP="00584C3C">
      <w:pPr>
        <w:pStyle w:val="QUOTEINFOOTNOTE"/>
      </w:pPr>
      <w:r>
        <w:t>“</w:t>
      </w:r>
      <w:r w:rsidR="00C36FB5">
        <w:t xml:space="preserve">A mortgage bond </w:t>
      </w:r>
      <w:r w:rsidR="002210E5">
        <w:t>is of course always accessory to</w:t>
      </w:r>
      <w:r w:rsidR="00C36FB5">
        <w:t xml:space="preserve"> an obligation, no matter its origin. </w:t>
      </w:r>
      <w:r w:rsidR="008D7A93">
        <w:t xml:space="preserve"> </w:t>
      </w:r>
      <w:r w:rsidR="00C36FB5">
        <w:t>If the obligation is unenforceable the security in respect of it is unenforceable too</w:t>
      </w:r>
      <w:r w:rsidR="008D7A93">
        <w:t>.</w:t>
      </w:r>
      <w:r w:rsidR="00C36FB5">
        <w:t>”</w:t>
      </w:r>
    </w:p>
  </w:footnote>
  <w:footnote w:id="28">
    <w:p w14:paraId="69145139" w14:textId="68C8231B" w:rsidR="00584C3C" w:rsidRDefault="00E90823">
      <w:pPr>
        <w:pStyle w:val="FootnoteText"/>
      </w:pPr>
      <w:r>
        <w:rPr>
          <w:rStyle w:val="FootnoteReference"/>
        </w:rPr>
        <w:footnoteRef/>
      </w:r>
      <w:r w:rsidR="00584C3C">
        <w:t xml:space="preserve"> Id</w:t>
      </w:r>
      <w:r w:rsidR="0038582F">
        <w:t xml:space="preserve"> at</w:t>
      </w:r>
      <w:r w:rsidR="00584C3C">
        <w:t xml:space="preserve"> para 25:</w:t>
      </w:r>
    </w:p>
    <w:p w14:paraId="79329947" w14:textId="0880343A" w:rsidR="00E90823" w:rsidRDefault="00584C3C" w:rsidP="00584C3C">
      <w:pPr>
        <w:pStyle w:val="QUOTEINFOOTNOTE"/>
      </w:pPr>
      <w:r>
        <w:t>“[W]hen enforcement of the bond is sought</w:t>
      </w:r>
      <w:r w:rsidR="00C36FB5">
        <w:t xml:space="preserve"> </w:t>
      </w:r>
      <w:r w:rsidR="0038582F">
        <w:t xml:space="preserve">it must be in respect of a valid obligation. </w:t>
      </w:r>
      <w:r w:rsidR="008D7A93">
        <w:t xml:space="preserve"> </w:t>
      </w:r>
      <w:r w:rsidR="0038582F">
        <w:t>And when determining whether an obligation is secured by a bond, one must have regard to its particular terms.”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BA0CB6" w14:textId="7FC93071" w:rsidR="00D23BF9" w:rsidRDefault="00D23BF9" w:rsidP="002B7D73">
    <w:pPr>
      <w:pStyle w:val="Header"/>
      <w:jc w:val="right"/>
    </w:pPr>
    <w:r>
      <w:t>FRONEMAN J</w:t>
    </w:r>
  </w:p>
  <w:p w14:paraId="3302081D" w14:textId="77777777" w:rsidR="005A1F8C" w:rsidRDefault="005A1F8C" w:rsidP="008C727F">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F48E81" w14:textId="77777777" w:rsidR="0087217E" w:rsidRDefault="0087217E"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EBD60880"/>
    <w:lvl w:ilvl="0" w:tplc="5B2294A4">
      <w:start w:val="1"/>
      <w:numFmt w:val="decimal"/>
      <w:pStyle w:val="JUDGMENTNUMBERED"/>
      <w:lvlText w:val="[%1]"/>
      <w:lvlJc w:val="left"/>
      <w:pPr>
        <w:ind w:left="360" w:hanging="360"/>
      </w:pPr>
      <w:rPr>
        <w:i w:val="0"/>
        <w:specVanish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 w15:restartNumberingAfterBreak="0">
    <w:nsid w:val="4884227B"/>
    <w:multiLevelType w:val="hybridMultilevel"/>
    <w:tmpl w:val="100A8F34"/>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4" w15:restartNumberingAfterBreak="0">
    <w:nsid w:val="62A80CD4"/>
    <w:multiLevelType w:val="hybridMultilevel"/>
    <w:tmpl w:val="0EC05D9A"/>
    <w:lvl w:ilvl="0" w:tplc="7742A2C0">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66A33DD2"/>
    <w:multiLevelType w:val="hybridMultilevel"/>
    <w:tmpl w:val="D4401EE4"/>
    <w:lvl w:ilvl="0" w:tplc="E7400E9C">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6" w15:restartNumberingAfterBreak="0">
    <w:nsid w:val="6CD1545C"/>
    <w:multiLevelType w:val="hybridMultilevel"/>
    <w:tmpl w:val="2CFE99B6"/>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0"/>
  </w:num>
  <w:num w:numId="2">
    <w:abstractNumId w:val="2"/>
  </w:num>
  <w:num w:numId="3">
    <w:abstractNumId w:val="2"/>
  </w:num>
  <w:num w:numId="4">
    <w:abstractNumId w:val="2"/>
  </w:num>
  <w:num w:numId="5">
    <w:abstractNumId w:val="2"/>
  </w:num>
  <w:num w:numId="6">
    <w:abstractNumId w:val="2"/>
  </w:num>
  <w:num w:numId="7">
    <w:abstractNumId w:val="2"/>
  </w:num>
  <w:num w:numId="8">
    <w:abstractNumId w:val="2"/>
  </w:num>
  <w:num w:numId="9">
    <w:abstractNumId w:val="2"/>
  </w:num>
  <w:num w:numId="10">
    <w:abstractNumId w:val="2"/>
  </w:num>
  <w:num w:numId="11">
    <w:abstractNumId w:val="1"/>
  </w:num>
  <w:num w:numId="12">
    <w:abstractNumId w:val="1"/>
    <w:lvlOverride w:ilvl="0">
      <w:startOverride w:val="1"/>
    </w:lvlOverride>
  </w:num>
  <w:num w:numId="13">
    <w:abstractNumId w:val="0"/>
  </w:num>
  <w:num w:numId="14">
    <w:abstractNumId w:val="4"/>
  </w:num>
  <w:num w:numId="15">
    <w:abstractNumId w:val="5"/>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0F3"/>
    <w:rsid w:val="000005CE"/>
    <w:rsid w:val="00000D0F"/>
    <w:rsid w:val="00003278"/>
    <w:rsid w:val="00012219"/>
    <w:rsid w:val="00012AC6"/>
    <w:rsid w:val="00020005"/>
    <w:rsid w:val="00021B45"/>
    <w:rsid w:val="00025459"/>
    <w:rsid w:val="00026D97"/>
    <w:rsid w:val="00030819"/>
    <w:rsid w:val="0003222E"/>
    <w:rsid w:val="0003332C"/>
    <w:rsid w:val="0003374F"/>
    <w:rsid w:val="0004436F"/>
    <w:rsid w:val="000570BC"/>
    <w:rsid w:val="00065E91"/>
    <w:rsid w:val="000704F2"/>
    <w:rsid w:val="00081FDD"/>
    <w:rsid w:val="0008371B"/>
    <w:rsid w:val="000872E5"/>
    <w:rsid w:val="000944C9"/>
    <w:rsid w:val="00095A15"/>
    <w:rsid w:val="000976F6"/>
    <w:rsid w:val="000A09A9"/>
    <w:rsid w:val="000A1699"/>
    <w:rsid w:val="000B0C92"/>
    <w:rsid w:val="000B22E6"/>
    <w:rsid w:val="000B2BF8"/>
    <w:rsid w:val="000C089E"/>
    <w:rsid w:val="000C38CF"/>
    <w:rsid w:val="000D7B69"/>
    <w:rsid w:val="000E11C3"/>
    <w:rsid w:val="000E2DCB"/>
    <w:rsid w:val="000F7521"/>
    <w:rsid w:val="001016AC"/>
    <w:rsid w:val="00107FDA"/>
    <w:rsid w:val="00115962"/>
    <w:rsid w:val="00121F6E"/>
    <w:rsid w:val="00122900"/>
    <w:rsid w:val="001263C2"/>
    <w:rsid w:val="00132B17"/>
    <w:rsid w:val="00140D17"/>
    <w:rsid w:val="001423DB"/>
    <w:rsid w:val="0014415A"/>
    <w:rsid w:val="001550C2"/>
    <w:rsid w:val="001611B1"/>
    <w:rsid w:val="00163B76"/>
    <w:rsid w:val="001647E7"/>
    <w:rsid w:val="001716C8"/>
    <w:rsid w:val="00174981"/>
    <w:rsid w:val="00183FC9"/>
    <w:rsid w:val="001927E9"/>
    <w:rsid w:val="0019463D"/>
    <w:rsid w:val="00194B9C"/>
    <w:rsid w:val="001B4C29"/>
    <w:rsid w:val="001C050A"/>
    <w:rsid w:val="001C668A"/>
    <w:rsid w:val="001C6C4C"/>
    <w:rsid w:val="001D31D7"/>
    <w:rsid w:val="001F6238"/>
    <w:rsid w:val="0020570A"/>
    <w:rsid w:val="002167EC"/>
    <w:rsid w:val="002208F2"/>
    <w:rsid w:val="002210E5"/>
    <w:rsid w:val="002243BF"/>
    <w:rsid w:val="002308DD"/>
    <w:rsid w:val="00231A56"/>
    <w:rsid w:val="00232B8F"/>
    <w:rsid w:val="00236F9A"/>
    <w:rsid w:val="0024725F"/>
    <w:rsid w:val="00264530"/>
    <w:rsid w:val="00267FE2"/>
    <w:rsid w:val="0027480A"/>
    <w:rsid w:val="00282656"/>
    <w:rsid w:val="00287753"/>
    <w:rsid w:val="002949A5"/>
    <w:rsid w:val="00295C91"/>
    <w:rsid w:val="002B34D1"/>
    <w:rsid w:val="002B35D4"/>
    <w:rsid w:val="002B7D73"/>
    <w:rsid w:val="002C4CE3"/>
    <w:rsid w:val="002C5F97"/>
    <w:rsid w:val="002C6AA5"/>
    <w:rsid w:val="002C7AC5"/>
    <w:rsid w:val="002D1FD9"/>
    <w:rsid w:val="002D3458"/>
    <w:rsid w:val="002D4CDC"/>
    <w:rsid w:val="002D6E04"/>
    <w:rsid w:val="002E1AA1"/>
    <w:rsid w:val="002E4857"/>
    <w:rsid w:val="002F6A17"/>
    <w:rsid w:val="00321426"/>
    <w:rsid w:val="00322875"/>
    <w:rsid w:val="00326649"/>
    <w:rsid w:val="003329E3"/>
    <w:rsid w:val="003340B7"/>
    <w:rsid w:val="00335A91"/>
    <w:rsid w:val="00341131"/>
    <w:rsid w:val="00346927"/>
    <w:rsid w:val="003644DF"/>
    <w:rsid w:val="00366550"/>
    <w:rsid w:val="00367447"/>
    <w:rsid w:val="00376D37"/>
    <w:rsid w:val="00381E96"/>
    <w:rsid w:val="003837F4"/>
    <w:rsid w:val="0038582F"/>
    <w:rsid w:val="00386F56"/>
    <w:rsid w:val="00386FCB"/>
    <w:rsid w:val="00394B9E"/>
    <w:rsid w:val="00396FC5"/>
    <w:rsid w:val="003A18CF"/>
    <w:rsid w:val="003A2248"/>
    <w:rsid w:val="003A3C4A"/>
    <w:rsid w:val="003A3E5C"/>
    <w:rsid w:val="003B12C2"/>
    <w:rsid w:val="003C5CF6"/>
    <w:rsid w:val="003C7B6C"/>
    <w:rsid w:val="003D14F5"/>
    <w:rsid w:val="003E2AB1"/>
    <w:rsid w:val="003E2C8D"/>
    <w:rsid w:val="003E32D3"/>
    <w:rsid w:val="00400BBB"/>
    <w:rsid w:val="004014A0"/>
    <w:rsid w:val="00405CBB"/>
    <w:rsid w:val="004110F6"/>
    <w:rsid w:val="0042718E"/>
    <w:rsid w:val="00427F0E"/>
    <w:rsid w:val="00432ABF"/>
    <w:rsid w:val="0044313C"/>
    <w:rsid w:val="0044789D"/>
    <w:rsid w:val="00452146"/>
    <w:rsid w:val="0046182E"/>
    <w:rsid w:val="004620BF"/>
    <w:rsid w:val="00464E0B"/>
    <w:rsid w:val="00465A58"/>
    <w:rsid w:val="00465AB2"/>
    <w:rsid w:val="00485083"/>
    <w:rsid w:val="00486722"/>
    <w:rsid w:val="00487700"/>
    <w:rsid w:val="004935EB"/>
    <w:rsid w:val="004A14DE"/>
    <w:rsid w:val="004C66D3"/>
    <w:rsid w:val="004C7588"/>
    <w:rsid w:val="004D02BA"/>
    <w:rsid w:val="004D3AD0"/>
    <w:rsid w:val="004D678E"/>
    <w:rsid w:val="004E00EA"/>
    <w:rsid w:val="004E2CBD"/>
    <w:rsid w:val="004E3677"/>
    <w:rsid w:val="004F73CA"/>
    <w:rsid w:val="00503030"/>
    <w:rsid w:val="005162C1"/>
    <w:rsid w:val="00526CE6"/>
    <w:rsid w:val="005314E0"/>
    <w:rsid w:val="00533037"/>
    <w:rsid w:val="00535E74"/>
    <w:rsid w:val="00542F53"/>
    <w:rsid w:val="00553AB8"/>
    <w:rsid w:val="0055447C"/>
    <w:rsid w:val="005627D3"/>
    <w:rsid w:val="0056742C"/>
    <w:rsid w:val="00584C3C"/>
    <w:rsid w:val="0058598D"/>
    <w:rsid w:val="00590B22"/>
    <w:rsid w:val="00594CFC"/>
    <w:rsid w:val="005A1F8C"/>
    <w:rsid w:val="005B3692"/>
    <w:rsid w:val="005C2BF9"/>
    <w:rsid w:val="005D3F51"/>
    <w:rsid w:val="005E07C7"/>
    <w:rsid w:val="005F25A8"/>
    <w:rsid w:val="005F6A2F"/>
    <w:rsid w:val="00601A88"/>
    <w:rsid w:val="00602DE0"/>
    <w:rsid w:val="006442F7"/>
    <w:rsid w:val="0065032B"/>
    <w:rsid w:val="006558A2"/>
    <w:rsid w:val="00655FCB"/>
    <w:rsid w:val="00657B43"/>
    <w:rsid w:val="00665D55"/>
    <w:rsid w:val="0067159E"/>
    <w:rsid w:val="006724E0"/>
    <w:rsid w:val="0067624D"/>
    <w:rsid w:val="0067644D"/>
    <w:rsid w:val="00682A36"/>
    <w:rsid w:val="00693733"/>
    <w:rsid w:val="00694B55"/>
    <w:rsid w:val="00696AEE"/>
    <w:rsid w:val="006A0EBD"/>
    <w:rsid w:val="006A6304"/>
    <w:rsid w:val="006D21A9"/>
    <w:rsid w:val="006D34E3"/>
    <w:rsid w:val="006D60D7"/>
    <w:rsid w:val="006E2227"/>
    <w:rsid w:val="006E2966"/>
    <w:rsid w:val="006E3711"/>
    <w:rsid w:val="006E7E8C"/>
    <w:rsid w:val="006F02C8"/>
    <w:rsid w:val="006F764F"/>
    <w:rsid w:val="007038B4"/>
    <w:rsid w:val="00705439"/>
    <w:rsid w:val="00707C78"/>
    <w:rsid w:val="007106EB"/>
    <w:rsid w:val="007260FA"/>
    <w:rsid w:val="00730113"/>
    <w:rsid w:val="007355F3"/>
    <w:rsid w:val="007410F3"/>
    <w:rsid w:val="007459C4"/>
    <w:rsid w:val="0074753B"/>
    <w:rsid w:val="0076579E"/>
    <w:rsid w:val="00774990"/>
    <w:rsid w:val="00790BF0"/>
    <w:rsid w:val="00791F86"/>
    <w:rsid w:val="00793F89"/>
    <w:rsid w:val="007947C8"/>
    <w:rsid w:val="00796870"/>
    <w:rsid w:val="007A00E0"/>
    <w:rsid w:val="007B5814"/>
    <w:rsid w:val="007B6DA9"/>
    <w:rsid w:val="007C2FC8"/>
    <w:rsid w:val="007C4840"/>
    <w:rsid w:val="007D4F7E"/>
    <w:rsid w:val="007D54AA"/>
    <w:rsid w:val="007D6FFD"/>
    <w:rsid w:val="007E403C"/>
    <w:rsid w:val="0080093E"/>
    <w:rsid w:val="0080561A"/>
    <w:rsid w:val="00807A5D"/>
    <w:rsid w:val="00815445"/>
    <w:rsid w:val="008312BD"/>
    <w:rsid w:val="008335E9"/>
    <w:rsid w:val="00834803"/>
    <w:rsid w:val="00834849"/>
    <w:rsid w:val="00842678"/>
    <w:rsid w:val="00851D8D"/>
    <w:rsid w:val="00860C4E"/>
    <w:rsid w:val="00871E05"/>
    <w:rsid w:val="0087217E"/>
    <w:rsid w:val="00893F46"/>
    <w:rsid w:val="008966B1"/>
    <w:rsid w:val="00897B62"/>
    <w:rsid w:val="008A65D2"/>
    <w:rsid w:val="008B1882"/>
    <w:rsid w:val="008B4306"/>
    <w:rsid w:val="008B73B2"/>
    <w:rsid w:val="008C30AF"/>
    <w:rsid w:val="008C727F"/>
    <w:rsid w:val="008D7A93"/>
    <w:rsid w:val="008E183E"/>
    <w:rsid w:val="008E31EF"/>
    <w:rsid w:val="008E562C"/>
    <w:rsid w:val="008E5E58"/>
    <w:rsid w:val="008F1AED"/>
    <w:rsid w:val="00900820"/>
    <w:rsid w:val="00911309"/>
    <w:rsid w:val="00911782"/>
    <w:rsid w:val="00923707"/>
    <w:rsid w:val="009255A8"/>
    <w:rsid w:val="0093369E"/>
    <w:rsid w:val="00936394"/>
    <w:rsid w:val="00937742"/>
    <w:rsid w:val="00940A0D"/>
    <w:rsid w:val="009559B5"/>
    <w:rsid w:val="00960FDD"/>
    <w:rsid w:val="00961549"/>
    <w:rsid w:val="0098219B"/>
    <w:rsid w:val="00987555"/>
    <w:rsid w:val="00987B57"/>
    <w:rsid w:val="009A367E"/>
    <w:rsid w:val="009C326F"/>
    <w:rsid w:val="009C3888"/>
    <w:rsid w:val="009D40B7"/>
    <w:rsid w:val="009D5A26"/>
    <w:rsid w:val="009E12A3"/>
    <w:rsid w:val="009F1615"/>
    <w:rsid w:val="00A203C4"/>
    <w:rsid w:val="00A27264"/>
    <w:rsid w:val="00A35CE0"/>
    <w:rsid w:val="00A46996"/>
    <w:rsid w:val="00A67E99"/>
    <w:rsid w:val="00A71A36"/>
    <w:rsid w:val="00A74930"/>
    <w:rsid w:val="00A81C1D"/>
    <w:rsid w:val="00A82588"/>
    <w:rsid w:val="00A85415"/>
    <w:rsid w:val="00A97332"/>
    <w:rsid w:val="00AA1637"/>
    <w:rsid w:val="00AA479A"/>
    <w:rsid w:val="00AA4B8F"/>
    <w:rsid w:val="00AA6755"/>
    <w:rsid w:val="00AD2D1A"/>
    <w:rsid w:val="00AD35F4"/>
    <w:rsid w:val="00AE1728"/>
    <w:rsid w:val="00AE7143"/>
    <w:rsid w:val="00AE7602"/>
    <w:rsid w:val="00B30C5D"/>
    <w:rsid w:val="00B31462"/>
    <w:rsid w:val="00B32AB4"/>
    <w:rsid w:val="00B330EB"/>
    <w:rsid w:val="00B34CA1"/>
    <w:rsid w:val="00B618C3"/>
    <w:rsid w:val="00B64507"/>
    <w:rsid w:val="00B64ADD"/>
    <w:rsid w:val="00B7017B"/>
    <w:rsid w:val="00B81F77"/>
    <w:rsid w:val="00B8590B"/>
    <w:rsid w:val="00B915C8"/>
    <w:rsid w:val="00B97ED9"/>
    <w:rsid w:val="00BA057A"/>
    <w:rsid w:val="00BA3BEF"/>
    <w:rsid w:val="00BB0654"/>
    <w:rsid w:val="00BB312F"/>
    <w:rsid w:val="00BB36C9"/>
    <w:rsid w:val="00BB397C"/>
    <w:rsid w:val="00BC0E44"/>
    <w:rsid w:val="00BC231D"/>
    <w:rsid w:val="00BC33D8"/>
    <w:rsid w:val="00BC5775"/>
    <w:rsid w:val="00BD0174"/>
    <w:rsid w:val="00BE3269"/>
    <w:rsid w:val="00BE63C6"/>
    <w:rsid w:val="00BE700A"/>
    <w:rsid w:val="00BF3824"/>
    <w:rsid w:val="00C066B6"/>
    <w:rsid w:val="00C22946"/>
    <w:rsid w:val="00C36FB5"/>
    <w:rsid w:val="00C44207"/>
    <w:rsid w:val="00C46079"/>
    <w:rsid w:val="00C51413"/>
    <w:rsid w:val="00C6034D"/>
    <w:rsid w:val="00C607EC"/>
    <w:rsid w:val="00C63EC7"/>
    <w:rsid w:val="00C67D73"/>
    <w:rsid w:val="00C70DD8"/>
    <w:rsid w:val="00C71C33"/>
    <w:rsid w:val="00C739DB"/>
    <w:rsid w:val="00C74761"/>
    <w:rsid w:val="00C7674E"/>
    <w:rsid w:val="00C77E54"/>
    <w:rsid w:val="00C80F94"/>
    <w:rsid w:val="00C95D7C"/>
    <w:rsid w:val="00CA3BF8"/>
    <w:rsid w:val="00CA6ACC"/>
    <w:rsid w:val="00CA794E"/>
    <w:rsid w:val="00CB0CB2"/>
    <w:rsid w:val="00CB63EA"/>
    <w:rsid w:val="00CC158D"/>
    <w:rsid w:val="00CC2A8D"/>
    <w:rsid w:val="00CC301A"/>
    <w:rsid w:val="00CC38E6"/>
    <w:rsid w:val="00CC6FCA"/>
    <w:rsid w:val="00CD01C3"/>
    <w:rsid w:val="00CD3CA0"/>
    <w:rsid w:val="00CD5969"/>
    <w:rsid w:val="00CE5F9F"/>
    <w:rsid w:val="00CF0044"/>
    <w:rsid w:val="00D033C4"/>
    <w:rsid w:val="00D17535"/>
    <w:rsid w:val="00D23BF9"/>
    <w:rsid w:val="00D31745"/>
    <w:rsid w:val="00D32EAC"/>
    <w:rsid w:val="00D334CC"/>
    <w:rsid w:val="00D348D4"/>
    <w:rsid w:val="00D46728"/>
    <w:rsid w:val="00D76A1F"/>
    <w:rsid w:val="00D94080"/>
    <w:rsid w:val="00DA2A1D"/>
    <w:rsid w:val="00DA7CDD"/>
    <w:rsid w:val="00DB3839"/>
    <w:rsid w:val="00DB3FC8"/>
    <w:rsid w:val="00DB4070"/>
    <w:rsid w:val="00DC1C68"/>
    <w:rsid w:val="00DC7F28"/>
    <w:rsid w:val="00DD10E7"/>
    <w:rsid w:val="00DE513E"/>
    <w:rsid w:val="00DE7926"/>
    <w:rsid w:val="00DE7E61"/>
    <w:rsid w:val="00E00254"/>
    <w:rsid w:val="00E03AC1"/>
    <w:rsid w:val="00E12D4B"/>
    <w:rsid w:val="00E210D3"/>
    <w:rsid w:val="00E230D7"/>
    <w:rsid w:val="00E3002B"/>
    <w:rsid w:val="00E45515"/>
    <w:rsid w:val="00E4607C"/>
    <w:rsid w:val="00E4636A"/>
    <w:rsid w:val="00E51128"/>
    <w:rsid w:val="00E63C65"/>
    <w:rsid w:val="00E70761"/>
    <w:rsid w:val="00E90823"/>
    <w:rsid w:val="00E916B7"/>
    <w:rsid w:val="00E93A1B"/>
    <w:rsid w:val="00E94181"/>
    <w:rsid w:val="00EB4134"/>
    <w:rsid w:val="00EB5CDE"/>
    <w:rsid w:val="00EC00FA"/>
    <w:rsid w:val="00EC48D5"/>
    <w:rsid w:val="00ED0FE3"/>
    <w:rsid w:val="00EF797E"/>
    <w:rsid w:val="00F008DA"/>
    <w:rsid w:val="00F06B70"/>
    <w:rsid w:val="00F10A40"/>
    <w:rsid w:val="00F12F57"/>
    <w:rsid w:val="00F245CE"/>
    <w:rsid w:val="00F32F90"/>
    <w:rsid w:val="00F339FA"/>
    <w:rsid w:val="00F3479D"/>
    <w:rsid w:val="00F44521"/>
    <w:rsid w:val="00F45DC4"/>
    <w:rsid w:val="00F549F8"/>
    <w:rsid w:val="00F55534"/>
    <w:rsid w:val="00F56239"/>
    <w:rsid w:val="00F67EFE"/>
    <w:rsid w:val="00F70CEB"/>
    <w:rsid w:val="00F74903"/>
    <w:rsid w:val="00F7632A"/>
    <w:rsid w:val="00F76D30"/>
    <w:rsid w:val="00F8303E"/>
    <w:rsid w:val="00F85466"/>
    <w:rsid w:val="00FA259E"/>
    <w:rsid w:val="00FB34B2"/>
    <w:rsid w:val="00FB3FB4"/>
    <w:rsid w:val="00FB7B22"/>
    <w:rsid w:val="00FE6B1B"/>
    <w:rsid w:val="00FF4C0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8912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7A00E0"/>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iPriority w:val="99"/>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customStyle="1" w:styleId="Heading2Char">
    <w:name w:val="Heading 2 Char"/>
    <w:basedOn w:val="DefaultParagraphFont"/>
    <w:link w:val="Heading2"/>
    <w:uiPriority w:val="9"/>
    <w:semiHidden/>
    <w:rsid w:val="007A00E0"/>
    <w:rPr>
      <w:rFonts w:asciiTheme="majorHAnsi" w:eastAsiaTheme="majorEastAsia" w:hAnsiTheme="majorHAnsi" w:cstheme="majorBidi"/>
      <w:color w:val="365F91" w:themeColor="accent1" w:themeShade="BF"/>
      <w:sz w:val="26"/>
      <w:szCs w:val="26"/>
      <w:lang w:val="en-ZA"/>
    </w:rPr>
  </w:style>
  <w:style w:type="character" w:styleId="Hyperlink">
    <w:name w:val="Hyperlink"/>
    <w:basedOn w:val="DefaultParagraphFont"/>
    <w:uiPriority w:val="99"/>
    <w:unhideWhenUsed/>
    <w:rsid w:val="000A09A9"/>
    <w:rPr>
      <w:color w:val="0000FF" w:themeColor="hyperlink"/>
      <w:u w:val="single"/>
    </w:rPr>
  </w:style>
  <w:style w:type="paragraph" w:styleId="NormalWeb">
    <w:name w:val="Normal (Web)"/>
    <w:basedOn w:val="Normal"/>
    <w:uiPriority w:val="99"/>
    <w:semiHidden/>
    <w:unhideWhenUsed/>
    <w:rsid w:val="00321426"/>
    <w:rPr>
      <w:sz w:val="24"/>
      <w:szCs w:val="24"/>
    </w:rPr>
  </w:style>
  <w:style w:type="character" w:styleId="CommentReference">
    <w:name w:val="annotation reference"/>
    <w:basedOn w:val="DefaultParagraphFont"/>
    <w:uiPriority w:val="99"/>
    <w:semiHidden/>
    <w:unhideWhenUsed/>
    <w:rsid w:val="002243BF"/>
    <w:rPr>
      <w:sz w:val="16"/>
      <w:szCs w:val="16"/>
    </w:rPr>
  </w:style>
  <w:style w:type="paragraph" w:styleId="CommentText">
    <w:name w:val="annotation text"/>
    <w:basedOn w:val="Normal"/>
    <w:link w:val="CommentTextChar"/>
    <w:uiPriority w:val="99"/>
    <w:semiHidden/>
    <w:unhideWhenUsed/>
    <w:rsid w:val="002243BF"/>
    <w:pPr>
      <w:spacing w:line="240" w:lineRule="auto"/>
    </w:pPr>
    <w:rPr>
      <w:sz w:val="20"/>
      <w:szCs w:val="20"/>
    </w:rPr>
  </w:style>
  <w:style w:type="character" w:customStyle="1" w:styleId="CommentTextChar">
    <w:name w:val="Comment Text Char"/>
    <w:basedOn w:val="DefaultParagraphFont"/>
    <w:link w:val="CommentText"/>
    <w:uiPriority w:val="99"/>
    <w:semiHidden/>
    <w:rsid w:val="002243BF"/>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2243BF"/>
    <w:rPr>
      <w:b/>
      <w:bCs/>
    </w:rPr>
  </w:style>
  <w:style w:type="character" w:customStyle="1" w:styleId="CommentSubjectChar">
    <w:name w:val="Comment Subject Char"/>
    <w:basedOn w:val="CommentTextChar"/>
    <w:link w:val="CommentSubject"/>
    <w:uiPriority w:val="99"/>
    <w:semiHidden/>
    <w:rsid w:val="002243BF"/>
    <w:rPr>
      <w:rFonts w:ascii="Times New Roman" w:hAnsi="Times New Roman"/>
      <w:b/>
      <w:bCs/>
      <w:lang w:val="en-ZA"/>
    </w:rPr>
  </w:style>
  <w:style w:type="paragraph" w:styleId="Revision">
    <w:name w:val="Revision"/>
    <w:hidden/>
    <w:uiPriority w:val="99"/>
    <w:semiHidden/>
    <w:rsid w:val="00025459"/>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681920">
      <w:bodyDiv w:val="1"/>
      <w:marLeft w:val="0"/>
      <w:marRight w:val="0"/>
      <w:marTop w:val="0"/>
      <w:marBottom w:val="0"/>
      <w:divBdr>
        <w:top w:val="none" w:sz="0" w:space="0" w:color="auto"/>
        <w:left w:val="none" w:sz="0" w:space="0" w:color="auto"/>
        <w:bottom w:val="none" w:sz="0" w:space="0" w:color="auto"/>
        <w:right w:val="none" w:sz="0" w:space="0" w:color="auto"/>
      </w:divBdr>
      <w:divsChild>
        <w:div w:id="458497497">
          <w:marLeft w:val="0"/>
          <w:marRight w:val="0"/>
          <w:marTop w:val="0"/>
          <w:marBottom w:val="225"/>
          <w:divBdr>
            <w:top w:val="single" w:sz="24" w:space="0" w:color="auto"/>
            <w:left w:val="single" w:sz="24" w:space="0" w:color="auto"/>
            <w:bottom w:val="single" w:sz="36" w:space="0" w:color="003300"/>
            <w:right w:val="single" w:sz="24" w:space="0" w:color="auto"/>
          </w:divBdr>
          <w:divsChild>
            <w:div w:id="1868247754">
              <w:marLeft w:val="0"/>
              <w:marRight w:val="0"/>
              <w:marTop w:val="0"/>
              <w:marBottom w:val="0"/>
              <w:divBdr>
                <w:top w:val="none" w:sz="0" w:space="0" w:color="auto"/>
                <w:left w:val="none" w:sz="0" w:space="0" w:color="auto"/>
                <w:bottom w:val="none" w:sz="0" w:space="0" w:color="auto"/>
                <w:right w:val="none" w:sz="0" w:space="0" w:color="auto"/>
              </w:divBdr>
            </w:div>
          </w:divsChild>
        </w:div>
        <w:div w:id="2082481038">
          <w:marLeft w:val="0"/>
          <w:marRight w:val="0"/>
          <w:marTop w:val="0"/>
          <w:marBottom w:val="0"/>
          <w:divBdr>
            <w:top w:val="none" w:sz="0" w:space="0" w:color="auto"/>
            <w:left w:val="none" w:sz="0" w:space="0" w:color="auto"/>
            <w:bottom w:val="none" w:sz="0" w:space="0" w:color="auto"/>
            <w:right w:val="none" w:sz="0" w:space="0" w:color="auto"/>
          </w:divBdr>
          <w:divsChild>
            <w:div w:id="464736074">
              <w:marLeft w:val="0"/>
              <w:marRight w:val="0"/>
              <w:marTop w:val="0"/>
              <w:marBottom w:val="0"/>
              <w:divBdr>
                <w:top w:val="none" w:sz="0" w:space="0" w:color="auto"/>
                <w:left w:val="none" w:sz="0" w:space="0" w:color="auto"/>
                <w:bottom w:val="none" w:sz="0" w:space="0" w:color="auto"/>
                <w:right w:val="none" w:sz="0" w:space="0" w:color="auto"/>
              </w:divBdr>
              <w:divsChild>
                <w:div w:id="1725563064">
                  <w:marLeft w:val="0"/>
                  <w:marRight w:val="0"/>
                  <w:marTop w:val="0"/>
                  <w:marBottom w:val="0"/>
                  <w:divBdr>
                    <w:top w:val="none" w:sz="0" w:space="0" w:color="auto"/>
                    <w:left w:val="none" w:sz="0" w:space="0" w:color="auto"/>
                    <w:bottom w:val="none" w:sz="0" w:space="0" w:color="auto"/>
                    <w:right w:val="none" w:sz="0" w:space="0" w:color="auto"/>
                  </w:divBdr>
                  <w:divsChild>
                    <w:div w:id="703672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917864">
      <w:bodyDiv w:val="1"/>
      <w:marLeft w:val="0"/>
      <w:marRight w:val="0"/>
      <w:marTop w:val="0"/>
      <w:marBottom w:val="0"/>
      <w:divBdr>
        <w:top w:val="none" w:sz="0" w:space="0" w:color="auto"/>
        <w:left w:val="none" w:sz="0" w:space="0" w:color="auto"/>
        <w:bottom w:val="none" w:sz="0" w:space="0" w:color="auto"/>
        <w:right w:val="none" w:sz="0" w:space="0" w:color="auto"/>
      </w:divBdr>
    </w:div>
    <w:div w:id="114718862">
      <w:bodyDiv w:val="1"/>
      <w:marLeft w:val="0"/>
      <w:marRight w:val="0"/>
      <w:marTop w:val="0"/>
      <w:marBottom w:val="0"/>
      <w:divBdr>
        <w:top w:val="none" w:sz="0" w:space="0" w:color="auto"/>
        <w:left w:val="none" w:sz="0" w:space="0" w:color="auto"/>
        <w:bottom w:val="none" w:sz="0" w:space="0" w:color="auto"/>
        <w:right w:val="none" w:sz="0" w:space="0" w:color="auto"/>
      </w:divBdr>
    </w:div>
    <w:div w:id="186606387">
      <w:bodyDiv w:val="1"/>
      <w:marLeft w:val="0"/>
      <w:marRight w:val="0"/>
      <w:marTop w:val="0"/>
      <w:marBottom w:val="0"/>
      <w:divBdr>
        <w:top w:val="none" w:sz="0" w:space="0" w:color="auto"/>
        <w:left w:val="none" w:sz="0" w:space="0" w:color="auto"/>
        <w:bottom w:val="none" w:sz="0" w:space="0" w:color="auto"/>
        <w:right w:val="none" w:sz="0" w:space="0" w:color="auto"/>
      </w:divBdr>
    </w:div>
    <w:div w:id="248660837">
      <w:bodyDiv w:val="1"/>
      <w:marLeft w:val="0"/>
      <w:marRight w:val="0"/>
      <w:marTop w:val="0"/>
      <w:marBottom w:val="0"/>
      <w:divBdr>
        <w:top w:val="none" w:sz="0" w:space="0" w:color="auto"/>
        <w:left w:val="none" w:sz="0" w:space="0" w:color="auto"/>
        <w:bottom w:val="none" w:sz="0" w:space="0" w:color="auto"/>
        <w:right w:val="none" w:sz="0" w:space="0" w:color="auto"/>
      </w:divBdr>
    </w:div>
    <w:div w:id="265161337">
      <w:bodyDiv w:val="1"/>
      <w:marLeft w:val="0"/>
      <w:marRight w:val="0"/>
      <w:marTop w:val="0"/>
      <w:marBottom w:val="0"/>
      <w:divBdr>
        <w:top w:val="none" w:sz="0" w:space="0" w:color="auto"/>
        <w:left w:val="none" w:sz="0" w:space="0" w:color="auto"/>
        <w:bottom w:val="none" w:sz="0" w:space="0" w:color="auto"/>
        <w:right w:val="none" w:sz="0" w:space="0" w:color="auto"/>
      </w:divBdr>
    </w:div>
    <w:div w:id="287321459">
      <w:bodyDiv w:val="1"/>
      <w:marLeft w:val="0"/>
      <w:marRight w:val="0"/>
      <w:marTop w:val="0"/>
      <w:marBottom w:val="0"/>
      <w:divBdr>
        <w:top w:val="none" w:sz="0" w:space="0" w:color="auto"/>
        <w:left w:val="none" w:sz="0" w:space="0" w:color="auto"/>
        <w:bottom w:val="none" w:sz="0" w:space="0" w:color="auto"/>
        <w:right w:val="none" w:sz="0" w:space="0" w:color="auto"/>
      </w:divBdr>
    </w:div>
    <w:div w:id="354964023">
      <w:bodyDiv w:val="1"/>
      <w:marLeft w:val="0"/>
      <w:marRight w:val="0"/>
      <w:marTop w:val="0"/>
      <w:marBottom w:val="0"/>
      <w:divBdr>
        <w:top w:val="none" w:sz="0" w:space="0" w:color="auto"/>
        <w:left w:val="none" w:sz="0" w:space="0" w:color="auto"/>
        <w:bottom w:val="none" w:sz="0" w:space="0" w:color="auto"/>
        <w:right w:val="none" w:sz="0" w:space="0" w:color="auto"/>
      </w:divBdr>
    </w:div>
    <w:div w:id="439422911">
      <w:bodyDiv w:val="1"/>
      <w:marLeft w:val="0"/>
      <w:marRight w:val="0"/>
      <w:marTop w:val="0"/>
      <w:marBottom w:val="0"/>
      <w:divBdr>
        <w:top w:val="none" w:sz="0" w:space="0" w:color="auto"/>
        <w:left w:val="none" w:sz="0" w:space="0" w:color="auto"/>
        <w:bottom w:val="none" w:sz="0" w:space="0" w:color="auto"/>
        <w:right w:val="none" w:sz="0" w:space="0" w:color="auto"/>
      </w:divBdr>
    </w:div>
    <w:div w:id="459036610">
      <w:bodyDiv w:val="1"/>
      <w:marLeft w:val="0"/>
      <w:marRight w:val="0"/>
      <w:marTop w:val="0"/>
      <w:marBottom w:val="0"/>
      <w:divBdr>
        <w:top w:val="none" w:sz="0" w:space="0" w:color="auto"/>
        <w:left w:val="none" w:sz="0" w:space="0" w:color="auto"/>
        <w:bottom w:val="none" w:sz="0" w:space="0" w:color="auto"/>
        <w:right w:val="none" w:sz="0" w:space="0" w:color="auto"/>
      </w:divBdr>
    </w:div>
    <w:div w:id="560025400">
      <w:bodyDiv w:val="1"/>
      <w:marLeft w:val="0"/>
      <w:marRight w:val="0"/>
      <w:marTop w:val="0"/>
      <w:marBottom w:val="0"/>
      <w:divBdr>
        <w:top w:val="none" w:sz="0" w:space="0" w:color="auto"/>
        <w:left w:val="none" w:sz="0" w:space="0" w:color="auto"/>
        <w:bottom w:val="none" w:sz="0" w:space="0" w:color="auto"/>
        <w:right w:val="none" w:sz="0" w:space="0" w:color="auto"/>
      </w:divBdr>
    </w:div>
    <w:div w:id="590965550">
      <w:bodyDiv w:val="1"/>
      <w:marLeft w:val="0"/>
      <w:marRight w:val="0"/>
      <w:marTop w:val="0"/>
      <w:marBottom w:val="0"/>
      <w:divBdr>
        <w:top w:val="none" w:sz="0" w:space="0" w:color="auto"/>
        <w:left w:val="none" w:sz="0" w:space="0" w:color="auto"/>
        <w:bottom w:val="none" w:sz="0" w:space="0" w:color="auto"/>
        <w:right w:val="none" w:sz="0" w:space="0" w:color="auto"/>
      </w:divBdr>
    </w:div>
    <w:div w:id="625619281">
      <w:bodyDiv w:val="1"/>
      <w:marLeft w:val="0"/>
      <w:marRight w:val="0"/>
      <w:marTop w:val="0"/>
      <w:marBottom w:val="0"/>
      <w:divBdr>
        <w:top w:val="none" w:sz="0" w:space="0" w:color="auto"/>
        <w:left w:val="none" w:sz="0" w:space="0" w:color="auto"/>
        <w:bottom w:val="none" w:sz="0" w:space="0" w:color="auto"/>
        <w:right w:val="none" w:sz="0" w:space="0" w:color="auto"/>
      </w:divBdr>
    </w:div>
    <w:div w:id="709183078">
      <w:bodyDiv w:val="1"/>
      <w:marLeft w:val="0"/>
      <w:marRight w:val="0"/>
      <w:marTop w:val="0"/>
      <w:marBottom w:val="0"/>
      <w:divBdr>
        <w:top w:val="none" w:sz="0" w:space="0" w:color="auto"/>
        <w:left w:val="none" w:sz="0" w:space="0" w:color="auto"/>
        <w:bottom w:val="none" w:sz="0" w:space="0" w:color="auto"/>
        <w:right w:val="none" w:sz="0" w:space="0" w:color="auto"/>
      </w:divBdr>
      <w:divsChild>
        <w:div w:id="2144687399">
          <w:marLeft w:val="0"/>
          <w:marRight w:val="0"/>
          <w:marTop w:val="120"/>
          <w:marBottom w:val="0"/>
          <w:divBdr>
            <w:top w:val="none" w:sz="0" w:space="0" w:color="auto"/>
            <w:left w:val="none" w:sz="0" w:space="0" w:color="auto"/>
            <w:bottom w:val="none" w:sz="0" w:space="0" w:color="auto"/>
            <w:right w:val="none" w:sz="0" w:space="0" w:color="auto"/>
          </w:divBdr>
        </w:div>
        <w:div w:id="1405371754">
          <w:marLeft w:val="1134"/>
          <w:marRight w:val="0"/>
          <w:marTop w:val="60"/>
          <w:marBottom w:val="0"/>
          <w:divBdr>
            <w:top w:val="none" w:sz="0" w:space="0" w:color="auto"/>
            <w:left w:val="none" w:sz="0" w:space="0" w:color="auto"/>
            <w:bottom w:val="none" w:sz="0" w:space="0" w:color="auto"/>
            <w:right w:val="none" w:sz="0" w:space="0" w:color="auto"/>
          </w:divBdr>
        </w:div>
        <w:div w:id="52123972">
          <w:marLeft w:val="1985"/>
          <w:marRight w:val="0"/>
          <w:marTop w:val="60"/>
          <w:marBottom w:val="0"/>
          <w:divBdr>
            <w:top w:val="none" w:sz="0" w:space="0" w:color="auto"/>
            <w:left w:val="none" w:sz="0" w:space="0" w:color="auto"/>
            <w:bottom w:val="none" w:sz="0" w:space="0" w:color="auto"/>
            <w:right w:val="none" w:sz="0" w:space="0" w:color="auto"/>
          </w:divBdr>
        </w:div>
      </w:divsChild>
    </w:div>
    <w:div w:id="966155822">
      <w:bodyDiv w:val="1"/>
      <w:marLeft w:val="0"/>
      <w:marRight w:val="0"/>
      <w:marTop w:val="0"/>
      <w:marBottom w:val="0"/>
      <w:divBdr>
        <w:top w:val="none" w:sz="0" w:space="0" w:color="auto"/>
        <w:left w:val="none" w:sz="0" w:space="0" w:color="auto"/>
        <w:bottom w:val="none" w:sz="0" w:space="0" w:color="auto"/>
        <w:right w:val="none" w:sz="0" w:space="0" w:color="auto"/>
      </w:divBdr>
    </w:div>
    <w:div w:id="1143422412">
      <w:bodyDiv w:val="1"/>
      <w:marLeft w:val="0"/>
      <w:marRight w:val="0"/>
      <w:marTop w:val="0"/>
      <w:marBottom w:val="0"/>
      <w:divBdr>
        <w:top w:val="none" w:sz="0" w:space="0" w:color="auto"/>
        <w:left w:val="none" w:sz="0" w:space="0" w:color="auto"/>
        <w:bottom w:val="none" w:sz="0" w:space="0" w:color="auto"/>
        <w:right w:val="none" w:sz="0" w:space="0" w:color="auto"/>
      </w:divBdr>
    </w:div>
    <w:div w:id="1168860373">
      <w:bodyDiv w:val="1"/>
      <w:marLeft w:val="0"/>
      <w:marRight w:val="0"/>
      <w:marTop w:val="0"/>
      <w:marBottom w:val="0"/>
      <w:divBdr>
        <w:top w:val="none" w:sz="0" w:space="0" w:color="auto"/>
        <w:left w:val="none" w:sz="0" w:space="0" w:color="auto"/>
        <w:bottom w:val="none" w:sz="0" w:space="0" w:color="auto"/>
        <w:right w:val="none" w:sz="0" w:space="0" w:color="auto"/>
      </w:divBdr>
    </w:div>
    <w:div w:id="1176532728">
      <w:bodyDiv w:val="1"/>
      <w:marLeft w:val="0"/>
      <w:marRight w:val="0"/>
      <w:marTop w:val="0"/>
      <w:marBottom w:val="0"/>
      <w:divBdr>
        <w:top w:val="none" w:sz="0" w:space="0" w:color="auto"/>
        <w:left w:val="none" w:sz="0" w:space="0" w:color="auto"/>
        <w:bottom w:val="none" w:sz="0" w:space="0" w:color="auto"/>
        <w:right w:val="none" w:sz="0" w:space="0" w:color="auto"/>
      </w:divBdr>
    </w:div>
    <w:div w:id="1295257160">
      <w:bodyDiv w:val="1"/>
      <w:marLeft w:val="0"/>
      <w:marRight w:val="0"/>
      <w:marTop w:val="0"/>
      <w:marBottom w:val="0"/>
      <w:divBdr>
        <w:top w:val="none" w:sz="0" w:space="0" w:color="auto"/>
        <w:left w:val="none" w:sz="0" w:space="0" w:color="auto"/>
        <w:bottom w:val="none" w:sz="0" w:space="0" w:color="auto"/>
        <w:right w:val="none" w:sz="0" w:space="0" w:color="auto"/>
      </w:divBdr>
    </w:div>
    <w:div w:id="1298295625">
      <w:bodyDiv w:val="1"/>
      <w:marLeft w:val="0"/>
      <w:marRight w:val="0"/>
      <w:marTop w:val="0"/>
      <w:marBottom w:val="0"/>
      <w:divBdr>
        <w:top w:val="none" w:sz="0" w:space="0" w:color="auto"/>
        <w:left w:val="none" w:sz="0" w:space="0" w:color="auto"/>
        <w:bottom w:val="none" w:sz="0" w:space="0" w:color="auto"/>
        <w:right w:val="none" w:sz="0" w:space="0" w:color="auto"/>
      </w:divBdr>
    </w:div>
    <w:div w:id="1414006272">
      <w:bodyDiv w:val="1"/>
      <w:marLeft w:val="0"/>
      <w:marRight w:val="0"/>
      <w:marTop w:val="0"/>
      <w:marBottom w:val="0"/>
      <w:divBdr>
        <w:top w:val="none" w:sz="0" w:space="0" w:color="auto"/>
        <w:left w:val="none" w:sz="0" w:space="0" w:color="auto"/>
        <w:bottom w:val="none" w:sz="0" w:space="0" w:color="auto"/>
        <w:right w:val="none" w:sz="0" w:space="0" w:color="auto"/>
      </w:divBdr>
    </w:div>
    <w:div w:id="1571424452">
      <w:bodyDiv w:val="1"/>
      <w:marLeft w:val="0"/>
      <w:marRight w:val="0"/>
      <w:marTop w:val="0"/>
      <w:marBottom w:val="0"/>
      <w:divBdr>
        <w:top w:val="none" w:sz="0" w:space="0" w:color="auto"/>
        <w:left w:val="none" w:sz="0" w:space="0" w:color="auto"/>
        <w:bottom w:val="none" w:sz="0" w:space="0" w:color="auto"/>
        <w:right w:val="none" w:sz="0" w:space="0" w:color="auto"/>
      </w:divBdr>
    </w:div>
    <w:div w:id="1629896665">
      <w:bodyDiv w:val="1"/>
      <w:marLeft w:val="0"/>
      <w:marRight w:val="0"/>
      <w:marTop w:val="0"/>
      <w:marBottom w:val="0"/>
      <w:divBdr>
        <w:top w:val="none" w:sz="0" w:space="0" w:color="auto"/>
        <w:left w:val="none" w:sz="0" w:space="0" w:color="auto"/>
        <w:bottom w:val="none" w:sz="0" w:space="0" w:color="auto"/>
        <w:right w:val="none" w:sz="0" w:space="0" w:color="auto"/>
      </w:divBdr>
    </w:div>
    <w:div w:id="1638408821">
      <w:bodyDiv w:val="1"/>
      <w:marLeft w:val="0"/>
      <w:marRight w:val="0"/>
      <w:marTop w:val="0"/>
      <w:marBottom w:val="0"/>
      <w:divBdr>
        <w:top w:val="none" w:sz="0" w:space="0" w:color="auto"/>
        <w:left w:val="none" w:sz="0" w:space="0" w:color="auto"/>
        <w:bottom w:val="none" w:sz="0" w:space="0" w:color="auto"/>
        <w:right w:val="none" w:sz="0" w:space="0" w:color="auto"/>
      </w:divBdr>
    </w:div>
    <w:div w:id="1645163699">
      <w:bodyDiv w:val="1"/>
      <w:marLeft w:val="0"/>
      <w:marRight w:val="0"/>
      <w:marTop w:val="0"/>
      <w:marBottom w:val="0"/>
      <w:divBdr>
        <w:top w:val="none" w:sz="0" w:space="0" w:color="auto"/>
        <w:left w:val="none" w:sz="0" w:space="0" w:color="auto"/>
        <w:bottom w:val="none" w:sz="0" w:space="0" w:color="auto"/>
        <w:right w:val="none" w:sz="0" w:space="0" w:color="auto"/>
      </w:divBdr>
      <w:divsChild>
        <w:div w:id="819619678">
          <w:marLeft w:val="0"/>
          <w:marRight w:val="0"/>
          <w:marTop w:val="0"/>
          <w:marBottom w:val="225"/>
          <w:divBdr>
            <w:top w:val="single" w:sz="24" w:space="0" w:color="auto"/>
            <w:left w:val="single" w:sz="24" w:space="0" w:color="auto"/>
            <w:bottom w:val="single" w:sz="36" w:space="0" w:color="003300"/>
            <w:right w:val="single" w:sz="24" w:space="0" w:color="auto"/>
          </w:divBdr>
          <w:divsChild>
            <w:div w:id="959647194">
              <w:marLeft w:val="0"/>
              <w:marRight w:val="0"/>
              <w:marTop w:val="0"/>
              <w:marBottom w:val="0"/>
              <w:divBdr>
                <w:top w:val="none" w:sz="0" w:space="0" w:color="auto"/>
                <w:left w:val="none" w:sz="0" w:space="0" w:color="auto"/>
                <w:bottom w:val="none" w:sz="0" w:space="0" w:color="auto"/>
                <w:right w:val="none" w:sz="0" w:space="0" w:color="auto"/>
              </w:divBdr>
            </w:div>
          </w:divsChild>
        </w:div>
        <w:div w:id="742290846">
          <w:marLeft w:val="0"/>
          <w:marRight w:val="0"/>
          <w:marTop w:val="0"/>
          <w:marBottom w:val="0"/>
          <w:divBdr>
            <w:top w:val="none" w:sz="0" w:space="0" w:color="auto"/>
            <w:left w:val="none" w:sz="0" w:space="0" w:color="auto"/>
            <w:bottom w:val="none" w:sz="0" w:space="0" w:color="auto"/>
            <w:right w:val="none" w:sz="0" w:space="0" w:color="auto"/>
          </w:divBdr>
          <w:divsChild>
            <w:div w:id="689067125">
              <w:marLeft w:val="0"/>
              <w:marRight w:val="0"/>
              <w:marTop w:val="0"/>
              <w:marBottom w:val="0"/>
              <w:divBdr>
                <w:top w:val="none" w:sz="0" w:space="0" w:color="auto"/>
                <w:left w:val="none" w:sz="0" w:space="0" w:color="auto"/>
                <w:bottom w:val="none" w:sz="0" w:space="0" w:color="auto"/>
                <w:right w:val="none" w:sz="0" w:space="0" w:color="auto"/>
              </w:divBdr>
              <w:divsChild>
                <w:div w:id="37514565">
                  <w:marLeft w:val="0"/>
                  <w:marRight w:val="0"/>
                  <w:marTop w:val="0"/>
                  <w:marBottom w:val="0"/>
                  <w:divBdr>
                    <w:top w:val="none" w:sz="0" w:space="0" w:color="auto"/>
                    <w:left w:val="none" w:sz="0" w:space="0" w:color="auto"/>
                    <w:bottom w:val="none" w:sz="0" w:space="0" w:color="auto"/>
                    <w:right w:val="none" w:sz="0" w:space="0" w:color="auto"/>
                  </w:divBdr>
                  <w:divsChild>
                    <w:div w:id="828597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6470940">
      <w:bodyDiv w:val="1"/>
      <w:marLeft w:val="0"/>
      <w:marRight w:val="0"/>
      <w:marTop w:val="0"/>
      <w:marBottom w:val="0"/>
      <w:divBdr>
        <w:top w:val="none" w:sz="0" w:space="0" w:color="auto"/>
        <w:left w:val="none" w:sz="0" w:space="0" w:color="auto"/>
        <w:bottom w:val="none" w:sz="0" w:space="0" w:color="auto"/>
        <w:right w:val="none" w:sz="0" w:space="0" w:color="auto"/>
      </w:divBdr>
    </w:div>
    <w:div w:id="1945267250">
      <w:bodyDiv w:val="1"/>
      <w:marLeft w:val="0"/>
      <w:marRight w:val="0"/>
      <w:marTop w:val="0"/>
      <w:marBottom w:val="0"/>
      <w:divBdr>
        <w:top w:val="none" w:sz="0" w:space="0" w:color="auto"/>
        <w:left w:val="none" w:sz="0" w:space="0" w:color="auto"/>
        <w:bottom w:val="none" w:sz="0" w:space="0" w:color="auto"/>
        <w:right w:val="none" w:sz="0" w:space="0" w:color="auto"/>
      </w:divBdr>
    </w:div>
    <w:div w:id="1946114988">
      <w:bodyDiv w:val="1"/>
      <w:marLeft w:val="0"/>
      <w:marRight w:val="0"/>
      <w:marTop w:val="0"/>
      <w:marBottom w:val="0"/>
      <w:divBdr>
        <w:top w:val="none" w:sz="0" w:space="0" w:color="auto"/>
        <w:left w:val="none" w:sz="0" w:space="0" w:color="auto"/>
        <w:bottom w:val="none" w:sz="0" w:space="0" w:color="auto"/>
        <w:right w:val="none" w:sz="0" w:space="0" w:color="auto"/>
      </w:divBdr>
    </w:div>
    <w:div w:id="2009601603">
      <w:bodyDiv w:val="1"/>
      <w:marLeft w:val="0"/>
      <w:marRight w:val="0"/>
      <w:marTop w:val="0"/>
      <w:marBottom w:val="0"/>
      <w:divBdr>
        <w:top w:val="none" w:sz="0" w:space="0" w:color="auto"/>
        <w:left w:val="none" w:sz="0" w:space="0" w:color="auto"/>
        <w:bottom w:val="none" w:sz="0" w:space="0" w:color="auto"/>
        <w:right w:val="none" w:sz="0" w:space="0" w:color="auto"/>
      </w:divBdr>
      <w:divsChild>
        <w:div w:id="614799728">
          <w:marLeft w:val="0"/>
          <w:marRight w:val="0"/>
          <w:marTop w:val="120"/>
          <w:marBottom w:val="0"/>
          <w:divBdr>
            <w:top w:val="none" w:sz="0" w:space="0" w:color="auto"/>
            <w:left w:val="none" w:sz="0" w:space="0" w:color="auto"/>
            <w:bottom w:val="none" w:sz="0" w:space="0" w:color="auto"/>
            <w:right w:val="none" w:sz="0" w:space="0" w:color="auto"/>
          </w:divBdr>
        </w:div>
        <w:div w:id="1764494725">
          <w:marLeft w:val="1134"/>
          <w:marRight w:val="0"/>
          <w:marTop w:val="60"/>
          <w:marBottom w:val="0"/>
          <w:divBdr>
            <w:top w:val="none" w:sz="0" w:space="0" w:color="auto"/>
            <w:left w:val="none" w:sz="0" w:space="0" w:color="auto"/>
            <w:bottom w:val="none" w:sz="0" w:space="0" w:color="auto"/>
            <w:right w:val="none" w:sz="0" w:space="0" w:color="auto"/>
          </w:divBdr>
        </w:div>
        <w:div w:id="661590888">
          <w:marLeft w:val="1985"/>
          <w:marRight w:val="0"/>
          <w:marTop w:val="60"/>
          <w:marBottom w:val="0"/>
          <w:divBdr>
            <w:top w:val="none" w:sz="0" w:space="0" w:color="auto"/>
            <w:left w:val="none" w:sz="0" w:space="0" w:color="auto"/>
            <w:bottom w:val="none" w:sz="0" w:space="0" w:color="auto"/>
            <w:right w:val="none" w:sz="0" w:space="0" w:color="auto"/>
          </w:divBdr>
        </w:div>
      </w:divsChild>
    </w:div>
    <w:div w:id="2036149463">
      <w:bodyDiv w:val="1"/>
      <w:marLeft w:val="0"/>
      <w:marRight w:val="0"/>
      <w:marTop w:val="0"/>
      <w:marBottom w:val="0"/>
      <w:divBdr>
        <w:top w:val="none" w:sz="0" w:space="0" w:color="auto"/>
        <w:left w:val="none" w:sz="0" w:space="0" w:color="auto"/>
        <w:bottom w:val="none" w:sz="0" w:space="0" w:color="auto"/>
        <w:right w:val="none" w:sz="0" w:space="0" w:color="auto"/>
      </w:divBdr>
    </w:div>
    <w:div w:id="2056076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2CF649-50C9-4E0F-99DF-41EE78C772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2418</Words>
  <Characters>13784</Characters>
  <Application>Microsoft Office Word</Application>
  <DocSecurity>0</DocSecurity>
  <Lines>114</Lines>
  <Paragraphs>32</Paragraphs>
  <ScaleCrop>false</ScaleCrop>
  <Company/>
  <LinksUpToDate>false</LinksUpToDate>
  <CharactersWithSpaces>16170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2018-10-31T08:46:00Z</dcterms:created>
  <dcterms:modified xsi:type="dcterms:W3CDTF">2018-10-31T08:46:00Z</dcterms:modified>
</cp:coreProperties>
</file>