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283F" w:rsidRDefault="005956C2" w:rsidP="00720ACA">
      <w:pPr>
        <w:jc w:val="center"/>
      </w:pPr>
      <w:bookmarkStart w:id="0" w:name="_GoBack"/>
      <w:bookmarkEnd w:id="0"/>
      <w:r w:rsidRPr="005956C2">
        <w:rPr>
          <w:noProof/>
          <w:lang w:eastAsia="en-ZA"/>
        </w:rPr>
        <w:drawing>
          <wp:inline distT="0" distB="0" distL="0" distR="0" wp14:anchorId="6258ED2C" wp14:editId="088FAAE5">
            <wp:extent cx="809625" cy="828675"/>
            <wp:effectExtent l="19050" t="0" r="9525" b="0"/>
            <wp:docPr id="3"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7" r:link="rId8"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F5283F" w:rsidRDefault="00F5283F" w:rsidP="00720ACA">
      <w:pPr>
        <w:jc w:val="center"/>
      </w:pPr>
    </w:p>
    <w:p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rsidR="001E5F5A" w:rsidRPr="00100894" w:rsidRDefault="001E5F5A" w:rsidP="00AE4640"/>
    <w:p w:rsidR="006966FC" w:rsidRPr="0007028D" w:rsidRDefault="00EB3070" w:rsidP="00587A53">
      <w:pPr>
        <w:jc w:val="center"/>
      </w:pPr>
      <w:r>
        <w:rPr>
          <w:b/>
        </w:rPr>
        <w:t>Competition Commission o</w:t>
      </w:r>
      <w:r w:rsidRPr="00EB3070">
        <w:rPr>
          <w:b/>
        </w:rPr>
        <w:t>f South Africa</w:t>
      </w:r>
      <w:r w:rsidRPr="001A4C99">
        <w:rPr>
          <w:b/>
        </w:rPr>
        <w:t xml:space="preserve"> </w:t>
      </w:r>
      <w:r w:rsidR="0007028D" w:rsidRPr="001A4C99">
        <w:rPr>
          <w:b/>
        </w:rPr>
        <w:t xml:space="preserve">v </w:t>
      </w:r>
      <w:r w:rsidRPr="00EB3070">
        <w:rPr>
          <w:b/>
        </w:rPr>
        <w:t xml:space="preserve">Hosken Consolidated Investments Limited </w:t>
      </w:r>
      <w:r w:rsidR="006966FC" w:rsidRPr="001A4C99">
        <w:rPr>
          <w:b/>
        </w:rPr>
        <w:t xml:space="preserve">and </w:t>
      </w:r>
      <w:r>
        <w:rPr>
          <w:b/>
        </w:rPr>
        <w:t>Another</w:t>
      </w:r>
    </w:p>
    <w:p w:rsidR="006966FC" w:rsidRDefault="006966FC" w:rsidP="006966FC">
      <w:pPr>
        <w:tabs>
          <w:tab w:val="right" w:pos="9360"/>
        </w:tabs>
        <w:ind w:right="284"/>
        <w:rPr>
          <w:bCs/>
          <w:sz w:val="26"/>
          <w:szCs w:val="26"/>
          <w:lang w:val="en-GB"/>
        </w:rPr>
      </w:pPr>
    </w:p>
    <w:p w:rsidR="00E07942" w:rsidRPr="00100894" w:rsidRDefault="00D40819" w:rsidP="00720ACA">
      <w:pPr>
        <w:jc w:val="right"/>
        <w:rPr>
          <w:b/>
        </w:rPr>
      </w:pPr>
      <w:r w:rsidRPr="001A4C99">
        <w:rPr>
          <w:b/>
        </w:rPr>
        <w:t>CCT</w:t>
      </w:r>
      <w:r w:rsidR="00720ACA" w:rsidRPr="001A4C99">
        <w:rPr>
          <w:b/>
        </w:rPr>
        <w:t xml:space="preserve"> </w:t>
      </w:r>
      <w:r w:rsidR="00EB3070">
        <w:rPr>
          <w:b/>
        </w:rPr>
        <w:t>296</w:t>
      </w:r>
      <w:r w:rsidR="0007028D" w:rsidRPr="001A4C99">
        <w:rPr>
          <w:b/>
        </w:rPr>
        <w:t>/</w:t>
      </w:r>
      <w:r w:rsidR="001A4C99" w:rsidRPr="001A4C99">
        <w:rPr>
          <w:b/>
        </w:rPr>
        <w:t>17</w:t>
      </w:r>
    </w:p>
    <w:p w:rsidR="00D40819" w:rsidRPr="00100894" w:rsidRDefault="00D40819" w:rsidP="00720ACA">
      <w:pPr>
        <w:jc w:val="right"/>
        <w:rPr>
          <w:b/>
        </w:rPr>
      </w:pPr>
    </w:p>
    <w:p w:rsidR="00E07942" w:rsidRDefault="00E07942" w:rsidP="00720ACA">
      <w:pPr>
        <w:jc w:val="right"/>
        <w:rPr>
          <w:b/>
        </w:rPr>
      </w:pPr>
      <w:r w:rsidRPr="001A4C99">
        <w:rPr>
          <w:b/>
        </w:rPr>
        <w:t xml:space="preserve">Date of hearing: </w:t>
      </w:r>
      <w:r w:rsidR="00EB3070">
        <w:rPr>
          <w:b/>
        </w:rPr>
        <w:t>16</w:t>
      </w:r>
      <w:r w:rsidR="001A4C99" w:rsidRPr="001A4C99">
        <w:rPr>
          <w:b/>
        </w:rPr>
        <w:t xml:space="preserve"> August</w:t>
      </w:r>
      <w:r w:rsidR="0007028D" w:rsidRPr="001A4C99">
        <w:rPr>
          <w:b/>
        </w:rPr>
        <w:t xml:space="preserve"> </w:t>
      </w:r>
      <w:r w:rsidR="001A4C99" w:rsidRPr="001A4C99">
        <w:rPr>
          <w:b/>
        </w:rPr>
        <w:t>2018</w:t>
      </w:r>
    </w:p>
    <w:p w:rsidR="00F730A2" w:rsidRDefault="00F730A2" w:rsidP="00720ACA">
      <w:pPr>
        <w:jc w:val="right"/>
        <w:rPr>
          <w:b/>
        </w:rPr>
      </w:pPr>
      <w:r>
        <w:rPr>
          <w:b/>
        </w:rPr>
        <w:t xml:space="preserve">Date of judgment: </w:t>
      </w:r>
      <w:r w:rsidR="00001C3C">
        <w:rPr>
          <w:b/>
        </w:rPr>
        <w:t>01 February</w:t>
      </w:r>
      <w:r>
        <w:rPr>
          <w:b/>
        </w:rPr>
        <w:t xml:space="preserve"> 201</w:t>
      </w:r>
      <w:r w:rsidR="00001C3C">
        <w:rPr>
          <w:b/>
        </w:rPr>
        <w:t>9</w:t>
      </w:r>
    </w:p>
    <w:p w:rsidR="00823B02" w:rsidRPr="00100894" w:rsidRDefault="00823B02" w:rsidP="00AE4640"/>
    <w:p w:rsidR="001E5F5A" w:rsidRPr="00100894" w:rsidRDefault="00526226" w:rsidP="00AE4640">
      <w:r w:rsidRPr="00100894">
        <w:t>________________________________________________________________________</w:t>
      </w:r>
    </w:p>
    <w:p w:rsidR="00526226" w:rsidRPr="00100894" w:rsidRDefault="00526226" w:rsidP="00526226">
      <w:pPr>
        <w:jc w:val="center"/>
        <w:rPr>
          <w:b/>
        </w:rPr>
      </w:pPr>
    </w:p>
    <w:p w:rsidR="00526226" w:rsidRPr="00100894" w:rsidRDefault="001E5F5A" w:rsidP="00526226">
      <w:pPr>
        <w:jc w:val="center"/>
        <w:rPr>
          <w:b/>
        </w:rPr>
      </w:pPr>
      <w:r w:rsidRPr="00100894">
        <w:rPr>
          <w:b/>
        </w:rPr>
        <w:t>MEDIA SUMMARY</w:t>
      </w:r>
    </w:p>
    <w:p w:rsidR="00526226" w:rsidRPr="00100894" w:rsidRDefault="00526226" w:rsidP="00526226">
      <w:pPr>
        <w:jc w:val="center"/>
      </w:pPr>
      <w:r w:rsidRPr="00100894">
        <w:t>________________________________________________________________________</w:t>
      </w:r>
    </w:p>
    <w:p w:rsidR="001E5F5A" w:rsidRPr="00100894" w:rsidRDefault="001E5F5A" w:rsidP="008B532D">
      <w:pPr>
        <w:spacing w:line="360" w:lineRule="auto"/>
        <w:jc w:val="left"/>
      </w:pPr>
    </w:p>
    <w:p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rsidR="001E5F5A" w:rsidRPr="00100894" w:rsidRDefault="001E5F5A" w:rsidP="006474CE">
      <w:pPr>
        <w:rPr>
          <w:sz w:val="28"/>
          <w:szCs w:val="28"/>
        </w:rPr>
      </w:pPr>
    </w:p>
    <w:p w:rsidR="00980B73" w:rsidRDefault="00FB0932" w:rsidP="00DE5133">
      <w:r>
        <w:t xml:space="preserve">On </w:t>
      </w:r>
      <w:r w:rsidR="00001C3C">
        <w:t>Friday</w:t>
      </w:r>
      <w:r w:rsidR="00C43944">
        <w:t xml:space="preserve"> </w:t>
      </w:r>
      <w:r w:rsidR="00001C3C">
        <w:t>01</w:t>
      </w:r>
      <w:r w:rsidR="00F730A2">
        <w:t xml:space="preserve"> </w:t>
      </w:r>
      <w:r w:rsidR="00001C3C">
        <w:t>February</w:t>
      </w:r>
      <w:r>
        <w:t xml:space="preserve"> 201</w:t>
      </w:r>
      <w:r w:rsidR="00001C3C">
        <w:t>9</w:t>
      </w:r>
      <w:r>
        <w:t xml:space="preserve"> at 10h00 </w:t>
      </w:r>
      <w:r w:rsidR="000D35AE" w:rsidRPr="00100894">
        <w:t xml:space="preserve">the </w:t>
      </w:r>
      <w:r w:rsidR="00606CD7">
        <w:t>Constitutional Court</w:t>
      </w:r>
      <w:r>
        <w:t xml:space="preserve"> </w:t>
      </w:r>
      <w:r w:rsidR="00F730A2">
        <w:t>handed down judgment in an</w:t>
      </w:r>
      <w:r>
        <w:t xml:space="preserve"> application</w:t>
      </w:r>
      <w:r w:rsidR="00901C3C">
        <w:t xml:space="preserve"> for leave to appeal</w:t>
      </w:r>
      <w:r>
        <w:t xml:space="preserve"> </w:t>
      </w:r>
      <w:r w:rsidR="00BB2F45">
        <w:t>by the Competition Commission</w:t>
      </w:r>
      <w:r w:rsidR="00901C3C">
        <w:t xml:space="preserve"> of South Africa</w:t>
      </w:r>
      <w:r w:rsidR="00B72598">
        <w:t xml:space="preserve"> (Commission)</w:t>
      </w:r>
      <w:r>
        <w:t xml:space="preserve"> against </w:t>
      </w:r>
      <w:r w:rsidR="00FF7BB5">
        <w:t>a</w:t>
      </w:r>
      <w:r w:rsidR="00A14895">
        <w:t>n order</w:t>
      </w:r>
      <w:r>
        <w:t xml:space="preserve"> of the </w:t>
      </w:r>
      <w:r w:rsidR="00EB3070">
        <w:t>Competition Appeal Court (CAC)</w:t>
      </w:r>
      <w:r w:rsidR="00A14895">
        <w:t xml:space="preserve">. </w:t>
      </w:r>
      <w:r w:rsidR="00127B72">
        <w:t xml:space="preserve"> </w:t>
      </w:r>
      <w:r w:rsidR="00A14895">
        <w:t>The CAC</w:t>
      </w:r>
      <w:r w:rsidR="00BB2F45">
        <w:t xml:space="preserve"> </w:t>
      </w:r>
      <w:r w:rsidR="00096FA0">
        <w:t xml:space="preserve">overturned </w:t>
      </w:r>
      <w:r w:rsidR="00980B73">
        <w:t>a decision of the</w:t>
      </w:r>
      <w:r w:rsidR="00096FA0">
        <w:t xml:space="preserve"> Competition Tribunal</w:t>
      </w:r>
      <w:r w:rsidR="00AF2F4E">
        <w:t xml:space="preserve"> (Tribunal)</w:t>
      </w:r>
      <w:r w:rsidR="00096FA0">
        <w:t xml:space="preserve"> </w:t>
      </w:r>
      <w:r w:rsidR="00BB2F45">
        <w:t xml:space="preserve">to the effect </w:t>
      </w:r>
      <w:r w:rsidR="00980B73">
        <w:t xml:space="preserve">that </w:t>
      </w:r>
      <w:r w:rsidR="00901C3C">
        <w:t xml:space="preserve">the </w:t>
      </w:r>
      <w:r w:rsidR="00980B73">
        <w:t xml:space="preserve">proposed transaction between </w:t>
      </w:r>
      <w:r w:rsidR="00B82B8F">
        <w:t>Hosken Consolidated Investment</w:t>
      </w:r>
      <w:r w:rsidR="00807A59">
        <w:t>s</w:t>
      </w:r>
      <w:r w:rsidR="00B82B8F">
        <w:t xml:space="preserve"> </w:t>
      </w:r>
      <w:r w:rsidR="00813279">
        <w:t xml:space="preserve">Ltd </w:t>
      </w:r>
      <w:r w:rsidR="00B82B8F">
        <w:t xml:space="preserve">(HCI) and </w:t>
      </w:r>
      <w:proofErr w:type="spellStart"/>
      <w:r w:rsidR="00B82B8F">
        <w:t>Tsogo</w:t>
      </w:r>
      <w:proofErr w:type="spellEnd"/>
      <w:r w:rsidR="00B82B8F">
        <w:t xml:space="preserve"> Sun Holdings Ltd (</w:t>
      </w:r>
      <w:proofErr w:type="spellStart"/>
      <w:r w:rsidR="00B82B8F">
        <w:t>Tsogo</w:t>
      </w:r>
      <w:proofErr w:type="spellEnd"/>
      <w:r w:rsidR="00B82B8F">
        <w:t xml:space="preserve">) does not constitute a notifiable merger </w:t>
      </w:r>
      <w:r w:rsidR="00B72598">
        <w:t xml:space="preserve">in terms of the Competition Act </w:t>
      </w:r>
      <w:r w:rsidR="00B82B8F">
        <w:t xml:space="preserve">and therefore </w:t>
      </w:r>
      <w:r w:rsidR="001B0C8F">
        <w:t>need not be brought to the attention of the competition authorities.</w:t>
      </w:r>
    </w:p>
    <w:p w:rsidR="00FD2A16" w:rsidRDefault="00FD2A16" w:rsidP="00DE5133"/>
    <w:p w:rsidR="00166114" w:rsidRDefault="00166114" w:rsidP="00DE5133">
      <w:r>
        <w:t xml:space="preserve">In 2014, HCI </w:t>
      </w:r>
      <w:r w:rsidR="000D5E60" w:rsidRPr="003F49EE">
        <w:t xml:space="preserve">notified the </w:t>
      </w:r>
      <w:r w:rsidR="000D5E60">
        <w:t xml:space="preserve">Commission </w:t>
      </w:r>
      <w:r w:rsidR="000D5E60" w:rsidRPr="003F49EE">
        <w:t xml:space="preserve">of its intention to acquire </w:t>
      </w:r>
      <w:proofErr w:type="spellStart"/>
      <w:r w:rsidR="000D5E60" w:rsidRPr="003F49EE">
        <w:t>Tsogo</w:t>
      </w:r>
      <w:proofErr w:type="spellEnd"/>
      <w:r w:rsidR="00544154">
        <w:t xml:space="preserve">.  The merger was subsequently approved </w:t>
      </w:r>
      <w:r w:rsidR="00034481">
        <w:t xml:space="preserve">unconditionally </w:t>
      </w:r>
      <w:r w:rsidR="000F2780">
        <w:t xml:space="preserve">by the Commission </w:t>
      </w:r>
      <w:r w:rsidR="00544154">
        <w:t xml:space="preserve">and </w:t>
      </w:r>
      <w:r w:rsidR="00B72598">
        <w:t xml:space="preserve">confirmed by </w:t>
      </w:r>
      <w:r w:rsidR="000F2780">
        <w:t>the Tribunal</w:t>
      </w:r>
      <w:r w:rsidR="00B72598">
        <w:t xml:space="preserve">. </w:t>
      </w:r>
      <w:r w:rsidR="005E4DD7">
        <w:t xml:space="preserve"> </w:t>
      </w:r>
      <w:r w:rsidR="005E4DD7" w:rsidRPr="00AB2B7D">
        <w:t xml:space="preserve">The nature of the transaction approved was such that </w:t>
      </w:r>
      <w:r w:rsidR="005E4DD7">
        <w:t>HCI</w:t>
      </w:r>
      <w:r w:rsidR="005E4DD7" w:rsidRPr="00AB2B7D">
        <w:t xml:space="preserve"> would acquire additional shares of </w:t>
      </w:r>
      <w:proofErr w:type="spellStart"/>
      <w:r w:rsidR="005E4DD7">
        <w:t>Tsogo</w:t>
      </w:r>
      <w:proofErr w:type="spellEnd"/>
      <w:r w:rsidR="005E4DD7" w:rsidRPr="00AB2B7D">
        <w:t xml:space="preserve"> in order to increase its shareholding</w:t>
      </w:r>
      <w:r w:rsidR="00901C3C">
        <w:t xml:space="preserve"> from between 47% and 48%</w:t>
      </w:r>
      <w:r w:rsidR="005E4DD7" w:rsidRPr="00AB2B7D">
        <w:t xml:space="preserve"> to more than 50% of </w:t>
      </w:r>
      <w:proofErr w:type="spellStart"/>
      <w:r w:rsidR="000F2780">
        <w:t>Tsogo’s</w:t>
      </w:r>
      <w:proofErr w:type="spellEnd"/>
      <w:r w:rsidR="000F2780">
        <w:t xml:space="preserve"> </w:t>
      </w:r>
      <w:r w:rsidR="005E4DD7" w:rsidRPr="00AB2B7D">
        <w:t>issued share capital.</w:t>
      </w:r>
      <w:r w:rsidR="00BA36DE">
        <w:t xml:space="preserve"> </w:t>
      </w:r>
      <w:r w:rsidR="00BA36DE" w:rsidRPr="00BA36DE">
        <w:rPr>
          <w:rFonts w:eastAsia="Calibri"/>
          <w:sz w:val="26"/>
          <w:szCs w:val="22"/>
        </w:rPr>
        <w:t xml:space="preserve"> </w:t>
      </w:r>
      <w:r w:rsidR="00BA36DE" w:rsidRPr="00BA36DE">
        <w:t xml:space="preserve">In 2017, HCI decided to </w:t>
      </w:r>
      <w:r w:rsidR="00B72598">
        <w:t>consolidate</w:t>
      </w:r>
      <w:r w:rsidR="00B72598" w:rsidRPr="00BA36DE">
        <w:t xml:space="preserve"> all</w:t>
      </w:r>
      <w:r w:rsidR="00BA36DE" w:rsidRPr="00BA36DE">
        <w:t xml:space="preserve"> of its gaming interests (other than its sports betting and lottery interests) by transferring such interests owned indirectly by one of its subsidiary companies, </w:t>
      </w:r>
      <w:proofErr w:type="spellStart"/>
      <w:r w:rsidR="00BA36DE" w:rsidRPr="00BA36DE">
        <w:t>Niveus</w:t>
      </w:r>
      <w:proofErr w:type="spellEnd"/>
      <w:r w:rsidR="00BA36DE" w:rsidRPr="00BA36DE">
        <w:t xml:space="preserve"> Investment</w:t>
      </w:r>
      <w:r w:rsidR="0021677E">
        <w:t>s</w:t>
      </w:r>
      <w:r w:rsidR="00BA36DE" w:rsidRPr="00BA36DE">
        <w:t xml:space="preserve"> Limited</w:t>
      </w:r>
      <w:r w:rsidR="00015985">
        <w:t>,</w:t>
      </w:r>
      <w:r w:rsidR="00BA36DE" w:rsidRPr="00BA36DE">
        <w:t xml:space="preserve"> to </w:t>
      </w:r>
      <w:proofErr w:type="spellStart"/>
      <w:r w:rsidR="00BA36DE" w:rsidRPr="00BA36DE">
        <w:t>Tsogo</w:t>
      </w:r>
      <w:proofErr w:type="spellEnd"/>
      <w:r w:rsidR="00015985">
        <w:t xml:space="preserve"> (2017 transaction)</w:t>
      </w:r>
      <w:r w:rsidR="00BA36DE" w:rsidRPr="00BA36DE">
        <w:t xml:space="preserve">.  HCI was of the view that the </w:t>
      </w:r>
      <w:r w:rsidR="00015985">
        <w:t xml:space="preserve">2017 transaction </w:t>
      </w:r>
      <w:r w:rsidR="00BA36DE" w:rsidRPr="00BA36DE">
        <w:t xml:space="preserve">would not constitute a notifiable merger given that its sole control of </w:t>
      </w:r>
      <w:proofErr w:type="spellStart"/>
      <w:r w:rsidR="00BA36DE" w:rsidRPr="00BA36DE">
        <w:t>Tsogo</w:t>
      </w:r>
      <w:proofErr w:type="spellEnd"/>
      <w:r w:rsidR="00BA36DE" w:rsidRPr="00BA36DE">
        <w:t xml:space="preserve"> had already been anticipated in 2014</w:t>
      </w:r>
      <w:r w:rsidR="00FC3404">
        <w:t xml:space="preserve">.  </w:t>
      </w:r>
      <w:r w:rsidR="00C15658">
        <w:t xml:space="preserve">HCI </w:t>
      </w:r>
      <w:r w:rsidR="00FC3404">
        <w:t xml:space="preserve">subsequently </w:t>
      </w:r>
      <w:r w:rsidR="008D0D0A" w:rsidRPr="00AB2B7D">
        <w:t>requested</w:t>
      </w:r>
      <w:r w:rsidR="008D0D0A">
        <w:t xml:space="preserve"> </w:t>
      </w:r>
      <w:r w:rsidR="008D0D0A" w:rsidRPr="00AB2B7D">
        <w:t xml:space="preserve">an advisory opinion from the </w:t>
      </w:r>
      <w:r w:rsidR="008D0D0A">
        <w:t xml:space="preserve">Commission </w:t>
      </w:r>
      <w:r w:rsidR="008D0D0A" w:rsidRPr="00AB2B7D">
        <w:t xml:space="preserve">to confirm </w:t>
      </w:r>
      <w:r w:rsidR="008D0D0A">
        <w:t xml:space="preserve">that </w:t>
      </w:r>
      <w:r w:rsidR="008D0D0A" w:rsidRPr="00AB2B7D">
        <w:t xml:space="preserve">the </w:t>
      </w:r>
      <w:r w:rsidR="008D0D0A">
        <w:t>2017 transaction</w:t>
      </w:r>
      <w:r w:rsidR="008D0D0A" w:rsidRPr="00AB2B7D">
        <w:t xml:space="preserve"> would not constitute a notifiable merger</w:t>
      </w:r>
      <w:r w:rsidR="00287D44">
        <w:t xml:space="preserve">.  The Commission advised </w:t>
      </w:r>
      <w:r w:rsidR="0021677E">
        <w:t xml:space="preserve">HCI </w:t>
      </w:r>
      <w:r w:rsidR="00287D44">
        <w:t xml:space="preserve">that </w:t>
      </w:r>
      <w:r w:rsidR="0021677E">
        <w:t>the transaction amounted to a notifiable merger</w:t>
      </w:r>
      <w:r w:rsidR="00287D44">
        <w:t>.</w:t>
      </w:r>
    </w:p>
    <w:p w:rsidR="00BB55AD" w:rsidRDefault="008B1DEF" w:rsidP="00DE5133">
      <w:r>
        <w:lastRenderedPageBreak/>
        <w:t xml:space="preserve">Dissatisfied with the Commission’s advisory opinion, HCI and </w:t>
      </w:r>
      <w:proofErr w:type="spellStart"/>
      <w:r>
        <w:t>Tsogo</w:t>
      </w:r>
      <w:proofErr w:type="spellEnd"/>
      <w:r>
        <w:t xml:space="preserve"> applied </w:t>
      </w:r>
      <w:r w:rsidRPr="00B11B3C">
        <w:t xml:space="preserve">to the Tribunal for a </w:t>
      </w:r>
      <w:proofErr w:type="spellStart"/>
      <w:r w:rsidRPr="00B11B3C">
        <w:t>declarator</w:t>
      </w:r>
      <w:proofErr w:type="spellEnd"/>
      <w:r w:rsidRPr="00B11B3C">
        <w:t xml:space="preserve"> that the</w:t>
      </w:r>
      <w:r w:rsidR="00A939DA">
        <w:t xml:space="preserve"> 2017</w:t>
      </w:r>
      <w:r w:rsidR="001E5B1D">
        <w:t xml:space="preserve"> transaction was not</w:t>
      </w:r>
      <w:r w:rsidRPr="00B11B3C">
        <w:t xml:space="preserve"> notifiable</w:t>
      </w:r>
      <w:r w:rsidR="001A1689">
        <w:t>.</w:t>
      </w:r>
      <w:r w:rsidR="008D0D0A">
        <w:t xml:space="preserve">  The Tribunal dismissed the application with costs and held that it does not enjoy the power to grant the declaratory order because the Commission’s advisory opinion does not constitute a decision or a finding by the Commission</w:t>
      </w:r>
      <w:r w:rsidR="00BD11F9">
        <w:t>.</w:t>
      </w:r>
      <w:r w:rsidR="008D0D0A">
        <w:t xml:space="preserve">  It further held that the Tribunal’s jurisdiction in respect of a proposed transaction is only triggered when the Commission has been notified of that transaction first.</w:t>
      </w:r>
      <w:r w:rsidR="00E76C8C">
        <w:t xml:space="preserve">  HCI</w:t>
      </w:r>
      <w:r w:rsidR="00E76C8C" w:rsidRPr="000201AE">
        <w:t xml:space="preserve"> and </w:t>
      </w:r>
      <w:proofErr w:type="spellStart"/>
      <w:r w:rsidR="00E76C8C" w:rsidRPr="000201AE">
        <w:t>Tsogo</w:t>
      </w:r>
      <w:proofErr w:type="spellEnd"/>
      <w:r w:rsidR="00E76C8C" w:rsidRPr="000201AE">
        <w:t xml:space="preserve"> </w:t>
      </w:r>
      <w:r w:rsidR="00E76C8C">
        <w:t xml:space="preserve">appealed the decision of the Tribunal in the </w:t>
      </w:r>
      <w:r w:rsidR="0005409E">
        <w:t xml:space="preserve">CAC </w:t>
      </w:r>
      <w:r w:rsidR="0005409E" w:rsidRPr="00BD11F9">
        <w:t>and t</w:t>
      </w:r>
      <w:r w:rsidR="00E76C8C" w:rsidRPr="00BD11F9">
        <w:t>he</w:t>
      </w:r>
      <w:r w:rsidR="00E76C8C">
        <w:t xml:space="preserve"> CAC upheld the appeal</w:t>
      </w:r>
      <w:r w:rsidR="00BD11F9">
        <w:t>,</w:t>
      </w:r>
      <w:r w:rsidR="00E76C8C">
        <w:t xml:space="preserve"> </w:t>
      </w:r>
      <w:r w:rsidR="00BD11F9">
        <w:t>finding</w:t>
      </w:r>
      <w:r w:rsidR="00E76C8C">
        <w:t xml:space="preserve"> that the </w:t>
      </w:r>
      <w:r w:rsidR="00E76C8C" w:rsidRPr="004F2BCC">
        <w:t>Tribunal</w:t>
      </w:r>
      <w:r w:rsidR="00E76C8C">
        <w:t xml:space="preserve"> has</w:t>
      </w:r>
      <w:r w:rsidR="00E76C8C" w:rsidRPr="004F2BCC">
        <w:t xml:space="preserve"> powers </w:t>
      </w:r>
      <w:r w:rsidR="00E76C8C">
        <w:t xml:space="preserve">to grant the declaratory order.  The CAC further held that the proposed transaction does not constitute a notifiable merger because the competition authorities previously approved the acquisition of sole control of </w:t>
      </w:r>
      <w:proofErr w:type="spellStart"/>
      <w:r w:rsidR="00E76C8C">
        <w:t>Tsogo</w:t>
      </w:r>
      <w:proofErr w:type="spellEnd"/>
      <w:r w:rsidR="00E76C8C">
        <w:t xml:space="preserve"> by HCI when they approved the 2014 merger transaction</w:t>
      </w:r>
      <w:r w:rsidR="00BD11F9">
        <w:t>.</w:t>
      </w:r>
    </w:p>
    <w:p w:rsidR="007A25BF" w:rsidRDefault="007A25BF" w:rsidP="006474CE"/>
    <w:p w:rsidR="00FE35AE" w:rsidRDefault="007A25BF" w:rsidP="00FE35AE">
      <w:pPr>
        <w:rPr>
          <w:lang w:val="en-US"/>
        </w:rPr>
      </w:pPr>
      <w:r>
        <w:t>I</w:t>
      </w:r>
      <w:r w:rsidR="00804CCE">
        <w:t>n the Constitutional</w:t>
      </w:r>
      <w:r w:rsidR="00285F4D">
        <w:t xml:space="preserve"> Court</w:t>
      </w:r>
      <w:r w:rsidR="00A939DA">
        <w:t>,</w:t>
      </w:r>
      <w:r w:rsidR="00285F4D">
        <w:t xml:space="preserve"> </w:t>
      </w:r>
      <w:r>
        <w:t>t</w:t>
      </w:r>
      <w:r w:rsidR="00AA5B03">
        <w:t xml:space="preserve">he </w:t>
      </w:r>
      <w:r w:rsidR="001203CD">
        <w:t xml:space="preserve">Commission </w:t>
      </w:r>
      <w:r w:rsidR="00BD11F9">
        <w:t>submitted</w:t>
      </w:r>
      <w:r w:rsidR="00316078">
        <w:t xml:space="preserve"> </w:t>
      </w:r>
      <w:r w:rsidR="002B3BB4">
        <w:t>that</w:t>
      </w:r>
      <w:r w:rsidR="001203CD">
        <w:t xml:space="preserve"> the Tribunal does not enjoy the power to be approached </w:t>
      </w:r>
      <w:r w:rsidR="0063188E">
        <w:t xml:space="preserve">to grant the declaratory order as there was no </w:t>
      </w:r>
      <w:r w:rsidR="00794EDD">
        <w:t xml:space="preserve">live </w:t>
      </w:r>
      <w:r w:rsidR="0063188E">
        <w:t>dispute between the parties</w:t>
      </w:r>
      <w:r w:rsidR="00400FA5">
        <w:t xml:space="preserve"> </w:t>
      </w:r>
      <w:r w:rsidR="00A939DA">
        <w:t xml:space="preserve">that </w:t>
      </w:r>
      <w:r w:rsidR="00400FA5">
        <w:t>would trigger the Tribunal</w:t>
      </w:r>
      <w:r w:rsidR="00A939DA">
        <w:t>’</w:t>
      </w:r>
      <w:r w:rsidR="00400FA5">
        <w:t xml:space="preserve">s </w:t>
      </w:r>
      <w:r w:rsidR="00B3011D">
        <w:t>jurisdiction</w:t>
      </w:r>
      <w:r w:rsidR="009F23DE">
        <w:t>.</w:t>
      </w:r>
      <w:r w:rsidR="00B3011D">
        <w:t xml:space="preserve">  </w:t>
      </w:r>
      <w:r w:rsidR="00E162DC">
        <w:t>T</w:t>
      </w:r>
      <w:r w:rsidR="00031149">
        <w:t xml:space="preserve">he Commission </w:t>
      </w:r>
      <w:r w:rsidR="00E162DC">
        <w:t xml:space="preserve">further </w:t>
      </w:r>
      <w:r w:rsidR="0021677E">
        <w:t xml:space="preserve">submitted </w:t>
      </w:r>
      <w:r w:rsidR="00031149">
        <w:t xml:space="preserve">that </w:t>
      </w:r>
      <w:r w:rsidR="00A939DA">
        <w:t>the 2017</w:t>
      </w:r>
      <w:r w:rsidR="00B3011D">
        <w:t xml:space="preserve"> transaction was a notifiable </w:t>
      </w:r>
      <w:r w:rsidR="00E162DC">
        <w:t>merger</w:t>
      </w:r>
      <w:r w:rsidR="00BD11F9">
        <w:t xml:space="preserve"> </w:t>
      </w:r>
      <w:r w:rsidR="00B3011D">
        <w:t xml:space="preserve">in terms of the Competition Act as HCI would hold more that 50% of </w:t>
      </w:r>
      <w:proofErr w:type="spellStart"/>
      <w:r w:rsidR="00B3011D">
        <w:t>Tsogo’s</w:t>
      </w:r>
      <w:proofErr w:type="spellEnd"/>
      <w:r w:rsidR="00B3011D">
        <w:t xml:space="preserve"> shareholding</w:t>
      </w:r>
      <w:r w:rsidR="00A939DA">
        <w:t>, which would constitute</w:t>
      </w:r>
      <w:r w:rsidR="00B3011D">
        <w:t xml:space="preserve"> </w:t>
      </w:r>
      <w:r w:rsidR="00A939DA">
        <w:t>a notifiable</w:t>
      </w:r>
      <w:r w:rsidR="00B3011D">
        <w:t xml:space="preserve"> acquisition of control of one firm by another.</w:t>
      </w:r>
      <w:r w:rsidR="00FE35AE">
        <w:t xml:space="preserve">  </w:t>
      </w:r>
      <w:r w:rsidR="00FE35AE" w:rsidRPr="00400FA5">
        <w:rPr>
          <w:lang w:val="en-US"/>
        </w:rPr>
        <w:t xml:space="preserve">HCI’s submission is that the CAC correctly granted the declaratory order that the Tribunal had the power to entertain and determine the application </w:t>
      </w:r>
      <w:r w:rsidR="00FE35AE">
        <w:rPr>
          <w:lang w:val="en-US"/>
        </w:rPr>
        <w:t>on a reading</w:t>
      </w:r>
      <w:r w:rsidR="00FE35AE" w:rsidRPr="00400FA5">
        <w:rPr>
          <w:lang w:val="en-US"/>
        </w:rPr>
        <w:t xml:space="preserve"> of</w:t>
      </w:r>
      <w:r w:rsidR="00FE35AE">
        <w:rPr>
          <w:lang w:val="en-US"/>
        </w:rPr>
        <w:t xml:space="preserve"> the Competition Act and that the</w:t>
      </w:r>
      <w:r w:rsidR="00FE35AE" w:rsidRPr="00400FA5">
        <w:rPr>
          <w:lang w:val="en-US"/>
        </w:rPr>
        <w:t xml:space="preserve"> </w:t>
      </w:r>
      <w:r w:rsidR="00FE35AE">
        <w:rPr>
          <w:lang w:val="en-US"/>
        </w:rPr>
        <w:t xml:space="preserve">2017 </w:t>
      </w:r>
      <w:r w:rsidR="00FE35AE" w:rsidRPr="00400FA5">
        <w:rPr>
          <w:lang w:val="en-US"/>
        </w:rPr>
        <w:t>transaction is not a merger within the meaning of the Competition Act;</w:t>
      </w:r>
      <w:r w:rsidR="00FE35AE">
        <w:rPr>
          <w:lang w:val="en-US"/>
        </w:rPr>
        <w:t xml:space="preserve"> and if it is,</w:t>
      </w:r>
      <w:r w:rsidR="00FE35AE" w:rsidRPr="00400FA5">
        <w:rPr>
          <w:lang w:val="en-US"/>
        </w:rPr>
        <w:t xml:space="preserve"> the transaction was in any event approved under a comprehensive merger approval granted to</w:t>
      </w:r>
      <w:r w:rsidR="00FE35AE">
        <w:rPr>
          <w:lang w:val="en-US"/>
        </w:rPr>
        <w:t xml:space="preserve"> HCI</w:t>
      </w:r>
      <w:r w:rsidR="00FE35AE" w:rsidRPr="00400FA5">
        <w:rPr>
          <w:lang w:val="en-US"/>
        </w:rPr>
        <w:t xml:space="preserve"> in</w:t>
      </w:r>
      <w:r w:rsidR="00FE35AE">
        <w:rPr>
          <w:lang w:val="en-US"/>
        </w:rPr>
        <w:t xml:space="preserve"> </w:t>
      </w:r>
      <w:r w:rsidR="00FE35AE" w:rsidRPr="00400FA5">
        <w:rPr>
          <w:lang w:val="en-US"/>
        </w:rPr>
        <w:t>2014</w:t>
      </w:r>
      <w:r w:rsidR="00FE35AE">
        <w:rPr>
          <w:lang w:val="en-US"/>
        </w:rPr>
        <w:t xml:space="preserve">. </w:t>
      </w:r>
      <w:r w:rsidR="000C3587">
        <w:rPr>
          <w:lang w:val="en-US"/>
        </w:rPr>
        <w:t xml:space="preserve"> </w:t>
      </w:r>
      <w:r w:rsidR="00FE35AE" w:rsidRPr="00400FA5">
        <w:rPr>
          <w:lang w:val="en-US"/>
        </w:rPr>
        <w:t>It was in the</w:t>
      </w:r>
      <w:r w:rsidR="00FE35AE">
        <w:rPr>
          <w:lang w:val="en-US"/>
        </w:rPr>
        <w:t>se</w:t>
      </w:r>
      <w:r w:rsidR="00FE35AE" w:rsidRPr="00400FA5">
        <w:rPr>
          <w:lang w:val="en-US"/>
        </w:rPr>
        <w:t xml:space="preserve"> circumstances entirely appropriate for the CAC to exercise its discretion in </w:t>
      </w:r>
      <w:proofErr w:type="spellStart"/>
      <w:r w:rsidR="00FE35AE" w:rsidRPr="00400FA5">
        <w:rPr>
          <w:lang w:val="en-US"/>
        </w:rPr>
        <w:t>favour</w:t>
      </w:r>
      <w:proofErr w:type="spellEnd"/>
      <w:r w:rsidR="00FE35AE" w:rsidRPr="00400FA5">
        <w:rPr>
          <w:lang w:val="en-US"/>
        </w:rPr>
        <w:t xml:space="preserve"> of granting</w:t>
      </w:r>
      <w:r w:rsidR="00FE35AE">
        <w:rPr>
          <w:lang w:val="en-US"/>
        </w:rPr>
        <w:t xml:space="preserve"> the declaratory order sought.</w:t>
      </w:r>
    </w:p>
    <w:p w:rsidR="005004EF" w:rsidRDefault="005004EF">
      <w:pPr>
        <w:rPr>
          <w:lang w:val="en-US"/>
        </w:rPr>
      </w:pPr>
    </w:p>
    <w:p w:rsidR="005004EF" w:rsidRDefault="005004EF">
      <w:r>
        <w:t xml:space="preserve">In a </w:t>
      </w:r>
      <w:r w:rsidR="00807A59">
        <w:t xml:space="preserve">unanimous </w:t>
      </w:r>
      <w:r>
        <w:t xml:space="preserve">judgment penned by </w:t>
      </w:r>
      <w:proofErr w:type="spellStart"/>
      <w:r>
        <w:t>Basson</w:t>
      </w:r>
      <w:proofErr w:type="spellEnd"/>
      <w:r>
        <w:t xml:space="preserve"> AJ (</w:t>
      </w:r>
      <w:r w:rsidRPr="00232B8F">
        <w:t xml:space="preserve">Cameron J, </w:t>
      </w:r>
      <w:proofErr w:type="spellStart"/>
      <w:r w:rsidR="00127B72">
        <w:t>Dlodlo</w:t>
      </w:r>
      <w:proofErr w:type="spellEnd"/>
      <w:r w:rsidR="00127B72">
        <w:t xml:space="preserve"> AJ,</w:t>
      </w:r>
      <w:r w:rsidR="002B3334">
        <w:t xml:space="preserve"> </w:t>
      </w:r>
      <w:proofErr w:type="spellStart"/>
      <w:r w:rsidR="002B3334">
        <w:t>Froneman</w:t>
      </w:r>
      <w:proofErr w:type="spellEnd"/>
      <w:r w:rsidR="002B3334">
        <w:t xml:space="preserve"> J,</w:t>
      </w:r>
      <w:r w:rsidR="00127B72">
        <w:t xml:space="preserve"> Goliath AJ, </w:t>
      </w:r>
      <w:proofErr w:type="spellStart"/>
      <w:r w:rsidR="00127B72">
        <w:t>Khampepe</w:t>
      </w:r>
      <w:proofErr w:type="spellEnd"/>
      <w:r w:rsidR="00127B72">
        <w:t xml:space="preserve"> J, </w:t>
      </w:r>
      <w:proofErr w:type="spellStart"/>
      <w:r w:rsidR="00127B72">
        <w:t>Mhlantla</w:t>
      </w:r>
      <w:proofErr w:type="spellEnd"/>
      <w:r>
        <w:t xml:space="preserve"> J, </w:t>
      </w:r>
      <w:proofErr w:type="spellStart"/>
      <w:r w:rsidR="00127B72">
        <w:t>Petse</w:t>
      </w:r>
      <w:proofErr w:type="spellEnd"/>
      <w:r w:rsidR="00127B72">
        <w:t xml:space="preserve">, AJ and </w:t>
      </w:r>
      <w:r>
        <w:t xml:space="preserve">Theron J </w:t>
      </w:r>
      <w:r w:rsidR="00573F09">
        <w:t>concurring</w:t>
      </w:r>
      <w:r>
        <w:t>) th</w:t>
      </w:r>
      <w:r w:rsidR="006A52B6">
        <w:t>is</w:t>
      </w:r>
      <w:r>
        <w:t xml:space="preserve"> Court </w:t>
      </w:r>
      <w:r w:rsidR="000C3587">
        <w:t xml:space="preserve">held </w:t>
      </w:r>
      <w:r>
        <w:t>th</w:t>
      </w:r>
      <w:r w:rsidR="006A52B6">
        <w:t>at the</w:t>
      </w:r>
      <w:r>
        <w:t xml:space="preserve"> mere fact that parties had a difference of opinion regarding an important jurisdictional issue suggests that there was a live dispute. </w:t>
      </w:r>
      <w:r w:rsidRPr="00AF1858">
        <w:t xml:space="preserve"> </w:t>
      </w:r>
      <w:r>
        <w:t xml:space="preserve">It </w:t>
      </w:r>
      <w:r w:rsidR="003B7B39">
        <w:t>was thus within the</w:t>
      </w:r>
      <w:r w:rsidR="00573F09">
        <w:t xml:space="preserve"> Tribunal</w:t>
      </w:r>
      <w:r w:rsidR="003B7B39">
        <w:t>’s powers</w:t>
      </w:r>
      <w:r w:rsidR="00573F09">
        <w:t xml:space="preserve">, </w:t>
      </w:r>
      <w:r>
        <w:t xml:space="preserve">to grant a declaratory order in order to resolve </w:t>
      </w:r>
      <w:r w:rsidR="00A1304B">
        <w:t>this</w:t>
      </w:r>
      <w:r>
        <w:t xml:space="preserve"> dispute</w:t>
      </w:r>
      <w:r w:rsidR="00573F09">
        <w:t>.</w:t>
      </w:r>
      <w:r w:rsidR="003B7B39">
        <w:t xml:space="preserve">  It held </w:t>
      </w:r>
      <w:r w:rsidR="000C3587">
        <w:t xml:space="preserve">further </w:t>
      </w:r>
      <w:r w:rsidR="003B7B39">
        <w:t xml:space="preserve">that the </w:t>
      </w:r>
      <w:r w:rsidR="00FB04D6">
        <w:t>approval</w:t>
      </w:r>
      <w:r w:rsidR="003B7B39">
        <w:t xml:space="preserve"> of a merger is a once-off affair</w:t>
      </w:r>
      <w:r w:rsidR="00FB04D6">
        <w:t xml:space="preserve">.  The need for notification of a merger is triggered when a firm acquires control of another and once approval for such merger is </w:t>
      </w:r>
      <w:r w:rsidR="003E15CB">
        <w:t>granted</w:t>
      </w:r>
      <w:r w:rsidR="00FB04D6">
        <w:t xml:space="preserve"> </w:t>
      </w:r>
      <w:r w:rsidR="003C2082">
        <w:t xml:space="preserve">then no further investigation </w:t>
      </w:r>
      <w:r w:rsidR="00001ECA">
        <w:t>is allowed</w:t>
      </w:r>
      <w:r w:rsidR="000C3587">
        <w:t xml:space="preserve"> </w:t>
      </w:r>
      <w:r w:rsidR="003C2082">
        <w:t>other than to confirm that assurances made and conditions placed by the Commission have indeed been met.</w:t>
      </w:r>
    </w:p>
    <w:p w:rsidR="00001ECA" w:rsidRDefault="00001ECA"/>
    <w:p w:rsidR="00001ECA" w:rsidRDefault="00001ECA">
      <w:r>
        <w:t>Th</w:t>
      </w:r>
      <w:r w:rsidR="00BD11F9">
        <w:t>e</w:t>
      </w:r>
      <w:r w:rsidR="000C3587">
        <w:t xml:space="preserve"> Constitutional</w:t>
      </w:r>
      <w:r w:rsidR="00D41335">
        <w:t xml:space="preserve"> Court </w:t>
      </w:r>
      <w:r w:rsidR="000C3587">
        <w:t xml:space="preserve">also </w:t>
      </w:r>
      <w:r w:rsidR="00D41335">
        <w:t>held that the</w:t>
      </w:r>
      <w:r>
        <w:t xml:space="preserve"> 2017 transaction was not a notifiable merger in terms of the Competition Act since the acquisition of </w:t>
      </w:r>
      <w:proofErr w:type="spellStart"/>
      <w:r>
        <w:t>Tsogo</w:t>
      </w:r>
      <w:proofErr w:type="spellEnd"/>
      <w:r>
        <w:t xml:space="preserve"> by HCI was notified and approved in 2014.  The 2017 </w:t>
      </w:r>
      <w:r w:rsidR="00780FE7">
        <w:t>transaction</w:t>
      </w:r>
      <w:r>
        <w:t xml:space="preserve"> was merely the implementation of the 2014 merger</w:t>
      </w:r>
      <w:r w:rsidR="00D41335">
        <w:t xml:space="preserve"> and</w:t>
      </w:r>
      <w:r w:rsidR="00780FE7">
        <w:t xml:space="preserve"> </w:t>
      </w:r>
      <w:r w:rsidR="00D41335">
        <w:t>t</w:t>
      </w:r>
      <w:r>
        <w:t>he Commission therefore cannot reinvestigate the 2014 merger, but may, in line with its powers to revoke merger approval, investigate that the assurances made in 2014 were not subsequently reneged on in implementing the 2017 transaction.</w:t>
      </w:r>
    </w:p>
    <w:p w:rsidR="00001ECA" w:rsidRDefault="00001ECA"/>
    <w:p w:rsidR="00001ECA" w:rsidRDefault="00001ECA">
      <w:r>
        <w:t>Although the declaratory ord</w:t>
      </w:r>
      <w:r w:rsidR="000C29BF">
        <w:t>er sought</w:t>
      </w:r>
      <w:r>
        <w:t xml:space="preserve"> was found to be within the Tribunal</w:t>
      </w:r>
      <w:r w:rsidR="00281B72">
        <w:t>’</w:t>
      </w:r>
      <w:r>
        <w:t xml:space="preserve">s power, it is no longer necessary to grant </w:t>
      </w:r>
      <w:r w:rsidR="00FA2599">
        <w:t>that</w:t>
      </w:r>
      <w:r>
        <w:t xml:space="preserve"> order since the recent Constitutional Court judgment which </w:t>
      </w:r>
      <w:r w:rsidR="00FD4E6C">
        <w:t>supports the determination that merger approval is a once-off affair.</w:t>
      </w:r>
      <w:r w:rsidR="00626668">
        <w:t xml:space="preserve">  In the result, </w:t>
      </w:r>
      <w:r w:rsidR="00626668">
        <w:lastRenderedPageBreak/>
        <w:t>the appeal is partially upheld to the extent that HCI</w:t>
      </w:r>
      <w:r w:rsidR="00626668" w:rsidRPr="00F15927">
        <w:t xml:space="preserve"> is not obliged to notify the 2017 transaction in terms of the Competition Act</w:t>
      </w:r>
      <w:r w:rsidR="002045E1">
        <w:t>,</w:t>
      </w:r>
      <w:r w:rsidR="00626668" w:rsidRPr="00F15927">
        <w:t xml:space="preserve"> and </w:t>
      </w:r>
      <w:r w:rsidR="00626668">
        <w:t xml:space="preserve">this </w:t>
      </w:r>
      <w:r w:rsidR="00626668" w:rsidRPr="00F15927">
        <w:t>does not preclude the Competition Commission from investigating assurances made in</w:t>
      </w:r>
      <w:r w:rsidR="00626668">
        <w:t xml:space="preserve"> the 2014 merger.</w:t>
      </w:r>
    </w:p>
    <w:p w:rsidR="00461B54" w:rsidRDefault="00461B54" w:rsidP="00F15927"/>
    <w:p w:rsidR="00461B54" w:rsidRDefault="00461B54" w:rsidP="00F15927">
      <w:r>
        <w:t xml:space="preserve">In a concurrence penned by </w:t>
      </w:r>
      <w:proofErr w:type="spellStart"/>
      <w:r>
        <w:t>Froneman</w:t>
      </w:r>
      <w:proofErr w:type="spellEnd"/>
      <w:r>
        <w:t xml:space="preserve"> J, </w:t>
      </w:r>
      <w:r>
        <w:rPr>
          <w:szCs w:val="26"/>
          <w:lang w:val="en-GB"/>
        </w:rPr>
        <w:t xml:space="preserve">a cautionary note is made to the effect that although the order is necessary to clarify the legal position, it should not be read as an invitation to flood the Tribunal with applications for declaratory orders of this kind.  </w:t>
      </w:r>
      <w:r>
        <w:t xml:space="preserve">In exercising its discretion in relation to declaratory orders the Tribunal should also keep in mind </w:t>
      </w:r>
      <w:r>
        <w:rPr>
          <w:szCs w:val="26"/>
          <w:lang w:val="en-GB"/>
        </w:rPr>
        <w:t xml:space="preserve">the Commission’s need </w:t>
      </w:r>
      <w:r>
        <w:t>to investigate further substantive competitive assessment and public interest issues that a transaction may have</w:t>
      </w:r>
      <w:r w:rsidR="006430AE" w:rsidRPr="006430AE">
        <w:t xml:space="preserve"> </w:t>
      </w:r>
      <w:r w:rsidR="006430AE">
        <w:t>in future</w:t>
      </w:r>
      <w:r>
        <w:t>.</w:t>
      </w:r>
    </w:p>
    <w:sectPr w:rsidR="00461B54" w:rsidSect="00883D6C">
      <w:headerReference w:type="even" r:id="rId9"/>
      <w:headerReference w:type="default" r:id="rId10"/>
      <w:footerReference w:type="even" r:id="rId11"/>
      <w:footerReference w:type="default" r:id="rId12"/>
      <w:headerReference w:type="first" r:id="rId13"/>
      <w:footerReference w:type="first" r:id="rId14"/>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171A" w:rsidRDefault="005D171A" w:rsidP="005951E5">
      <w:r>
        <w:separator/>
      </w:r>
    </w:p>
  </w:endnote>
  <w:endnote w:type="continuationSeparator" w:id="0">
    <w:p w:rsidR="005D171A" w:rsidRDefault="005D171A" w:rsidP="005951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6226" w:rsidRDefault="0008622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6226" w:rsidRDefault="0008622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6226" w:rsidRDefault="0008622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171A" w:rsidRDefault="005D171A" w:rsidP="005951E5">
      <w:r>
        <w:separator/>
      </w:r>
    </w:p>
  </w:footnote>
  <w:footnote w:type="continuationSeparator" w:id="0">
    <w:p w:rsidR="005D171A" w:rsidRDefault="005D171A" w:rsidP="005951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6226" w:rsidRDefault="0008622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6226" w:rsidRDefault="0008622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6226" w:rsidRDefault="0008622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398E"/>
    <w:rsid w:val="00001492"/>
    <w:rsid w:val="00001C3C"/>
    <w:rsid w:val="00001ECA"/>
    <w:rsid w:val="0000735C"/>
    <w:rsid w:val="00015985"/>
    <w:rsid w:val="00017302"/>
    <w:rsid w:val="00023FA7"/>
    <w:rsid w:val="00031149"/>
    <w:rsid w:val="0003383F"/>
    <w:rsid w:val="00034481"/>
    <w:rsid w:val="000379B4"/>
    <w:rsid w:val="0004439A"/>
    <w:rsid w:val="00044771"/>
    <w:rsid w:val="00045868"/>
    <w:rsid w:val="0005409E"/>
    <w:rsid w:val="000548D7"/>
    <w:rsid w:val="00055933"/>
    <w:rsid w:val="00055B29"/>
    <w:rsid w:val="00055BDF"/>
    <w:rsid w:val="000654B1"/>
    <w:rsid w:val="000657CA"/>
    <w:rsid w:val="000679EC"/>
    <w:rsid w:val="0007028D"/>
    <w:rsid w:val="00070E99"/>
    <w:rsid w:val="000760D0"/>
    <w:rsid w:val="000806AE"/>
    <w:rsid w:val="00086226"/>
    <w:rsid w:val="00086466"/>
    <w:rsid w:val="00091F8C"/>
    <w:rsid w:val="00093E39"/>
    <w:rsid w:val="000943B8"/>
    <w:rsid w:val="00094E7C"/>
    <w:rsid w:val="00096FA0"/>
    <w:rsid w:val="000A36D1"/>
    <w:rsid w:val="000A36F3"/>
    <w:rsid w:val="000C29BF"/>
    <w:rsid w:val="000C3587"/>
    <w:rsid w:val="000C7D20"/>
    <w:rsid w:val="000D09EA"/>
    <w:rsid w:val="000D35AE"/>
    <w:rsid w:val="000D466F"/>
    <w:rsid w:val="000D5E60"/>
    <w:rsid w:val="000E398E"/>
    <w:rsid w:val="000F2780"/>
    <w:rsid w:val="000F5A15"/>
    <w:rsid w:val="00100894"/>
    <w:rsid w:val="00101A9E"/>
    <w:rsid w:val="00113454"/>
    <w:rsid w:val="00117D6B"/>
    <w:rsid w:val="001203CD"/>
    <w:rsid w:val="00122E3D"/>
    <w:rsid w:val="00125338"/>
    <w:rsid w:val="00125BE8"/>
    <w:rsid w:val="00127B72"/>
    <w:rsid w:val="001360D7"/>
    <w:rsid w:val="00152829"/>
    <w:rsid w:val="0015307D"/>
    <w:rsid w:val="001564CF"/>
    <w:rsid w:val="00166114"/>
    <w:rsid w:val="00171BBA"/>
    <w:rsid w:val="00172A2C"/>
    <w:rsid w:val="00174282"/>
    <w:rsid w:val="001A1689"/>
    <w:rsid w:val="001A1BC3"/>
    <w:rsid w:val="001A24C8"/>
    <w:rsid w:val="001A4C99"/>
    <w:rsid w:val="001B0C8F"/>
    <w:rsid w:val="001D480F"/>
    <w:rsid w:val="001E31D7"/>
    <w:rsid w:val="001E31D8"/>
    <w:rsid w:val="001E57F4"/>
    <w:rsid w:val="001E5B1D"/>
    <w:rsid w:val="001E5F5A"/>
    <w:rsid w:val="001E7604"/>
    <w:rsid w:val="001E7F3A"/>
    <w:rsid w:val="00200AB8"/>
    <w:rsid w:val="00203D7A"/>
    <w:rsid w:val="002045E1"/>
    <w:rsid w:val="00205A97"/>
    <w:rsid w:val="002062FF"/>
    <w:rsid w:val="00206EFD"/>
    <w:rsid w:val="00215823"/>
    <w:rsid w:val="0021677E"/>
    <w:rsid w:val="002348C0"/>
    <w:rsid w:val="002435AB"/>
    <w:rsid w:val="00250C27"/>
    <w:rsid w:val="00253986"/>
    <w:rsid w:val="00256C3D"/>
    <w:rsid w:val="002705A8"/>
    <w:rsid w:val="0027251B"/>
    <w:rsid w:val="00275806"/>
    <w:rsid w:val="00281B72"/>
    <w:rsid w:val="00285F4D"/>
    <w:rsid w:val="00287D44"/>
    <w:rsid w:val="002A120A"/>
    <w:rsid w:val="002B3334"/>
    <w:rsid w:val="002B3BB4"/>
    <w:rsid w:val="002B7EFE"/>
    <w:rsid w:val="002C512D"/>
    <w:rsid w:val="002D184B"/>
    <w:rsid w:val="002D340A"/>
    <w:rsid w:val="002D35E8"/>
    <w:rsid w:val="002D624C"/>
    <w:rsid w:val="002D7582"/>
    <w:rsid w:val="002D7A57"/>
    <w:rsid w:val="002F6F50"/>
    <w:rsid w:val="0030116A"/>
    <w:rsid w:val="00305423"/>
    <w:rsid w:val="00310735"/>
    <w:rsid w:val="00316078"/>
    <w:rsid w:val="00316110"/>
    <w:rsid w:val="0031792A"/>
    <w:rsid w:val="00320B55"/>
    <w:rsid w:val="00323149"/>
    <w:rsid w:val="003255EA"/>
    <w:rsid w:val="00325988"/>
    <w:rsid w:val="0032682A"/>
    <w:rsid w:val="00330389"/>
    <w:rsid w:val="00332A1B"/>
    <w:rsid w:val="00334E0F"/>
    <w:rsid w:val="0034601F"/>
    <w:rsid w:val="00353120"/>
    <w:rsid w:val="00354734"/>
    <w:rsid w:val="00357758"/>
    <w:rsid w:val="00357788"/>
    <w:rsid w:val="00367A87"/>
    <w:rsid w:val="0037720A"/>
    <w:rsid w:val="003807A5"/>
    <w:rsid w:val="003845A8"/>
    <w:rsid w:val="003850ED"/>
    <w:rsid w:val="00386254"/>
    <w:rsid w:val="003874A7"/>
    <w:rsid w:val="003B4484"/>
    <w:rsid w:val="003B7B39"/>
    <w:rsid w:val="003C2082"/>
    <w:rsid w:val="003C40ED"/>
    <w:rsid w:val="003C742E"/>
    <w:rsid w:val="003D1CF1"/>
    <w:rsid w:val="003D72FB"/>
    <w:rsid w:val="003E15CB"/>
    <w:rsid w:val="003E1B0A"/>
    <w:rsid w:val="003E7B0F"/>
    <w:rsid w:val="003F0347"/>
    <w:rsid w:val="003F1959"/>
    <w:rsid w:val="003F3E2F"/>
    <w:rsid w:val="00400FA5"/>
    <w:rsid w:val="004036FB"/>
    <w:rsid w:val="004065B7"/>
    <w:rsid w:val="00410075"/>
    <w:rsid w:val="004302FD"/>
    <w:rsid w:val="004304FC"/>
    <w:rsid w:val="00430C6F"/>
    <w:rsid w:val="00431C45"/>
    <w:rsid w:val="004426F8"/>
    <w:rsid w:val="00442AE9"/>
    <w:rsid w:val="00444661"/>
    <w:rsid w:val="00461B54"/>
    <w:rsid w:val="00472695"/>
    <w:rsid w:val="004734DE"/>
    <w:rsid w:val="00490BB9"/>
    <w:rsid w:val="00490F2C"/>
    <w:rsid w:val="0049467F"/>
    <w:rsid w:val="00496006"/>
    <w:rsid w:val="00496C24"/>
    <w:rsid w:val="004A1AEE"/>
    <w:rsid w:val="004B011A"/>
    <w:rsid w:val="004B36EA"/>
    <w:rsid w:val="004B44D4"/>
    <w:rsid w:val="004C132A"/>
    <w:rsid w:val="004C5AD8"/>
    <w:rsid w:val="004C7EF7"/>
    <w:rsid w:val="004D29C3"/>
    <w:rsid w:val="004D716D"/>
    <w:rsid w:val="005004EF"/>
    <w:rsid w:val="005038A1"/>
    <w:rsid w:val="00503FDA"/>
    <w:rsid w:val="00524F3A"/>
    <w:rsid w:val="005257B9"/>
    <w:rsid w:val="00526226"/>
    <w:rsid w:val="005307A5"/>
    <w:rsid w:val="0053527E"/>
    <w:rsid w:val="00535FF4"/>
    <w:rsid w:val="00540E02"/>
    <w:rsid w:val="00544154"/>
    <w:rsid w:val="00570B62"/>
    <w:rsid w:val="00573AEA"/>
    <w:rsid w:val="00573F09"/>
    <w:rsid w:val="00581588"/>
    <w:rsid w:val="005837F4"/>
    <w:rsid w:val="00584111"/>
    <w:rsid w:val="00587A53"/>
    <w:rsid w:val="00594B1C"/>
    <w:rsid w:val="00594B56"/>
    <w:rsid w:val="005951E5"/>
    <w:rsid w:val="005956C2"/>
    <w:rsid w:val="005A21C7"/>
    <w:rsid w:val="005B2F2F"/>
    <w:rsid w:val="005B51EB"/>
    <w:rsid w:val="005D171A"/>
    <w:rsid w:val="005E1311"/>
    <w:rsid w:val="005E4DD7"/>
    <w:rsid w:val="005E52AC"/>
    <w:rsid w:val="005E557D"/>
    <w:rsid w:val="005E72D7"/>
    <w:rsid w:val="005E7F2B"/>
    <w:rsid w:val="005F0E74"/>
    <w:rsid w:val="005F322E"/>
    <w:rsid w:val="00606CD7"/>
    <w:rsid w:val="00607CC8"/>
    <w:rsid w:val="006137EA"/>
    <w:rsid w:val="00613F6B"/>
    <w:rsid w:val="00615063"/>
    <w:rsid w:val="00616848"/>
    <w:rsid w:val="00624FFE"/>
    <w:rsid w:val="00626668"/>
    <w:rsid w:val="00627750"/>
    <w:rsid w:val="00630AA9"/>
    <w:rsid w:val="0063188E"/>
    <w:rsid w:val="00642528"/>
    <w:rsid w:val="006430AE"/>
    <w:rsid w:val="00646450"/>
    <w:rsid w:val="006474CE"/>
    <w:rsid w:val="006524D4"/>
    <w:rsid w:val="0065334D"/>
    <w:rsid w:val="006543E3"/>
    <w:rsid w:val="006735C9"/>
    <w:rsid w:val="00674452"/>
    <w:rsid w:val="006749D6"/>
    <w:rsid w:val="00676CFE"/>
    <w:rsid w:val="00685C91"/>
    <w:rsid w:val="006879F3"/>
    <w:rsid w:val="00694175"/>
    <w:rsid w:val="006966FC"/>
    <w:rsid w:val="006A52B6"/>
    <w:rsid w:val="006C17E2"/>
    <w:rsid w:val="006D0EF2"/>
    <w:rsid w:val="006D4079"/>
    <w:rsid w:val="006D7815"/>
    <w:rsid w:val="006E1528"/>
    <w:rsid w:val="006E6A2F"/>
    <w:rsid w:val="007044BA"/>
    <w:rsid w:val="007106E2"/>
    <w:rsid w:val="00712458"/>
    <w:rsid w:val="00716FAA"/>
    <w:rsid w:val="00720ACA"/>
    <w:rsid w:val="00725384"/>
    <w:rsid w:val="007328EC"/>
    <w:rsid w:val="00741F1B"/>
    <w:rsid w:val="00750F83"/>
    <w:rsid w:val="00752C8F"/>
    <w:rsid w:val="00762738"/>
    <w:rsid w:val="0076524E"/>
    <w:rsid w:val="007659FF"/>
    <w:rsid w:val="007746CE"/>
    <w:rsid w:val="00775169"/>
    <w:rsid w:val="00780874"/>
    <w:rsid w:val="00780BBF"/>
    <w:rsid w:val="00780FE7"/>
    <w:rsid w:val="007812D0"/>
    <w:rsid w:val="00785268"/>
    <w:rsid w:val="0078535D"/>
    <w:rsid w:val="007908D9"/>
    <w:rsid w:val="0079484A"/>
    <w:rsid w:val="00794EDD"/>
    <w:rsid w:val="007A25BF"/>
    <w:rsid w:val="007C65D9"/>
    <w:rsid w:val="007D540D"/>
    <w:rsid w:val="007D6DF5"/>
    <w:rsid w:val="007F0881"/>
    <w:rsid w:val="007F0EF4"/>
    <w:rsid w:val="007F3C29"/>
    <w:rsid w:val="007F64E1"/>
    <w:rsid w:val="007F7DCD"/>
    <w:rsid w:val="00801124"/>
    <w:rsid w:val="0080153B"/>
    <w:rsid w:val="00804CCE"/>
    <w:rsid w:val="00807A59"/>
    <w:rsid w:val="00813279"/>
    <w:rsid w:val="00815994"/>
    <w:rsid w:val="0081741F"/>
    <w:rsid w:val="00823B02"/>
    <w:rsid w:val="0083215D"/>
    <w:rsid w:val="00834D25"/>
    <w:rsid w:val="008351C8"/>
    <w:rsid w:val="00835F7C"/>
    <w:rsid w:val="0084423E"/>
    <w:rsid w:val="00851D46"/>
    <w:rsid w:val="0086048D"/>
    <w:rsid w:val="00865979"/>
    <w:rsid w:val="00866508"/>
    <w:rsid w:val="00867767"/>
    <w:rsid w:val="0087005B"/>
    <w:rsid w:val="00880A25"/>
    <w:rsid w:val="00881D33"/>
    <w:rsid w:val="00882096"/>
    <w:rsid w:val="00883D6C"/>
    <w:rsid w:val="008943E7"/>
    <w:rsid w:val="008A4044"/>
    <w:rsid w:val="008A5FDC"/>
    <w:rsid w:val="008B1777"/>
    <w:rsid w:val="008B1DEF"/>
    <w:rsid w:val="008B532D"/>
    <w:rsid w:val="008C3682"/>
    <w:rsid w:val="008D0D0A"/>
    <w:rsid w:val="008D24BC"/>
    <w:rsid w:val="008D3D39"/>
    <w:rsid w:val="008D52B5"/>
    <w:rsid w:val="008E54C8"/>
    <w:rsid w:val="008E5B74"/>
    <w:rsid w:val="008F4B8F"/>
    <w:rsid w:val="008F7733"/>
    <w:rsid w:val="00901C3C"/>
    <w:rsid w:val="0090690C"/>
    <w:rsid w:val="009100A2"/>
    <w:rsid w:val="00910F26"/>
    <w:rsid w:val="00911DB9"/>
    <w:rsid w:val="0091467A"/>
    <w:rsid w:val="00921F01"/>
    <w:rsid w:val="00934876"/>
    <w:rsid w:val="00952C7A"/>
    <w:rsid w:val="0095615D"/>
    <w:rsid w:val="0096072E"/>
    <w:rsid w:val="009642D7"/>
    <w:rsid w:val="009749AF"/>
    <w:rsid w:val="00980B73"/>
    <w:rsid w:val="00991F06"/>
    <w:rsid w:val="00992CAE"/>
    <w:rsid w:val="009957D5"/>
    <w:rsid w:val="009B7D1B"/>
    <w:rsid w:val="009C61D7"/>
    <w:rsid w:val="009D4E82"/>
    <w:rsid w:val="009E1FD3"/>
    <w:rsid w:val="009E3AE6"/>
    <w:rsid w:val="009E3D99"/>
    <w:rsid w:val="009E6F8D"/>
    <w:rsid w:val="009E7D9D"/>
    <w:rsid w:val="009F23DE"/>
    <w:rsid w:val="009F7798"/>
    <w:rsid w:val="00A0140F"/>
    <w:rsid w:val="00A1304B"/>
    <w:rsid w:val="00A142B7"/>
    <w:rsid w:val="00A14895"/>
    <w:rsid w:val="00A16288"/>
    <w:rsid w:val="00A17858"/>
    <w:rsid w:val="00A248EC"/>
    <w:rsid w:val="00A354A9"/>
    <w:rsid w:val="00A36172"/>
    <w:rsid w:val="00A37027"/>
    <w:rsid w:val="00A4018D"/>
    <w:rsid w:val="00A47D4A"/>
    <w:rsid w:val="00A51C04"/>
    <w:rsid w:val="00A557C9"/>
    <w:rsid w:val="00A55B9B"/>
    <w:rsid w:val="00A56702"/>
    <w:rsid w:val="00A661F8"/>
    <w:rsid w:val="00A66EEE"/>
    <w:rsid w:val="00A71B57"/>
    <w:rsid w:val="00A72B41"/>
    <w:rsid w:val="00A83708"/>
    <w:rsid w:val="00A939DA"/>
    <w:rsid w:val="00A95534"/>
    <w:rsid w:val="00AA17C0"/>
    <w:rsid w:val="00AA3378"/>
    <w:rsid w:val="00AA5B03"/>
    <w:rsid w:val="00AC2894"/>
    <w:rsid w:val="00AC31F8"/>
    <w:rsid w:val="00AC799A"/>
    <w:rsid w:val="00AD14A5"/>
    <w:rsid w:val="00AE4640"/>
    <w:rsid w:val="00AE5416"/>
    <w:rsid w:val="00AF0A36"/>
    <w:rsid w:val="00AF1858"/>
    <w:rsid w:val="00AF2F4E"/>
    <w:rsid w:val="00AF67D4"/>
    <w:rsid w:val="00B03929"/>
    <w:rsid w:val="00B07F2D"/>
    <w:rsid w:val="00B2093E"/>
    <w:rsid w:val="00B25B7C"/>
    <w:rsid w:val="00B3011D"/>
    <w:rsid w:val="00B3177F"/>
    <w:rsid w:val="00B31B92"/>
    <w:rsid w:val="00B36F54"/>
    <w:rsid w:val="00B428BE"/>
    <w:rsid w:val="00B4658E"/>
    <w:rsid w:val="00B4682A"/>
    <w:rsid w:val="00B630F2"/>
    <w:rsid w:val="00B72598"/>
    <w:rsid w:val="00B72E52"/>
    <w:rsid w:val="00B74AAB"/>
    <w:rsid w:val="00B80F33"/>
    <w:rsid w:val="00B82B8F"/>
    <w:rsid w:val="00B95628"/>
    <w:rsid w:val="00B96343"/>
    <w:rsid w:val="00BA36DE"/>
    <w:rsid w:val="00BB2F45"/>
    <w:rsid w:val="00BB55AD"/>
    <w:rsid w:val="00BD11F9"/>
    <w:rsid w:val="00BE5ED6"/>
    <w:rsid w:val="00BE6FBD"/>
    <w:rsid w:val="00C0694E"/>
    <w:rsid w:val="00C14E9E"/>
    <w:rsid w:val="00C15658"/>
    <w:rsid w:val="00C15790"/>
    <w:rsid w:val="00C21AB9"/>
    <w:rsid w:val="00C21B68"/>
    <w:rsid w:val="00C2379D"/>
    <w:rsid w:val="00C34066"/>
    <w:rsid w:val="00C43944"/>
    <w:rsid w:val="00C43D8A"/>
    <w:rsid w:val="00C44D82"/>
    <w:rsid w:val="00C45F8A"/>
    <w:rsid w:val="00C47F29"/>
    <w:rsid w:val="00C51AFC"/>
    <w:rsid w:val="00C536E8"/>
    <w:rsid w:val="00C55A66"/>
    <w:rsid w:val="00C616DF"/>
    <w:rsid w:val="00C70B69"/>
    <w:rsid w:val="00C8099E"/>
    <w:rsid w:val="00C80CC9"/>
    <w:rsid w:val="00C81EDD"/>
    <w:rsid w:val="00C85429"/>
    <w:rsid w:val="00C91B0F"/>
    <w:rsid w:val="00C96321"/>
    <w:rsid w:val="00CA21ED"/>
    <w:rsid w:val="00CB2E3D"/>
    <w:rsid w:val="00CE51A0"/>
    <w:rsid w:val="00CF0663"/>
    <w:rsid w:val="00CF4F61"/>
    <w:rsid w:val="00D00963"/>
    <w:rsid w:val="00D01BE9"/>
    <w:rsid w:val="00D07983"/>
    <w:rsid w:val="00D12501"/>
    <w:rsid w:val="00D200E8"/>
    <w:rsid w:val="00D2639D"/>
    <w:rsid w:val="00D27D39"/>
    <w:rsid w:val="00D3463F"/>
    <w:rsid w:val="00D34EB6"/>
    <w:rsid w:val="00D356A3"/>
    <w:rsid w:val="00D40819"/>
    <w:rsid w:val="00D41335"/>
    <w:rsid w:val="00D43D03"/>
    <w:rsid w:val="00D64E65"/>
    <w:rsid w:val="00D659C5"/>
    <w:rsid w:val="00D703A6"/>
    <w:rsid w:val="00D81F8F"/>
    <w:rsid w:val="00D86239"/>
    <w:rsid w:val="00DA4965"/>
    <w:rsid w:val="00DB12FA"/>
    <w:rsid w:val="00DB1A44"/>
    <w:rsid w:val="00DB5C0B"/>
    <w:rsid w:val="00DC75C1"/>
    <w:rsid w:val="00DD5682"/>
    <w:rsid w:val="00DE5133"/>
    <w:rsid w:val="00DE7B41"/>
    <w:rsid w:val="00E07942"/>
    <w:rsid w:val="00E162DC"/>
    <w:rsid w:val="00E27147"/>
    <w:rsid w:val="00E27310"/>
    <w:rsid w:val="00E5434B"/>
    <w:rsid w:val="00E545EA"/>
    <w:rsid w:val="00E564CD"/>
    <w:rsid w:val="00E636E4"/>
    <w:rsid w:val="00E661EE"/>
    <w:rsid w:val="00E72687"/>
    <w:rsid w:val="00E736CB"/>
    <w:rsid w:val="00E76C8C"/>
    <w:rsid w:val="00E77183"/>
    <w:rsid w:val="00E8342B"/>
    <w:rsid w:val="00E93F86"/>
    <w:rsid w:val="00EA113C"/>
    <w:rsid w:val="00EB04CB"/>
    <w:rsid w:val="00EB3070"/>
    <w:rsid w:val="00EC30F9"/>
    <w:rsid w:val="00EC3DF4"/>
    <w:rsid w:val="00EC5946"/>
    <w:rsid w:val="00ED337C"/>
    <w:rsid w:val="00ED5B69"/>
    <w:rsid w:val="00EE10EC"/>
    <w:rsid w:val="00EE7EF0"/>
    <w:rsid w:val="00EF30E2"/>
    <w:rsid w:val="00EF539D"/>
    <w:rsid w:val="00F04545"/>
    <w:rsid w:val="00F04568"/>
    <w:rsid w:val="00F15927"/>
    <w:rsid w:val="00F21FBE"/>
    <w:rsid w:val="00F43565"/>
    <w:rsid w:val="00F43ADD"/>
    <w:rsid w:val="00F4584F"/>
    <w:rsid w:val="00F478A5"/>
    <w:rsid w:val="00F50679"/>
    <w:rsid w:val="00F5283F"/>
    <w:rsid w:val="00F701D2"/>
    <w:rsid w:val="00F70E31"/>
    <w:rsid w:val="00F70F06"/>
    <w:rsid w:val="00F730A2"/>
    <w:rsid w:val="00F74950"/>
    <w:rsid w:val="00F74A3C"/>
    <w:rsid w:val="00F76304"/>
    <w:rsid w:val="00F77A10"/>
    <w:rsid w:val="00F77FD7"/>
    <w:rsid w:val="00F91C22"/>
    <w:rsid w:val="00F91E0D"/>
    <w:rsid w:val="00FA09D9"/>
    <w:rsid w:val="00FA2599"/>
    <w:rsid w:val="00FB04D6"/>
    <w:rsid w:val="00FB0932"/>
    <w:rsid w:val="00FB2AFF"/>
    <w:rsid w:val="00FB43E0"/>
    <w:rsid w:val="00FC2754"/>
    <w:rsid w:val="00FC3404"/>
    <w:rsid w:val="00FD2A16"/>
    <w:rsid w:val="00FD2D52"/>
    <w:rsid w:val="00FD4E6C"/>
    <w:rsid w:val="00FD52C7"/>
    <w:rsid w:val="00FE00A5"/>
    <w:rsid w:val="00FE35AE"/>
    <w:rsid w:val="00FF5DAF"/>
    <w:rsid w:val="00FF7BB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Header">
    <w:name w:val="header"/>
    <w:basedOn w:val="Normal"/>
    <w:link w:val="HeaderChar"/>
    <w:unhideWhenUsed/>
    <w:rsid w:val="00086226"/>
    <w:pPr>
      <w:tabs>
        <w:tab w:val="center" w:pos="4513"/>
        <w:tab w:val="right" w:pos="9026"/>
      </w:tabs>
    </w:pPr>
  </w:style>
  <w:style w:type="character" w:customStyle="1" w:styleId="HeaderChar">
    <w:name w:val="Header Char"/>
    <w:basedOn w:val="DefaultParagraphFont"/>
    <w:link w:val="Header"/>
    <w:rsid w:val="00086226"/>
    <w:rPr>
      <w:sz w:val="24"/>
      <w:szCs w:val="24"/>
      <w:lang w:eastAsia="en-US"/>
    </w:rPr>
  </w:style>
  <w:style w:type="paragraph" w:styleId="Footer">
    <w:name w:val="footer"/>
    <w:basedOn w:val="Normal"/>
    <w:link w:val="FooterChar"/>
    <w:unhideWhenUsed/>
    <w:rsid w:val="00086226"/>
    <w:pPr>
      <w:tabs>
        <w:tab w:val="center" w:pos="4513"/>
        <w:tab w:val="right" w:pos="9026"/>
      </w:tabs>
    </w:pPr>
  </w:style>
  <w:style w:type="character" w:customStyle="1" w:styleId="FooterChar">
    <w:name w:val="Footer Char"/>
    <w:basedOn w:val="DefaultParagraphFont"/>
    <w:link w:val="Footer"/>
    <w:rsid w:val="00086226"/>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cid:image001.png@01CF121A.2263A8C0"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964</Words>
  <Characters>5500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6452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2019-01-31T14:52:00Z</dcterms:created>
  <dcterms:modified xsi:type="dcterms:W3CDTF">2019-02-01T08:41:00Z</dcterms:modified>
</cp:coreProperties>
</file>