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7A53516" w14:textId="04BE362D" w:rsidR="003A18CF" w:rsidRDefault="0003374F" w:rsidP="003A18CF">
      <w:pPr>
        <w:spacing w:line="240" w:lineRule="auto"/>
        <w:jc w:val="center"/>
        <w:outlineLvl w:val="0"/>
      </w:pPr>
      <w:r w:rsidRPr="0003374F">
        <w:rPr>
          <w:b/>
          <w:bCs/>
          <w:noProof/>
          <w:color w:val="1F497D"/>
          <w:lang w:eastAsia="en-ZA"/>
        </w:rPr>
        <w:drawing>
          <wp:inline distT="0" distB="0" distL="0" distR="0" wp14:anchorId="5E0BAE25" wp14:editId="494504E4">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14:paraId="57F25A8B" w14:textId="77777777" w:rsidR="003A18CF" w:rsidRDefault="003A18CF" w:rsidP="003A18CF">
      <w:pPr>
        <w:spacing w:line="240" w:lineRule="auto"/>
        <w:jc w:val="center"/>
        <w:outlineLvl w:val="0"/>
      </w:pPr>
    </w:p>
    <w:p w14:paraId="07886044" w14:textId="77777777" w:rsidR="003A18CF" w:rsidRPr="00271C49" w:rsidRDefault="003A18CF" w:rsidP="003A18CF">
      <w:pPr>
        <w:spacing w:line="240" w:lineRule="auto"/>
        <w:jc w:val="center"/>
        <w:outlineLvl w:val="0"/>
        <w:rPr>
          <w:b/>
        </w:rPr>
      </w:pPr>
      <w:r w:rsidRPr="00271C49">
        <w:rPr>
          <w:b/>
        </w:rPr>
        <w:t>CONSTITUTIONAL COURT OF SOUTH AFRICA</w:t>
      </w:r>
    </w:p>
    <w:p w14:paraId="15E1B50C" w14:textId="77777777" w:rsidR="003A18CF" w:rsidRDefault="003A18CF" w:rsidP="003A18CF">
      <w:pPr>
        <w:spacing w:line="240" w:lineRule="auto"/>
      </w:pPr>
    </w:p>
    <w:p w14:paraId="0EEB4483" w14:textId="77777777" w:rsidR="003A18CF" w:rsidRPr="009C3888" w:rsidRDefault="003A18CF" w:rsidP="003A18CF">
      <w:pPr>
        <w:spacing w:line="240" w:lineRule="auto"/>
      </w:pPr>
    </w:p>
    <w:p w14:paraId="72AFFD13" w14:textId="60408BA8" w:rsidR="003A18CF" w:rsidRPr="00961263" w:rsidRDefault="003A18CF" w:rsidP="003A18CF">
      <w:pPr>
        <w:tabs>
          <w:tab w:val="right" w:pos="9029"/>
        </w:tabs>
        <w:spacing w:line="240" w:lineRule="auto"/>
      </w:pPr>
      <w:r w:rsidRPr="00961263">
        <w:tab/>
      </w:r>
      <w:r w:rsidR="00E8514C">
        <w:t xml:space="preserve">Case </w:t>
      </w:r>
      <w:r w:rsidRPr="00961263">
        <w:t xml:space="preserve">CCT </w:t>
      </w:r>
      <w:r w:rsidR="00EB3843">
        <w:t>296/17</w:t>
      </w:r>
    </w:p>
    <w:p w14:paraId="648CB78A" w14:textId="77777777" w:rsidR="003A18CF" w:rsidRDefault="003A18CF" w:rsidP="003A18CF">
      <w:pPr>
        <w:tabs>
          <w:tab w:val="left" w:pos="8998"/>
        </w:tabs>
        <w:spacing w:line="240" w:lineRule="auto"/>
      </w:pPr>
    </w:p>
    <w:p w14:paraId="056A09DE" w14:textId="77777777" w:rsidR="003A18CF" w:rsidRPr="00E6071A" w:rsidRDefault="003A18CF" w:rsidP="003A18CF">
      <w:pPr>
        <w:tabs>
          <w:tab w:val="left" w:pos="8998"/>
        </w:tabs>
        <w:spacing w:line="240" w:lineRule="auto"/>
      </w:pPr>
      <w:r w:rsidRPr="00E6071A">
        <w:t>In the matter between:</w:t>
      </w:r>
    </w:p>
    <w:p w14:paraId="5009503B" w14:textId="77777777" w:rsidR="003A18CF" w:rsidRDefault="003A18CF" w:rsidP="003A18CF">
      <w:pPr>
        <w:tabs>
          <w:tab w:val="left" w:pos="8998"/>
        </w:tabs>
        <w:spacing w:line="240" w:lineRule="auto"/>
      </w:pPr>
    </w:p>
    <w:p w14:paraId="1057C552" w14:textId="77777777" w:rsidR="003A18CF" w:rsidRPr="009C3888" w:rsidRDefault="003A18CF" w:rsidP="003A18CF">
      <w:pPr>
        <w:tabs>
          <w:tab w:val="left" w:pos="8998"/>
        </w:tabs>
        <w:spacing w:line="240" w:lineRule="auto"/>
      </w:pPr>
    </w:p>
    <w:p w14:paraId="1239A51F" w14:textId="00DFB010" w:rsidR="003A18CF" w:rsidRPr="00EE02D5" w:rsidRDefault="00EB3843" w:rsidP="003A18CF">
      <w:pPr>
        <w:tabs>
          <w:tab w:val="right" w:pos="9029"/>
        </w:tabs>
        <w:spacing w:line="240" w:lineRule="auto"/>
        <w:rPr>
          <w:szCs w:val="26"/>
        </w:rPr>
      </w:pPr>
      <w:r w:rsidRPr="00221975">
        <w:rPr>
          <w:b/>
          <w:szCs w:val="26"/>
        </w:rPr>
        <w:t>COMPETITION COMMISSION OF SOUTH AFRICA</w:t>
      </w:r>
      <w:r w:rsidR="003A18CF" w:rsidRPr="00EE02D5">
        <w:rPr>
          <w:szCs w:val="26"/>
        </w:rPr>
        <w:tab/>
        <w:t>Applicant</w:t>
      </w:r>
    </w:p>
    <w:p w14:paraId="7DAD9CEA" w14:textId="77777777" w:rsidR="003A18CF" w:rsidRPr="00EE02D5" w:rsidRDefault="003A18CF" w:rsidP="003A18CF">
      <w:pPr>
        <w:spacing w:line="240" w:lineRule="auto"/>
        <w:rPr>
          <w:szCs w:val="26"/>
        </w:rPr>
      </w:pPr>
    </w:p>
    <w:p w14:paraId="0869B0C7" w14:textId="77777777" w:rsidR="003A18CF" w:rsidRPr="00EE02D5" w:rsidRDefault="003A18CF" w:rsidP="003A18CF">
      <w:pPr>
        <w:spacing w:line="240" w:lineRule="auto"/>
        <w:rPr>
          <w:szCs w:val="26"/>
        </w:rPr>
      </w:pPr>
      <w:r w:rsidRPr="00EE02D5">
        <w:rPr>
          <w:szCs w:val="26"/>
        </w:rPr>
        <w:t>and</w:t>
      </w:r>
    </w:p>
    <w:p w14:paraId="59AF67D5" w14:textId="77777777" w:rsidR="003A18CF" w:rsidRPr="00EE02D5" w:rsidRDefault="003A18CF" w:rsidP="003A18CF">
      <w:pPr>
        <w:spacing w:line="240" w:lineRule="auto"/>
        <w:rPr>
          <w:szCs w:val="26"/>
        </w:rPr>
      </w:pPr>
    </w:p>
    <w:p w14:paraId="392F304B" w14:textId="77777777" w:rsidR="003A18CF" w:rsidRPr="00EE02D5" w:rsidRDefault="005A5801" w:rsidP="003A18CF">
      <w:pPr>
        <w:tabs>
          <w:tab w:val="right" w:pos="9029"/>
        </w:tabs>
        <w:spacing w:line="240" w:lineRule="auto"/>
        <w:rPr>
          <w:szCs w:val="26"/>
        </w:rPr>
      </w:pPr>
      <w:r>
        <w:rPr>
          <w:b/>
          <w:szCs w:val="26"/>
        </w:rPr>
        <w:t>HOSKEN CONSOLIDATED INVESTMENTS LIMITED</w:t>
      </w:r>
      <w:r w:rsidR="003A18CF" w:rsidRPr="00EE02D5">
        <w:rPr>
          <w:szCs w:val="26"/>
        </w:rPr>
        <w:tab/>
      </w:r>
      <w:r>
        <w:rPr>
          <w:szCs w:val="26"/>
        </w:rPr>
        <w:t xml:space="preserve">First </w:t>
      </w:r>
      <w:r w:rsidR="003A18CF" w:rsidRPr="00EE02D5">
        <w:rPr>
          <w:szCs w:val="26"/>
        </w:rPr>
        <w:t>Respondent</w:t>
      </w:r>
    </w:p>
    <w:p w14:paraId="625C85E2" w14:textId="77777777" w:rsidR="003A18CF" w:rsidRPr="00EE02D5" w:rsidRDefault="003A18CF" w:rsidP="003A18CF">
      <w:pPr>
        <w:tabs>
          <w:tab w:val="right" w:pos="9029"/>
        </w:tabs>
        <w:spacing w:line="240" w:lineRule="auto"/>
        <w:rPr>
          <w:szCs w:val="26"/>
        </w:rPr>
      </w:pPr>
    </w:p>
    <w:p w14:paraId="12892ABD" w14:textId="77777777" w:rsidR="003A18CF" w:rsidRPr="00EE02D5" w:rsidRDefault="005A5801" w:rsidP="003A18CF">
      <w:pPr>
        <w:tabs>
          <w:tab w:val="right" w:pos="9029"/>
        </w:tabs>
        <w:spacing w:line="240" w:lineRule="auto"/>
        <w:rPr>
          <w:szCs w:val="26"/>
        </w:rPr>
      </w:pPr>
      <w:r>
        <w:rPr>
          <w:b/>
          <w:szCs w:val="26"/>
        </w:rPr>
        <w:t>TSOGO SUN HOLDINGS LIMITED</w:t>
      </w:r>
      <w:r w:rsidR="003A18CF" w:rsidRPr="00EE02D5">
        <w:rPr>
          <w:szCs w:val="26"/>
        </w:rPr>
        <w:tab/>
      </w:r>
      <w:r>
        <w:rPr>
          <w:szCs w:val="26"/>
        </w:rPr>
        <w:t>Second Respondent</w:t>
      </w:r>
    </w:p>
    <w:p w14:paraId="33393CE6" w14:textId="77777777" w:rsidR="003A18CF" w:rsidRDefault="003A18CF" w:rsidP="003A18CF">
      <w:pPr>
        <w:spacing w:line="240" w:lineRule="auto"/>
        <w:rPr>
          <w:szCs w:val="26"/>
        </w:rPr>
      </w:pPr>
    </w:p>
    <w:p w14:paraId="35E20BC9" w14:textId="77777777" w:rsidR="00386799" w:rsidRPr="009C3888" w:rsidRDefault="00386799" w:rsidP="003A18CF">
      <w:pPr>
        <w:spacing w:line="240" w:lineRule="auto"/>
      </w:pPr>
    </w:p>
    <w:p w14:paraId="3BEAFBC1" w14:textId="77777777" w:rsidR="003A18CF" w:rsidRPr="009C3888" w:rsidRDefault="003A18CF" w:rsidP="003A18CF">
      <w:pPr>
        <w:spacing w:line="240" w:lineRule="auto"/>
      </w:pPr>
    </w:p>
    <w:p w14:paraId="40C8FDDE" w14:textId="137566CF" w:rsidR="003A18CF" w:rsidRPr="00F05BBD" w:rsidRDefault="003A18CF" w:rsidP="003A18CF">
      <w:pPr>
        <w:spacing w:line="240" w:lineRule="auto"/>
        <w:ind w:left="2160" w:hanging="2160"/>
      </w:pPr>
      <w:r w:rsidRPr="008B40EE">
        <w:rPr>
          <w:b/>
        </w:rPr>
        <w:t>Neutral citation:</w:t>
      </w:r>
      <w:r>
        <w:tab/>
      </w:r>
      <w:r w:rsidR="00043191" w:rsidRPr="00043191">
        <w:rPr>
          <w:i/>
        </w:rPr>
        <w:t xml:space="preserve">Competition Commission of South Africa v Hosken Consolidated Investments Limited and </w:t>
      </w:r>
      <w:r w:rsidR="0037084A">
        <w:rPr>
          <w:i/>
        </w:rPr>
        <w:t xml:space="preserve">Another </w:t>
      </w:r>
      <w:r>
        <w:t>[</w:t>
      </w:r>
      <w:r w:rsidR="00874BFD">
        <w:t>2019</w:t>
      </w:r>
      <w:r>
        <w:t xml:space="preserve">] ZACC </w:t>
      </w:r>
      <w:r w:rsidR="00F453E4" w:rsidRPr="00ED3ACA">
        <w:t>2</w:t>
      </w:r>
    </w:p>
    <w:p w14:paraId="79C016EB" w14:textId="77777777" w:rsidR="003A18CF" w:rsidRDefault="003A18CF" w:rsidP="003A18CF">
      <w:pPr>
        <w:spacing w:line="240" w:lineRule="auto"/>
      </w:pPr>
    </w:p>
    <w:p w14:paraId="593C3D71" w14:textId="4FDDC452" w:rsidR="003A18CF" w:rsidRDefault="003A18CF" w:rsidP="003A18CF">
      <w:pPr>
        <w:spacing w:line="240" w:lineRule="auto"/>
        <w:ind w:left="2160" w:hanging="2160"/>
      </w:pPr>
      <w:r w:rsidRPr="008B40EE">
        <w:rPr>
          <w:b/>
        </w:rPr>
        <w:t>Coram:</w:t>
      </w:r>
      <w:r>
        <w:tab/>
      </w:r>
      <w:r w:rsidR="00043191">
        <w:t xml:space="preserve">Basson AJ, </w:t>
      </w:r>
      <w:r w:rsidRPr="00232B8F">
        <w:t xml:space="preserve">Cameron J, </w:t>
      </w:r>
      <w:r w:rsidR="00043191">
        <w:t xml:space="preserve">Dlodlo AJ, </w:t>
      </w:r>
      <w:r w:rsidRPr="00232B8F">
        <w:t>Froneman</w:t>
      </w:r>
      <w:r w:rsidR="00842678">
        <w:t xml:space="preserve"> </w:t>
      </w:r>
      <w:r w:rsidRPr="00232B8F">
        <w:t xml:space="preserve">J, </w:t>
      </w:r>
      <w:r w:rsidR="00624125">
        <w:t xml:space="preserve">Goliath </w:t>
      </w:r>
      <w:r w:rsidR="00043191">
        <w:t xml:space="preserve">AJ, </w:t>
      </w:r>
      <w:r w:rsidR="00624125">
        <w:t xml:space="preserve">Khampepe </w:t>
      </w:r>
      <w:r w:rsidR="00E63C65">
        <w:t xml:space="preserve">J, </w:t>
      </w:r>
      <w:r w:rsidR="00B51330">
        <w:t xml:space="preserve">Mhlantla J, </w:t>
      </w:r>
      <w:r w:rsidR="00B82200">
        <w:t>Petse</w:t>
      </w:r>
      <w:r w:rsidR="00A37EB7">
        <w:t xml:space="preserve"> AJ</w:t>
      </w:r>
      <w:r w:rsidR="0037084A">
        <w:t xml:space="preserve"> and</w:t>
      </w:r>
      <w:r w:rsidR="00A37EB7">
        <w:t xml:space="preserve"> </w:t>
      </w:r>
      <w:r w:rsidR="00B82200">
        <w:t>Theron</w:t>
      </w:r>
      <w:r w:rsidR="00B51330">
        <w:t xml:space="preserve"> J</w:t>
      </w:r>
    </w:p>
    <w:p w14:paraId="770DEC7E" w14:textId="77777777" w:rsidR="003A18CF" w:rsidRDefault="003A18CF" w:rsidP="003A18CF">
      <w:pPr>
        <w:spacing w:line="240" w:lineRule="auto"/>
      </w:pPr>
    </w:p>
    <w:p w14:paraId="6C3692CF" w14:textId="7AAD49A3" w:rsidR="00AE7143" w:rsidRPr="000F1508" w:rsidRDefault="00AE7143" w:rsidP="00AE7143">
      <w:pPr>
        <w:spacing w:line="240" w:lineRule="auto"/>
        <w:ind w:left="2160" w:hanging="2160"/>
      </w:pPr>
      <w:r>
        <w:rPr>
          <w:b/>
        </w:rPr>
        <w:t>Judgments</w:t>
      </w:r>
      <w:r w:rsidRPr="008B40EE">
        <w:rPr>
          <w:b/>
        </w:rPr>
        <w:t>:</w:t>
      </w:r>
      <w:r>
        <w:tab/>
      </w:r>
      <w:r w:rsidR="008E3552">
        <w:t xml:space="preserve">Basson </w:t>
      </w:r>
      <w:r w:rsidR="008E3552" w:rsidRPr="000F1508">
        <w:t>AJ</w:t>
      </w:r>
      <w:r w:rsidR="00FD7A42">
        <w:t xml:space="preserve"> (unanimous</w:t>
      </w:r>
      <w:r w:rsidRPr="000F1508">
        <w:t>): [</w:t>
      </w:r>
      <w:r w:rsidR="00A37EB7" w:rsidRPr="000F1508">
        <w:t>1</w:t>
      </w:r>
      <w:r w:rsidRPr="000F1508">
        <w:t>] to [</w:t>
      </w:r>
      <w:r w:rsidR="00A37EB7" w:rsidRPr="000F1508">
        <w:t>92</w:t>
      </w:r>
      <w:r w:rsidRPr="000F1508">
        <w:t>]</w:t>
      </w:r>
    </w:p>
    <w:p w14:paraId="04AB04EA" w14:textId="37066CDF" w:rsidR="00AE7143" w:rsidRDefault="00AE7143" w:rsidP="00AE7143">
      <w:pPr>
        <w:spacing w:line="240" w:lineRule="auto"/>
        <w:ind w:left="2160" w:hanging="2160"/>
      </w:pPr>
      <w:r w:rsidRPr="000F1508">
        <w:rPr>
          <w:b/>
        </w:rPr>
        <w:tab/>
      </w:r>
      <w:r w:rsidR="00A37EB7" w:rsidRPr="000F1508">
        <w:t>Froneman J</w:t>
      </w:r>
      <w:r w:rsidRPr="000F1508">
        <w:t xml:space="preserve"> (concurring):</w:t>
      </w:r>
      <w:r>
        <w:t xml:space="preserve"> [</w:t>
      </w:r>
      <w:r w:rsidR="00A37EB7">
        <w:t>92</w:t>
      </w:r>
      <w:r>
        <w:t>] to [</w:t>
      </w:r>
      <w:r w:rsidR="00A37EB7">
        <w:t>93</w:t>
      </w:r>
      <w:r>
        <w:t>]</w:t>
      </w:r>
    </w:p>
    <w:p w14:paraId="7CDCA6EB" w14:textId="77777777" w:rsidR="00AE7143" w:rsidRDefault="00AE7143" w:rsidP="003A18CF">
      <w:pPr>
        <w:spacing w:line="240" w:lineRule="auto"/>
      </w:pPr>
    </w:p>
    <w:p w14:paraId="37FC8E1E" w14:textId="77777777" w:rsidR="003A18CF" w:rsidRPr="009C3888" w:rsidRDefault="003A18CF" w:rsidP="0044313C">
      <w:pPr>
        <w:spacing w:line="240" w:lineRule="auto"/>
        <w:ind w:left="2160" w:hanging="2160"/>
      </w:pPr>
      <w:r w:rsidRPr="008B40EE">
        <w:rPr>
          <w:b/>
        </w:rPr>
        <w:t>Heard on:</w:t>
      </w:r>
      <w:r>
        <w:tab/>
      </w:r>
      <w:r w:rsidR="00E12B0B" w:rsidRPr="00E63F29">
        <w:t>16 August 2018</w:t>
      </w:r>
    </w:p>
    <w:p w14:paraId="6EE4DB67" w14:textId="77777777" w:rsidR="003A18CF" w:rsidRPr="009C3888" w:rsidRDefault="003A18CF" w:rsidP="0044313C">
      <w:pPr>
        <w:spacing w:line="240" w:lineRule="auto"/>
        <w:ind w:left="2160" w:hanging="2160"/>
      </w:pPr>
    </w:p>
    <w:p w14:paraId="5CC1FBB2" w14:textId="00C0F492" w:rsidR="003A18CF" w:rsidRDefault="003A18CF" w:rsidP="0044313C">
      <w:pPr>
        <w:spacing w:line="240" w:lineRule="auto"/>
        <w:ind w:left="2160" w:hanging="2160"/>
      </w:pPr>
      <w:r w:rsidRPr="008B40EE">
        <w:rPr>
          <w:b/>
        </w:rPr>
        <w:t>Decided on:</w:t>
      </w:r>
      <w:r>
        <w:tab/>
      </w:r>
      <w:r w:rsidR="00C457D7" w:rsidRPr="00923A7B">
        <w:t>01 February 2019</w:t>
      </w:r>
    </w:p>
    <w:p w14:paraId="18E1D07B" w14:textId="77777777" w:rsidR="004110F6" w:rsidRDefault="004110F6" w:rsidP="003A18CF">
      <w:pPr>
        <w:spacing w:line="240" w:lineRule="auto"/>
      </w:pPr>
    </w:p>
    <w:p w14:paraId="2A07B8FB" w14:textId="46E9BF54" w:rsidR="004D02BA" w:rsidRPr="008036CF" w:rsidRDefault="004D02BA" w:rsidP="004D02BA">
      <w:pPr>
        <w:spacing w:line="240" w:lineRule="auto"/>
        <w:ind w:left="2160" w:hanging="2160"/>
      </w:pPr>
      <w:r>
        <w:rPr>
          <w:b/>
        </w:rPr>
        <w:t>Summary:</w:t>
      </w:r>
      <w:r>
        <w:rPr>
          <w:b/>
        </w:rPr>
        <w:tab/>
      </w:r>
      <w:r w:rsidRPr="008036CF">
        <w:t>[</w:t>
      </w:r>
      <w:r w:rsidR="00BD650A" w:rsidRPr="008036CF">
        <w:t>Competition Act 89 of 1998</w:t>
      </w:r>
      <w:r w:rsidRPr="008036CF">
        <w:t xml:space="preserve">] </w:t>
      </w:r>
      <w:r w:rsidR="006724E0" w:rsidRPr="008036CF">
        <w:t>—</w:t>
      </w:r>
      <w:r w:rsidRPr="008036CF">
        <w:t xml:space="preserve"> [</w:t>
      </w:r>
      <w:r w:rsidR="00A252D7" w:rsidRPr="008036CF">
        <w:t>c</w:t>
      </w:r>
      <w:r w:rsidR="00BD650A" w:rsidRPr="008036CF">
        <w:t>hapter 3</w:t>
      </w:r>
      <w:r w:rsidR="00BA2A99" w:rsidRPr="008036CF">
        <w:t>] —</w:t>
      </w:r>
      <w:r w:rsidR="00BD650A" w:rsidRPr="008036CF">
        <w:t xml:space="preserve"> </w:t>
      </w:r>
      <w:r w:rsidR="00BA2A99" w:rsidRPr="008036CF">
        <w:t>[</w:t>
      </w:r>
      <w:r w:rsidR="00BD650A" w:rsidRPr="008036CF">
        <w:t>mergers</w:t>
      </w:r>
      <w:r w:rsidRPr="008036CF">
        <w:t xml:space="preserve">] </w:t>
      </w:r>
      <w:r w:rsidR="006724E0" w:rsidRPr="008036CF">
        <w:t>—</w:t>
      </w:r>
      <w:r w:rsidRPr="008036CF">
        <w:t xml:space="preserve"> [</w:t>
      </w:r>
      <w:r w:rsidR="00A252D7" w:rsidRPr="008036CF">
        <w:t>section </w:t>
      </w:r>
      <w:r w:rsidR="00BD650A" w:rsidRPr="008036CF">
        <w:t>12(2)</w:t>
      </w:r>
      <w:r w:rsidR="00A252D7" w:rsidRPr="008036CF">
        <w:t>] — [</w:t>
      </w:r>
      <w:r w:rsidR="00BD650A" w:rsidRPr="008036CF">
        <w:t>forms of control</w:t>
      </w:r>
      <w:r w:rsidRPr="008036CF">
        <w:t xml:space="preserve">] </w:t>
      </w:r>
      <w:r w:rsidR="006724E0" w:rsidRPr="008036CF">
        <w:t>—</w:t>
      </w:r>
      <w:r w:rsidRPr="008036CF">
        <w:t xml:space="preserve"> [</w:t>
      </w:r>
      <w:r w:rsidR="00A252D7" w:rsidRPr="008036CF">
        <w:t>n</w:t>
      </w:r>
      <w:r w:rsidR="00046E9A" w:rsidRPr="008036CF">
        <w:t>otifiability of a merger</w:t>
      </w:r>
      <w:r w:rsidRPr="008036CF">
        <w:t>]</w:t>
      </w:r>
    </w:p>
    <w:p w14:paraId="055034CD" w14:textId="77777777" w:rsidR="004D02BA" w:rsidRPr="008036CF" w:rsidRDefault="004D02BA" w:rsidP="004D02BA">
      <w:pPr>
        <w:spacing w:line="240" w:lineRule="auto"/>
        <w:ind w:left="2160" w:hanging="2160"/>
      </w:pPr>
    </w:p>
    <w:p w14:paraId="3CB558CE" w14:textId="09FCDB5A" w:rsidR="00E80A6F" w:rsidRPr="008036CF" w:rsidRDefault="00DD173C" w:rsidP="00AC57A0">
      <w:pPr>
        <w:spacing w:line="240" w:lineRule="auto"/>
        <w:ind w:left="2160"/>
      </w:pPr>
      <w:r w:rsidRPr="008036CF">
        <w:t>[</w:t>
      </w:r>
      <w:r w:rsidR="00046E9A" w:rsidRPr="008036CF">
        <w:t>Once-off principle</w:t>
      </w:r>
      <w:r w:rsidR="004D02BA" w:rsidRPr="008036CF">
        <w:t xml:space="preserve">] </w:t>
      </w:r>
      <w:r w:rsidR="006724E0" w:rsidRPr="008036CF">
        <w:t>—</w:t>
      </w:r>
      <w:r w:rsidR="004D02BA" w:rsidRPr="008036CF">
        <w:t xml:space="preserve"> [</w:t>
      </w:r>
      <w:r w:rsidR="006267E2" w:rsidRPr="008036CF">
        <w:t xml:space="preserve">Competition </w:t>
      </w:r>
      <w:r w:rsidR="00BD650A" w:rsidRPr="008036CF">
        <w:t>Commission</w:t>
      </w:r>
      <w:r w:rsidR="004D02BA" w:rsidRPr="008036CF">
        <w:t>]</w:t>
      </w:r>
      <w:r w:rsidR="006267E2" w:rsidRPr="008036CF">
        <w:t xml:space="preserve"> — [</w:t>
      </w:r>
      <w:r w:rsidR="00BD650A" w:rsidRPr="008036CF">
        <w:t>investigatory powers</w:t>
      </w:r>
      <w:r w:rsidR="00A252D7" w:rsidRPr="008036CF">
        <w:t>] — [Competition Tribunal</w:t>
      </w:r>
      <w:r w:rsidR="006267E2" w:rsidRPr="008036CF">
        <w:t>] — [</w:t>
      </w:r>
      <w:r w:rsidR="00A252D7" w:rsidRPr="008036CF">
        <w:t>jurisdiction] — [declaratory orders</w:t>
      </w:r>
      <w:r w:rsidR="006267E2" w:rsidRPr="008036CF">
        <w:t>]</w:t>
      </w:r>
    </w:p>
    <w:p w14:paraId="4009E1CD" w14:textId="77777777" w:rsidR="006F60F3" w:rsidRDefault="006F60F3" w:rsidP="00B82200">
      <w:pPr>
        <w:spacing w:line="240" w:lineRule="auto"/>
        <w:rPr>
          <w:highlight w:val="yellow"/>
        </w:rPr>
      </w:pPr>
    </w:p>
    <w:p w14:paraId="6DCC5ED5" w14:textId="77777777" w:rsidR="00920570" w:rsidRDefault="00920570" w:rsidP="00B82200">
      <w:pPr>
        <w:spacing w:line="240" w:lineRule="auto"/>
        <w:rPr>
          <w:highlight w:val="yellow"/>
        </w:rPr>
        <w:sectPr w:rsidR="00920570" w:rsidSect="009559B5">
          <w:headerReference w:type="even" r:id="rId8"/>
          <w:headerReference w:type="default" r:id="rId9"/>
          <w:footerReference w:type="even" r:id="rId10"/>
          <w:footerReference w:type="default" r:id="rId11"/>
          <w:headerReference w:type="first" r:id="rId12"/>
          <w:footerReference w:type="first" r:id="rId13"/>
          <w:pgSz w:w="11907" w:h="16839" w:code="9"/>
          <w:pgMar w:top="1440" w:right="1440" w:bottom="1440" w:left="1440" w:header="708" w:footer="708" w:gutter="0"/>
          <w:pgNumType w:start="1"/>
          <w:cols w:space="708"/>
          <w:docGrid w:linePitch="360"/>
        </w:sectPr>
      </w:pPr>
    </w:p>
    <w:p w14:paraId="56284921" w14:textId="19DA7BCE" w:rsidR="006F60F3" w:rsidRDefault="006F60F3" w:rsidP="00B82200">
      <w:pPr>
        <w:spacing w:line="240" w:lineRule="auto"/>
        <w:rPr>
          <w:highlight w:val="yellow"/>
        </w:rPr>
      </w:pPr>
    </w:p>
    <w:p w14:paraId="342DABB4" w14:textId="77777777" w:rsidR="00FC5141" w:rsidRPr="00AC57A0" w:rsidRDefault="00FC5141" w:rsidP="00B82200">
      <w:pPr>
        <w:spacing w:line="240" w:lineRule="auto"/>
        <w:rPr>
          <w:highlight w:val="yellow"/>
        </w:rPr>
      </w:pPr>
    </w:p>
    <w:p w14:paraId="2E6BBC9E" w14:textId="77777777" w:rsidR="00E80A6F" w:rsidRPr="009C3888" w:rsidRDefault="00E80A6F" w:rsidP="00E80A6F">
      <w:pPr>
        <w:keepNext/>
        <w:pBdr>
          <w:top w:val="single" w:sz="4" w:space="1" w:color="auto"/>
          <w:bottom w:val="single" w:sz="4" w:space="1" w:color="auto"/>
        </w:pBdr>
        <w:spacing w:line="240" w:lineRule="auto"/>
        <w:jc w:val="center"/>
      </w:pPr>
    </w:p>
    <w:p w14:paraId="762FCA78" w14:textId="77777777" w:rsidR="00E80A6F" w:rsidRPr="005C6482" w:rsidRDefault="00E80A6F" w:rsidP="00E80A6F">
      <w:pPr>
        <w:keepNext/>
        <w:pBdr>
          <w:top w:val="single" w:sz="4" w:space="1" w:color="auto"/>
          <w:bottom w:val="single" w:sz="4" w:space="1" w:color="auto"/>
        </w:pBdr>
        <w:spacing w:line="240" w:lineRule="auto"/>
        <w:jc w:val="center"/>
        <w:outlineLvl w:val="0"/>
        <w:rPr>
          <w:b/>
        </w:rPr>
      </w:pPr>
      <w:r>
        <w:rPr>
          <w:b/>
        </w:rPr>
        <w:t>ORDER</w:t>
      </w:r>
    </w:p>
    <w:p w14:paraId="22774BF7" w14:textId="77777777" w:rsidR="00E80A6F" w:rsidRPr="009C3888" w:rsidRDefault="00E80A6F" w:rsidP="00E80A6F">
      <w:pPr>
        <w:pBdr>
          <w:top w:val="single" w:sz="4" w:space="1" w:color="auto"/>
          <w:bottom w:val="single" w:sz="4" w:space="1" w:color="auto"/>
        </w:pBdr>
        <w:spacing w:line="240" w:lineRule="auto"/>
        <w:jc w:val="center"/>
      </w:pPr>
    </w:p>
    <w:p w14:paraId="55AA0BA2" w14:textId="77777777" w:rsidR="00E80A6F" w:rsidRDefault="00E80A6F" w:rsidP="00795D7F">
      <w:pPr>
        <w:pStyle w:val="ORDER"/>
        <w:spacing w:line="240" w:lineRule="auto"/>
        <w:ind w:left="0" w:firstLine="0"/>
      </w:pPr>
    </w:p>
    <w:p w14:paraId="1E3C2C71" w14:textId="77777777" w:rsidR="00795D7F" w:rsidRDefault="00795D7F" w:rsidP="00795D7F">
      <w:pPr>
        <w:pStyle w:val="ORDER"/>
        <w:spacing w:line="240" w:lineRule="auto"/>
        <w:ind w:left="0" w:firstLine="0"/>
      </w:pPr>
    </w:p>
    <w:p w14:paraId="14DE6AD3" w14:textId="77777777" w:rsidR="00242346" w:rsidRPr="00E80A6F" w:rsidRDefault="00242346" w:rsidP="0037084A">
      <w:pPr>
        <w:pStyle w:val="ORDER"/>
        <w:ind w:left="0" w:firstLine="0"/>
        <w:rPr>
          <w:lang w:val="en-GB"/>
        </w:rPr>
      </w:pPr>
      <w:r>
        <w:rPr>
          <w:lang w:val="en-GB"/>
        </w:rPr>
        <w:t>T</w:t>
      </w:r>
      <w:r w:rsidRPr="00E80A6F">
        <w:rPr>
          <w:lang w:val="en-GB"/>
        </w:rPr>
        <w:t>he following order is made</w:t>
      </w:r>
      <w:r>
        <w:rPr>
          <w:lang w:val="en-GB"/>
        </w:rPr>
        <w:t>:</w:t>
      </w:r>
    </w:p>
    <w:p w14:paraId="33B4E9B5" w14:textId="495C67A0" w:rsidR="00242346" w:rsidRPr="00B56F87" w:rsidRDefault="0037084A" w:rsidP="0037084A">
      <w:pPr>
        <w:pStyle w:val="ORDER"/>
        <w:rPr>
          <w:lang w:val="en-GB"/>
        </w:rPr>
      </w:pPr>
      <w:r>
        <w:rPr>
          <w:lang w:val="en-GB"/>
        </w:rPr>
        <w:t>1.</w:t>
      </w:r>
      <w:r>
        <w:rPr>
          <w:lang w:val="en-GB"/>
        </w:rPr>
        <w:tab/>
      </w:r>
      <w:r w:rsidR="00242346" w:rsidRPr="00B56F87">
        <w:rPr>
          <w:lang w:val="en-GB"/>
        </w:rPr>
        <w:t>Condonation is granted.</w:t>
      </w:r>
    </w:p>
    <w:p w14:paraId="3E76A26A" w14:textId="3CFCCD4A" w:rsidR="00242346" w:rsidRPr="00B56F87" w:rsidRDefault="0037084A" w:rsidP="0037084A">
      <w:pPr>
        <w:pStyle w:val="ORDER"/>
        <w:rPr>
          <w:lang w:val="en-GB"/>
        </w:rPr>
      </w:pPr>
      <w:r>
        <w:rPr>
          <w:lang w:val="en-GB"/>
        </w:rPr>
        <w:t>2.</w:t>
      </w:r>
      <w:r>
        <w:rPr>
          <w:lang w:val="en-GB"/>
        </w:rPr>
        <w:tab/>
      </w:r>
      <w:r w:rsidR="00242346">
        <w:rPr>
          <w:lang w:val="en-GB"/>
        </w:rPr>
        <w:t>Leave to appeal is granted.</w:t>
      </w:r>
    </w:p>
    <w:p w14:paraId="6841984B" w14:textId="09C16B90" w:rsidR="00242346" w:rsidRDefault="0037084A" w:rsidP="0037084A">
      <w:pPr>
        <w:pStyle w:val="ORDER"/>
        <w:rPr>
          <w:lang w:val="en-GB"/>
        </w:rPr>
      </w:pPr>
      <w:r>
        <w:rPr>
          <w:lang w:val="en-GB"/>
        </w:rPr>
        <w:t>3.</w:t>
      </w:r>
      <w:r>
        <w:rPr>
          <w:lang w:val="en-GB"/>
        </w:rPr>
        <w:tab/>
      </w:r>
      <w:r w:rsidR="00242346">
        <w:rPr>
          <w:lang w:val="en-GB"/>
        </w:rPr>
        <w:t>The appeal is upheld to the limited extent set out in para</w:t>
      </w:r>
      <w:r w:rsidR="00624125">
        <w:rPr>
          <w:lang w:val="en-GB"/>
        </w:rPr>
        <w:t>graph</w:t>
      </w:r>
      <w:r w:rsidR="00242346">
        <w:rPr>
          <w:lang w:val="en-GB"/>
        </w:rPr>
        <w:t xml:space="preserve"> 4.</w:t>
      </w:r>
    </w:p>
    <w:p w14:paraId="377C62A4" w14:textId="197C5B68" w:rsidR="00242346" w:rsidRDefault="0037084A" w:rsidP="0037084A">
      <w:pPr>
        <w:pStyle w:val="ORDER"/>
        <w:rPr>
          <w:lang w:val="en-GB"/>
        </w:rPr>
      </w:pPr>
      <w:r>
        <w:rPr>
          <w:lang w:val="en-GB"/>
        </w:rPr>
        <w:t>4.</w:t>
      </w:r>
      <w:r>
        <w:rPr>
          <w:lang w:val="en-GB"/>
        </w:rPr>
        <w:tab/>
      </w:r>
      <w:r w:rsidR="00242346">
        <w:rPr>
          <w:lang w:val="en-GB"/>
        </w:rPr>
        <w:t>The order made by the Competition Appeal Court is replaced with the following:</w:t>
      </w:r>
    </w:p>
    <w:p w14:paraId="39E10EE9" w14:textId="77777777" w:rsidR="00242346" w:rsidRPr="000901D2" w:rsidRDefault="00242346" w:rsidP="0037084A">
      <w:pPr>
        <w:pStyle w:val="ORDER"/>
        <w:ind w:left="720" w:right="720" w:firstLine="720"/>
        <w:rPr>
          <w:lang w:val="en-GB"/>
        </w:rPr>
      </w:pPr>
      <w:r w:rsidRPr="000901D2">
        <w:rPr>
          <w:lang w:val="en-GB"/>
        </w:rPr>
        <w:t>“It is declared that:</w:t>
      </w:r>
    </w:p>
    <w:p w14:paraId="0A05D89D" w14:textId="17A851F6" w:rsidR="00242346" w:rsidRPr="000901D2" w:rsidRDefault="00404FA6" w:rsidP="000901D2">
      <w:pPr>
        <w:pStyle w:val="ORDER"/>
        <w:ind w:left="2160"/>
      </w:pPr>
      <w:r w:rsidRPr="000901D2">
        <w:t>(a</w:t>
      </w:r>
      <w:r w:rsidR="00242346" w:rsidRPr="000901D2">
        <w:t>)</w:t>
      </w:r>
      <w:r w:rsidRPr="000901D2">
        <w:tab/>
      </w:r>
      <w:r w:rsidR="00242346" w:rsidRPr="000901D2">
        <w:t>Hosken Consolidated Investment</w:t>
      </w:r>
      <w:r w:rsidR="00A8572F">
        <w:t>s</w:t>
      </w:r>
      <w:r w:rsidR="00242346" w:rsidRPr="000901D2">
        <w:t xml:space="preserve"> Limited is not obliged to notify the 2017 transaction in terms of section 13A of the Competit</w:t>
      </w:r>
      <w:r w:rsidRPr="000901D2">
        <w:t>ion Act; and</w:t>
      </w:r>
      <w:bookmarkStart w:id="0" w:name="_GoBack"/>
      <w:bookmarkEnd w:id="0"/>
    </w:p>
    <w:p w14:paraId="1D53BBF4" w14:textId="502A9687" w:rsidR="00242346" w:rsidRPr="000901D2" w:rsidRDefault="00404FA6" w:rsidP="000901D2">
      <w:pPr>
        <w:pStyle w:val="ORDER"/>
        <w:ind w:left="2160"/>
      </w:pPr>
      <w:r w:rsidRPr="000901D2">
        <w:t>(b)</w:t>
      </w:r>
      <w:r w:rsidRPr="000901D2">
        <w:tab/>
      </w:r>
      <w:r w:rsidR="00B23B6A">
        <w:t>the order in (a</w:t>
      </w:r>
      <w:r w:rsidR="00242346" w:rsidRPr="000901D2">
        <w:t>) does not preclude the Competition Commission from investigating assurances made in the 2014 merger in terms of sections 15 and 16(3) of the Competition Act.</w:t>
      </w:r>
    </w:p>
    <w:p w14:paraId="305E4CF8" w14:textId="00E12351" w:rsidR="00242346" w:rsidRDefault="00404FA6" w:rsidP="00404FA6">
      <w:pPr>
        <w:pStyle w:val="ORDER"/>
        <w:ind w:firstLine="0"/>
      </w:pPr>
      <w:r w:rsidRPr="000901D2">
        <w:t>(c)</w:t>
      </w:r>
      <w:r w:rsidRPr="000901D2">
        <w:tab/>
      </w:r>
      <w:r w:rsidR="00242346" w:rsidRPr="000901D2">
        <w:t>There is no order as to costs.”</w:t>
      </w:r>
    </w:p>
    <w:p w14:paraId="2CBB8AF4" w14:textId="628715C0" w:rsidR="00242346" w:rsidRPr="002057A0" w:rsidRDefault="0037084A" w:rsidP="0037084A">
      <w:pPr>
        <w:pStyle w:val="ORDER"/>
        <w:rPr>
          <w:lang w:val="en-GB"/>
        </w:rPr>
      </w:pPr>
      <w:r>
        <w:rPr>
          <w:lang w:val="en-GB"/>
        </w:rPr>
        <w:t>5.</w:t>
      </w:r>
      <w:r>
        <w:rPr>
          <w:lang w:val="en-GB"/>
        </w:rPr>
        <w:tab/>
      </w:r>
      <w:r w:rsidR="00242346" w:rsidRPr="002057A0">
        <w:rPr>
          <w:lang w:val="en-GB"/>
        </w:rPr>
        <w:t>There is no order as to costs.</w:t>
      </w:r>
    </w:p>
    <w:p w14:paraId="6552F591" w14:textId="77777777" w:rsidR="00920570" w:rsidRDefault="00920570" w:rsidP="00AC57A0">
      <w:pPr>
        <w:pStyle w:val="JUDGMENTCONTINUED"/>
        <w:rPr>
          <w:lang w:val="en-GB"/>
        </w:rPr>
        <w:sectPr w:rsidR="00920570" w:rsidSect="00920570">
          <w:headerReference w:type="default" r:id="rId14"/>
          <w:footerReference w:type="default" r:id="rId15"/>
          <w:type w:val="continuous"/>
          <w:pgSz w:w="11907" w:h="16839" w:code="9"/>
          <w:pgMar w:top="1440" w:right="1440" w:bottom="1440" w:left="1440" w:header="708" w:footer="708" w:gutter="0"/>
          <w:pgNumType w:start="1"/>
          <w:cols w:space="708"/>
          <w:docGrid w:linePitch="360"/>
        </w:sectPr>
      </w:pPr>
    </w:p>
    <w:p w14:paraId="5DFA8D8D" w14:textId="4868535D" w:rsidR="00E80A6F" w:rsidRDefault="00E80A6F" w:rsidP="00795D7F">
      <w:pPr>
        <w:pStyle w:val="JUDGMENTCONTINUED"/>
        <w:spacing w:line="240" w:lineRule="auto"/>
        <w:rPr>
          <w:lang w:val="en-GB"/>
        </w:rPr>
      </w:pPr>
    </w:p>
    <w:p w14:paraId="59C756C3" w14:textId="77777777" w:rsidR="00795D7F" w:rsidRPr="00795D7F" w:rsidRDefault="00795D7F" w:rsidP="00795D7F">
      <w:pPr>
        <w:pStyle w:val="JUDGMENTNUMBERED"/>
        <w:numPr>
          <w:ilvl w:val="0"/>
          <w:numId w:val="0"/>
        </w:numPr>
        <w:spacing w:line="240" w:lineRule="auto"/>
        <w:rPr>
          <w:lang w:val="en-GB"/>
        </w:rPr>
      </w:pPr>
    </w:p>
    <w:p w14:paraId="2E7E20AC" w14:textId="77777777" w:rsidR="000704F2" w:rsidRPr="009C3888" w:rsidRDefault="000704F2" w:rsidP="00F245CE">
      <w:pPr>
        <w:keepNext/>
        <w:pBdr>
          <w:top w:val="single" w:sz="4" w:space="1" w:color="auto"/>
          <w:bottom w:val="single" w:sz="4" w:space="1" w:color="auto"/>
        </w:pBdr>
        <w:spacing w:line="240" w:lineRule="auto"/>
        <w:jc w:val="center"/>
      </w:pPr>
    </w:p>
    <w:p w14:paraId="6AD952ED" w14:textId="5D13F9BE" w:rsidR="007B7B21" w:rsidRPr="003A18CF" w:rsidRDefault="00F708F3" w:rsidP="00F245CE">
      <w:pPr>
        <w:keepNext/>
        <w:pBdr>
          <w:top w:val="single" w:sz="4" w:space="1" w:color="auto"/>
          <w:bottom w:val="single" w:sz="4" w:space="1" w:color="auto"/>
        </w:pBdr>
        <w:spacing w:line="240" w:lineRule="auto"/>
        <w:jc w:val="center"/>
        <w:outlineLvl w:val="0"/>
        <w:rPr>
          <w:b/>
        </w:rPr>
      </w:pPr>
      <w:r>
        <w:rPr>
          <w:b/>
        </w:rPr>
        <w:t>JUDGMENT</w:t>
      </w:r>
    </w:p>
    <w:p w14:paraId="32D8FE34" w14:textId="77777777" w:rsidR="000704F2" w:rsidRPr="009C3888" w:rsidRDefault="000704F2" w:rsidP="000704F2">
      <w:pPr>
        <w:pBdr>
          <w:top w:val="single" w:sz="4" w:space="1" w:color="auto"/>
          <w:bottom w:val="single" w:sz="4" w:space="1" w:color="auto"/>
        </w:pBdr>
        <w:spacing w:line="240" w:lineRule="auto"/>
        <w:jc w:val="center"/>
      </w:pPr>
    </w:p>
    <w:p w14:paraId="499CE9FB" w14:textId="77777777" w:rsidR="000704F2" w:rsidRDefault="000704F2" w:rsidP="000704F2">
      <w:pPr>
        <w:spacing w:line="240" w:lineRule="auto"/>
      </w:pPr>
    </w:p>
    <w:p w14:paraId="28CC3782" w14:textId="77777777" w:rsidR="00171105" w:rsidRPr="009C3888" w:rsidRDefault="00171105" w:rsidP="000704F2">
      <w:pPr>
        <w:spacing w:line="240" w:lineRule="auto"/>
      </w:pPr>
    </w:p>
    <w:p w14:paraId="23C91AE7" w14:textId="77777777" w:rsidR="00F12F57" w:rsidRDefault="00F12F57" w:rsidP="000704F2">
      <w:pPr>
        <w:spacing w:line="240" w:lineRule="auto"/>
      </w:pPr>
    </w:p>
    <w:p w14:paraId="76F16341" w14:textId="1F9F1C2B" w:rsidR="00A37EB7" w:rsidRPr="009C3888" w:rsidRDefault="006D281B" w:rsidP="00A37EB7">
      <w:pPr>
        <w:spacing w:line="240" w:lineRule="auto"/>
        <w:outlineLvl w:val="0"/>
      </w:pPr>
      <w:r>
        <w:t xml:space="preserve">BASSON </w:t>
      </w:r>
      <w:r w:rsidR="004D46AB">
        <w:t>AJ</w:t>
      </w:r>
      <w:r w:rsidR="00A37EB7">
        <w:t xml:space="preserve"> (</w:t>
      </w:r>
      <w:r w:rsidR="00A37EB7" w:rsidRPr="00232B8F">
        <w:t xml:space="preserve">Cameron J, </w:t>
      </w:r>
      <w:r w:rsidR="00A37EB7">
        <w:t>Dlodlo AJ</w:t>
      </w:r>
      <w:r w:rsidR="0037084A">
        <w:t>,</w:t>
      </w:r>
      <w:r w:rsidR="00A37EB7" w:rsidRPr="00232B8F">
        <w:t xml:space="preserve"> </w:t>
      </w:r>
      <w:r w:rsidR="00923A7B">
        <w:t xml:space="preserve">Froneman J, </w:t>
      </w:r>
      <w:r w:rsidR="00A37EB7">
        <w:t>Goliath AJ</w:t>
      </w:r>
      <w:r w:rsidR="00FC015A">
        <w:t>,</w:t>
      </w:r>
      <w:r w:rsidR="00923A7B">
        <w:t xml:space="preserve"> Khampepe J, Mhlantla </w:t>
      </w:r>
      <w:r w:rsidR="00A37EB7">
        <w:t>J, Petse AJ and Theron J concurring)</w:t>
      </w:r>
      <w:r w:rsidR="009321A5">
        <w:t>:</w:t>
      </w:r>
    </w:p>
    <w:p w14:paraId="78C5C739" w14:textId="7FA94AD4" w:rsidR="000704F2" w:rsidRPr="009C3888" w:rsidRDefault="000704F2" w:rsidP="004C5E77">
      <w:pPr>
        <w:spacing w:line="240" w:lineRule="auto"/>
      </w:pPr>
    </w:p>
    <w:p w14:paraId="1460AD60" w14:textId="77777777" w:rsidR="006A0DFF" w:rsidRPr="009C3888" w:rsidRDefault="006A0DFF" w:rsidP="004C5E77">
      <w:pPr>
        <w:spacing w:line="240" w:lineRule="auto"/>
      </w:pPr>
    </w:p>
    <w:p w14:paraId="7223BAE0" w14:textId="77777777" w:rsidR="00AE7602" w:rsidRDefault="001763AB" w:rsidP="00474256">
      <w:pPr>
        <w:pStyle w:val="HEADING"/>
      </w:pPr>
      <w:r>
        <w:t>Introduction</w:t>
      </w:r>
    </w:p>
    <w:p w14:paraId="705146F7" w14:textId="58AC0D20" w:rsidR="004C2AAE" w:rsidRDefault="004D46AB" w:rsidP="000C7587">
      <w:pPr>
        <w:pStyle w:val="JUDGMENTNUMBERED"/>
        <w:numPr>
          <w:ilvl w:val="0"/>
          <w:numId w:val="6"/>
        </w:numPr>
      </w:pPr>
      <w:r w:rsidRPr="004D46AB">
        <w:t xml:space="preserve">This is an application for leave to appeal </w:t>
      </w:r>
      <w:r w:rsidR="00CC2240" w:rsidRPr="004D46AB">
        <w:t xml:space="preserve">against </w:t>
      </w:r>
      <w:r w:rsidR="00CC2240">
        <w:t>a</w:t>
      </w:r>
      <w:r w:rsidR="003A6973">
        <w:t xml:space="preserve"> </w:t>
      </w:r>
      <w:r w:rsidRPr="004D46AB">
        <w:t>judgment of the Competition</w:t>
      </w:r>
      <w:r w:rsidR="001842D3">
        <w:t> </w:t>
      </w:r>
      <w:r w:rsidRPr="004D46AB">
        <w:t>Appeal Court</w:t>
      </w:r>
      <w:r w:rsidR="003A6973">
        <w:t xml:space="preserve">. </w:t>
      </w:r>
      <w:r w:rsidR="00415A1C">
        <w:t xml:space="preserve"> </w:t>
      </w:r>
      <w:r w:rsidR="00C311EC">
        <w:t>In 2017, t</w:t>
      </w:r>
      <w:r w:rsidR="004A57D1">
        <w:t>he first respondent, Hosken</w:t>
      </w:r>
      <w:r w:rsidR="00C311EC">
        <w:t xml:space="preserve"> Consolidated Investments Limited</w:t>
      </w:r>
      <w:r w:rsidR="004E3C49">
        <w:t xml:space="preserve"> (H</w:t>
      </w:r>
      <w:r w:rsidR="00B51330">
        <w:t>CI</w:t>
      </w:r>
      <w:r w:rsidR="004E3C49">
        <w:t>)</w:t>
      </w:r>
      <w:r w:rsidR="004A57D1">
        <w:t xml:space="preserve">, proposed to increase its shareholding in the second </w:t>
      </w:r>
      <w:r w:rsidR="004A57D1">
        <w:lastRenderedPageBreak/>
        <w:t>respondent, Tsogo</w:t>
      </w:r>
      <w:r w:rsidR="00B51330">
        <w:t xml:space="preserve"> </w:t>
      </w:r>
      <w:r w:rsidR="00B51330" w:rsidRPr="00B51330">
        <w:rPr>
          <w:szCs w:val="26"/>
        </w:rPr>
        <w:t>Sun Holdings Limited</w:t>
      </w:r>
      <w:r w:rsidR="00B51330">
        <w:rPr>
          <w:szCs w:val="26"/>
        </w:rPr>
        <w:t xml:space="preserve"> (Tsogo)</w:t>
      </w:r>
      <w:r w:rsidR="004A57D1">
        <w:t xml:space="preserve">, to more than 50%. </w:t>
      </w:r>
      <w:r w:rsidR="00415A1C">
        <w:t xml:space="preserve"> </w:t>
      </w:r>
      <w:r w:rsidR="004A57D1">
        <w:t>H</w:t>
      </w:r>
      <w:r w:rsidR="00B51330">
        <w:t xml:space="preserve">CI </w:t>
      </w:r>
      <w:r w:rsidR="004A57D1">
        <w:t xml:space="preserve">already exerted </w:t>
      </w:r>
      <w:r w:rsidR="004A57D1" w:rsidRPr="004A57D1">
        <w:rPr>
          <w:i/>
        </w:rPr>
        <w:t>de facto</w:t>
      </w:r>
      <w:r w:rsidR="004A57D1">
        <w:t xml:space="preserve"> control over Tsogo pursuant to an unconditional prior merger approval issued by the Competition Tribunal </w:t>
      </w:r>
      <w:r w:rsidR="00404FA6">
        <w:t xml:space="preserve">(Tribunal) </w:t>
      </w:r>
      <w:r w:rsidR="004A57D1">
        <w:t>in 2014.</w:t>
      </w:r>
      <w:r w:rsidR="00C311EC">
        <w:t xml:space="preserve"> </w:t>
      </w:r>
      <w:r w:rsidR="00CE6586">
        <w:t xml:space="preserve"> </w:t>
      </w:r>
      <w:r w:rsidR="00C311EC">
        <w:t xml:space="preserve">After the Tribunal </w:t>
      </w:r>
      <w:r w:rsidR="004E3C49">
        <w:t xml:space="preserve">refused </w:t>
      </w:r>
      <w:r w:rsidR="00C311EC">
        <w:t>to do so,</w:t>
      </w:r>
      <w:r w:rsidR="004A57D1">
        <w:t xml:space="preserve"> </w:t>
      </w:r>
      <w:r w:rsidR="00C311EC">
        <w:t>t</w:t>
      </w:r>
      <w:r w:rsidR="004A57D1">
        <w:t>he Competition Appeal Court s</w:t>
      </w:r>
      <w:r w:rsidR="003204A8">
        <w:t xml:space="preserve">ubsequently issued a </w:t>
      </w:r>
      <w:r w:rsidR="000F37F0">
        <w:t>declaratory order</w:t>
      </w:r>
      <w:r w:rsidR="004A57D1">
        <w:t xml:space="preserve"> that the proposed transaction did not requ</w:t>
      </w:r>
      <w:r w:rsidR="00404FA6">
        <w:t xml:space="preserve">ire approval by the Competition </w:t>
      </w:r>
      <w:r w:rsidR="004A57D1">
        <w:t xml:space="preserve">Commission in terms of the merger </w:t>
      </w:r>
      <w:r w:rsidR="004A57D1" w:rsidRPr="004D46AB">
        <w:t>control provisions of the Competition Act</w:t>
      </w:r>
      <w:r w:rsidR="004A57D1">
        <w:t xml:space="preserve"> (Act).</w:t>
      </w:r>
      <w:r w:rsidR="004A57D1">
        <w:rPr>
          <w:rStyle w:val="FootnoteReference"/>
        </w:rPr>
        <w:footnoteReference w:id="1"/>
      </w:r>
      <w:r w:rsidR="004A57D1" w:rsidDel="004A57D1">
        <w:rPr>
          <w:rStyle w:val="CommentReference"/>
        </w:rPr>
        <w:t xml:space="preserve"> </w:t>
      </w:r>
    </w:p>
    <w:p w14:paraId="7CBDF0BB" w14:textId="27F386CC" w:rsidR="001763AB" w:rsidRPr="001763AB" w:rsidRDefault="001763AB" w:rsidP="004A57D1">
      <w:pPr>
        <w:pStyle w:val="JUDGMENTCONTINUED"/>
      </w:pPr>
    </w:p>
    <w:p w14:paraId="49FDFC2B" w14:textId="2E4327D6" w:rsidR="004D46AB" w:rsidRDefault="004D46AB" w:rsidP="000C7587">
      <w:pPr>
        <w:pStyle w:val="JUDGMENTNUMBERED"/>
        <w:numPr>
          <w:ilvl w:val="0"/>
          <w:numId w:val="6"/>
        </w:numPr>
      </w:pPr>
      <w:r w:rsidRPr="004D46AB">
        <w:t>This judgment deals with the following two issues: first</w:t>
      </w:r>
      <w:r w:rsidR="0043090F">
        <w:t>,</w:t>
      </w:r>
      <w:r w:rsidRPr="004D46AB">
        <w:t xml:space="preserve"> whether the granting of a declaratory order was appropriate</w:t>
      </w:r>
      <w:r w:rsidR="00717A05">
        <w:t>.</w:t>
      </w:r>
      <w:r w:rsidR="001842D3">
        <w:t xml:space="preserve"> </w:t>
      </w:r>
      <w:r w:rsidR="00CD2549">
        <w:t xml:space="preserve"> </w:t>
      </w:r>
      <w:r w:rsidR="00717A05">
        <w:t>S</w:t>
      </w:r>
      <w:r w:rsidRPr="004D46AB">
        <w:t>econd</w:t>
      </w:r>
      <w:r w:rsidR="00717A05">
        <w:t>,</w:t>
      </w:r>
      <w:r w:rsidRPr="004D46AB">
        <w:t xml:space="preserve"> whether a transaction is notifiable in circumstances where an entity ha</w:t>
      </w:r>
      <w:r w:rsidR="00D73E73">
        <w:t>d</w:t>
      </w:r>
      <w:r w:rsidRPr="004D46AB">
        <w:t xml:space="preserve"> already obtained prior approval from the </w:t>
      </w:r>
      <w:r w:rsidR="00F24721">
        <w:t>C</w:t>
      </w:r>
      <w:r w:rsidRPr="004D46AB">
        <w:t xml:space="preserve">ompetition </w:t>
      </w:r>
      <w:r w:rsidR="00F24721">
        <w:t>Commission</w:t>
      </w:r>
      <w:r w:rsidR="00F24721" w:rsidRPr="004D46AB">
        <w:t xml:space="preserve"> </w:t>
      </w:r>
      <w:r w:rsidRPr="004D46AB">
        <w:t xml:space="preserve">for a merger that resulted in the acquisition of </w:t>
      </w:r>
      <w:r w:rsidRPr="00CD4CE7">
        <w:rPr>
          <w:i/>
        </w:rPr>
        <w:t>de facto</w:t>
      </w:r>
      <w:r w:rsidRPr="004D46AB">
        <w:t xml:space="preserve"> </w:t>
      </w:r>
      <w:r w:rsidR="00777D18">
        <w:t xml:space="preserve">(factual) </w:t>
      </w:r>
      <w:r w:rsidRPr="004D46AB">
        <w:t xml:space="preserve">control over an entity but subsequently </w:t>
      </w:r>
      <w:r w:rsidR="00EB774A">
        <w:t xml:space="preserve">transforms </w:t>
      </w:r>
      <w:r w:rsidRPr="004D46AB">
        <w:t xml:space="preserve">the nature of the existing control to </w:t>
      </w:r>
      <w:r w:rsidRPr="00CD4CE7">
        <w:rPr>
          <w:i/>
        </w:rPr>
        <w:t>de jure</w:t>
      </w:r>
      <w:r w:rsidR="002057A0">
        <w:t xml:space="preserve"> </w:t>
      </w:r>
      <w:r w:rsidR="00777D18">
        <w:t xml:space="preserve">(legal) </w:t>
      </w:r>
      <w:r w:rsidRPr="004D46AB">
        <w:t xml:space="preserve">control.  Both questions were considered by the </w:t>
      </w:r>
      <w:r w:rsidR="00D6225C">
        <w:t>C</w:t>
      </w:r>
      <w:r w:rsidR="00404FA6">
        <w:t>ompetition </w:t>
      </w:r>
      <w:r w:rsidR="00D6225C">
        <w:t>A</w:t>
      </w:r>
      <w:r w:rsidR="00D73E73">
        <w:t xml:space="preserve">ppeal </w:t>
      </w:r>
      <w:r w:rsidR="00D6225C">
        <w:t>C</w:t>
      </w:r>
      <w:r w:rsidR="00D73E73">
        <w:t>ourt</w:t>
      </w:r>
      <w:r w:rsidR="00D6225C">
        <w:t xml:space="preserve"> </w:t>
      </w:r>
      <w:r w:rsidRPr="004D46AB">
        <w:t xml:space="preserve">and decided in favour of </w:t>
      </w:r>
      <w:r w:rsidR="00F24721">
        <w:t>H</w:t>
      </w:r>
      <w:r w:rsidR="00B51330">
        <w:t xml:space="preserve">CI </w:t>
      </w:r>
      <w:r w:rsidR="00F24721">
        <w:t>and Tsogo</w:t>
      </w:r>
      <w:r w:rsidRPr="004D46AB">
        <w:t>.</w:t>
      </w:r>
    </w:p>
    <w:p w14:paraId="423FF396" w14:textId="77777777" w:rsidR="009211CF" w:rsidRPr="009211CF" w:rsidRDefault="009211CF" w:rsidP="009211CF">
      <w:pPr>
        <w:pStyle w:val="JUDGMENTCONTINUED"/>
      </w:pPr>
    </w:p>
    <w:p w14:paraId="2FBFECD1" w14:textId="07C4EEEA" w:rsidR="004D46AB" w:rsidRPr="004D46AB" w:rsidRDefault="004D46AB" w:rsidP="004D46AB">
      <w:pPr>
        <w:pStyle w:val="HEADING"/>
      </w:pPr>
      <w:r w:rsidRPr="00E07CA2">
        <w:t>The parties</w:t>
      </w:r>
    </w:p>
    <w:p w14:paraId="6F77EAD7" w14:textId="735A4FDF" w:rsidR="00B144AB" w:rsidRDefault="00EC7680" w:rsidP="000C7587">
      <w:pPr>
        <w:pStyle w:val="JUDGMENTNUMBERED"/>
        <w:numPr>
          <w:ilvl w:val="0"/>
          <w:numId w:val="6"/>
        </w:numPr>
      </w:pPr>
      <w:r w:rsidRPr="00E07CA2">
        <w:t>The applicant is the Competition Commission</w:t>
      </w:r>
      <w:r w:rsidR="004A513C">
        <w:t xml:space="preserve"> of South Africa (Commission)</w:t>
      </w:r>
      <w:r w:rsidRPr="00E07CA2">
        <w:t xml:space="preserve"> established in terms of section 19 of the Act. </w:t>
      </w:r>
      <w:r w:rsidR="00D6225C">
        <w:t xml:space="preserve"> </w:t>
      </w:r>
      <w:r w:rsidR="00B51330">
        <w:t>HCI</w:t>
      </w:r>
      <w:r w:rsidR="00B144AB" w:rsidRPr="00E07CA2">
        <w:t xml:space="preserve"> is a black empowerment investment</w:t>
      </w:r>
      <w:r w:rsidR="001F290C">
        <w:noBreakHyphen/>
      </w:r>
      <w:r w:rsidR="00B144AB" w:rsidRPr="00E07CA2">
        <w:t>holding company listed on the Johannesburg Stock</w:t>
      </w:r>
      <w:r w:rsidR="004214D6">
        <w:t xml:space="preserve"> </w:t>
      </w:r>
      <w:r w:rsidR="00B144AB" w:rsidRPr="00E07CA2">
        <w:t xml:space="preserve">Exchange. </w:t>
      </w:r>
      <w:r w:rsidR="00EE660A">
        <w:t xml:space="preserve"> </w:t>
      </w:r>
      <w:r w:rsidR="00B144AB" w:rsidRPr="00E07CA2">
        <w:t>HCI’s m</w:t>
      </w:r>
      <w:r w:rsidR="00DA32CC">
        <w:t>ajor stakeholder is the SACTWU I</w:t>
      </w:r>
      <w:r w:rsidR="00B144AB" w:rsidRPr="00E07CA2">
        <w:t xml:space="preserve">nvestment Group which is </w:t>
      </w:r>
      <w:r w:rsidR="00D73E73">
        <w:t xml:space="preserve">an </w:t>
      </w:r>
      <w:r w:rsidR="00B144AB" w:rsidRPr="00E07CA2">
        <w:t xml:space="preserve">investment vehicle for the South African Clothing and Textile Workers Union. </w:t>
      </w:r>
      <w:r w:rsidR="00EE660A">
        <w:t xml:space="preserve"> </w:t>
      </w:r>
      <w:r w:rsidR="00B144AB" w:rsidRPr="00E07CA2">
        <w:t xml:space="preserve">HCI’s areas of investment include, </w:t>
      </w:r>
      <w:r w:rsidR="00B144AB" w:rsidRPr="00717A05">
        <w:rPr>
          <w:i/>
        </w:rPr>
        <w:t>inter alia</w:t>
      </w:r>
      <w:r w:rsidR="00B144AB" w:rsidRPr="00E07CA2">
        <w:t>, the casino and non-casino gaming and entertainment sectors.  The second respondent</w:t>
      </w:r>
      <w:r w:rsidR="00B51330">
        <w:t xml:space="preserve">, </w:t>
      </w:r>
      <w:r w:rsidR="000C0CE1">
        <w:t>Tsogo,</w:t>
      </w:r>
      <w:r w:rsidR="00190938">
        <w:t xml:space="preserve"> is</w:t>
      </w:r>
      <w:r w:rsidR="004A513C">
        <w:t xml:space="preserve"> a subsidiary of HCI</w:t>
      </w:r>
      <w:r w:rsidR="00B144AB" w:rsidRPr="00E07CA2">
        <w:t>.  Both respondents form part of a corporate structure</w:t>
      </w:r>
      <w:r w:rsidR="00507429">
        <w:t xml:space="preserve"> (the HCI Group)</w:t>
      </w:r>
      <w:r w:rsidR="00126AE5">
        <w:t>,</w:t>
      </w:r>
      <w:r w:rsidR="00474256">
        <w:t xml:space="preserve"> of which HCI </w:t>
      </w:r>
      <w:r w:rsidR="006F2802">
        <w:t>is</w:t>
      </w:r>
      <w:r w:rsidR="00474256">
        <w:t xml:space="preserve"> the </w:t>
      </w:r>
      <w:r w:rsidR="006F2802">
        <w:t>holding company</w:t>
      </w:r>
      <w:r w:rsidR="00B144AB" w:rsidRPr="00E07CA2">
        <w:t>.</w:t>
      </w:r>
    </w:p>
    <w:p w14:paraId="667933F0" w14:textId="77777777" w:rsidR="00B144AB" w:rsidRDefault="00B144AB" w:rsidP="00B144AB">
      <w:pPr>
        <w:pStyle w:val="JUDGMENTCONTINUED"/>
      </w:pPr>
    </w:p>
    <w:p w14:paraId="52CA6583" w14:textId="77777777" w:rsidR="00B157C8" w:rsidRPr="00B157C8" w:rsidRDefault="00B157C8" w:rsidP="006F2802">
      <w:pPr>
        <w:pStyle w:val="HEADING"/>
      </w:pPr>
      <w:r>
        <w:t>Factual background</w:t>
      </w:r>
    </w:p>
    <w:p w14:paraId="39A53EF0" w14:textId="426B881A" w:rsidR="0015227C" w:rsidRDefault="0015227C" w:rsidP="000C7587">
      <w:pPr>
        <w:pStyle w:val="JUDGMENTNUMBERED"/>
        <w:numPr>
          <w:ilvl w:val="0"/>
          <w:numId w:val="6"/>
        </w:numPr>
      </w:pPr>
      <w:r w:rsidRPr="00E07CA2">
        <w:t>The fact</w:t>
      </w:r>
      <w:r w:rsidR="003F086B">
        <w:t>s</w:t>
      </w:r>
      <w:r w:rsidRPr="00E07CA2">
        <w:t xml:space="preserve"> </w:t>
      </w:r>
      <w:r w:rsidR="003F086B">
        <w:t xml:space="preserve">are </w:t>
      </w:r>
      <w:r w:rsidRPr="00E07CA2">
        <w:t xml:space="preserve">not in dispute. </w:t>
      </w:r>
      <w:r w:rsidR="00EE660A">
        <w:t xml:space="preserve"> </w:t>
      </w:r>
      <w:r w:rsidR="00F24721">
        <w:t>Before</w:t>
      </w:r>
      <w:r w:rsidRPr="00E07CA2">
        <w:t xml:space="preserve"> 2014, Tsogo was subject to the joint control of HCI and SABMiller plc (SABMiller). </w:t>
      </w:r>
      <w:r w:rsidR="00EE660A">
        <w:t xml:space="preserve"> </w:t>
      </w:r>
      <w:r w:rsidRPr="00E07CA2">
        <w:t>HCI held 39% and SABMiller 41% of the shares in Tsogo.  In 2014 SABMiller disinvested itself of its shareholding in Tsogo</w:t>
      </w:r>
      <w:r w:rsidR="00380168">
        <w:t xml:space="preserve"> with </w:t>
      </w:r>
      <w:r w:rsidR="00380168">
        <w:lastRenderedPageBreak/>
        <w:t>t</w:t>
      </w:r>
      <w:r w:rsidRPr="00E07CA2">
        <w:t>he effect that HCI’s beneficial shareholding in Tsogo, which it held through Tsogo Investment Holding Company (Pty) L</w:t>
      </w:r>
      <w:r w:rsidR="00357775">
        <w:t>imi</w:t>
      </w:r>
      <w:r w:rsidRPr="00E07CA2">
        <w:t>t</w:t>
      </w:r>
      <w:r w:rsidR="00357775">
        <w:t>e</w:t>
      </w:r>
      <w:r w:rsidRPr="00E07CA2">
        <w:t xml:space="preserve">d (TIHC), </w:t>
      </w:r>
      <w:r w:rsidR="007C49FD">
        <w:t xml:space="preserve">would </w:t>
      </w:r>
      <w:r w:rsidRPr="00E07CA2">
        <w:t>increase to 47.61%</w:t>
      </w:r>
      <w:r w:rsidR="007D1A0C">
        <w:t xml:space="preserve">. </w:t>
      </w:r>
      <w:r w:rsidRPr="00E07CA2">
        <w:t xml:space="preserve"> </w:t>
      </w:r>
      <w:r w:rsidR="007D1A0C">
        <w:t>HCI became</w:t>
      </w:r>
      <w:r w:rsidRPr="00E07CA2">
        <w:t xml:space="preserve"> the largest shareholder in</w:t>
      </w:r>
      <w:r w:rsidR="007D1A0C">
        <w:t xml:space="preserve"> Tsogo by a considerable margin</w:t>
      </w:r>
      <w:r w:rsidRPr="00E07CA2">
        <w:t xml:space="preserve"> </w:t>
      </w:r>
      <w:r w:rsidR="00F74A05">
        <w:t xml:space="preserve">and </w:t>
      </w:r>
      <w:r w:rsidRPr="00E07CA2">
        <w:t xml:space="preserve">the </w:t>
      </w:r>
      <w:r w:rsidR="007357F6" w:rsidRPr="007357F6">
        <w:rPr>
          <w:i/>
        </w:rPr>
        <w:t>de facto</w:t>
      </w:r>
      <w:r w:rsidR="007357F6">
        <w:t xml:space="preserve"> </w:t>
      </w:r>
      <w:r w:rsidRPr="00E07CA2">
        <w:t>controller of Tsogo.</w:t>
      </w:r>
    </w:p>
    <w:p w14:paraId="136C49B1" w14:textId="77777777" w:rsidR="0015227C" w:rsidRPr="0015227C" w:rsidRDefault="0015227C" w:rsidP="0015227C">
      <w:pPr>
        <w:pStyle w:val="JUDGMENTCONTINUED"/>
      </w:pPr>
    </w:p>
    <w:p w14:paraId="3C53D03C" w14:textId="485BD53D" w:rsidR="004E4E00" w:rsidRDefault="004E4E00" w:rsidP="000C7587">
      <w:pPr>
        <w:pStyle w:val="JUDGMENTNUMBERED"/>
        <w:numPr>
          <w:ilvl w:val="0"/>
          <w:numId w:val="6"/>
        </w:numPr>
      </w:pPr>
      <w:r w:rsidRPr="00E07CA2">
        <w:t>At the time HCI also had a</w:t>
      </w:r>
      <w:r w:rsidR="00F61880">
        <w:t xml:space="preserve"> </w:t>
      </w:r>
      <w:r w:rsidR="000F7591">
        <w:t>51.7</w:t>
      </w:r>
      <w:r w:rsidR="00F61880">
        <w:t>%</w:t>
      </w:r>
      <w:r w:rsidRPr="00E07CA2">
        <w:t xml:space="preserve"> controlling shareholding interest in gaming and leisure activities through </w:t>
      </w:r>
      <w:r w:rsidR="000F7591">
        <w:t xml:space="preserve">its subsidiary </w:t>
      </w:r>
      <w:r w:rsidR="000F7591" w:rsidRPr="000F7591">
        <w:t>Niveus Investments L</w:t>
      </w:r>
      <w:r w:rsidR="00507025">
        <w:t>imi</w:t>
      </w:r>
      <w:r w:rsidR="000F7591" w:rsidRPr="000F7591">
        <w:t>t</w:t>
      </w:r>
      <w:r w:rsidR="00507025">
        <w:t>e</w:t>
      </w:r>
      <w:r w:rsidR="000F7591" w:rsidRPr="000F7591">
        <w:t>d (Niveus)</w:t>
      </w:r>
      <w:r w:rsidR="00AD0E7D">
        <w:t>, which wholly owned Niveus Invest 19 Limited (GameCo)</w:t>
      </w:r>
      <w:r w:rsidRPr="00E07CA2">
        <w:t xml:space="preserve"> which in turn wholly owned Galaxy Gaming and Entertainment Prop</w:t>
      </w:r>
      <w:r w:rsidR="008E7D69">
        <w:t>ri</w:t>
      </w:r>
      <w:r w:rsidRPr="00E07CA2">
        <w:t>et</w:t>
      </w:r>
      <w:r w:rsidR="008E7D69">
        <w:t>ar</w:t>
      </w:r>
      <w:r w:rsidRPr="00E07CA2">
        <w:t>y Limited (Galaxy Gaming), Vukani Gaming Corporation Prop</w:t>
      </w:r>
      <w:r w:rsidR="008E7D69">
        <w:t>ri</w:t>
      </w:r>
      <w:r w:rsidRPr="00E07CA2">
        <w:t>et</w:t>
      </w:r>
      <w:r w:rsidR="008E7D69">
        <w:t>ar</w:t>
      </w:r>
      <w:r w:rsidRPr="00E07CA2">
        <w:t xml:space="preserve">y Limited (Vukani Gaming) and Niveus Invest 1 </w:t>
      </w:r>
      <w:r w:rsidR="0063024F" w:rsidRPr="00E07CA2">
        <w:t>Prop</w:t>
      </w:r>
      <w:r w:rsidR="008E7D69">
        <w:t>ri</w:t>
      </w:r>
      <w:r w:rsidR="0063024F" w:rsidRPr="00E07CA2">
        <w:t>et</w:t>
      </w:r>
      <w:r w:rsidR="008E7D69">
        <w:t>ar</w:t>
      </w:r>
      <w:r w:rsidR="0063024F" w:rsidRPr="00E07CA2">
        <w:t>y</w:t>
      </w:r>
      <w:r w:rsidRPr="00E07CA2">
        <w:t xml:space="preserve"> Limited. </w:t>
      </w:r>
      <w:r w:rsidR="00F61880">
        <w:t xml:space="preserve"> </w:t>
      </w:r>
      <w:r w:rsidRPr="00E07CA2">
        <w:t xml:space="preserve">GameCo comprises all of </w:t>
      </w:r>
      <w:r w:rsidR="00F61880">
        <w:t xml:space="preserve">the </w:t>
      </w:r>
      <w:r w:rsidRPr="00E07CA2">
        <w:t>South African gaming interests of Niveus (other than its sports be</w:t>
      </w:r>
      <w:r w:rsidR="00D54C48">
        <w:t xml:space="preserve">tting </w:t>
      </w:r>
      <w:r w:rsidRPr="00E07CA2">
        <w:t xml:space="preserve">and lottery interests). </w:t>
      </w:r>
      <w:r w:rsidR="0063024F">
        <w:t xml:space="preserve"> </w:t>
      </w:r>
      <w:r w:rsidRPr="00E07CA2">
        <w:t>HCI held its gaming interests through Niveus and its hotel and casino interests through a number of subsidiaries in Tsogo.</w:t>
      </w:r>
    </w:p>
    <w:p w14:paraId="16A16C28" w14:textId="77777777" w:rsidR="00703C74" w:rsidRDefault="00703C74" w:rsidP="00F910E8">
      <w:pPr>
        <w:pStyle w:val="JUDGMENTCONTINUED"/>
      </w:pPr>
    </w:p>
    <w:p w14:paraId="49BF0A08" w14:textId="178CD13D" w:rsidR="00703C74" w:rsidRPr="00703C74" w:rsidRDefault="00F910E8" w:rsidP="000C7587">
      <w:pPr>
        <w:pStyle w:val="JUDGMENTNUMBERED"/>
        <w:numPr>
          <w:ilvl w:val="0"/>
          <w:numId w:val="6"/>
        </w:numPr>
      </w:pPr>
      <w:r>
        <w:t>T</w:t>
      </w:r>
      <w:r w:rsidR="00703C74">
        <w:t xml:space="preserve">he dispute arose </w:t>
      </w:r>
      <w:r w:rsidR="00560387">
        <w:t xml:space="preserve">in 2017 </w:t>
      </w:r>
      <w:r w:rsidR="00703C74">
        <w:t xml:space="preserve">when HCI sought to effect its </w:t>
      </w:r>
      <w:r>
        <w:t>proposed</w:t>
      </w:r>
      <w:r w:rsidR="00703C74">
        <w:t xml:space="preserve"> restructuring</w:t>
      </w:r>
      <w:r w:rsidR="00F24721">
        <w:t xml:space="preserve">. </w:t>
      </w:r>
      <w:r w:rsidR="00703C74">
        <w:t xml:space="preserve"> </w:t>
      </w:r>
      <w:r w:rsidR="00F24721">
        <w:t xml:space="preserve">In </w:t>
      </w:r>
      <w:r w:rsidR="00560387">
        <w:t xml:space="preserve">terms of </w:t>
      </w:r>
      <w:r w:rsidR="00F24721">
        <w:t xml:space="preserve">this </w:t>
      </w:r>
      <w:r w:rsidR="00560387">
        <w:t>HCI</w:t>
      </w:r>
      <w:r w:rsidR="007C49FD">
        <w:t xml:space="preserve"> would</w:t>
      </w:r>
      <w:r w:rsidR="00703C74" w:rsidRPr="004D46AB">
        <w:t xml:space="preserve"> increase its shareholding in Tsogo to more than 50% and </w:t>
      </w:r>
      <w:r w:rsidR="00BD227E">
        <w:t>would</w:t>
      </w:r>
      <w:r w:rsidR="00703C74" w:rsidRPr="004D46AB">
        <w:t xml:space="preserve"> consolidate all of its gaming interests (other than its sports betting and lottery interests) under Tsogo</w:t>
      </w:r>
      <w:r w:rsidR="00560387">
        <w:t xml:space="preserve"> </w:t>
      </w:r>
      <w:r w:rsidR="00703C74" w:rsidRPr="004D46AB">
        <w:t>by transferring such gaming interest owned indirectly by one of its subsidiary companies</w:t>
      </w:r>
      <w:r w:rsidR="00357775">
        <w:t xml:space="preserve"> </w:t>
      </w:r>
      <w:r w:rsidR="00703C74" w:rsidRPr="004D46AB">
        <w:t>Niveus to Tsogo</w:t>
      </w:r>
      <w:r w:rsidR="00703C74">
        <w:t>.</w:t>
      </w:r>
    </w:p>
    <w:p w14:paraId="76686BD4" w14:textId="77777777" w:rsidR="008D4526" w:rsidRPr="008D4526" w:rsidRDefault="008D4526" w:rsidP="008D4526">
      <w:pPr>
        <w:pStyle w:val="JUDGMENTCONTINUED"/>
      </w:pPr>
    </w:p>
    <w:p w14:paraId="1EFDA2A6" w14:textId="2CB3E1A3" w:rsidR="004E4E00" w:rsidRPr="004E4E00" w:rsidRDefault="00772C06" w:rsidP="008D4526">
      <w:pPr>
        <w:pStyle w:val="HEADING"/>
      </w:pPr>
      <w:r>
        <w:t xml:space="preserve">The </w:t>
      </w:r>
      <w:r w:rsidR="008D4526" w:rsidRPr="008D4526">
        <w:t>2014</w:t>
      </w:r>
      <w:r w:rsidR="00F61880">
        <w:t xml:space="preserve"> merger notification</w:t>
      </w:r>
    </w:p>
    <w:p w14:paraId="7F3EE4E0" w14:textId="4CE8287C" w:rsidR="00A62FBC" w:rsidRDefault="00DF3842" w:rsidP="000C7587">
      <w:pPr>
        <w:pStyle w:val="JUDGMENTNUMBERED"/>
        <w:numPr>
          <w:ilvl w:val="0"/>
          <w:numId w:val="6"/>
        </w:numPr>
      </w:pPr>
      <w:r w:rsidRPr="00E07CA2">
        <w:t xml:space="preserve">As a result of the disinvestment of </w:t>
      </w:r>
      <w:r w:rsidR="005E5315" w:rsidRPr="00E07CA2">
        <w:t>SABMiller</w:t>
      </w:r>
      <w:r w:rsidRPr="00E07CA2">
        <w:t xml:space="preserve">, HCI approached the </w:t>
      </w:r>
      <w:r w:rsidR="001A5C60">
        <w:t xml:space="preserve">Commission </w:t>
      </w:r>
      <w:r w:rsidRPr="00E07CA2">
        <w:t>and applied for merger approval</w:t>
      </w:r>
      <w:r w:rsidR="00A00022">
        <w:t xml:space="preserve"> </w:t>
      </w:r>
      <w:r w:rsidR="00A00022" w:rsidRPr="00E07CA2">
        <w:t>for the acquisition of sole control of Tsogo</w:t>
      </w:r>
      <w:r w:rsidR="006D7F16">
        <w:t xml:space="preserve"> (the primary target firm)</w:t>
      </w:r>
      <w:r w:rsidR="00A00022" w:rsidRPr="00E07CA2">
        <w:t>.</w:t>
      </w:r>
      <w:r w:rsidRPr="00E07CA2">
        <w:rPr>
          <w:vertAlign w:val="superscript"/>
        </w:rPr>
        <w:footnoteReference w:id="2"/>
      </w:r>
      <w:r w:rsidRPr="00E07CA2">
        <w:t xml:space="preserve"> </w:t>
      </w:r>
      <w:r w:rsidR="0063024F">
        <w:t xml:space="preserve"> </w:t>
      </w:r>
      <w:r w:rsidRPr="00E07CA2">
        <w:t xml:space="preserve">HCI also notified the </w:t>
      </w:r>
      <w:r w:rsidR="001A5C60">
        <w:t xml:space="preserve">Commission </w:t>
      </w:r>
      <w:r w:rsidRPr="00E07CA2">
        <w:t xml:space="preserve">of its intention </w:t>
      </w:r>
      <w:r w:rsidR="00BD227E">
        <w:t xml:space="preserve">in </w:t>
      </w:r>
      <w:r w:rsidR="00755568">
        <w:t xml:space="preserve">the </w:t>
      </w:r>
      <w:r w:rsidR="00BD227E">
        <w:t xml:space="preserve">future </w:t>
      </w:r>
      <w:r w:rsidRPr="00E07CA2">
        <w:t>to acquire more than 50% of Tsogo’s issued share capital within the meaning of section</w:t>
      </w:r>
      <w:r w:rsidR="00A05D7F">
        <w:t> </w:t>
      </w:r>
      <w:r w:rsidRPr="00E07CA2">
        <w:t>12(2)(a) of the Act.</w:t>
      </w:r>
      <w:r w:rsidR="0063024F">
        <w:t xml:space="preserve"> </w:t>
      </w:r>
      <w:r w:rsidRPr="00E07CA2">
        <w:t xml:space="preserve"> Although HCI at the time did not manage to cross the 50% shareholding specified in section 12(2)(a)</w:t>
      </w:r>
      <w:r w:rsidRPr="00E07CA2">
        <w:rPr>
          <w:vertAlign w:val="superscript"/>
        </w:rPr>
        <w:footnoteReference w:id="3"/>
      </w:r>
      <w:r w:rsidRPr="00E07CA2">
        <w:t xml:space="preserve"> of the Act, it was common cause that HCI effectively </w:t>
      </w:r>
      <w:r w:rsidRPr="00E07CA2">
        <w:lastRenderedPageBreak/>
        <w:t xml:space="preserve">exerted </w:t>
      </w:r>
      <w:r w:rsidR="007357F6" w:rsidRPr="007357F6">
        <w:rPr>
          <w:i/>
        </w:rPr>
        <w:t>de facto</w:t>
      </w:r>
      <w:r w:rsidR="007357F6">
        <w:t xml:space="preserve"> </w:t>
      </w:r>
      <w:r w:rsidRPr="00E07CA2">
        <w:t>control over the gaming of Tsog</w:t>
      </w:r>
      <w:r w:rsidR="0033447F">
        <w:t>o within the meaning of section</w:t>
      </w:r>
      <w:r w:rsidR="00A05D7F">
        <w:t> </w:t>
      </w:r>
      <w:r w:rsidRPr="00E07CA2">
        <w:t>12(2)(g) of the Act.</w:t>
      </w:r>
    </w:p>
    <w:p w14:paraId="40BBB508" w14:textId="77777777" w:rsidR="00EE3251" w:rsidRPr="00EE3251" w:rsidRDefault="00EE3251" w:rsidP="00EE3251">
      <w:pPr>
        <w:pStyle w:val="JUDGMENTCONTINUED"/>
      </w:pPr>
    </w:p>
    <w:p w14:paraId="0FBF0DD6" w14:textId="6A283D79" w:rsidR="00310951" w:rsidRDefault="005A650E" w:rsidP="000C7587">
      <w:pPr>
        <w:pStyle w:val="JUDGMENTNUMBERED"/>
        <w:numPr>
          <w:ilvl w:val="0"/>
          <w:numId w:val="6"/>
        </w:numPr>
      </w:pPr>
      <w:r w:rsidRPr="00E07CA2">
        <w:t xml:space="preserve">The Commission investigated the large merger as notified and recommended that the merger be approved unconditionally. </w:t>
      </w:r>
      <w:r w:rsidR="00ED7919">
        <w:t xml:space="preserve"> </w:t>
      </w:r>
      <w:r w:rsidRPr="00E07CA2">
        <w:t xml:space="preserve">The </w:t>
      </w:r>
      <w:r w:rsidR="00A00022">
        <w:t>Commission</w:t>
      </w:r>
      <w:r w:rsidR="00A00022" w:rsidRPr="00E07CA2">
        <w:t xml:space="preserve"> </w:t>
      </w:r>
      <w:r w:rsidRPr="00E07CA2">
        <w:t>specifically recorded in its report that it was the intention of HCI</w:t>
      </w:r>
      <w:r w:rsidR="00EB6F41">
        <w:t>,</w:t>
      </w:r>
      <w:r w:rsidRPr="00E07CA2">
        <w:t xml:space="preserve"> post-merger</w:t>
      </w:r>
      <w:r w:rsidR="00EB6F41">
        <w:t>,</w:t>
      </w:r>
      <w:r w:rsidRPr="00E07CA2">
        <w:t xml:space="preserve"> to ultimately increase its shareholding in Tsogo beyond 50% and thus acquire </w:t>
      </w:r>
      <w:r w:rsidRPr="00447D1E">
        <w:rPr>
          <w:i/>
        </w:rPr>
        <w:t xml:space="preserve">de </w:t>
      </w:r>
      <w:r w:rsidR="00B53261" w:rsidRPr="00447D1E">
        <w:rPr>
          <w:i/>
        </w:rPr>
        <w:t>j</w:t>
      </w:r>
      <w:r w:rsidRPr="00447D1E">
        <w:rPr>
          <w:i/>
        </w:rPr>
        <w:t>ure</w:t>
      </w:r>
      <w:r w:rsidRPr="00E07CA2">
        <w:t xml:space="preserve"> control over Tsogo</w:t>
      </w:r>
      <w:r w:rsidR="00F733C4">
        <w:t xml:space="preserve">. </w:t>
      </w:r>
      <w:r w:rsidR="001E7600">
        <w:t xml:space="preserve"> </w:t>
      </w:r>
      <w:r w:rsidR="00EE38F2">
        <w:t xml:space="preserve">It </w:t>
      </w:r>
      <w:r w:rsidR="00EE38F2" w:rsidRPr="00E9714A">
        <w:t xml:space="preserve">also accepted that HCI already enjoyed </w:t>
      </w:r>
      <w:r w:rsidR="007357F6">
        <w:t xml:space="preserve">sole </w:t>
      </w:r>
      <w:r w:rsidR="00EE38F2" w:rsidRPr="00E9714A">
        <w:t>control</w:t>
      </w:r>
      <w:r w:rsidR="00EE38F2">
        <w:t xml:space="preserve"> over Niveus’ gaming interests.</w:t>
      </w:r>
      <w:r w:rsidR="001A5C60">
        <w:t xml:space="preserve">  The </w:t>
      </w:r>
      <w:r w:rsidR="00EB6F41">
        <w:t xml:space="preserve">Tribunal </w:t>
      </w:r>
      <w:r w:rsidR="00BD227E">
        <w:t>unconditionally</w:t>
      </w:r>
      <w:r w:rsidR="00D66499">
        <w:t xml:space="preserve"> approved the proposed </w:t>
      </w:r>
      <w:r w:rsidR="00BD227E">
        <w:t>merger</w:t>
      </w:r>
      <w:r w:rsidR="00D66499">
        <w:t>.</w:t>
      </w:r>
    </w:p>
    <w:p w14:paraId="3E13E64A" w14:textId="77777777" w:rsidR="00310951" w:rsidRPr="00310951" w:rsidRDefault="00310951" w:rsidP="00F70C89">
      <w:pPr>
        <w:pStyle w:val="JUDGMENTCONTINUED"/>
      </w:pPr>
    </w:p>
    <w:p w14:paraId="76340304" w14:textId="341DDD8D" w:rsidR="00E065CC" w:rsidRPr="00447D1E" w:rsidRDefault="00E9714A" w:rsidP="000C7587">
      <w:pPr>
        <w:pStyle w:val="JUDGMENTNUMBERED"/>
        <w:numPr>
          <w:ilvl w:val="0"/>
          <w:numId w:val="6"/>
        </w:numPr>
        <w:rPr>
          <w:vertAlign w:val="superscript"/>
        </w:rPr>
      </w:pPr>
      <w:r w:rsidRPr="00E9714A">
        <w:t xml:space="preserve">After the implementation of the 2014 </w:t>
      </w:r>
      <w:r w:rsidR="00507429">
        <w:t xml:space="preserve">merger </w:t>
      </w:r>
      <w:r w:rsidRPr="00E9714A">
        <w:t>transaction, both Niveus</w:t>
      </w:r>
      <w:r w:rsidR="00447D1E">
        <w:t xml:space="preserve"> and Tsogo fell under the sole </w:t>
      </w:r>
      <w:r w:rsidRPr="00E9714A">
        <w:t>control of HCI</w:t>
      </w:r>
      <w:r w:rsidR="009211CF">
        <w:t xml:space="preserve"> in terms of the statutory definition</w:t>
      </w:r>
      <w:r w:rsidRPr="00E9714A">
        <w:t>.</w:t>
      </w:r>
      <w:r w:rsidR="003A58F6">
        <w:t xml:space="preserve"> </w:t>
      </w:r>
      <w:r w:rsidR="008E3552">
        <w:t xml:space="preserve"> </w:t>
      </w:r>
      <w:r w:rsidR="006D7F16">
        <w:t xml:space="preserve">The Commission noted that the merger did not </w:t>
      </w:r>
      <w:r w:rsidR="00E065CC" w:rsidRPr="00E07CA2">
        <w:t>raise competition concerns nor was there a geographical overlap between HCI and Tso</w:t>
      </w:r>
      <w:r w:rsidR="00407EA9">
        <w:t>g</w:t>
      </w:r>
      <w:r w:rsidR="00E065CC" w:rsidRPr="00E07CA2">
        <w:t xml:space="preserve">o in respect of casino gaming. </w:t>
      </w:r>
      <w:r w:rsidR="0069128C">
        <w:t xml:space="preserve"> </w:t>
      </w:r>
      <w:r w:rsidR="00E065CC" w:rsidRPr="00E07CA2">
        <w:t>The report</w:t>
      </w:r>
      <w:r w:rsidR="006D7F16">
        <w:t xml:space="preserve"> further </w:t>
      </w:r>
      <w:r w:rsidR="00E065CC" w:rsidRPr="00E07CA2">
        <w:t>noted that no merger</w:t>
      </w:r>
      <w:r w:rsidR="00F24721">
        <w:t>-</w:t>
      </w:r>
      <w:r w:rsidR="00E065CC" w:rsidRPr="00E07CA2">
        <w:t>related</w:t>
      </w:r>
      <w:r w:rsidR="0069128C">
        <w:t xml:space="preserve"> </w:t>
      </w:r>
      <w:r w:rsidR="00E065CC" w:rsidRPr="00E07CA2">
        <w:t>job losses were envisaged at the time.</w:t>
      </w:r>
    </w:p>
    <w:p w14:paraId="44649F59" w14:textId="77777777" w:rsidR="00943CE1" w:rsidRPr="00943CE1" w:rsidRDefault="00943CE1" w:rsidP="00943CE1">
      <w:pPr>
        <w:pStyle w:val="JUDGMENTCONTINUED"/>
      </w:pPr>
    </w:p>
    <w:p w14:paraId="6341EC93" w14:textId="77777777" w:rsidR="00E065CC" w:rsidRPr="00E065CC" w:rsidRDefault="00943CE1" w:rsidP="00943CE1">
      <w:pPr>
        <w:pStyle w:val="HEADING"/>
      </w:pPr>
      <w:r w:rsidRPr="00943CE1">
        <w:t>The 2017 transaction</w:t>
      </w:r>
    </w:p>
    <w:p w14:paraId="10DA516F" w14:textId="3246D25E" w:rsidR="00043646" w:rsidRPr="00043646" w:rsidRDefault="00D515CB" w:rsidP="000C7587">
      <w:pPr>
        <w:pStyle w:val="JUDGMENTNUMBERED"/>
        <w:numPr>
          <w:ilvl w:val="0"/>
          <w:numId w:val="6"/>
        </w:numPr>
      </w:pPr>
      <w:r w:rsidRPr="006D7F16">
        <w:rPr>
          <w:rStyle w:val="HEADINGChar"/>
          <w:i w:val="0"/>
        </w:rPr>
        <w:t>In keeping</w:t>
      </w:r>
      <w:r w:rsidRPr="00D515CB">
        <w:t xml:space="preserve"> with its stated intention to acquire more than 50% of the shares in Tsogo, HCI took a decision in December 2016 </w:t>
      </w:r>
      <w:r w:rsidR="006D7F16">
        <w:t xml:space="preserve">to reorganise and </w:t>
      </w:r>
      <w:r w:rsidR="00A974DC">
        <w:t>consolidate</w:t>
      </w:r>
      <w:r w:rsidRPr="00D515CB">
        <w:t xml:space="preserve"> all </w:t>
      </w:r>
      <w:r w:rsidR="0037029B">
        <w:t xml:space="preserve">of </w:t>
      </w:r>
      <w:r w:rsidRPr="00D515CB">
        <w:t xml:space="preserve">its various gaming interests (other than its sports betting and lottery interests) owned indirectly by one of its subsidiary companies </w:t>
      </w:r>
      <w:r w:rsidR="0092079A">
        <w:t>(</w:t>
      </w:r>
      <w:r w:rsidRPr="00D515CB">
        <w:t>Niveus</w:t>
      </w:r>
      <w:r w:rsidR="0092079A">
        <w:t>)</w:t>
      </w:r>
      <w:r w:rsidRPr="00D515CB">
        <w:t xml:space="preserve"> under Tsogo through the transfer of gaming to Tsogo. </w:t>
      </w:r>
      <w:r w:rsidR="008E3552">
        <w:t xml:space="preserve"> </w:t>
      </w:r>
      <w:r w:rsidRPr="00D515CB">
        <w:t xml:space="preserve">The transaction resulted in </w:t>
      </w:r>
      <w:r w:rsidR="0069128C">
        <w:t xml:space="preserve">HCI </w:t>
      </w:r>
      <w:r w:rsidRPr="00D515CB">
        <w:t>increasing its shareholding in Tsogo from 47% to between 50.91</w:t>
      </w:r>
      <w:r w:rsidR="000901D2">
        <w:t>%</w:t>
      </w:r>
      <w:r w:rsidRPr="00D515CB">
        <w:t xml:space="preserve"> and 51.63%. </w:t>
      </w:r>
      <w:r w:rsidR="0069128C">
        <w:t xml:space="preserve"> </w:t>
      </w:r>
      <w:r w:rsidRPr="00D515CB">
        <w:t>HCI therefore acquire</w:t>
      </w:r>
      <w:r w:rsidR="003A17D3">
        <w:t>d</w:t>
      </w:r>
      <w:r w:rsidR="007357F6">
        <w:t xml:space="preserve"> </w:t>
      </w:r>
      <w:r w:rsidRPr="0092079A">
        <w:rPr>
          <w:i/>
        </w:rPr>
        <w:t xml:space="preserve">de </w:t>
      </w:r>
      <w:r w:rsidR="00407EA9">
        <w:rPr>
          <w:i/>
        </w:rPr>
        <w:t>j</w:t>
      </w:r>
      <w:r w:rsidRPr="0092079A">
        <w:rPr>
          <w:i/>
        </w:rPr>
        <w:t>ure</w:t>
      </w:r>
      <w:r w:rsidRPr="00D515CB">
        <w:t xml:space="preserve"> control of Tsogo after the second transaction</w:t>
      </w:r>
      <w:r w:rsidR="00FC69E5">
        <w:t xml:space="preserve"> as contemplated by section 12(2)(a) of the Act.</w:t>
      </w:r>
    </w:p>
    <w:p w14:paraId="4790706D" w14:textId="77777777" w:rsidR="000C0CE1" w:rsidRPr="000C0CE1" w:rsidRDefault="000C0CE1" w:rsidP="000C0CE1">
      <w:pPr>
        <w:pStyle w:val="JUDGMENTCONTINUED"/>
      </w:pPr>
    </w:p>
    <w:p w14:paraId="2779C9B1" w14:textId="0374895F" w:rsidR="00E77257" w:rsidRDefault="00D515CB" w:rsidP="000C7587">
      <w:pPr>
        <w:pStyle w:val="JUDGMENTNUMBERED"/>
        <w:numPr>
          <w:ilvl w:val="0"/>
          <w:numId w:val="6"/>
        </w:numPr>
      </w:pPr>
      <w:r w:rsidRPr="00D515CB">
        <w:t>The following diagram</w:t>
      </w:r>
      <w:r w:rsidR="00AF35DD">
        <w:t>s</w:t>
      </w:r>
      <w:r w:rsidRPr="00D515CB">
        <w:t xml:space="preserve"> illustrate the corporate structure </w:t>
      </w:r>
      <w:r w:rsidR="004E3C49">
        <w:t>before</w:t>
      </w:r>
      <w:r w:rsidRPr="00D515CB">
        <w:t xml:space="preserve"> </w:t>
      </w:r>
      <w:r w:rsidR="00F733C4">
        <w:t xml:space="preserve">and after </w:t>
      </w:r>
      <w:r w:rsidRPr="00D515CB">
        <w:t>the 2017 proposed transaction.</w:t>
      </w:r>
    </w:p>
    <w:p w14:paraId="2F05CEDD" w14:textId="77777777" w:rsidR="001B49B5" w:rsidRDefault="001B49B5" w:rsidP="00FB1E98">
      <w:pPr>
        <w:pStyle w:val="JUDGMENTNUMBERED"/>
        <w:numPr>
          <w:ilvl w:val="0"/>
          <w:numId w:val="0"/>
        </w:numPr>
        <w:rPr>
          <w:rFonts w:eastAsiaTheme="minorEastAsia"/>
          <w:i/>
          <w:sz w:val="28"/>
          <w:szCs w:val="28"/>
        </w:rPr>
      </w:pPr>
    </w:p>
    <w:p w14:paraId="2EA244E3" w14:textId="77777777" w:rsidR="005F2EE3" w:rsidRDefault="005F2EE3" w:rsidP="005F2EE3">
      <w:pPr>
        <w:pStyle w:val="HEADING"/>
      </w:pPr>
      <w:r>
        <w:rPr>
          <w:noProof/>
          <w:lang w:eastAsia="en-ZA"/>
        </w:rPr>
        <w:lastRenderedPageBreak/>
        <mc:AlternateContent>
          <mc:Choice Requires="wpc">
            <w:drawing>
              <wp:anchor distT="0" distB="0" distL="114300" distR="114300" simplePos="0" relativeHeight="251659264" behindDoc="0" locked="0" layoutInCell="1" allowOverlap="1" wp14:anchorId="18C22F74" wp14:editId="3A078B58">
                <wp:simplePos x="0" y="0"/>
                <wp:positionH relativeFrom="page">
                  <wp:posOffset>0</wp:posOffset>
                </wp:positionH>
                <wp:positionV relativeFrom="paragraph">
                  <wp:posOffset>295275</wp:posOffset>
                </wp:positionV>
                <wp:extent cx="12598400" cy="4695825"/>
                <wp:effectExtent l="0" t="0" r="0" b="0"/>
                <wp:wrapSquare wrapText="bothSides"/>
                <wp:docPr id="5" name="Canvas 5"/>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8" name="Text Box 8"/>
                        <wps:cNvSpPr txBox="1"/>
                        <wps:spPr>
                          <a:xfrm>
                            <a:off x="2105027" y="104776"/>
                            <a:ext cx="3184525" cy="371475"/>
                          </a:xfrm>
                          <a:prstGeom prst="rect">
                            <a:avLst/>
                          </a:prstGeom>
                          <a:solidFill>
                            <a:schemeClr val="lt1"/>
                          </a:solidFill>
                          <a:ln w="6350">
                            <a:solidFill>
                              <a:prstClr val="black"/>
                            </a:solidFill>
                          </a:ln>
                        </wps:spPr>
                        <wps:txbx>
                          <w:txbxContent>
                            <w:p w14:paraId="6AC2CA9B" w14:textId="77777777" w:rsidR="00BD650A" w:rsidRPr="00472D7C" w:rsidRDefault="00BD650A" w:rsidP="005F2EE3">
                              <w:pPr>
                                <w:rPr>
                                  <w:b/>
                                </w:rPr>
                              </w:pPr>
                              <w:r w:rsidRPr="00472D7C">
                                <w:rPr>
                                  <w:b/>
                                </w:rPr>
                                <w:t>Hosken Consolidated Investments Limited</w:t>
                              </w:r>
                            </w:p>
                            <w:p w14:paraId="4DE38DD3" w14:textId="77777777" w:rsidR="00BD650A" w:rsidRDefault="00BD650A" w:rsidP="005F2EE3"/>
                          </w:txbxContent>
                        </wps:txbx>
                        <wps:bodyPr rot="0" spcFirstLastPara="0" vertOverflow="overflow" horzOverflow="overflow" vert="horz" wrap="none" lIns="91440" tIns="45720" rIns="91440" bIns="45720" numCol="1" spcCol="0" rtlCol="0" fromWordArt="0" anchor="ctr" anchorCtr="0" forceAA="0" compatLnSpc="1">
                          <a:prstTxWarp prst="textNoShape">
                            <a:avLst/>
                          </a:prstTxWarp>
                          <a:noAutofit/>
                        </wps:bodyPr>
                      </wps:wsp>
                      <wps:wsp>
                        <wps:cNvPr id="9" name="Text Box 9"/>
                        <wps:cNvSpPr txBox="1"/>
                        <wps:spPr>
                          <a:xfrm>
                            <a:off x="1241433" y="876301"/>
                            <a:ext cx="2060575" cy="342900"/>
                          </a:xfrm>
                          <a:prstGeom prst="rect">
                            <a:avLst/>
                          </a:prstGeom>
                          <a:solidFill>
                            <a:schemeClr val="lt1"/>
                          </a:solidFill>
                          <a:ln w="6350">
                            <a:solidFill>
                              <a:prstClr val="black"/>
                            </a:solidFill>
                          </a:ln>
                        </wps:spPr>
                        <wps:txbx>
                          <w:txbxContent>
                            <w:p w14:paraId="6EEB1428" w14:textId="77777777" w:rsidR="00BD650A" w:rsidRDefault="00BD650A" w:rsidP="005F2EE3">
                              <w:r>
                                <w:t>Niveus Investments Limited</w:t>
                              </w:r>
                            </w:p>
                          </w:txbxContent>
                        </wps:txbx>
                        <wps:bodyPr rot="0" spcFirstLastPara="0" vertOverflow="overflow" horzOverflow="overflow" vert="horz" wrap="none" lIns="91440" tIns="45720" rIns="91440" bIns="45720" numCol="1" spcCol="0" rtlCol="0" fromWordArt="0" anchor="ctr" anchorCtr="0" forceAA="0" compatLnSpc="1">
                          <a:prstTxWarp prst="textNoShape">
                            <a:avLst/>
                          </a:prstTxWarp>
                          <a:noAutofit/>
                        </wps:bodyPr>
                      </wps:wsp>
                      <wps:wsp>
                        <wps:cNvPr id="10" name="Text Box 10"/>
                        <wps:cNvSpPr txBox="1"/>
                        <wps:spPr>
                          <a:xfrm>
                            <a:off x="4086226" y="828676"/>
                            <a:ext cx="1871980" cy="333375"/>
                          </a:xfrm>
                          <a:prstGeom prst="rect">
                            <a:avLst/>
                          </a:prstGeom>
                          <a:solidFill>
                            <a:schemeClr val="lt1"/>
                          </a:solidFill>
                          <a:ln w="6350">
                            <a:solidFill>
                              <a:prstClr val="black"/>
                            </a:solidFill>
                          </a:ln>
                        </wps:spPr>
                        <wps:txbx>
                          <w:txbxContent>
                            <w:p w14:paraId="51DAE653" w14:textId="77777777" w:rsidR="00BD650A" w:rsidRDefault="00BD650A" w:rsidP="005F2EE3">
                              <w:r>
                                <w:t>TIH Prefco (Pty) Limited</w:t>
                              </w:r>
                            </w:p>
                          </w:txbxContent>
                        </wps:txbx>
                        <wps:bodyPr rot="0" spcFirstLastPara="0" vertOverflow="overflow" horzOverflow="overflow" vert="horz" wrap="none" lIns="91440" tIns="45720" rIns="91440" bIns="45720" numCol="1" spcCol="0" rtlCol="0" fromWordArt="0" anchor="ctr" anchorCtr="0" forceAA="0" compatLnSpc="1">
                          <a:prstTxWarp prst="textNoShape">
                            <a:avLst/>
                          </a:prstTxWarp>
                          <a:noAutofit/>
                        </wps:bodyPr>
                      </wps:wsp>
                      <wps:wsp>
                        <wps:cNvPr id="11" name="Straight Arrow Connector 11"/>
                        <wps:cNvCnPr>
                          <a:endCxn id="9" idx="0"/>
                        </wps:cNvCnPr>
                        <wps:spPr>
                          <a:xfrm>
                            <a:off x="2271721" y="476251"/>
                            <a:ext cx="0" cy="4000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 name="Straight Arrow Connector 17"/>
                        <wps:cNvCnPr/>
                        <wps:spPr>
                          <a:xfrm>
                            <a:off x="4924431" y="476251"/>
                            <a:ext cx="0" cy="3524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8" name="Text Box 18"/>
                        <wps:cNvSpPr txBox="1"/>
                        <wps:spPr>
                          <a:xfrm>
                            <a:off x="920201" y="1619252"/>
                            <a:ext cx="2757170" cy="304800"/>
                          </a:xfrm>
                          <a:prstGeom prst="rect">
                            <a:avLst/>
                          </a:prstGeom>
                          <a:solidFill>
                            <a:schemeClr val="lt1"/>
                          </a:solidFill>
                          <a:ln w="6350">
                            <a:solidFill>
                              <a:prstClr val="black"/>
                            </a:solidFill>
                          </a:ln>
                        </wps:spPr>
                        <wps:txbx>
                          <w:txbxContent>
                            <w:p w14:paraId="2E63A2C4" w14:textId="2A9BA2BC" w:rsidR="00BD650A" w:rsidRDefault="00BD650A" w:rsidP="005F2EE3">
                              <w:r>
                                <w:t xml:space="preserve">Niveus Invest 19 Limited </w:t>
                              </w:r>
                              <w:r w:rsidRPr="008E7D69">
                                <w:t>(“GameCo”)</w:t>
                              </w:r>
                            </w:p>
                            <w:p w14:paraId="3F680C39" w14:textId="77777777" w:rsidR="00BD650A" w:rsidRDefault="00BD650A" w:rsidP="005F2EE3"/>
                          </w:txbxContent>
                        </wps:txbx>
                        <wps:bodyPr rot="0" spcFirstLastPara="0" vertOverflow="overflow" horzOverflow="overflow" vert="horz" wrap="none" lIns="91440" tIns="45720" rIns="91440" bIns="45720" numCol="1" spcCol="0" rtlCol="0" fromWordArt="0" anchor="ctr" anchorCtr="0" forceAA="0" compatLnSpc="1">
                          <a:prstTxWarp prst="textNoShape">
                            <a:avLst/>
                          </a:prstTxWarp>
                          <a:noAutofit/>
                        </wps:bodyPr>
                      </wps:wsp>
                      <wps:wsp>
                        <wps:cNvPr id="19" name="Text Box 19"/>
                        <wps:cNvSpPr txBox="1"/>
                        <wps:spPr>
                          <a:xfrm>
                            <a:off x="4086226" y="1619252"/>
                            <a:ext cx="2349500" cy="314323"/>
                          </a:xfrm>
                          <a:prstGeom prst="rect">
                            <a:avLst/>
                          </a:prstGeom>
                          <a:solidFill>
                            <a:schemeClr val="lt1"/>
                          </a:solidFill>
                          <a:ln w="6350">
                            <a:solidFill>
                              <a:prstClr val="black"/>
                            </a:solidFill>
                          </a:ln>
                        </wps:spPr>
                        <wps:txbx>
                          <w:txbxContent>
                            <w:p w14:paraId="2DC7FB76" w14:textId="77777777" w:rsidR="00BD650A" w:rsidRDefault="00BD650A" w:rsidP="005F2EE3">
                              <w:r>
                                <w:t>TIHC Investments (Pty) Limited</w:t>
                              </w:r>
                            </w:p>
                          </w:txbxContent>
                        </wps:txbx>
                        <wps:bodyPr rot="0" spcFirstLastPara="0" vertOverflow="overflow" horzOverflow="overflow" vert="horz" wrap="none" lIns="91440" tIns="45720" rIns="91440" bIns="45720" numCol="1" spcCol="0" rtlCol="0" fromWordArt="0" anchor="ctr" anchorCtr="0" forceAA="0" compatLnSpc="1">
                          <a:prstTxWarp prst="textNoShape">
                            <a:avLst/>
                          </a:prstTxWarp>
                          <a:noAutofit/>
                        </wps:bodyPr>
                      </wps:wsp>
                      <wps:wsp>
                        <wps:cNvPr id="20" name="Straight Arrow Connector 20"/>
                        <wps:cNvCnPr/>
                        <wps:spPr>
                          <a:xfrm flipH="1">
                            <a:off x="2237194" y="1257296"/>
                            <a:ext cx="7216" cy="34290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1" name="Straight Arrow Connector 21"/>
                        <wps:cNvCnPr/>
                        <wps:spPr>
                          <a:xfrm flipH="1">
                            <a:off x="4957469" y="1276349"/>
                            <a:ext cx="1" cy="36195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2" name="Text Box 22"/>
                        <wps:cNvSpPr txBox="1"/>
                        <wps:spPr>
                          <a:xfrm>
                            <a:off x="680485" y="2505075"/>
                            <a:ext cx="1225550" cy="476250"/>
                          </a:xfrm>
                          <a:prstGeom prst="rect">
                            <a:avLst/>
                          </a:prstGeom>
                          <a:solidFill>
                            <a:schemeClr val="lt1"/>
                          </a:solidFill>
                          <a:ln w="6350">
                            <a:solidFill>
                              <a:prstClr val="black"/>
                            </a:solidFill>
                          </a:ln>
                        </wps:spPr>
                        <wps:txbx>
                          <w:txbxContent>
                            <w:p w14:paraId="57A8B919" w14:textId="77777777" w:rsidR="00BD650A" w:rsidRDefault="00BD650A" w:rsidP="005F2EE3">
                              <w:pPr>
                                <w:spacing w:line="240" w:lineRule="auto"/>
                              </w:pPr>
                              <w:r>
                                <w:t>Niveus Invest 1</w:t>
                              </w:r>
                            </w:p>
                            <w:p w14:paraId="7ED1E1B3" w14:textId="77777777" w:rsidR="00BD650A" w:rsidRDefault="00BD650A" w:rsidP="005F2EE3">
                              <w:pPr>
                                <w:spacing w:line="240" w:lineRule="auto"/>
                              </w:pPr>
                              <w:r>
                                <w:t xml:space="preserve"> (Pty) Limited</w:t>
                              </w:r>
                            </w:p>
                          </w:txbxContent>
                        </wps:txbx>
                        <wps:bodyPr rot="0" spcFirstLastPara="0" vertOverflow="overflow" horzOverflow="overflow" vert="horz" wrap="none" lIns="91440" tIns="45720" rIns="91440" bIns="45720" numCol="1" spcCol="0" rtlCol="0" fromWordArt="0" anchor="ctr" anchorCtr="0" forceAA="0" compatLnSpc="1">
                          <a:prstTxWarp prst="textNoShape">
                            <a:avLst/>
                          </a:prstTxWarp>
                          <a:noAutofit/>
                        </wps:bodyPr>
                      </wps:wsp>
                      <wps:wsp>
                        <wps:cNvPr id="23" name="Text Box 23"/>
                        <wps:cNvSpPr txBox="1"/>
                        <wps:spPr>
                          <a:xfrm>
                            <a:off x="1931948" y="2505076"/>
                            <a:ext cx="1249045" cy="476250"/>
                          </a:xfrm>
                          <a:prstGeom prst="rect">
                            <a:avLst/>
                          </a:prstGeom>
                          <a:solidFill>
                            <a:schemeClr val="lt1"/>
                          </a:solidFill>
                          <a:ln w="6350">
                            <a:solidFill>
                              <a:prstClr val="black"/>
                            </a:solidFill>
                          </a:ln>
                        </wps:spPr>
                        <wps:txbx>
                          <w:txbxContent>
                            <w:p w14:paraId="4547AA75" w14:textId="77777777" w:rsidR="00BD650A" w:rsidRDefault="00BD650A" w:rsidP="005F2EE3">
                              <w:r>
                                <w:t>Vukani Gaming</w:t>
                              </w:r>
                            </w:p>
                          </w:txbxContent>
                        </wps:txbx>
                        <wps:bodyPr rot="0" spcFirstLastPara="0" vertOverflow="overflow" horzOverflow="overflow" vert="horz" wrap="none" lIns="91440" tIns="45720" rIns="91440" bIns="45720" numCol="1" spcCol="0" rtlCol="0" fromWordArt="0" anchor="ctr" anchorCtr="0" forceAA="0" compatLnSpc="1">
                          <a:prstTxWarp prst="textNoShape">
                            <a:avLst/>
                          </a:prstTxWarp>
                          <a:noAutofit/>
                        </wps:bodyPr>
                      </wps:wsp>
                      <wps:wsp>
                        <wps:cNvPr id="24" name="Text Box 24"/>
                        <wps:cNvSpPr txBox="1"/>
                        <wps:spPr>
                          <a:xfrm>
                            <a:off x="3204056" y="2505076"/>
                            <a:ext cx="1239520" cy="479425"/>
                          </a:xfrm>
                          <a:prstGeom prst="rect">
                            <a:avLst/>
                          </a:prstGeom>
                          <a:solidFill>
                            <a:schemeClr val="lt1"/>
                          </a:solidFill>
                          <a:ln w="6350">
                            <a:solidFill>
                              <a:prstClr val="black"/>
                            </a:solidFill>
                          </a:ln>
                        </wps:spPr>
                        <wps:txbx>
                          <w:txbxContent>
                            <w:p w14:paraId="19624D92" w14:textId="77777777" w:rsidR="00BD650A" w:rsidRDefault="00BD650A" w:rsidP="005F2EE3">
                              <w:r>
                                <w:t>Galaxy Gaming</w:t>
                              </w:r>
                            </w:p>
                          </w:txbxContent>
                        </wps:txbx>
                        <wps:bodyPr rot="0" spcFirstLastPara="0" vertOverflow="overflow" horzOverflow="overflow" vert="horz" wrap="none" lIns="91440" tIns="45720" rIns="91440" bIns="45720" numCol="1" spcCol="0" rtlCol="0" fromWordArt="0" anchor="ctr" anchorCtr="0" forceAA="0" compatLnSpc="1">
                          <a:prstTxWarp prst="textNoShape">
                            <a:avLst/>
                          </a:prstTxWarp>
                          <a:noAutofit/>
                        </wps:bodyPr>
                      </wps:wsp>
                      <wps:wsp>
                        <wps:cNvPr id="25" name="Text Box 25"/>
                        <wps:cNvSpPr txBox="1"/>
                        <wps:spPr>
                          <a:xfrm>
                            <a:off x="4464403" y="2505076"/>
                            <a:ext cx="1959610" cy="476250"/>
                          </a:xfrm>
                          <a:prstGeom prst="rect">
                            <a:avLst/>
                          </a:prstGeom>
                          <a:solidFill>
                            <a:schemeClr val="lt1"/>
                          </a:solidFill>
                          <a:ln w="6350">
                            <a:solidFill>
                              <a:prstClr val="black"/>
                            </a:solidFill>
                          </a:ln>
                        </wps:spPr>
                        <wps:txbx>
                          <w:txbxContent>
                            <w:p w14:paraId="0BE3BBD0" w14:textId="64018D6E" w:rsidR="00BD650A" w:rsidRDefault="00BD650A" w:rsidP="005F2EE3">
                              <w:pPr>
                                <w:spacing w:line="240" w:lineRule="auto"/>
                              </w:pPr>
                              <w:r>
                                <w:t>Tsogo Investment Holding</w:t>
                              </w:r>
                            </w:p>
                            <w:p w14:paraId="3AA8BF5A" w14:textId="77777777" w:rsidR="00BD650A" w:rsidRDefault="00BD650A" w:rsidP="005F2EE3">
                              <w:pPr>
                                <w:spacing w:line="240" w:lineRule="auto"/>
                              </w:pPr>
                              <w:r>
                                <w:t>Company (Pty) Limited</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26" name="Straight Arrow Connector 26"/>
                        <wps:cNvCnPr/>
                        <wps:spPr>
                          <a:xfrm flipH="1">
                            <a:off x="1285641" y="1933575"/>
                            <a:ext cx="506094" cy="57150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7" name="Straight Arrow Connector 27"/>
                        <wps:cNvCnPr/>
                        <wps:spPr>
                          <a:xfrm>
                            <a:off x="2219331" y="1924051"/>
                            <a:ext cx="0" cy="5810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8" name="Straight Arrow Connector 28"/>
                        <wps:cNvCnPr/>
                        <wps:spPr>
                          <a:xfrm>
                            <a:off x="2949574" y="1933575"/>
                            <a:ext cx="867410" cy="54292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9" name="Straight Arrow Connector 29"/>
                        <wps:cNvCnPr/>
                        <wps:spPr>
                          <a:xfrm>
                            <a:off x="4957469" y="1981199"/>
                            <a:ext cx="0" cy="52387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18" name="Text Box 218"/>
                        <wps:cNvSpPr txBox="1"/>
                        <wps:spPr>
                          <a:xfrm>
                            <a:off x="939566" y="3524251"/>
                            <a:ext cx="812800" cy="352424"/>
                          </a:xfrm>
                          <a:prstGeom prst="rect">
                            <a:avLst/>
                          </a:prstGeom>
                          <a:solidFill>
                            <a:schemeClr val="lt1"/>
                          </a:solidFill>
                          <a:ln w="6350">
                            <a:solidFill>
                              <a:prstClr val="black"/>
                            </a:solidFill>
                          </a:ln>
                        </wps:spPr>
                        <wps:txbx>
                          <w:txbxContent>
                            <w:p w14:paraId="0208A229" w14:textId="3BEBCE8F" w:rsidR="00BD650A" w:rsidRDefault="00BD650A" w:rsidP="005F2EE3">
                              <w:r>
                                <w:t>Kuruman</w:t>
                              </w:r>
                            </w:p>
                            <w:p w14:paraId="2041AA21" w14:textId="77777777" w:rsidR="00BD650A" w:rsidRDefault="00BD650A" w:rsidP="005F2EE3">
                              <w:r>
                                <w:t xml:space="preserve"> </w:t>
                              </w:r>
                            </w:p>
                            <w:p w14:paraId="1228866A" w14:textId="77777777" w:rsidR="00BD650A" w:rsidRDefault="00BD650A" w:rsidP="005F2EE3">
                              <w:r>
                                <w:t xml:space="preserve"> 67</w:t>
                              </w:r>
                            </w:p>
                            <w:p w14:paraId="37B9537F" w14:textId="77777777" w:rsidR="00BD650A" w:rsidRDefault="00BD650A" w:rsidP="005F2EE3"/>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219" name="Text Box 219"/>
                        <wps:cNvSpPr txBox="1"/>
                        <wps:spPr>
                          <a:xfrm>
                            <a:off x="4171953" y="3514728"/>
                            <a:ext cx="2111375" cy="342899"/>
                          </a:xfrm>
                          <a:prstGeom prst="rect">
                            <a:avLst/>
                          </a:prstGeom>
                          <a:solidFill>
                            <a:schemeClr val="lt1"/>
                          </a:solidFill>
                          <a:ln w="6350">
                            <a:solidFill>
                              <a:prstClr val="black"/>
                            </a:solidFill>
                          </a:ln>
                        </wps:spPr>
                        <wps:txbx>
                          <w:txbxContent>
                            <w:p w14:paraId="2D6F991A" w14:textId="77777777" w:rsidR="00BD650A" w:rsidRDefault="00BD650A" w:rsidP="005F2EE3">
                              <w:r>
                                <w:t>Tsogo Sun Holdings Limited</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244" name="Straight Arrow Connector 244"/>
                        <wps:cNvCnPr/>
                        <wps:spPr>
                          <a:xfrm>
                            <a:off x="1276350" y="2981326"/>
                            <a:ext cx="0" cy="5429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45" name="Straight Arrow Connector 245"/>
                        <wps:cNvCnPr/>
                        <wps:spPr>
                          <a:xfrm>
                            <a:off x="4950472" y="2981325"/>
                            <a:ext cx="0" cy="53340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47" name="Text Box 247"/>
                        <wps:cNvSpPr txBox="1"/>
                        <wps:spPr>
                          <a:xfrm>
                            <a:off x="5073651" y="2143126"/>
                            <a:ext cx="781050" cy="266702"/>
                          </a:xfrm>
                          <a:prstGeom prst="rect">
                            <a:avLst/>
                          </a:prstGeom>
                          <a:solidFill>
                            <a:schemeClr val="lt1"/>
                          </a:solidFill>
                          <a:ln w="6350">
                            <a:noFill/>
                          </a:ln>
                        </wps:spPr>
                        <wps:txbx>
                          <w:txbxContent>
                            <w:p w14:paraId="227D58D1" w14:textId="77777777" w:rsidR="00BD650A" w:rsidRDefault="00BD650A" w:rsidP="005F2EE3">
                              <w:r>
                                <w:t>90.357%</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248" name="Text Box 248"/>
                        <wps:cNvSpPr txBox="1"/>
                        <wps:spPr>
                          <a:xfrm>
                            <a:off x="5054601" y="1219199"/>
                            <a:ext cx="574675" cy="276225"/>
                          </a:xfrm>
                          <a:prstGeom prst="rect">
                            <a:avLst/>
                          </a:prstGeom>
                          <a:solidFill>
                            <a:schemeClr val="lt1"/>
                          </a:solidFill>
                          <a:ln w="6350">
                            <a:noFill/>
                          </a:ln>
                        </wps:spPr>
                        <wps:txbx>
                          <w:txbxContent>
                            <w:p w14:paraId="4BDACBD4" w14:textId="77777777" w:rsidR="00BD650A" w:rsidRDefault="00BD650A" w:rsidP="005F2EE3">
                              <w:r>
                                <w:t>100%</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249" name="Text Box 249"/>
                        <wps:cNvSpPr txBox="1"/>
                        <wps:spPr>
                          <a:xfrm>
                            <a:off x="5073651" y="523876"/>
                            <a:ext cx="574675" cy="247650"/>
                          </a:xfrm>
                          <a:prstGeom prst="rect">
                            <a:avLst/>
                          </a:prstGeom>
                          <a:solidFill>
                            <a:schemeClr val="lt1"/>
                          </a:solidFill>
                          <a:ln w="6350">
                            <a:noFill/>
                          </a:ln>
                        </wps:spPr>
                        <wps:txbx>
                          <w:txbxContent>
                            <w:p w14:paraId="24A4F610" w14:textId="77777777" w:rsidR="00BD650A" w:rsidRDefault="00BD650A" w:rsidP="005F2EE3">
                              <w:r>
                                <w:t>100%</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251" name="Text Box 251"/>
                        <wps:cNvSpPr txBox="1"/>
                        <wps:spPr>
                          <a:xfrm>
                            <a:off x="1461769" y="3067050"/>
                            <a:ext cx="492125" cy="247650"/>
                          </a:xfrm>
                          <a:prstGeom prst="rect">
                            <a:avLst/>
                          </a:prstGeom>
                          <a:solidFill>
                            <a:schemeClr val="lt1"/>
                          </a:solidFill>
                          <a:ln w="6350">
                            <a:solidFill>
                              <a:schemeClr val="bg1"/>
                            </a:solidFill>
                          </a:ln>
                        </wps:spPr>
                        <wps:txbx>
                          <w:txbxContent>
                            <w:p w14:paraId="474D5978" w14:textId="77777777" w:rsidR="00BD650A" w:rsidRDefault="00BD650A" w:rsidP="005F2EE3">
                              <w:r>
                                <w:t>60%</w:t>
                              </w:r>
                            </w:p>
                            <w:p w14:paraId="7D6E1B72" w14:textId="77777777" w:rsidR="00BD650A" w:rsidRDefault="00BD650A" w:rsidP="005F2EE3"/>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252" name="Text Box 252"/>
                        <wps:cNvSpPr txBox="1"/>
                        <wps:spPr>
                          <a:xfrm>
                            <a:off x="787166" y="2057401"/>
                            <a:ext cx="574675" cy="295275"/>
                          </a:xfrm>
                          <a:prstGeom prst="rect">
                            <a:avLst/>
                          </a:prstGeom>
                          <a:solidFill>
                            <a:schemeClr val="lt1"/>
                          </a:solidFill>
                          <a:ln w="6350">
                            <a:noFill/>
                          </a:ln>
                        </wps:spPr>
                        <wps:txbx>
                          <w:txbxContent>
                            <w:p w14:paraId="5376170B" w14:textId="77777777" w:rsidR="00BD650A" w:rsidRDefault="00BD650A" w:rsidP="005F2EE3">
                              <w:r>
                                <w:t>100%</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253" name="Text Box 253"/>
                        <wps:cNvSpPr txBox="1"/>
                        <wps:spPr>
                          <a:xfrm>
                            <a:off x="2244410" y="2057401"/>
                            <a:ext cx="574675" cy="295275"/>
                          </a:xfrm>
                          <a:prstGeom prst="rect">
                            <a:avLst/>
                          </a:prstGeom>
                          <a:solidFill>
                            <a:schemeClr val="lt1"/>
                          </a:solidFill>
                          <a:ln w="6350">
                            <a:noFill/>
                          </a:ln>
                        </wps:spPr>
                        <wps:txbx>
                          <w:txbxContent>
                            <w:p w14:paraId="769C2E4C" w14:textId="77777777" w:rsidR="00BD650A" w:rsidRDefault="00BD650A" w:rsidP="005F2EE3">
                              <w:r>
                                <w:t>100%</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254" name="Text Box 254"/>
                        <wps:cNvSpPr txBox="1"/>
                        <wps:spPr>
                          <a:xfrm>
                            <a:off x="5092701" y="3038476"/>
                            <a:ext cx="698500" cy="257176"/>
                          </a:xfrm>
                          <a:prstGeom prst="rect">
                            <a:avLst/>
                          </a:prstGeom>
                          <a:solidFill>
                            <a:schemeClr val="lt1"/>
                          </a:solidFill>
                          <a:ln w="6350">
                            <a:noFill/>
                          </a:ln>
                        </wps:spPr>
                        <wps:txbx>
                          <w:txbxContent>
                            <w:p w14:paraId="52C8CCE0" w14:textId="77777777" w:rsidR="00BD650A" w:rsidRDefault="00BD650A" w:rsidP="005F2EE3">
                              <w:r>
                                <w:t>47.61%</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255" name="Text Box 255"/>
                        <wps:cNvSpPr txBox="1"/>
                        <wps:spPr>
                          <a:xfrm>
                            <a:off x="3514725" y="1971676"/>
                            <a:ext cx="574675" cy="257175"/>
                          </a:xfrm>
                          <a:prstGeom prst="rect">
                            <a:avLst/>
                          </a:prstGeom>
                          <a:solidFill>
                            <a:schemeClr val="lt1"/>
                          </a:solidFill>
                          <a:ln w="6350">
                            <a:noFill/>
                          </a:ln>
                        </wps:spPr>
                        <wps:txbx>
                          <w:txbxContent>
                            <w:p w14:paraId="54E0CF12" w14:textId="77777777" w:rsidR="00BD650A" w:rsidRDefault="00BD650A" w:rsidP="005F2EE3">
                              <w:r>
                                <w:t>100%</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257" name="Text Box 257"/>
                        <wps:cNvSpPr txBox="1"/>
                        <wps:spPr>
                          <a:xfrm>
                            <a:off x="2559050" y="1276348"/>
                            <a:ext cx="574675" cy="323852"/>
                          </a:xfrm>
                          <a:prstGeom prst="rect">
                            <a:avLst/>
                          </a:prstGeom>
                          <a:solidFill>
                            <a:schemeClr val="lt1"/>
                          </a:solidFill>
                          <a:ln w="6350">
                            <a:noFill/>
                          </a:ln>
                        </wps:spPr>
                        <wps:txbx>
                          <w:txbxContent>
                            <w:p w14:paraId="4BA84BE0" w14:textId="77777777" w:rsidR="00BD650A" w:rsidRDefault="00BD650A" w:rsidP="005F2EE3">
                              <w:r>
                                <w:t>100%</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258" name="Text Box 258"/>
                        <wps:cNvSpPr txBox="1"/>
                        <wps:spPr>
                          <a:xfrm>
                            <a:off x="2466974" y="590551"/>
                            <a:ext cx="698500" cy="257175"/>
                          </a:xfrm>
                          <a:prstGeom prst="rect">
                            <a:avLst/>
                          </a:prstGeom>
                          <a:solidFill>
                            <a:schemeClr val="lt1"/>
                          </a:solidFill>
                          <a:ln w="6350">
                            <a:noFill/>
                          </a:ln>
                        </wps:spPr>
                        <wps:txbx>
                          <w:txbxContent>
                            <w:p w14:paraId="7DB9EA98" w14:textId="77777777" w:rsidR="00BD650A" w:rsidRDefault="00BD650A" w:rsidP="005F2EE3">
                              <w:r>
                                <w:t>52.28%</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c:wpc>
                  </a:graphicData>
                </a:graphic>
                <wp14:sizeRelH relativeFrom="margin">
                  <wp14:pctWidth>0</wp14:pctWidth>
                </wp14:sizeRelH>
                <wp14:sizeRelV relativeFrom="margin">
                  <wp14:pctHeight>0</wp14:pctHeight>
                </wp14:sizeRelV>
              </wp:anchor>
            </w:drawing>
          </mc:Choice>
          <mc:Fallback>
            <w:pict>
              <v:group w14:anchorId="18C22F74" id="Canvas 5" o:spid="_x0000_s1026" editas="canvas" style="position:absolute;left:0;text-align:left;margin-left:0;margin-top:23.25pt;width:992pt;height:369.75pt;z-index:251659264;mso-position-horizontal-relative:page;mso-width-relative:margin;mso-height-relative:margin" coordsize="125984,469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125984;height:46958;visibility:visible;mso-wrap-style:square">
                  <v:fill o:detectmouseclick="t"/>
                  <v:path o:connecttype="none"/>
                </v:shape>
                <v:shapetype id="_x0000_t202" coordsize="21600,21600" o:spt="202" path="m,l,21600r21600,l21600,xe">
                  <v:stroke joinstyle="miter"/>
                  <v:path gradientshapeok="t" o:connecttype="rect"/>
                </v:shapetype>
                <v:shape id="Text Box 8" o:spid="_x0000_s1028" type="#_x0000_t202" style="position:absolute;left:21050;top:1047;width:31845;height:371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MqCj8MA&#10;AADaAAAADwAAAGRycy9kb3ducmV2LnhtbESPTWvDMAyG74P+B6PBbquz0YyS1g0jbcfYrV/Qo4jV&#10;JCyWQ+w1aX/9dBjsKF69j/Qs89G16kp9aDwbeJkmoIhLbxuuDBwP2+c5qBCRLbaeycCNAuSrycMS&#10;M+sH3tF1HyslEA4ZGqhj7DKtQ1mTwzD1HbFkF987jDL2lbY9DgJ3rX5NkjftsGG5UGNHRU3l9/7H&#10;CeV+3s3SYghjaj/sZuO69dcpNebpcXxfgIo0xv/lv/anNSC/iopogF7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MqCj8MAAADaAAAADwAAAAAAAAAAAAAAAACYAgAAZHJzL2Rv&#10;d25yZXYueG1sUEsFBgAAAAAEAAQA9QAAAIgDAAAAAA==&#10;" fillcolor="white [3201]" strokeweight=".5pt">
                  <v:textbox>
                    <w:txbxContent>
                      <w:p w14:paraId="6AC2CA9B" w14:textId="77777777" w:rsidR="00BD650A" w:rsidRPr="00472D7C" w:rsidRDefault="00BD650A" w:rsidP="005F2EE3">
                        <w:pPr>
                          <w:rPr>
                            <w:b/>
                          </w:rPr>
                        </w:pPr>
                        <w:r w:rsidRPr="00472D7C">
                          <w:rPr>
                            <w:b/>
                          </w:rPr>
                          <w:t>Hosken Consolidated Investments Limited</w:t>
                        </w:r>
                      </w:p>
                      <w:p w14:paraId="4DE38DD3" w14:textId="77777777" w:rsidR="00BD650A" w:rsidRDefault="00BD650A" w:rsidP="005F2EE3"/>
                    </w:txbxContent>
                  </v:textbox>
                </v:shape>
                <v:shape id="Text Box 9" o:spid="_x0000_s1029" type="#_x0000_t202" style="position:absolute;left:12414;top:8763;width:20606;height:3429;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4YnFMIA&#10;AADaAAAADwAAAGRycy9kb3ducmV2LnhtbESPS4vCQBCE7wv+h6EFb+tEMaLRUcTHsuzNF3hsMm0S&#10;zPSEzGji/vqdBcFjUVVfUfNla0rxoNoVlhUM+hEI4tTqgjMFp+PucwLCeWSNpWVS8CQHy0XnY46J&#10;tg3v6XHwmQgQdgkqyL2vEildmpNB17cVcfCutjbog6wzqWtsAtyUchhFY2mw4LCQY0XrnNLb4W4C&#10;5feyH8XrxrWx/tLbrak2P+dYqV63Xc1AeGr9O/xqf2sFU/i/Em6AXP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hicUwgAAANoAAAAPAAAAAAAAAAAAAAAAAJgCAABkcnMvZG93&#10;bnJldi54bWxQSwUGAAAAAAQABAD1AAAAhwMAAAAA&#10;" fillcolor="white [3201]" strokeweight=".5pt">
                  <v:textbox>
                    <w:txbxContent>
                      <w:p w14:paraId="6EEB1428" w14:textId="77777777" w:rsidR="00BD650A" w:rsidRDefault="00BD650A" w:rsidP="005F2EE3">
                        <w:r>
                          <w:t>Niveus Investments Limited</w:t>
                        </w:r>
                      </w:p>
                    </w:txbxContent>
                  </v:textbox>
                </v:shape>
                <v:shape id="Text Box 10" o:spid="_x0000_s1030" type="#_x0000_t202" style="position:absolute;left:40862;top:8286;width:18720;height:3334;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3rwq8MA&#10;AADbAAAADwAAAGRycy9kb3ducmV2LnhtbESPQWvCQBCF70L/wzKCN90ojZTUVcRaEW9qCz0O2WkS&#10;zM6G7GrS/nrnIHh7w7z55r3Fqne1ulEbKs8GppMEFHHubcWFga/z5/gNVIjIFmvPZOCPAqyWL4MF&#10;ZtZ3fKTbKRZKIBwyNFDG2GRah7wkh2HiG2LZ/frWYZSxLbRtsRO4q/UsSebaYcXyocSGNiXll9PV&#10;CeX/5/iabrrQp3Znt1vXfBy+U2NGw379DipSH5/mx/XeSnxJL11EgF7e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3rwq8MAAADbAAAADwAAAAAAAAAAAAAAAACYAgAAZHJzL2Rv&#10;d25yZXYueG1sUEsFBgAAAAAEAAQA9QAAAIgDAAAAAA==&#10;" fillcolor="white [3201]" strokeweight=".5pt">
                  <v:textbox>
                    <w:txbxContent>
                      <w:p w14:paraId="51DAE653" w14:textId="77777777" w:rsidR="00BD650A" w:rsidRDefault="00BD650A" w:rsidP="005F2EE3">
                        <w:r>
                          <w:t>TIH Prefco (Pty) Limited</w:t>
                        </w:r>
                      </w:p>
                    </w:txbxContent>
                  </v:textbox>
                </v:shape>
                <v:shapetype id="_x0000_t32" coordsize="21600,21600" o:spt="32" o:oned="t" path="m,l21600,21600e" filled="f">
                  <v:path arrowok="t" fillok="f" o:connecttype="none"/>
                  <o:lock v:ext="edit" shapetype="t"/>
                </v:shapetype>
                <v:shape id="Straight Arrow Connector 11" o:spid="_x0000_s1031" type="#_x0000_t32" style="position:absolute;left:22717;top:4762;width:0;height:400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gj0vb0AAADbAAAADwAAAGRycy9kb3ducmV2LnhtbERP24rCMBB9F/yHMIIvoqkii1SjiCDU&#10;x1U/YGjGpthMSpJe9u83wsK+zeFc53AabSN68qF2rGC9ykAQl07XXCl4Pq7LHYgQkTU2jknBDwU4&#10;HaeTA+baDfxN/T1WIoVwyFGBibHNpQylIYth5VrixL2ctxgT9JXUHocUbhu5ybIvabHm1GCwpYuh&#10;8n3vrALXs7ltFza+ZVc+ztgVl8EXSs1n43kPItIY/8V/7kKn+Wv4/JIOkMdf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NoI9L29AAAA2wAAAA8AAAAAAAAAAAAAAAAAoQIA&#10;AGRycy9kb3ducmV2LnhtbFBLBQYAAAAABAAEAPkAAACLAwAAAAA=&#10;" strokecolor="black [3040]">
                  <v:stroke endarrow="block"/>
                </v:shape>
                <v:shape id="Straight Arrow Connector 17" o:spid="_x0000_s1032" type="#_x0000_t32" style="position:absolute;left:49244;top:4762;width:0;height:352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3JUr0AAADbAAAADwAAAGRycy9kb3ducmV2LnhtbERP24rCMBB9F/yHMMK+iKbKolKNIsJC&#10;93HVDxiasSk2k5Kkl/17s7Dg2xzOdQ6n0TaiJx9qxwpWywwEcel0zZWC++1rsQMRIrLGxjEp+KUA&#10;p+N0csBcu4F/qL/GSqQQDjkqMDG2uZShNGQxLF1LnLiH8xZjgr6S2uOQwm0j11m2kRZrTg0GW7oY&#10;Kp/XzipwPZvvz7mNT9mVtzN2xWXwhVIfs/G8BxFpjG/xv7vQaf4W/n5JB8jjC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DqtyVK9AAAA2wAAAA8AAAAAAAAAAAAAAAAAoQIA&#10;AGRycy9kb3ducmV2LnhtbFBLBQYAAAAABAAEAPkAAACLAwAAAAA=&#10;" strokecolor="black [3040]">
                  <v:stroke endarrow="block"/>
                </v:shape>
                <v:shape id="Text Box 18" o:spid="_x0000_s1033" type="#_x0000_t202" style="position:absolute;left:9202;top:16192;width:27571;height:3048;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z8rcMA&#10;AADbAAAADwAAAGRycy9kb3ducmV2LnhtbESPQWvCQBCF70L/wzKCN90ojZTUVcRaEW9qCz0O2WkS&#10;zM6G7GrS/nrnIHh7w7z55r3Fqne1ulEbKs8GppMEFHHubcWFga/z5/gNVIjIFmvPZOCPAqyWL4MF&#10;ZtZ3fKTbKRZKIBwyNFDG2GRah7wkh2HiG2LZ/frWYZSxLbRtsRO4q/UsSebaYcXyocSGNiXll9PV&#10;CeX/5/iabrrQp3Znt1vXfBy+U2NGw379DipSH5/mx/XeSnwJK11EgF7e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Qz8rcMAAADbAAAADwAAAAAAAAAAAAAAAACYAgAAZHJzL2Rv&#10;d25yZXYueG1sUEsFBgAAAAAEAAQA9QAAAIgDAAAAAA==&#10;" fillcolor="white [3201]" strokeweight=".5pt">
                  <v:textbox>
                    <w:txbxContent>
                      <w:p w14:paraId="2E63A2C4" w14:textId="2A9BA2BC" w:rsidR="00BD650A" w:rsidRDefault="00BD650A" w:rsidP="005F2EE3">
                        <w:r>
                          <w:t xml:space="preserve">Niveus Invest 19 Limited </w:t>
                        </w:r>
                        <w:r w:rsidRPr="008E7D69">
                          <w:t>(“GameCo”)</w:t>
                        </w:r>
                      </w:p>
                      <w:p w14:paraId="3F680C39" w14:textId="77777777" w:rsidR="00BD650A" w:rsidRDefault="00BD650A" w:rsidP="005F2EE3"/>
                    </w:txbxContent>
                  </v:textbox>
                </v:shape>
                <v:shape id="Text Box 19" o:spid="_x0000_s1034" type="#_x0000_t202" style="position:absolute;left:40862;top:16192;width:23495;height:3143;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BZNsMA&#10;AADbAAAADwAAAGRycy9kb3ducmV2LnhtbESPQYvCMBCF74L/IYywN01dtrJWoyzqinjTVfA4NGNb&#10;bCalibbrrzeC4G2G9943b6bz1pTiRrUrLCsYDiIQxKnVBWcKDn+//W8QziNrLC2Tgn9yMJ91O1NM&#10;tG14R7e9z0SAsEtQQe59lUjp0pwMuoGtiIN2trVBH9Y6k7rGJsBNKT+jaCQNFhwu5FjRIqf0sr+a&#10;QLmfdl/xonFtrNd6tTLVcnuMlfrotT8TEJ5a/za/0hsd6o/h+UsYQM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kBZNsMAAADbAAAADwAAAAAAAAAAAAAAAACYAgAAZHJzL2Rv&#10;d25yZXYueG1sUEsFBgAAAAAEAAQA9QAAAIgDAAAAAA==&#10;" fillcolor="white [3201]" strokeweight=".5pt">
                  <v:textbox>
                    <w:txbxContent>
                      <w:p w14:paraId="2DC7FB76" w14:textId="77777777" w:rsidR="00BD650A" w:rsidRDefault="00BD650A" w:rsidP="005F2EE3">
                        <w:r>
                          <w:t>TIHC Investments (Pty) Limited</w:t>
                        </w:r>
                      </w:p>
                    </w:txbxContent>
                  </v:textbox>
                </v:shape>
                <v:shape id="Straight Arrow Connector 20" o:spid="_x0000_s1035" type="#_x0000_t32" style="position:absolute;left:22371;top:12572;width:73;height:343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nlC9rwAAADbAAAADwAAAGRycy9kb3ducmV2LnhtbERPvQrCMBDeBd8hnOCmqQ4i1SgiCKKD&#10;WAUdj+Zsq82lNFHj25tBcPz4/ufLYGrxotZVlhWMhgkI4tzqigsF59NmMAXhPLLG2jIp+JCD5aLb&#10;mWOq7ZuP9Mp8IWIIuxQVlN43qZQuL8mgG9qGOHI32xr0EbaF1C2+Y7ip5ThJJtJgxbGhxIbWJeWP&#10;7GkU7C7320meq4AmC5PdPtkc6utIqX4vrGYgPAX/F//cW61gHNfHL/EHyMUX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bnlC9rwAAADbAAAADwAAAAAAAAAAAAAAAAChAgAA&#10;ZHJzL2Rvd25yZXYueG1sUEsFBgAAAAAEAAQA+QAAAIoDAAAAAA==&#10;" strokecolor="black [3040]">
                  <v:stroke endarrow="block"/>
                </v:shape>
                <v:shape id="Straight Arrow Connector 21" o:spid="_x0000_s1036" type="#_x0000_t32" style="position:absolute;left:49574;top:12763;width:0;height:362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TXnbcEAAADbAAAADwAAAGRycy9kb3ducmV2LnhtbESPQYvCMBSE74L/ITxhb5rWg0g1igiC&#10;6EGsgh4fzbOtNi+liZr990ZY2OMwM98w82UwjXhR52rLCtJRAoK4sLrmUsH5tBlOQTiPrLGxTAp+&#10;ycFy0e/NMdP2zUd65b4UEcIuQwWV920mpSsqMuhGtiWO3s12Bn2UXSl1h+8IN40cJ8lEGqw5LlTY&#10;0rqi4pE/jYLd5X47yXMd0ORhstsnm0NzTZX6GYTVDISn4P/Df+2tVjBO4fsl/gC5+A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BNedtwQAAANsAAAAPAAAAAAAAAAAAAAAA&#10;AKECAABkcnMvZG93bnJldi54bWxQSwUGAAAAAAQABAD5AAAAjwMAAAAA&#10;" strokecolor="black [3040]">
                  <v:stroke endarrow="block"/>
                </v:shape>
                <v:shape id="Text Box 22" o:spid="_x0000_s1037" type="#_x0000_t202" style="position:absolute;left:6804;top:25050;width:12256;height:4763;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gB+sIA&#10;AADbAAAADwAAAGRycy9kb3ducmV2LnhtbESPT4vCMBTE74LfITzBm6YWK1KNIv5j2Zu6Cx4fzbMt&#10;Ni+liba7n36zIHgcZuY3zHLdmUo8qXGlZQWTcQSCOLO65FzB1+UwmoNwHlljZZkU/JCD9arfW2Kq&#10;bcsnep59LgKEXYoKCu/rVEqXFWTQjW1NHLybbQz6IJtc6gbbADeVjKNoJg2WHBYKrGlbUHY/P0yg&#10;/F5P02Tbui7RR73fm3r3+Z0oNRx0mwUIT51/h1/tD60gjuH/S/gBcvU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iAH6wgAAANsAAAAPAAAAAAAAAAAAAAAAAJgCAABkcnMvZG93&#10;bnJldi54bWxQSwUGAAAAAAQABAD1AAAAhwMAAAAA&#10;" fillcolor="white [3201]" strokeweight=".5pt">
                  <v:textbox>
                    <w:txbxContent>
                      <w:p w14:paraId="57A8B919" w14:textId="77777777" w:rsidR="00BD650A" w:rsidRDefault="00BD650A" w:rsidP="005F2EE3">
                        <w:pPr>
                          <w:spacing w:line="240" w:lineRule="auto"/>
                        </w:pPr>
                        <w:r>
                          <w:t>Niveus Invest 1</w:t>
                        </w:r>
                      </w:p>
                      <w:p w14:paraId="7ED1E1B3" w14:textId="77777777" w:rsidR="00BD650A" w:rsidRDefault="00BD650A" w:rsidP="005F2EE3">
                        <w:pPr>
                          <w:spacing w:line="240" w:lineRule="auto"/>
                        </w:pPr>
                        <w:r>
                          <w:t xml:space="preserve"> (Pty) Limited</w:t>
                        </w:r>
                      </w:p>
                    </w:txbxContent>
                  </v:textbox>
                </v:shape>
                <v:shape id="Text Box 23" o:spid="_x0000_s1038" type="#_x0000_t202" style="position:absolute;left:19319;top:25050;width:12490;height:4763;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cSkYcQA&#10;AADbAAAADwAAAGRycy9kb3ducmV2LnhtbESPT2vCQBTE74LfYXkFb2ZTbYqkriL+KcWbaYUeH9nX&#10;JDT7NuyuJvbTdwtCj8PM/IZZrgfTiis531hW8JikIIhLqxuuFHy8H6YLED4ga2wtk4IbeVivxqMl&#10;5tr2fKJrESoRIexzVFCH0OVS+rImgz6xHXH0vqwzGKJ0ldQO+wg3rZyl6bM02HBcqLGjbU3ld3Ex&#10;kfLzeXrKtr0fMv2q93vT7Y7nTKnJw7B5ARFoCP/he/tNK5jN4e9L/AFy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XEpGHEAAAA2wAAAA8AAAAAAAAAAAAAAAAAmAIAAGRycy9k&#10;b3ducmV2LnhtbFBLBQYAAAAABAAEAPUAAACJAwAAAAA=&#10;" fillcolor="white [3201]" strokeweight=".5pt">
                  <v:textbox>
                    <w:txbxContent>
                      <w:p w14:paraId="4547AA75" w14:textId="77777777" w:rsidR="00BD650A" w:rsidRDefault="00BD650A" w:rsidP="005F2EE3">
                        <w:r>
                          <w:t>Vukani Gaming</w:t>
                        </w:r>
                      </w:p>
                    </w:txbxContent>
                  </v:textbox>
                </v:shape>
                <v:shape id="Text Box 24" o:spid="_x0000_s1039" type="#_x0000_t202" style="position:absolute;left:32040;top:25050;width:12395;height:479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08FcMA&#10;AADbAAAADwAAAGRycy9kb3ducmV2LnhtbESPQWvCQBSE7wX/w/IEb3WjmCIxGxG1UnpLquDxkX0m&#10;wezbkN2atL++Wyj0OMzMN0y6HU0rHtS7xrKCxTwCQVxa3XCl4Pzx+rwG4TyyxtYyKfgiB9ts8pRi&#10;ou3AOT0KX4kAYZeggtr7LpHSlTUZdHPbEQfvZnuDPsi+krrHIcBNK5dR9CINNhwWauxoX1N5Lz5N&#10;oHxf81W8H9wY65M+Hk13eL/ESs2m424DwtPo/8N/7TetYLmC3y/hB8js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i08FcMAAADbAAAADwAAAAAAAAAAAAAAAACYAgAAZHJzL2Rv&#10;d25yZXYueG1sUEsFBgAAAAAEAAQA9QAAAIgDAAAAAA==&#10;" fillcolor="white [3201]" strokeweight=".5pt">
                  <v:textbox>
                    <w:txbxContent>
                      <w:p w14:paraId="19624D92" w14:textId="77777777" w:rsidR="00BD650A" w:rsidRDefault="00BD650A" w:rsidP="005F2EE3">
                        <w:r>
                          <w:t>Galaxy Gaming</w:t>
                        </w:r>
                      </w:p>
                    </w:txbxContent>
                  </v:textbox>
                </v:shape>
                <v:shape id="Text Box 25" o:spid="_x0000_s1040" type="#_x0000_t202" style="position:absolute;left:44644;top:25050;width:19596;height:476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14wcQA&#10;AADbAAAADwAAAGRycy9kb3ducmV2LnhtbESPW4vCMBSE3wX/QziCb5quUinVKIvsgiAs6wX08dic&#10;XrA5KU3U7r/fCIKPw8x8wyxWnanFnVpXWVbwMY5AEGdWV1woOB6+RwkI55E11pZJwR85WC37vQWm&#10;2j54R/e9L0SAsEtRQel9k0rpspIMurFtiIOX29agD7ItpG7xEeCmlpMomkmDFYeFEhtal5Rd9zej&#10;4Gc9s/H00iX51+/W7op8Ks/xSanhoPucg/DU+Xf41d5oBZMYnl/CD5D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s9eMHEAAAA2wAAAA8AAAAAAAAAAAAAAAAAmAIAAGRycy9k&#10;b3ducmV2LnhtbFBLBQYAAAAABAAEAPUAAACJAwAAAAA=&#10;" fillcolor="white [3201]" strokeweight=".5pt">
                  <v:textbox>
                    <w:txbxContent>
                      <w:p w14:paraId="0BE3BBD0" w14:textId="64018D6E" w:rsidR="00BD650A" w:rsidRDefault="00BD650A" w:rsidP="005F2EE3">
                        <w:pPr>
                          <w:spacing w:line="240" w:lineRule="auto"/>
                        </w:pPr>
                        <w:r>
                          <w:t>Tsogo Investment Holding</w:t>
                        </w:r>
                      </w:p>
                      <w:p w14:paraId="3AA8BF5A" w14:textId="77777777" w:rsidR="00BD650A" w:rsidRDefault="00BD650A" w:rsidP="005F2EE3">
                        <w:pPr>
                          <w:spacing w:line="240" w:lineRule="auto"/>
                        </w:pPr>
                        <w:r>
                          <w:t>Company (Pty) Limited</w:t>
                        </w:r>
                      </w:p>
                    </w:txbxContent>
                  </v:textbox>
                </v:shape>
                <v:shape id="Straight Arrow Connector 26" o:spid="_x0000_s1041" type="#_x0000_t32" style="position:absolute;left:12856;top:19335;width:5061;height:571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tx/GcQAAADbAAAADwAAAGRycy9kb3ducmV2LnhtbESPwWrDMBBE74H+g9hCb7HsHExwrZhS&#10;CJT0UOIE0uNibSy31spYaqL+fRQo9DjMzBumbqIdxYVmPzhWUGQ5COLO6YF7BcfDdrkG4QOyxtEx&#10;KfglD83mYVFjpd2V93RpQy8ShH2FCkwIUyWl7wxZ9JmbiJN3drPFkOTcSz3jNcHtKFd5XkqLA6cF&#10;gxO9Guq+2x+rYHf6Oh/kcYho21ju3vPtx/hZKPX0GF+eQQSK4T/8137TClYl3L+kHyA3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O3H8ZxAAAANsAAAAPAAAAAAAAAAAA&#10;AAAAAKECAABkcnMvZG93bnJldi54bWxQSwUGAAAAAAQABAD5AAAAkgMAAAAA&#10;" strokecolor="black [3040]">
                  <v:stroke endarrow="block"/>
                </v:shape>
                <v:shape id="Straight Arrow Connector 27" o:spid="_x0000_s1042" type="#_x0000_t32" style="position:absolute;left:22193;top:19240;width:0;height:581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MED78AAAADbAAAADwAAAGRycy9kb3ducmV2LnhtbESP3YrCMBSE7xf2HcJZ8GZZU0XWpRpF&#10;BKFe+vMAh+bYFJuTkqQ/vr0RhL0cZuYbZr0dbSN68qF2rGA2zUAQl07XXCm4Xg4/fyBCRNbYOCYF&#10;Dwqw3Xx+rDHXbuAT9edYiQThkKMCE2ObSxlKQxbD1LXEybs5bzEm6SupPQ4Jbhs5z7JfabHmtGCw&#10;pb2h8n7urALXszkuvm28y6687LAr9oMvlJp8jbsViEhj/A+/24VWMF/C60v6AXLzB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TBA+/AAAAA2wAAAA8AAAAAAAAAAAAAAAAA&#10;oQIAAGRycy9kb3ducmV2LnhtbFBLBQYAAAAABAAEAPkAAACOAwAAAAA=&#10;" strokecolor="black [3040]">
                  <v:stroke endarrow="block"/>
                </v:shape>
                <v:shape id="Straight Arrow Connector 28" o:spid="_x0000_s1043" type="#_x0000_t32" style="position:absolute;left:29495;top:19335;width:8674;height:543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V6Xnb0AAADbAAAADwAAAGRycy9kb3ducmV2LnhtbERPy4rCMBTdC/MP4Q64kTFVZBg6piKC&#10;UJfqfMCludOUNjclSR/+vVkILg/nvT/MthMj+dA4VrBZZyCIK6cbrhX83c9fPyBCRNbYOSYFDwpw&#10;KD4We8y1m/hK4y3WIoVwyFGBibHPpQyVIYth7XrixP07bzEm6GupPU4p3HZym2Xf0mLDqcFgTydD&#10;VXsbrAI3srnsVja2cqjuRxzK0+RLpZaf8/EXRKQ5vsUvd6kVbNPY9CX9AFk8A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IVel529AAAA2wAAAA8AAAAAAAAAAAAAAAAAoQIA&#10;AGRycy9kb3ducmV2LnhtbFBLBQYAAAAABAAEAPkAAACLAwAAAAA=&#10;" strokecolor="black [3040]">
                  <v:stroke endarrow="block"/>
                </v:shape>
                <v:shape id="Straight Arrow Connector 29" o:spid="_x0000_s1044" type="#_x0000_t32" style="position:absolute;left:49574;top:19811;width:0;height:523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hIyBsAAAADbAAAADwAAAGRycy9kb3ducmV2LnhtbESP3YrCMBSE7xf2HcJZ8GZZU0UWtxpF&#10;BKFe+vMAh+bYFJuTkqQ/vr0RhL0cZuYbZr0dbSN68qF2rGA2zUAQl07XXCm4Xg4/SxAhImtsHJOC&#10;BwXYbj4/1phrN/CJ+nOsRIJwyFGBibHNpQylIYth6lri5N2ctxiT9JXUHocEt42cZ9mvtFhzWjDY&#10;0t5QeT93VoHr2RwX3zbeZVdedtgV+8EXSk2+xt0KRKQx/off7UIrmP/B60v6AXLzB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oSMgbAAAAA2wAAAA8AAAAAAAAAAAAAAAAA&#10;oQIAAGRycy9kb3ducmV2LnhtbFBLBQYAAAAABAAEAPkAAACOAwAAAAA=&#10;" strokecolor="black [3040]">
                  <v:stroke endarrow="block"/>
                </v:shape>
                <v:shape id="Text Box 218" o:spid="_x0000_s1045" type="#_x0000_t202" style="position:absolute;left:9395;top:35242;width:8128;height:35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BpcIA&#10;AADcAAAADwAAAGRycy9kb3ducmV2LnhtbERPy4rCMBTdC/MP4Q6407SKItVYBlEQhEGroMtrc/tg&#10;mpvSRO38vVkMzPJw3qu0N414UudqywricQSCOLe65lLB5bwbLUA4j6yxsUwKfslBuv4YrDDR9sUn&#10;ema+FCGEXYIKKu/bREqXV2TQjW1LHLjCdgZ9gF0pdYevEG4aOYmiuTRYc2iosKVNRflP9jAKvjdz&#10;O5ve+0WxPR7sqSym8ja7KjX87L+WIDz1/l/8595rBZM4rA1nwhGQ6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EGlwgAAANwAAAAPAAAAAAAAAAAAAAAAAJgCAABkcnMvZG93&#10;bnJldi54bWxQSwUGAAAAAAQABAD1AAAAhwMAAAAA&#10;" fillcolor="white [3201]" strokeweight=".5pt">
                  <v:textbox>
                    <w:txbxContent>
                      <w:p w14:paraId="0208A229" w14:textId="3BEBCE8F" w:rsidR="00BD650A" w:rsidRDefault="00BD650A" w:rsidP="005F2EE3">
                        <w:r>
                          <w:t>Kuruman</w:t>
                        </w:r>
                      </w:p>
                      <w:p w14:paraId="2041AA21" w14:textId="77777777" w:rsidR="00BD650A" w:rsidRDefault="00BD650A" w:rsidP="005F2EE3">
                        <w:r>
                          <w:t xml:space="preserve"> </w:t>
                        </w:r>
                      </w:p>
                      <w:p w14:paraId="1228866A" w14:textId="77777777" w:rsidR="00BD650A" w:rsidRDefault="00BD650A" w:rsidP="005F2EE3">
                        <w:r>
                          <w:t xml:space="preserve"> 67</w:t>
                        </w:r>
                      </w:p>
                      <w:p w14:paraId="37B9537F" w14:textId="77777777" w:rsidR="00BD650A" w:rsidRDefault="00BD650A" w:rsidP="005F2EE3"/>
                    </w:txbxContent>
                  </v:textbox>
                </v:shape>
                <v:shape id="Text Box 219" o:spid="_x0000_s1046" type="#_x0000_t202" style="position:absolute;left:41719;top:35147;width:21114;height:342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jkPsUA&#10;AADcAAAADwAAAGRycy9kb3ducmV2LnhtbESP3YrCMBSE7xf2HcJZ8G5NVRStRllkBUEQrYJ7ebY5&#10;/cHmpDRR69sbQfBymJlvmNmiNZW4UuNKywp63QgEcWp1ybmC42H1PQbhPLLGyjIpuJODxfzzY4ax&#10;tjfe0zXxuQgQdjEqKLyvYyldWpBB17U1cfAy2xj0QTa51A3eAtxUsh9FI2mw5LBQYE3LgtJzcjEK&#10;tsuRHQ7+23H2u9vYfZ4N5N/wpFTnq/2ZgvDU+nf41V5rBf3eBJ5nwhGQ8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KOQ+xQAAANwAAAAPAAAAAAAAAAAAAAAAAJgCAABkcnMv&#10;ZG93bnJldi54bWxQSwUGAAAAAAQABAD1AAAAigMAAAAA&#10;" fillcolor="white [3201]" strokeweight=".5pt">
                  <v:textbox>
                    <w:txbxContent>
                      <w:p w14:paraId="2D6F991A" w14:textId="77777777" w:rsidR="00BD650A" w:rsidRDefault="00BD650A" w:rsidP="005F2EE3">
                        <w:r>
                          <w:t>Tsogo Sun Holdings Limited</w:t>
                        </w:r>
                      </w:p>
                    </w:txbxContent>
                  </v:textbox>
                </v:shape>
                <v:shape id="Straight Arrow Connector 244" o:spid="_x0000_s1047" type="#_x0000_t32" style="position:absolute;left:12763;top:29813;width:0;height:542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vrIhsEAAADcAAAADwAAAGRycy9kb3ducmV2LnhtbESP3YrCMBSE74V9h3AWvJE1VYosXaOI&#10;INTLVR/g0Jxtis1JSdIf394Iwl4OM/MNs91PthUD+dA4VrBaZiCIK6cbrhXcrqevbxAhImtsHZOC&#10;BwXY7z5mWyy0G/mXhkusRYJwKFCBibErpAyVIYth6Tri5P05bzEm6WupPY4Jblu5zrKNtNhwWjDY&#10;0dFQdb/0VoEb2JzzhY132VfXA/blcfSlUvPP6fADItIU/8PvdqkVrPMcXmfSEZC7J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G+siGwQAAANwAAAAPAAAAAAAAAAAAAAAA&#10;AKECAABkcnMvZG93bnJldi54bWxQSwUGAAAAAAQABAD5AAAAjwMAAAAA&#10;" strokecolor="black [3040]">
                  <v:stroke endarrow="block"/>
                </v:shape>
                <v:shape id="Straight Arrow Connector 245" o:spid="_x0000_s1048" type="#_x0000_t32" style="position:absolute;left:49504;top:29813;width:0;height:533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bZtHcEAAADcAAAADwAAAGRycy9kb3ducmV2LnhtbESP3YrCMBSE74V9h3AEb0TTFV2WahQR&#10;FuqlPw9waI5NsTkpSfqzb2+Ehb0cZuYbZncYbSN68qF2rOBzmYEgLp2uuVJwv/0svkGEiKyxcUwK&#10;finAYf8x2WGu3cAX6q+xEgnCIUcFJsY2lzKUhiyGpWuJk/dw3mJM0ldSexwS3DZylWVf0mLNacFg&#10;SydD5fPaWQWuZ3Nez218yq68HbErToMvlJpNx+MWRKQx/of/2oVWsFpv4H0mHQG5f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ptm0dwQAAANwAAAAPAAAAAAAAAAAAAAAA&#10;AKECAABkcnMvZG93bnJldi54bWxQSwUGAAAAAAQABAD5AAAAjwMAAAAA&#10;" strokecolor="black [3040]">
                  <v:stroke endarrow="block"/>
                </v:shape>
                <v:shape id="Text Box 247" o:spid="_x0000_s1049" type="#_x0000_t202" style="position:absolute;left:50736;top:21431;width:7811;height:266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RoIsUA&#10;AADcAAAADwAAAGRycy9kb3ducmV2LnhtbESPQWvCQBSE74X+h+UJvdWNaWljdBURhBzqoWnF6yP7&#10;TILZt+nuqvHfu4LQ4zAz3zDz5WA6cSbnW8sKJuMEBHFldcu1gt+fzWsGwgdkjZ1lUnAlD8vF89Mc&#10;c20v/E3nMtQiQtjnqKAJoc+l9FVDBv3Y9sTRO1hnMETpaqkdXiLcdDJNkg9psOW40GBP64aqY3ky&#10;CrbraZkV6dXtp2/Fpsz+JvYr2yn1MhpWMxCBhvAffrQLrSB9/4T7mXgE5O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BGgixQAAANwAAAAPAAAAAAAAAAAAAAAAAJgCAABkcnMv&#10;ZG93bnJldi54bWxQSwUGAAAAAAQABAD1AAAAigMAAAAA&#10;" fillcolor="white [3201]" stroked="f" strokeweight=".5pt">
                  <v:textbox>
                    <w:txbxContent>
                      <w:p w14:paraId="227D58D1" w14:textId="77777777" w:rsidR="00BD650A" w:rsidRDefault="00BD650A" w:rsidP="005F2EE3">
                        <w:r>
                          <w:t>90.357%</w:t>
                        </w:r>
                      </w:p>
                    </w:txbxContent>
                  </v:textbox>
                </v:shape>
                <v:shape id="Text Box 248" o:spid="_x0000_s1050" type="#_x0000_t202" style="position:absolute;left:50546;top:12191;width:5746;height:276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pv8UMIA&#10;AADcAAAADwAAAGRycy9kb3ducmV2LnhtbERPz2vCMBS+D/wfwhO8zdQqUqtRRBB6mId1E6+P5tkW&#10;m5cuybT+98th4PHj+73ZDaYTd3K+taxgNk1AEFdWt1wr+P46vmcgfEDW2FkmBU/ysNuO3jaYa/vg&#10;T7qXoRYxhH2OCpoQ+lxKXzVk0E9tTxy5q3UGQ4SultrhI4abTqZJspQGW44NDfZ0aKi6lb9Gwemw&#10;KrMifbrLal4cy+xnZj+ys1KT8bBfgwg0hJf4311oBekiro1n4hGQ2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m/xQwgAAANwAAAAPAAAAAAAAAAAAAAAAAJgCAABkcnMvZG93&#10;bnJldi54bWxQSwUGAAAAAAQABAD1AAAAhwMAAAAA&#10;" fillcolor="white [3201]" stroked="f" strokeweight=".5pt">
                  <v:textbox>
                    <w:txbxContent>
                      <w:p w14:paraId="4BDACBD4" w14:textId="77777777" w:rsidR="00BD650A" w:rsidRDefault="00BD650A" w:rsidP="005F2EE3">
                        <w:r>
                          <w:t>100%</w:t>
                        </w:r>
                      </w:p>
                    </w:txbxContent>
                  </v:textbox>
                </v:shape>
                <v:shape id="Text Box 249" o:spid="_x0000_s1051" type="#_x0000_t202" style="position:absolute;left:50736;top:5238;width:5747;height:247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dZy8UA&#10;AADcAAAADwAAAGRycy9kb3ducmV2LnhtbESPQWvCQBSE70L/w/IKvenGVEoSXaUIQg710Nji9ZF9&#10;JsHs23R3q/Hfu0Khx2FmvmFWm9H04kLOd5YVzGcJCOLa6o4bBV+H3TQD4QOyxt4yKbiRh836abLC&#10;Qtsrf9KlCo2IEPYFKmhDGAopfd2SQT+zA3H0TtYZDFG6RmqH1wg3vUyT5E0a7DgutDjQtqX6XP0a&#10;BfttXmVlenPH/LXcVdnP3H5k30q9PI/vSxCBxvAf/muXWkG6yOFxJh4Bub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11nLxQAAANwAAAAPAAAAAAAAAAAAAAAAAJgCAABkcnMv&#10;ZG93bnJldi54bWxQSwUGAAAAAAQABAD1AAAAigMAAAAA&#10;" fillcolor="white [3201]" stroked="f" strokeweight=".5pt">
                  <v:textbox>
                    <w:txbxContent>
                      <w:p w14:paraId="24A4F610" w14:textId="77777777" w:rsidR="00BD650A" w:rsidRDefault="00BD650A" w:rsidP="005F2EE3">
                        <w:r>
                          <w:t>100%</w:t>
                        </w:r>
                      </w:p>
                    </w:txbxContent>
                  </v:textbox>
                </v:shape>
                <v:shape id="Text Box 251" o:spid="_x0000_s1052" type="#_x0000_t202" style="position:absolute;left:14617;top:30670;width:4921;height:247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ty0sUA&#10;AADcAAAADwAAAGRycy9kb3ducmV2LnhtbESP3YrCMBSE7wXfIRzBG9FUWUWqUYogCC6IP4jeHZqz&#10;bdnmpDRR6z79RhC8HGbmG2a+bEwp7lS7wrKC4SACQZxaXXCm4HRc96cgnEfWWFomBU9ysFy0W3OM&#10;tX3wnu4Hn4kAYRejgtz7KpbSpTkZdANbEQfvx9YGfZB1JnWNjwA3pRxF0UQaLDgs5FjRKqf093Az&#10;CrKvM1932Nv8Rc3uO9km04spU6W6nSaZgfDU+E/43d5oBaPxEF5nwhGQi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S3LSxQAAANwAAAAPAAAAAAAAAAAAAAAAAJgCAABkcnMv&#10;ZG93bnJldi54bWxQSwUGAAAAAAQABAD1AAAAigMAAAAA&#10;" fillcolor="white [3201]" strokecolor="white [3212]" strokeweight=".5pt">
                  <v:textbox>
                    <w:txbxContent>
                      <w:p w14:paraId="474D5978" w14:textId="77777777" w:rsidR="00BD650A" w:rsidRDefault="00BD650A" w:rsidP="005F2EE3">
                        <w:r>
                          <w:t>60%</w:t>
                        </w:r>
                      </w:p>
                      <w:p w14:paraId="7D6E1B72" w14:textId="77777777" w:rsidR="00BD650A" w:rsidRDefault="00BD650A" w:rsidP="005F2EE3"/>
                    </w:txbxContent>
                  </v:textbox>
                </v:shape>
                <v:shape id="Text Box 252" o:spid="_x0000_s1053" type="#_x0000_t202" style="position:absolute;left:7871;top:20574;width:5747;height:29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pdZ8UA&#10;AADcAAAADwAAAGRycy9kb3ducmV2LnhtbESPQWvCQBSE7wX/w/IEb3VjpCWmriKCkIMeGpVeH9nX&#10;JDT7Nu6uGv+9Wyj0OMzMN8xyPZhO3Mj51rKC2TQBQVxZ3XKt4HTcvWYgfEDW2FkmBQ/ysF6NXpaY&#10;a3vnT7qVoRYRwj5HBU0IfS6lrxoy6Ke2J47et3UGQ5SultrhPcJNJ9MkeZcGW44LDfa0baj6Ka9G&#10;wWG7KLMifbivxbzYldllZvfZWanJeNh8gAg0hP/wX7vQCtK3FH7PxCMgV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ql1nxQAAANwAAAAPAAAAAAAAAAAAAAAAAJgCAABkcnMv&#10;ZG93bnJldi54bWxQSwUGAAAAAAQABAD1AAAAigMAAAAA&#10;" fillcolor="white [3201]" stroked="f" strokeweight=".5pt">
                  <v:textbox>
                    <w:txbxContent>
                      <w:p w14:paraId="5376170B" w14:textId="77777777" w:rsidR="00BD650A" w:rsidRDefault="00BD650A" w:rsidP="005F2EE3">
                        <w:r>
                          <w:t>100%</w:t>
                        </w:r>
                      </w:p>
                    </w:txbxContent>
                  </v:textbox>
                </v:shape>
                <v:shape id="Text Box 253" o:spid="_x0000_s1054" type="#_x0000_t202" style="position:absolute;left:22444;top:20574;width:5746;height:29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b4/MUA&#10;AADcAAAADwAAAGRycy9kb3ducmV2LnhtbESPQWvCQBSE74L/YXkFb7ox0hJTVxFByMEeTCteH9nX&#10;JDT7Nu6uGv99tyD0OMzMN8xqM5hO3Mj51rKC+SwBQVxZ3XKt4OtzP81A+ICssbNMCh7kYbMej1aY&#10;a3vnI93KUIsIYZ+jgiaEPpfSVw0Z9DPbE0fv2zqDIUpXS+3wHuGmk2mSvEmDLceFBnvaNVT9lFej&#10;4GO3LLMifbjzclHsy+wyt4fspNTkZdi+gwg0hP/ws11oBenrAv7OxCMg1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5vj8xQAAANwAAAAPAAAAAAAAAAAAAAAAAJgCAABkcnMv&#10;ZG93bnJldi54bWxQSwUGAAAAAAQABAD1AAAAigMAAAAA&#10;" fillcolor="white [3201]" stroked="f" strokeweight=".5pt">
                  <v:textbox>
                    <w:txbxContent>
                      <w:p w14:paraId="769C2E4C" w14:textId="77777777" w:rsidR="00BD650A" w:rsidRDefault="00BD650A" w:rsidP="005F2EE3">
                        <w:r>
                          <w:t>100%</w:t>
                        </w:r>
                      </w:p>
                    </w:txbxContent>
                  </v:textbox>
                </v:shape>
                <v:shape id="Text Box 254" o:spid="_x0000_s1055" type="#_x0000_t202" style="position:absolute;left:50927;top:30384;width:6985;height:257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g9giMUA&#10;AADcAAAADwAAAGRycy9kb3ducmV2LnhtbESPT2vCQBTE74V+h+UJvdWN6R9idBURhBzqoWnF6yP7&#10;TILZt+nuqvHbu4LQ4zAzv2Hmy8F04kzOt5YVTMYJCOLK6pZrBb8/m9cMhA/IGjvLpOBKHpaL56c5&#10;5tpe+JvOZahFhLDPUUETQp9L6auGDPqx7Ymjd7DOYIjS1VI7vES46WSaJJ/SYMtxocGe1g1Vx/Jk&#10;FGzX0zIr0qvbT9+KTZn9TexXtlPqZTSsZiACDeE//GgXWkH68Q73M/EIyM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D2CIxQAAANwAAAAPAAAAAAAAAAAAAAAAAJgCAABkcnMv&#10;ZG93bnJldi54bWxQSwUGAAAAAAQABAD1AAAAigMAAAAA&#10;" fillcolor="white [3201]" stroked="f" strokeweight=".5pt">
                  <v:textbox>
                    <w:txbxContent>
                      <w:p w14:paraId="52C8CCE0" w14:textId="77777777" w:rsidR="00BD650A" w:rsidRDefault="00BD650A" w:rsidP="005F2EE3">
                        <w:r>
                          <w:t>47.61%</w:t>
                        </w:r>
                      </w:p>
                    </w:txbxContent>
                  </v:textbox>
                </v:shape>
                <v:shape id="Text Box 255" o:spid="_x0000_s1056" type="#_x0000_t202" style="position:absolute;left:35147;top:19716;width:5747;height:257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PFE8UA&#10;AADcAAAADwAAAGRycy9kb3ducmV2LnhtbESPQWvCQBSE7wX/w/IK3urGiCWmriKCkIM9mFa8PrKv&#10;SWj2bdxdNf57tyD0OMzMN8xyPZhOXMn51rKC6SQBQVxZ3XKt4Ptr95aB8AFZY2eZFNzJw3o1elli&#10;ru2ND3QtQy0ihH2OCpoQ+lxKXzVk0E9sTxy9H+sMhihdLbXDW4SbTqZJ8i4NthwXGuxp21D1W16M&#10;gs/tosyK9O5Oi1mxK7Pz1O6zo1Lj12HzASLQEP7Dz3ahFaTzOfydiUdArh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Q8UTxQAAANwAAAAPAAAAAAAAAAAAAAAAAJgCAABkcnMv&#10;ZG93bnJldi54bWxQSwUGAAAAAAQABAD1AAAAigMAAAAA&#10;" fillcolor="white [3201]" stroked="f" strokeweight=".5pt">
                  <v:textbox>
                    <w:txbxContent>
                      <w:p w14:paraId="54E0CF12" w14:textId="77777777" w:rsidR="00BD650A" w:rsidRDefault="00BD650A" w:rsidP="005F2EE3">
                        <w:r>
                          <w:t>100%</w:t>
                        </w:r>
                      </w:p>
                    </w:txbxContent>
                  </v:textbox>
                </v:shape>
                <v:shape id="Text Box 257" o:spid="_x0000_s1057" type="#_x0000_t202" style="position:absolute;left:25590;top:12763;width:5747;height:32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3+/8UA&#10;AADcAAAADwAAAGRycy9kb3ducmV2LnhtbESPQWvCQBSE74X+h+UJvdWNKW1jdBURhBzqoWnF6yP7&#10;TILZt+nuqvHfu4LQ4zAz3zDz5WA6cSbnW8sKJuMEBHFldcu1gt+fzWsGwgdkjZ1lUnAlD8vF89Mc&#10;c20v/E3nMtQiQtjnqKAJoc+l9FVDBv3Y9sTRO1hnMETpaqkdXiLcdDJNkg9psOW40GBP64aqY3ky&#10;CrbraZkV6dXtp2/Fpsz+JvYr2yn1MhpWMxCBhvAffrQLrSB9/4T7mXgE5O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3f7/xQAAANwAAAAPAAAAAAAAAAAAAAAAAJgCAABkcnMv&#10;ZG93bnJldi54bWxQSwUGAAAAAAQABAD1AAAAigMAAAAA&#10;" fillcolor="white [3201]" stroked="f" strokeweight=".5pt">
                  <v:textbox>
                    <w:txbxContent>
                      <w:p w14:paraId="4BA84BE0" w14:textId="77777777" w:rsidR="00BD650A" w:rsidRDefault="00BD650A" w:rsidP="005F2EE3">
                        <w:r>
                          <w:t>100%</w:t>
                        </w:r>
                      </w:p>
                    </w:txbxContent>
                  </v:textbox>
                </v:shape>
                <v:shape id="Text Box 258" o:spid="_x0000_s1058" type="#_x0000_t202" style="position:absolute;left:24669;top:5905;width:6985;height:257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0JqjcIA&#10;AADcAAAADwAAAGRycy9kb3ducmV2LnhtbERPz2vCMBS+D/wfwhO8zdSKUqtRRBB6mId1E6+P5tkW&#10;m5cuybT+98th4PHj+73ZDaYTd3K+taxgNk1AEFdWt1wr+P46vmcgfEDW2FkmBU/ysNuO3jaYa/vg&#10;T7qXoRYxhH2OCpoQ+lxKXzVk0E9tTxy5q3UGQ4SultrhI4abTqZJspQGW44NDfZ0aKi6lb9Gwemw&#10;KrMifbrLal4cy+xnZj+ys1KT8bBfgwg0hJf4311oBekiro1n4hGQ2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QmqNwgAAANwAAAAPAAAAAAAAAAAAAAAAAJgCAABkcnMvZG93&#10;bnJldi54bWxQSwUGAAAAAAQABAD1AAAAhwMAAAAA&#10;" fillcolor="white [3201]" stroked="f" strokeweight=".5pt">
                  <v:textbox>
                    <w:txbxContent>
                      <w:p w14:paraId="7DB9EA98" w14:textId="77777777" w:rsidR="00BD650A" w:rsidRDefault="00BD650A" w:rsidP="005F2EE3">
                        <w:r>
                          <w:t>52.28%</w:t>
                        </w:r>
                      </w:p>
                    </w:txbxContent>
                  </v:textbox>
                </v:shape>
                <w10:wrap type="square" anchorx="page"/>
              </v:group>
            </w:pict>
          </mc:Fallback>
        </mc:AlternateContent>
      </w:r>
      <w:r>
        <w:t>Pre-transaction corporate structure</w:t>
      </w:r>
    </w:p>
    <w:p w14:paraId="22397F6D" w14:textId="77777777" w:rsidR="005F2EE3" w:rsidRPr="004519AB" w:rsidRDefault="005F2EE3" w:rsidP="005F2EE3">
      <w:pPr>
        <w:pStyle w:val="HEADING"/>
      </w:pPr>
      <w:r>
        <w:br w:type="page"/>
      </w:r>
      <w:r w:rsidRPr="004519AB">
        <w:lastRenderedPageBreak/>
        <w:t>Post-transaction corporate structure</w:t>
      </w:r>
    </w:p>
    <w:p w14:paraId="12DA2C9A" w14:textId="77777777" w:rsidR="005F2EE3" w:rsidRPr="00CE3F38" w:rsidRDefault="005F2EE3" w:rsidP="005F2EE3">
      <w:pPr>
        <w:pStyle w:val="JUDGMENTNUMBERED"/>
        <w:numPr>
          <w:ilvl w:val="0"/>
          <w:numId w:val="0"/>
        </w:numPr>
      </w:pPr>
      <w:r>
        <w:rPr>
          <w:noProof/>
          <w:lang w:eastAsia="en-ZA"/>
        </w:rPr>
        <mc:AlternateContent>
          <mc:Choice Requires="wpc">
            <w:drawing>
              <wp:anchor distT="0" distB="0" distL="114300" distR="114300" simplePos="0" relativeHeight="251660288" behindDoc="1" locked="0" layoutInCell="1" allowOverlap="1" wp14:anchorId="4E39BA74" wp14:editId="19B8B50B">
                <wp:simplePos x="0" y="0"/>
                <wp:positionH relativeFrom="page">
                  <wp:posOffset>-28575</wp:posOffset>
                </wp:positionH>
                <wp:positionV relativeFrom="page">
                  <wp:posOffset>1428750</wp:posOffset>
                </wp:positionV>
                <wp:extent cx="7563485" cy="5001523"/>
                <wp:effectExtent l="0" t="0" r="0" b="0"/>
                <wp:wrapNone/>
                <wp:docPr id="259" name="Canvas 259"/>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a:ln>
                          <a:noFill/>
                        </a:ln>
                      </wpc:whole>
                      <wps:wsp>
                        <wps:cNvPr id="260" name="Text Box 260"/>
                        <wps:cNvSpPr txBox="1"/>
                        <wps:spPr>
                          <a:xfrm>
                            <a:off x="1752366" y="19"/>
                            <a:ext cx="3184525" cy="327025"/>
                          </a:xfrm>
                          <a:prstGeom prst="rect">
                            <a:avLst/>
                          </a:prstGeom>
                          <a:solidFill>
                            <a:schemeClr val="lt1"/>
                          </a:solidFill>
                          <a:ln w="6350">
                            <a:solidFill>
                              <a:prstClr val="black"/>
                            </a:solidFill>
                          </a:ln>
                        </wps:spPr>
                        <wps:txbx>
                          <w:txbxContent>
                            <w:p w14:paraId="52C623FC" w14:textId="53E282C8" w:rsidR="00BD650A" w:rsidRPr="008F39E9" w:rsidRDefault="00BD650A" w:rsidP="005F2EE3">
                              <w:pPr>
                                <w:rPr>
                                  <w:b/>
                                </w:rPr>
                              </w:pPr>
                              <w:r w:rsidRPr="008F39E9">
                                <w:rPr>
                                  <w:b/>
                                </w:rPr>
                                <w:t>Hosken C</w:t>
                              </w:r>
                              <w:r>
                                <w:rPr>
                                  <w:b/>
                                </w:rPr>
                                <w:t>onsolidated Investments Limited</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261" name="Text Box 261"/>
                        <wps:cNvSpPr txBox="1"/>
                        <wps:spPr>
                          <a:xfrm>
                            <a:off x="1749423" y="619125"/>
                            <a:ext cx="3578225" cy="401320"/>
                          </a:xfrm>
                          <a:prstGeom prst="rect">
                            <a:avLst/>
                          </a:prstGeom>
                          <a:solidFill>
                            <a:schemeClr val="lt1"/>
                          </a:solidFill>
                          <a:ln w="6350">
                            <a:solidFill>
                              <a:prstClr val="black"/>
                            </a:solidFill>
                          </a:ln>
                        </wps:spPr>
                        <wps:txbx>
                          <w:txbxContent>
                            <w:p w14:paraId="62BC458E" w14:textId="77777777" w:rsidR="00BD650A" w:rsidRDefault="00BD650A" w:rsidP="005F2EE3">
                              <w:r>
                                <w:t>Tsogo Investment Holding Company (Pty) Limited</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262" name="Straight Arrow Connector 262"/>
                        <wps:cNvCnPr/>
                        <wps:spPr>
                          <a:xfrm>
                            <a:off x="3321060" y="327044"/>
                            <a:ext cx="9345" cy="29208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63" name="Text Box 263"/>
                        <wps:cNvSpPr txBox="1"/>
                        <wps:spPr>
                          <a:xfrm>
                            <a:off x="2228853" y="1481605"/>
                            <a:ext cx="2111375" cy="450215"/>
                          </a:xfrm>
                          <a:prstGeom prst="rect">
                            <a:avLst/>
                          </a:prstGeom>
                          <a:solidFill>
                            <a:schemeClr val="lt1"/>
                          </a:solidFill>
                          <a:ln w="6350">
                            <a:solidFill>
                              <a:prstClr val="black"/>
                            </a:solidFill>
                          </a:ln>
                        </wps:spPr>
                        <wps:txbx>
                          <w:txbxContent>
                            <w:p w14:paraId="0C92F311" w14:textId="77777777" w:rsidR="00BD650A" w:rsidRDefault="00BD650A" w:rsidP="005F2EE3">
                              <w:r>
                                <w:t>Tsogo Sun Holdings Limited</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264" name="Straight Arrow Connector 264"/>
                        <wps:cNvCnPr/>
                        <wps:spPr>
                          <a:xfrm>
                            <a:off x="3265989" y="1043181"/>
                            <a:ext cx="10068" cy="43842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66" name="Text Box 266"/>
                        <wps:cNvSpPr txBox="1"/>
                        <wps:spPr>
                          <a:xfrm>
                            <a:off x="1679574" y="1129180"/>
                            <a:ext cx="850265" cy="285750"/>
                          </a:xfrm>
                          <a:prstGeom prst="rect">
                            <a:avLst/>
                          </a:prstGeom>
                          <a:solidFill>
                            <a:schemeClr val="lt1"/>
                          </a:solidFill>
                          <a:ln w="6350">
                            <a:noFill/>
                          </a:ln>
                        </wps:spPr>
                        <wps:txbx>
                          <w:txbxContent>
                            <w:p w14:paraId="5EA8F121" w14:textId="236953D4" w:rsidR="00BD650A" w:rsidRDefault="00BD650A" w:rsidP="005F2EE3">
                              <w:r>
                                <w:t>Minimum</w:t>
                              </w:r>
                            </w:p>
                            <w:p w14:paraId="12376737" w14:textId="77777777" w:rsidR="00BD650A" w:rsidRDefault="00BD650A" w:rsidP="005F2EE3">
                              <w:r>
                                <w:t>M50.91%</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267" name="Text Box 267"/>
                        <wps:cNvSpPr txBox="1"/>
                        <wps:spPr>
                          <a:xfrm>
                            <a:off x="2504438" y="1146960"/>
                            <a:ext cx="698500" cy="267970"/>
                          </a:xfrm>
                          <a:prstGeom prst="rect">
                            <a:avLst/>
                          </a:prstGeom>
                          <a:solidFill>
                            <a:schemeClr val="lt1"/>
                          </a:solidFill>
                          <a:ln w="6350">
                            <a:noFill/>
                          </a:ln>
                        </wps:spPr>
                        <wps:txbx>
                          <w:txbxContent>
                            <w:p w14:paraId="1ED93A56" w14:textId="77777777" w:rsidR="00BD650A" w:rsidRDefault="00BD650A" w:rsidP="005F2EE3">
                              <w:r>
                                <w:t>50.91%</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268" name="Text Box 268"/>
                        <wps:cNvSpPr txBox="1"/>
                        <wps:spPr>
                          <a:xfrm>
                            <a:off x="3373120" y="1119655"/>
                            <a:ext cx="877570" cy="361950"/>
                          </a:xfrm>
                          <a:prstGeom prst="rect">
                            <a:avLst/>
                          </a:prstGeom>
                          <a:solidFill>
                            <a:schemeClr val="lt1"/>
                          </a:solidFill>
                          <a:ln w="6350">
                            <a:noFill/>
                          </a:ln>
                        </wps:spPr>
                        <wps:txbx>
                          <w:txbxContent>
                            <w:p w14:paraId="2165867F" w14:textId="77777777" w:rsidR="00BD650A" w:rsidRDefault="00BD650A" w:rsidP="005F2EE3">
                              <w:r>
                                <w:t>Maximum</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269" name="Text Box 269"/>
                        <wps:cNvSpPr txBox="1"/>
                        <wps:spPr>
                          <a:xfrm>
                            <a:off x="4302069" y="1129180"/>
                            <a:ext cx="698500" cy="247650"/>
                          </a:xfrm>
                          <a:prstGeom prst="rect">
                            <a:avLst/>
                          </a:prstGeom>
                          <a:solidFill>
                            <a:schemeClr val="lt1"/>
                          </a:solidFill>
                          <a:ln w="6350">
                            <a:noFill/>
                          </a:ln>
                        </wps:spPr>
                        <wps:txbx>
                          <w:txbxContent>
                            <w:p w14:paraId="546762CE" w14:textId="77777777" w:rsidR="00BD650A" w:rsidRDefault="00BD650A" w:rsidP="005F2EE3">
                              <w:r>
                                <w:t>51.63%</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270" name="Text Box 270"/>
                        <wps:cNvSpPr txBox="1"/>
                        <wps:spPr>
                          <a:xfrm>
                            <a:off x="1953894" y="2410698"/>
                            <a:ext cx="2757170" cy="347345"/>
                          </a:xfrm>
                          <a:prstGeom prst="rect">
                            <a:avLst/>
                          </a:prstGeom>
                          <a:solidFill>
                            <a:schemeClr val="lt1"/>
                          </a:solidFill>
                          <a:ln w="6350">
                            <a:solidFill>
                              <a:prstClr val="black"/>
                            </a:solidFill>
                          </a:ln>
                        </wps:spPr>
                        <wps:txbx>
                          <w:txbxContent>
                            <w:p w14:paraId="31931DD8" w14:textId="77777777" w:rsidR="00BD650A" w:rsidRDefault="00BD650A" w:rsidP="005F2EE3">
                              <w:r>
                                <w:t xml:space="preserve">Niveus Invest 19 Limited </w:t>
                              </w:r>
                              <w:r w:rsidRPr="008E7D69">
                                <w:t>(“GameCo”)</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271" name="Straight Arrow Connector 271"/>
                        <wps:cNvCnPr/>
                        <wps:spPr>
                          <a:xfrm>
                            <a:off x="3276057" y="1932229"/>
                            <a:ext cx="0" cy="47110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72" name="Text Box 272"/>
                        <wps:cNvSpPr txBox="1"/>
                        <wps:spPr>
                          <a:xfrm>
                            <a:off x="1616709" y="2086136"/>
                            <a:ext cx="850265" cy="267335"/>
                          </a:xfrm>
                          <a:prstGeom prst="rect">
                            <a:avLst/>
                          </a:prstGeom>
                          <a:solidFill>
                            <a:schemeClr val="lt1"/>
                          </a:solidFill>
                          <a:ln w="6350">
                            <a:noFill/>
                          </a:ln>
                        </wps:spPr>
                        <wps:txbx>
                          <w:txbxContent>
                            <w:p w14:paraId="5A1A63E4" w14:textId="1346BCF9" w:rsidR="00BD650A" w:rsidRDefault="00BD650A" w:rsidP="005F2EE3">
                              <w:r>
                                <w:t>Minimum</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273" name="Text Box 273"/>
                        <wps:cNvSpPr txBox="1"/>
                        <wps:spPr>
                          <a:xfrm>
                            <a:off x="3373120" y="2086136"/>
                            <a:ext cx="850265" cy="253365"/>
                          </a:xfrm>
                          <a:prstGeom prst="rect">
                            <a:avLst/>
                          </a:prstGeom>
                          <a:solidFill>
                            <a:schemeClr val="lt1"/>
                          </a:solidFill>
                          <a:ln w="6350">
                            <a:noFill/>
                          </a:ln>
                        </wps:spPr>
                        <wps:txbx>
                          <w:txbxContent>
                            <w:p w14:paraId="0E9B8A09" w14:textId="77777777" w:rsidR="00BD650A" w:rsidRDefault="00BD650A" w:rsidP="005F2EE3">
                              <w:r>
                                <w:t>Minimum</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274" name="Text Box 274"/>
                        <wps:cNvSpPr txBox="1"/>
                        <wps:spPr>
                          <a:xfrm>
                            <a:off x="2529839" y="2097394"/>
                            <a:ext cx="492125" cy="265862"/>
                          </a:xfrm>
                          <a:prstGeom prst="rect">
                            <a:avLst/>
                          </a:prstGeom>
                          <a:solidFill>
                            <a:schemeClr val="lt1"/>
                          </a:solidFill>
                          <a:ln w="6350">
                            <a:noFill/>
                          </a:ln>
                        </wps:spPr>
                        <wps:txbx>
                          <w:txbxContent>
                            <w:p w14:paraId="4885E1A0" w14:textId="77777777" w:rsidR="00BD650A" w:rsidRDefault="00BD650A" w:rsidP="005F2EE3">
                              <w:r>
                                <w:t>75%</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275" name="Text Box 275"/>
                        <wps:cNvSpPr txBox="1"/>
                        <wps:spPr>
                          <a:xfrm>
                            <a:off x="4324353" y="2089151"/>
                            <a:ext cx="574675" cy="245110"/>
                          </a:xfrm>
                          <a:prstGeom prst="rect">
                            <a:avLst/>
                          </a:prstGeom>
                          <a:solidFill>
                            <a:schemeClr val="lt1"/>
                          </a:solidFill>
                          <a:ln w="6350">
                            <a:noFill/>
                          </a:ln>
                        </wps:spPr>
                        <wps:txbx>
                          <w:txbxContent>
                            <w:p w14:paraId="18DC937D" w14:textId="77777777" w:rsidR="00BD650A" w:rsidRDefault="00BD650A" w:rsidP="005F2EE3">
                              <w:r>
                                <w:t>100%</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276" name="Text Box 276"/>
                        <wps:cNvSpPr txBox="1"/>
                        <wps:spPr>
                          <a:xfrm>
                            <a:off x="1116328" y="3267965"/>
                            <a:ext cx="2161540" cy="413385"/>
                          </a:xfrm>
                          <a:prstGeom prst="rect">
                            <a:avLst/>
                          </a:prstGeom>
                          <a:solidFill>
                            <a:schemeClr val="lt1"/>
                          </a:solidFill>
                          <a:ln w="6350">
                            <a:solidFill>
                              <a:prstClr val="black"/>
                            </a:solidFill>
                          </a:ln>
                        </wps:spPr>
                        <wps:txbx>
                          <w:txbxContent>
                            <w:p w14:paraId="29B2C200" w14:textId="07A39BA5" w:rsidR="00BD650A" w:rsidRDefault="00BD650A" w:rsidP="005F2EE3">
                              <w:r>
                                <w:t>Niveus Invest 1 (Pty) Limited</w:t>
                              </w:r>
                            </w:p>
                          </w:txbxContent>
                        </wps:txbx>
                        <wps:bodyPr rot="0" spcFirstLastPara="0" vertOverflow="overflow" horzOverflow="overflow" vert="horz" wrap="none" lIns="91440" tIns="45720" rIns="91440" bIns="45720" numCol="1" spcCol="0" rtlCol="0" fromWordArt="0" anchor="ctr" anchorCtr="0" forceAA="0" compatLnSpc="1">
                          <a:prstTxWarp prst="textNoShape">
                            <a:avLst/>
                          </a:prstTxWarp>
                          <a:noAutofit/>
                        </wps:bodyPr>
                      </wps:wsp>
                      <wps:wsp>
                        <wps:cNvPr id="277" name="Text Box 277"/>
                        <wps:cNvSpPr txBox="1"/>
                        <wps:spPr>
                          <a:xfrm>
                            <a:off x="3295140" y="3267965"/>
                            <a:ext cx="1249045" cy="412115"/>
                          </a:xfrm>
                          <a:prstGeom prst="rect">
                            <a:avLst/>
                          </a:prstGeom>
                          <a:solidFill>
                            <a:schemeClr val="lt1"/>
                          </a:solidFill>
                          <a:ln w="6350">
                            <a:solidFill>
                              <a:prstClr val="black"/>
                            </a:solidFill>
                          </a:ln>
                        </wps:spPr>
                        <wps:txbx>
                          <w:txbxContent>
                            <w:p w14:paraId="4BB37000" w14:textId="77777777" w:rsidR="00BD650A" w:rsidRDefault="00BD650A" w:rsidP="005F2EE3">
                              <w:r>
                                <w:t>Vukani Gaming</w:t>
                              </w:r>
                            </w:p>
                          </w:txbxContent>
                        </wps:txbx>
                        <wps:bodyPr rot="0" spcFirstLastPara="0" vertOverflow="overflow" horzOverflow="overflow" vert="horz" wrap="none" lIns="91440" tIns="45720" rIns="91440" bIns="45720" numCol="1" spcCol="0" rtlCol="0" fromWordArt="0" anchor="ctr" anchorCtr="0" forceAA="0" compatLnSpc="1">
                          <a:prstTxWarp prst="textNoShape">
                            <a:avLst/>
                          </a:prstTxWarp>
                          <a:noAutofit/>
                        </wps:bodyPr>
                      </wps:wsp>
                      <wps:wsp>
                        <wps:cNvPr id="278" name="Text Box 278"/>
                        <wps:cNvSpPr txBox="1"/>
                        <wps:spPr>
                          <a:xfrm>
                            <a:off x="4564685" y="3268305"/>
                            <a:ext cx="1239520" cy="412750"/>
                          </a:xfrm>
                          <a:prstGeom prst="rect">
                            <a:avLst/>
                          </a:prstGeom>
                          <a:solidFill>
                            <a:schemeClr val="lt1"/>
                          </a:solidFill>
                          <a:ln w="6350">
                            <a:solidFill>
                              <a:prstClr val="black"/>
                            </a:solidFill>
                          </a:ln>
                        </wps:spPr>
                        <wps:txbx>
                          <w:txbxContent>
                            <w:p w14:paraId="529AB804" w14:textId="77777777" w:rsidR="00BD650A" w:rsidRDefault="00BD650A" w:rsidP="005F2EE3">
                              <w:r>
                                <w:t>Galaxy Gaming</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282" name="Text Box 282"/>
                        <wps:cNvSpPr txBox="1"/>
                        <wps:spPr>
                          <a:xfrm>
                            <a:off x="1546223" y="4338531"/>
                            <a:ext cx="812800" cy="371475"/>
                          </a:xfrm>
                          <a:prstGeom prst="rect">
                            <a:avLst/>
                          </a:prstGeom>
                          <a:solidFill>
                            <a:schemeClr val="lt1"/>
                          </a:solidFill>
                          <a:ln w="6350">
                            <a:solidFill>
                              <a:prstClr val="black"/>
                            </a:solidFill>
                          </a:ln>
                        </wps:spPr>
                        <wps:txbx>
                          <w:txbxContent>
                            <w:p w14:paraId="4BD8087C" w14:textId="77777777" w:rsidR="00BD650A" w:rsidRDefault="00BD650A" w:rsidP="005F2EE3">
                              <w:r>
                                <w:t>Kuruman</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283" name="Straight Arrow Connector 283"/>
                        <wps:cNvCnPr>
                          <a:endCxn id="282" idx="0"/>
                        </wps:cNvCnPr>
                        <wps:spPr>
                          <a:xfrm flipH="1">
                            <a:off x="1952623" y="3698660"/>
                            <a:ext cx="1271" cy="63964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84" name="Text Box 284"/>
                        <wps:cNvSpPr txBox="1"/>
                        <wps:spPr>
                          <a:xfrm>
                            <a:off x="1124584" y="3756165"/>
                            <a:ext cx="492125" cy="266700"/>
                          </a:xfrm>
                          <a:prstGeom prst="rect">
                            <a:avLst/>
                          </a:prstGeom>
                          <a:solidFill>
                            <a:schemeClr val="lt1"/>
                          </a:solidFill>
                          <a:ln w="6350">
                            <a:noFill/>
                          </a:ln>
                        </wps:spPr>
                        <wps:txbx>
                          <w:txbxContent>
                            <w:p w14:paraId="25317495" w14:textId="77777777" w:rsidR="00BD650A" w:rsidRDefault="00BD650A" w:rsidP="005F2EE3">
                              <w:r>
                                <w:t>60%</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285" name="Straight Arrow Connector 285"/>
                        <wps:cNvCnPr/>
                        <wps:spPr>
                          <a:xfrm flipH="1">
                            <a:off x="2406839" y="2776149"/>
                            <a:ext cx="796099" cy="49232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86" name="Straight Arrow Connector 286"/>
                        <wps:cNvCnPr/>
                        <wps:spPr>
                          <a:xfrm flipH="1">
                            <a:off x="3259451" y="2758447"/>
                            <a:ext cx="6538" cy="51054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87" name="Text Box 287"/>
                        <wps:cNvSpPr txBox="1"/>
                        <wps:spPr>
                          <a:xfrm>
                            <a:off x="1812926" y="2911554"/>
                            <a:ext cx="574675" cy="276860"/>
                          </a:xfrm>
                          <a:prstGeom prst="rect">
                            <a:avLst/>
                          </a:prstGeom>
                          <a:solidFill>
                            <a:schemeClr val="lt1"/>
                          </a:solidFill>
                          <a:ln w="6350">
                            <a:noFill/>
                          </a:ln>
                        </wps:spPr>
                        <wps:txbx>
                          <w:txbxContent>
                            <w:p w14:paraId="70D7B782" w14:textId="77777777" w:rsidR="00BD650A" w:rsidRDefault="00BD650A" w:rsidP="005F2EE3">
                              <w:r>
                                <w:t>100%</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288" name="Straight Arrow Connector 288"/>
                        <wps:cNvCnPr/>
                        <wps:spPr>
                          <a:xfrm>
                            <a:off x="3489969" y="2758042"/>
                            <a:ext cx="1221095" cy="49198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89" name="Text Box 289"/>
                        <wps:cNvSpPr txBox="1"/>
                        <wps:spPr>
                          <a:xfrm>
                            <a:off x="3302456" y="2983562"/>
                            <a:ext cx="574675" cy="266700"/>
                          </a:xfrm>
                          <a:prstGeom prst="rect">
                            <a:avLst/>
                          </a:prstGeom>
                          <a:solidFill>
                            <a:schemeClr val="lt1"/>
                          </a:solidFill>
                          <a:ln w="6350">
                            <a:noFill/>
                          </a:ln>
                        </wps:spPr>
                        <wps:txbx>
                          <w:txbxContent>
                            <w:p w14:paraId="283EDE68" w14:textId="77777777" w:rsidR="00BD650A" w:rsidRDefault="00BD650A" w:rsidP="005F2EE3">
                              <w:r>
                                <w:t>100%</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290" name="Text Box 290"/>
                        <wps:cNvSpPr txBox="1"/>
                        <wps:spPr>
                          <a:xfrm>
                            <a:off x="4723219" y="2960037"/>
                            <a:ext cx="574675" cy="308610"/>
                          </a:xfrm>
                          <a:prstGeom prst="rect">
                            <a:avLst/>
                          </a:prstGeom>
                          <a:solidFill>
                            <a:schemeClr val="lt1"/>
                          </a:solidFill>
                          <a:ln w="6350">
                            <a:noFill/>
                          </a:ln>
                        </wps:spPr>
                        <wps:txbx>
                          <w:txbxContent>
                            <w:p w14:paraId="4E109627" w14:textId="77777777" w:rsidR="00BD650A" w:rsidRDefault="00BD650A" w:rsidP="005F2EE3">
                              <w:r>
                                <w:t>100%</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c:wpc>
                  </a:graphicData>
                </a:graphic>
                <wp14:sizeRelH relativeFrom="page">
                  <wp14:pctWidth>0</wp14:pctWidth>
                </wp14:sizeRelH>
                <wp14:sizeRelV relativeFrom="page">
                  <wp14:pctHeight>0</wp14:pctHeight>
                </wp14:sizeRelV>
              </wp:anchor>
            </w:drawing>
          </mc:Choice>
          <mc:Fallback>
            <w:pict>
              <v:group w14:anchorId="4E39BA74" id="Canvas 259" o:spid="_x0000_s1059" editas="canvas" style="position:absolute;left:0;text-align:left;margin-left:-2.25pt;margin-top:112.5pt;width:595.55pt;height:393.8pt;z-index:-251656192;mso-position-horizontal-relative:page;mso-position-vertical-relative:page" coordsize="75634,50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">
                <v:shape id="_x0000_s1060" type="#_x0000_t75" style="position:absolute;width:75634;height:50012;visibility:visible;mso-wrap-style:square">
                  <v:fill o:detectmouseclick="t"/>
                  <v:path o:connecttype="none"/>
                </v:shape>
                <v:shape id="Text Box 260" o:spid="_x0000_s1061" type="#_x0000_t202" style="position:absolute;left:17523;width:31845;height:327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Q+3sIA&#10;AADcAAAADwAAAGRycy9kb3ducmV2LnhtbERPy2rCQBTdF/yH4Qrd1YmGBEkdRUShUJD6ALu8zdw8&#10;aOZOyEyT+PedheDycN6rzWga0VPnassK5rMIBHFudc2lguvl8LYE4TyyxsYyKbiTg8168rLCTNuB&#10;T9SffSlCCLsMFVTet5mULq/IoJvZljhwhe0M+gC7UuoOhxBuGrmIolQarDk0VNjSrqL89/xnFBx3&#10;qU3in3FZ7L8+7aksYvmd3JR6nY7bdxCeRv8UP9wfWsEiDfPDmXAE5P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YFD7ewgAAANwAAAAPAAAAAAAAAAAAAAAAAJgCAABkcnMvZG93&#10;bnJldi54bWxQSwUGAAAAAAQABAD1AAAAhwMAAAAA&#10;" fillcolor="white [3201]" strokeweight=".5pt">
                  <v:textbox>
                    <w:txbxContent>
                      <w:p w14:paraId="52C623FC" w14:textId="53E282C8" w:rsidR="00BD650A" w:rsidRPr="008F39E9" w:rsidRDefault="00BD650A" w:rsidP="005F2EE3">
                        <w:pPr>
                          <w:rPr>
                            <w:b/>
                          </w:rPr>
                        </w:pPr>
                        <w:r w:rsidRPr="008F39E9">
                          <w:rPr>
                            <w:b/>
                          </w:rPr>
                          <w:t>Hosken C</w:t>
                        </w:r>
                        <w:r>
                          <w:rPr>
                            <w:b/>
                          </w:rPr>
                          <w:t>onsolidated Investments Limited</w:t>
                        </w:r>
                      </w:p>
                    </w:txbxContent>
                  </v:textbox>
                </v:shape>
                <v:shape id="Text Box 261" o:spid="_x0000_s1062" type="#_x0000_t202" style="position:absolute;left:17494;top:6191;width:35782;height:401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1ibRcYA&#10;AADcAAAADwAAAGRycy9kb3ducmV2LnhtbESP3WrCQBSE74W+w3IKvdONkYQQXaWEFoRC0bTQXh6z&#10;Jz80ezZkV03f3i0UvBxm5htms5tMLy40us6yguUiAkFcWd1xo+Dz43WegXAeWWNvmRT8koPd9mG2&#10;wVzbKx/pUvpGBAi7HBW03g+5lK5qyaBb2IE4eLUdDfogx0bqEa8BbnoZR1EqDXYcFlocqGip+inP&#10;RsF7kdpkdZqy+uXwZo9NvZLfyZdST4/T8xqEp8nfw//tvVYQp0v4OxOOgNz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1ibRcYAAADcAAAADwAAAAAAAAAAAAAAAACYAgAAZHJz&#10;L2Rvd25yZXYueG1sUEsFBgAAAAAEAAQA9QAAAIsDAAAAAA==&#10;" fillcolor="white [3201]" strokeweight=".5pt">
                  <v:textbox>
                    <w:txbxContent>
                      <w:p w14:paraId="62BC458E" w14:textId="77777777" w:rsidR="00BD650A" w:rsidRDefault="00BD650A" w:rsidP="005F2EE3">
                        <w:r>
                          <w:t>Tsogo Investment Holding Company (Pty) Limited</w:t>
                        </w:r>
                      </w:p>
                    </w:txbxContent>
                  </v:textbox>
                </v:shape>
                <v:shape id="Straight Arrow Connector 262" o:spid="_x0000_s1063" type="#_x0000_t32" style="position:absolute;left:33210;top:3270;width:94;height:292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qpCcEAAADcAAAADwAAAGRycy9kb3ducmV2LnhtbESP3YrCMBSE7wXfIRzBG1lTi8hSjSKC&#10;UC9XfYBDc2yKzUlJ0p99+83Cwl4OM/MNczhNthUD+dA4VrBZZyCIK6cbrhU8H9ePTxAhImtsHZOC&#10;bwpwOs5nByy0G/mLhnusRYJwKFCBibErpAyVIYth7Tri5L2ctxiT9LXUHscEt63Ms2wnLTacFgx2&#10;dDFUve+9VeAGNrftysa37KvHGfvyMvpSqeViOu9BRJrif/ivXWoF+S6H3zPpCMjj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t6qkJwQAAANwAAAAPAAAAAAAAAAAAAAAA&#10;AKECAABkcnMvZG93bnJldi54bWxQSwUGAAAAAAQABAD5AAAAjwMAAAAA&#10;" strokecolor="black [3040]">
                  <v:stroke endarrow="block"/>
                </v:shape>
                <v:shape id="Text Box 263" o:spid="_x0000_s1064" type="#_x0000_t202" style="position:absolute;left:22288;top:14816;width:21114;height:450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agqcQA&#10;AADcAAAADwAAAGRycy9kb3ducmV2LnhtbESPW4vCMBSE3xf8D+EIvq2pFotUo4goCMKyXkAfj83p&#10;BZuT0kTt/vvNwoKPw8x8w8yXnanFk1pXWVYwGkYgiDOrKy4UnE/bzykI55E11pZJwQ85WC56H3NM&#10;tX3xgZ5HX4gAYZeigtL7JpXSZSUZdEPbEAcvt61BH2RbSN3iK8BNLcdRlEiDFYeFEhtal5Tdjw+j&#10;4Gud2El866b55ntvD0Uey+vkotSg361mIDx1/h3+b++0gnESw9+ZcATk4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jGoKnEAAAA3AAAAA8AAAAAAAAAAAAAAAAAmAIAAGRycy9k&#10;b3ducmV2LnhtbFBLBQYAAAAABAAEAPUAAACJAwAAAAA=&#10;" fillcolor="white [3201]" strokeweight=".5pt">
                  <v:textbox>
                    <w:txbxContent>
                      <w:p w14:paraId="0C92F311" w14:textId="77777777" w:rsidR="00BD650A" w:rsidRDefault="00BD650A" w:rsidP="005F2EE3">
                        <w:r>
                          <w:t>Tsogo Sun Holdings Limited</w:t>
                        </w:r>
                      </w:p>
                    </w:txbxContent>
                  </v:textbox>
                </v:shape>
                <v:shape id="Straight Arrow Connector 264" o:spid="_x0000_s1065" type="#_x0000_t32" style="position:absolute;left:32659;top:10431;width:101;height:438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U+U5sAAAADcAAAADwAAAGRycy9kb3ducmV2LnhtbESP3YrCMBSE7wXfIRxhb0TTFRGpRhFB&#10;qJerPsChOTbF5qQk6c++vVlY8HKYmW+Y/XG0jejJh9qxgu9lBoK4dLrmSsHjfllsQYSIrLFxTAp+&#10;KcDxMJ3sMddu4B/qb7ESCcIhRwUmxjaXMpSGLIala4mT93TeYkzSV1J7HBLcNnKVZRtpsea0YLCl&#10;s6HydeusAtezua7nNr5kV95P2BXnwRdKfc3G0w5EpDF+wv/tQitYbdbwdyYdAXl4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1PlObAAAAA3AAAAA8AAAAAAAAAAAAAAAAA&#10;oQIAAGRycy9kb3ducmV2LnhtbFBLBQYAAAAABAAEAPkAAACOAwAAAAA=&#10;" strokecolor="black [3040]">
                  <v:stroke endarrow="block"/>
                </v:shape>
                <v:shape id="Text Box 266" o:spid="_x0000_s1066" type="#_x0000_t202" style="position:absolute;left:16795;top:11291;width:8503;height:285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2R2cUA&#10;AADcAAAADwAAAGRycy9kb3ducmV2LnhtbESPQWvCQBSE74X+h+UVeqsbI4SYuooIQg720FTx+si+&#10;JsHs27i7avz3XUHocZiZb5jFajS9uJLznWUF00kCgri2uuNGwf5n+5GD8AFZY2+ZFNzJw2r5+rLA&#10;Qtsbf9O1Co2IEPYFKmhDGAopfd2SQT+xA3H0fq0zGKJ0jdQObxFuepkmSSYNdhwXWhxo01J9qi5G&#10;wddmXuVlenfH+azcVvl5anf5Qan3t3H9CSLQGP7Dz3apFaRZBo8z8Qj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3/ZHZxQAAANwAAAAPAAAAAAAAAAAAAAAAAJgCAABkcnMv&#10;ZG93bnJldi54bWxQSwUGAAAAAAQABAD1AAAAigMAAAAA&#10;" fillcolor="white [3201]" stroked="f" strokeweight=".5pt">
                  <v:textbox>
                    <w:txbxContent>
                      <w:p w14:paraId="5EA8F121" w14:textId="236953D4" w:rsidR="00BD650A" w:rsidRDefault="00BD650A" w:rsidP="005F2EE3">
                        <w:r>
                          <w:t>Minimum</w:t>
                        </w:r>
                      </w:p>
                      <w:p w14:paraId="12376737" w14:textId="77777777" w:rsidR="00BD650A" w:rsidRDefault="00BD650A" w:rsidP="005F2EE3">
                        <w:r>
                          <w:t>M50.91%</w:t>
                        </w:r>
                      </w:p>
                    </w:txbxContent>
                  </v:textbox>
                </v:shape>
                <v:shape id="Text Box 267" o:spid="_x0000_s1067" type="#_x0000_t202" style="position:absolute;left:25044;top:11469;width:6985;height:268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LE0QsUA&#10;AADcAAAADwAAAGRycy9kb3ducmV2LnhtbESPQWvCQBSE7wX/w/IK3urGCDamriKCkIM9mFa8PrKv&#10;SWj2bdxdNf57tyD0OMzMN8xyPZhOXMn51rKC6SQBQVxZ3XKt4Ptr95aB8AFZY2eZFNzJw3o1elli&#10;ru2ND3QtQy0ihH2OCpoQ+lxKXzVk0E9sTxy9H+sMhihdLbXDW4SbTqZJMpcGW44LDfa0baj6LS9G&#10;wed2UWZFenenxazYldl5avfZUanx67D5ABFoCP/hZ7vQCtL5O/ydiUdArh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sTRCxQAAANwAAAAPAAAAAAAAAAAAAAAAAJgCAABkcnMv&#10;ZG93bnJldi54bWxQSwUGAAAAAAQABAD1AAAAigMAAAAA&#10;" fillcolor="white [3201]" stroked="f" strokeweight=".5pt">
                  <v:textbox>
                    <w:txbxContent>
                      <w:p w14:paraId="1ED93A56" w14:textId="77777777" w:rsidR="00BD650A" w:rsidRDefault="00BD650A" w:rsidP="005F2EE3">
                        <w:r>
                          <w:t>50.91%</w:t>
                        </w:r>
                      </w:p>
                    </w:txbxContent>
                  </v:textbox>
                </v:shape>
                <v:shape id="Text Box 268" o:spid="_x0000_s1068" type="#_x0000_t202" style="position:absolute;left:33731;top:11196;width:8775;height:362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6gMMEA&#10;AADcAAAADwAAAGRycy9kb3ducmV2LnhtbERPTYvCMBC9L/gfwgje1tQKUqtRRBB6cA92d/E6NGNb&#10;bCY1iVr//eYg7PHxvtfbwXTiQc63lhXMpgkI4srqlmsFP9+HzwyED8gaO8uk4EUetpvRxxpzbZ98&#10;okcZahFD2OeooAmhz6X0VUMG/dT2xJG7WGcwROhqqR0+Y7jpZJokC2mw5djQYE/7hqpreTcKvvbL&#10;MivSlzsv58WhzG4ze8x+lZqMh90KRKAh/Ivf7kIrSBdxbTwTj4Dc/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kuoDDBAAAA3AAAAA8AAAAAAAAAAAAAAAAAmAIAAGRycy9kb3du&#10;cmV2LnhtbFBLBQYAAAAABAAEAPUAAACGAwAAAAA=&#10;" fillcolor="white [3201]" stroked="f" strokeweight=".5pt">
                  <v:textbox>
                    <w:txbxContent>
                      <w:p w14:paraId="2165867F" w14:textId="77777777" w:rsidR="00BD650A" w:rsidRDefault="00BD650A" w:rsidP="005F2EE3">
                        <w:r>
                          <w:t>Maximum</w:t>
                        </w:r>
                      </w:p>
                    </w:txbxContent>
                  </v:textbox>
                </v:shape>
                <v:shape id="Text Box 269" o:spid="_x0000_s1069" type="#_x0000_t202" style="position:absolute;left:43020;top:11291;width:6985;height:247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IFq8UA&#10;AADcAAAADwAAAGRycy9kb3ducmV2LnhtbESPQWvCQBSE74X+h+UVeqsbI0iSuooIQg720Kh4fWRf&#10;k2D2bdxdNf77bqHgcZiZb5jFajS9uJHznWUF00kCgri2uuNGwWG//chA+ICssbdMCh7kYbV8fVlg&#10;oe2dv+lWhUZECPsCFbQhDIWUvm7JoJ/YgTh6P9YZDFG6RmqH9wg3vUyTZC4NdhwXWhxo01J9rq5G&#10;wdcmr7IyfbhTPiu3VXaZ2l12VOr9bVx/ggg0hmf4v11qBek8h78z8Qj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YgWrxQAAANwAAAAPAAAAAAAAAAAAAAAAAJgCAABkcnMv&#10;ZG93bnJldi54bWxQSwUGAAAAAAQABAD1AAAAigMAAAAA&#10;" fillcolor="white [3201]" stroked="f" strokeweight=".5pt">
                  <v:textbox>
                    <w:txbxContent>
                      <w:p w14:paraId="546762CE" w14:textId="77777777" w:rsidR="00BD650A" w:rsidRDefault="00BD650A" w:rsidP="005F2EE3">
                        <w:r>
                          <w:t>51.63%</w:t>
                        </w:r>
                      </w:p>
                    </w:txbxContent>
                  </v:textbox>
                </v:shape>
                <v:shape id="Text Box 270" o:spid="_x0000_s1070" type="#_x0000_t202" style="position:absolute;left:19538;top:24106;width:27572;height:347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c2oA8IA&#10;AADcAAAADwAAAGRycy9kb3ducmV2LnhtbERPy4rCMBTdC/5DuMLsNFXRkWpaRBwQBmR8gC6vze0D&#10;m5vSRO38vVkMzPJw3qu0M7V4UusqywrGowgEcWZ1xYWC8+lruADhPLLG2jIp+CUHadLvrTDW9sUH&#10;eh59IUIIuxgVlN43sZQuK8mgG9mGOHC5bQ36ANtC6hZfIdzUchJFc2mw4tBQYkObkrL78WEU7Ddz&#10;O5veukW+/fm2hyKfyuvsotTHoFsvQXjq/L/4z73TCiafYX44E46ATN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zagDwgAAANwAAAAPAAAAAAAAAAAAAAAAAJgCAABkcnMvZG93&#10;bnJldi54bWxQSwUGAAAAAAQABAD1AAAAhwMAAAAA&#10;" fillcolor="white [3201]" strokeweight=".5pt">
                  <v:textbox>
                    <w:txbxContent>
                      <w:p w14:paraId="31931DD8" w14:textId="77777777" w:rsidR="00BD650A" w:rsidRDefault="00BD650A" w:rsidP="005F2EE3">
                        <w:r>
                          <w:t xml:space="preserve">Niveus Invest 19 Limited </w:t>
                        </w:r>
                        <w:r w:rsidRPr="008E7D69">
                          <w:t>(“GameCo”)</w:t>
                        </w:r>
                      </w:p>
                    </w:txbxContent>
                  </v:textbox>
                </v:shape>
                <v:shape id="Straight Arrow Connector 271" o:spid="_x0000_s1071" type="#_x0000_t32" style="position:absolute;left:32760;top:19322;width:0;height:471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OGho8EAAADcAAAADwAAAGRycy9kb3ducmV2LnhtbESP3YrCMBSE7xd8h3AEbxZNlWWVahQR&#10;hHq56gMcmmNTbE5Kkv7s228EYS+HmfmG2R1G24iefKgdK1guMhDEpdM1Vwrut/N8AyJEZI2NY1Lw&#10;SwEO+8nHDnPtBv6h/horkSAcclRgYmxzKUNpyGJYuJY4eQ/nLcYkfSW1xyHBbSNXWfYtLdacFgy2&#10;dDJUPq+dVeB6NpevTxufsitvR+yK0+ALpWbT8bgFEWmM/+F3u9AKVuslvM6kIyD3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Y4aGjwQAAANwAAAAPAAAAAAAAAAAAAAAA&#10;AKECAABkcnMvZG93bnJldi54bWxQSwUGAAAAAAQABAD5AAAAjwMAAAAA&#10;" strokecolor="black [3040]">
                  <v:stroke endarrow="block"/>
                </v:shape>
                <v:shape id="Text Box 272" o:spid="_x0000_s1072" type="#_x0000_t202" style="position:absolute;left:16167;top:20861;width:8502;height:267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8BB8UA&#10;AADcAAAADwAAAGRycy9kb3ducmV2LnhtbESPQWvCQBSE7wX/w/IEb3VjhDamriKCkIMeGpVeH9nX&#10;JDT7Nu6uGv+9Wyj0OMzMN8xyPZhO3Mj51rKC2TQBQVxZ3XKt4HTcvWYgfEDW2FkmBQ/ysF6NXpaY&#10;a3vnT7qVoRYRwj5HBU0IfS6lrxoy6Ke2J47et3UGQ5SultrhPcJNJ9MkeZMGW44LDfa0baj6Ka9G&#10;wWG7KLMifbivxbzYldllZvfZWanJeNh8gAg0hP/wX7vQCtL3FH7PxCMgV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HwEHxQAAANwAAAAPAAAAAAAAAAAAAAAAAJgCAABkcnMv&#10;ZG93bnJldi54bWxQSwUGAAAAAAQABAD1AAAAigMAAAAA&#10;" fillcolor="white [3201]" stroked="f" strokeweight=".5pt">
                  <v:textbox>
                    <w:txbxContent>
                      <w:p w14:paraId="5A1A63E4" w14:textId="1346BCF9" w:rsidR="00BD650A" w:rsidRDefault="00BD650A" w:rsidP="005F2EE3">
                        <w:r>
                          <w:t>Minimum</w:t>
                        </w:r>
                      </w:p>
                    </w:txbxContent>
                  </v:textbox>
                </v:shape>
                <v:shape id="Text Box 273" o:spid="_x0000_s1073" type="#_x0000_t202" style="position:absolute;left:33731;top:20861;width:8502;height:253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OknMUA&#10;AADcAAAADwAAAGRycy9kb3ducmV2LnhtbESPQWvCQBSE74L/YXkFb7oxQhtTVxFByMEeTCteH9nX&#10;JDT7Nu6uGv99tyD0OMzMN8xqM5hO3Mj51rKC+SwBQVxZ3XKt4OtzP81A+ICssbNMCh7kYbMej1aY&#10;a3vnI93KUIsIYZ+jgiaEPpfSVw0Z9DPbE0fv2zqDIUpXS+3wHuGmk2mSvEqDLceFBnvaNVT9lFej&#10;4GO3LLMifbjzclHsy+wyt4fspNTkZdi+gwg0hP/ws11oBenbAv7OxCMg1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U6ScxQAAANwAAAAPAAAAAAAAAAAAAAAAAJgCAABkcnMv&#10;ZG93bnJldi54bWxQSwUGAAAAAAQABAD1AAAAigMAAAAA&#10;" fillcolor="white [3201]" stroked="f" strokeweight=".5pt">
                  <v:textbox>
                    <w:txbxContent>
                      <w:p w14:paraId="0E9B8A09" w14:textId="77777777" w:rsidR="00BD650A" w:rsidRDefault="00BD650A" w:rsidP="005F2EE3">
                        <w:r>
                          <w:t>Minimum</w:t>
                        </w:r>
                      </w:p>
                    </w:txbxContent>
                  </v:textbox>
                </v:shape>
                <v:shape id="Text Box 274" o:spid="_x0000_s1074" type="#_x0000_t202" style="position:absolute;left:25298;top:20973;width:4921;height:265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o86MUA&#10;AADcAAAADwAAAGRycy9kb3ducmV2LnhtbESPQWvCQBSE74X+h+UJvdWNaWljdBURhBzqoWnF6yP7&#10;TILZt+nuqvHfu4LQ4zAz3zDz5WA6cSbnW8sKJuMEBHFldcu1gt+fzWsGwgdkjZ1lUnAlD8vF89Mc&#10;c20v/E3nMtQiQtjnqKAJoc+l9FVDBv3Y9sTRO1hnMETpaqkdXiLcdDJNkg9psOW40GBP64aqY3ky&#10;CrbraZkV6dXtp2/Fpsz+JvYr2yn1MhpWMxCBhvAffrQLrSD9fIf7mXgE5O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ujzoxQAAANwAAAAPAAAAAAAAAAAAAAAAAJgCAABkcnMv&#10;ZG93bnJldi54bWxQSwUGAAAAAAQABAD1AAAAigMAAAAA&#10;" fillcolor="white [3201]" stroked="f" strokeweight=".5pt">
                  <v:textbox>
                    <w:txbxContent>
                      <w:p w14:paraId="4885E1A0" w14:textId="77777777" w:rsidR="00BD650A" w:rsidRDefault="00BD650A" w:rsidP="005F2EE3">
                        <w:r>
                          <w:t>75%</w:t>
                        </w:r>
                      </w:p>
                    </w:txbxContent>
                  </v:textbox>
                </v:shape>
                <v:shape id="Text Box 275" o:spid="_x0000_s1075" type="#_x0000_t202" style="position:absolute;left:43243;top:20891;width:5747;height:245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aZc8UA&#10;AADcAAAADwAAAGRycy9kb3ducmV2LnhtbESPQWvCQBSE74X+h+UJvdWNKW1jdBURhBzqoWnF6yP7&#10;TILZt+nuqvHfu4LQ4zAz3zDz5WA6cSbnW8sKJuMEBHFldcu1gt+fzWsGwgdkjZ1lUnAlD8vF89Mc&#10;c20v/E3nMtQiQtjnqKAJoc+l9FVDBv3Y9sTRO1hnMETpaqkdXiLcdDJNkg9psOW40GBP64aqY3ky&#10;CrbraZkV6dXtp2/Fpsz+JvYr2yn1MhpWMxCBhvAffrQLrSD9fIf7mXgE5O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9plzxQAAANwAAAAPAAAAAAAAAAAAAAAAAJgCAABkcnMv&#10;ZG93bnJldi54bWxQSwUGAAAAAAQABAD1AAAAigMAAAAA&#10;" fillcolor="white [3201]" stroked="f" strokeweight=".5pt">
                  <v:textbox>
                    <w:txbxContent>
                      <w:p w14:paraId="18DC937D" w14:textId="77777777" w:rsidR="00BD650A" w:rsidRDefault="00BD650A" w:rsidP="005F2EE3">
                        <w:r>
                          <w:t>100%</w:t>
                        </w:r>
                      </w:p>
                    </w:txbxContent>
                  </v:textbox>
                </v:shape>
                <v:shape id="Text Box 276" o:spid="_x0000_s1076" type="#_x0000_t202" style="position:absolute;left:11163;top:32679;width:21615;height:4134;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uW+fcQA&#10;AADcAAAADwAAAGRycy9kb3ducmV2LnhtbESPS4vCQBCE74L/YWjBm04Uo5J1FPHFsjcfC3tsMr1J&#10;MNMTMqOJ/npnYcFjUVVfUYtVa0pxp9oVlhWMhhEI4tTqgjMFl/N+MAfhPLLG0jIpeJCD1bLbWWCi&#10;bcNHup98JgKEXYIKcu+rREqX5mTQDW1FHLxfWxv0QdaZ1DU2AW5KOY6iqTRYcFjIsaJNTun1dDOB&#10;8vw5TuJN49pYH/RuZ6rt13esVL/Xrj9AeGr9O/zf/tQKxrMp/J0JR0Au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blvn3EAAAA3AAAAA8AAAAAAAAAAAAAAAAAmAIAAGRycy9k&#10;b3ducmV2LnhtbFBLBQYAAAAABAAEAPUAAACJAwAAAAA=&#10;" fillcolor="white [3201]" strokeweight=".5pt">
                  <v:textbox>
                    <w:txbxContent>
                      <w:p w14:paraId="29B2C200" w14:textId="07A39BA5" w:rsidR="00BD650A" w:rsidRDefault="00BD650A" w:rsidP="005F2EE3">
                        <w:r>
                          <w:t>Niveus Invest 1 (Pty) Limited</w:t>
                        </w:r>
                      </w:p>
                    </w:txbxContent>
                  </v:textbox>
                </v:shape>
                <v:shape id="Text Box 277" o:spid="_x0000_s1077" type="#_x0000_t202" style="position:absolute;left:32951;top:32679;width:12490;height:4121;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kb5sQA&#10;AADcAAAADwAAAGRycy9kb3ducmV2LnhtbESPS4vCQBCE7wv+h6EFb+tEMSpZRxFfLN58LOyxyfQm&#10;wUxPyIwm+uudBcFjUVVfUbNFa0pxo9oVlhUM+hEI4tTqgjMF59P2cwrCeWSNpWVScCcHi3nnY4aJ&#10;tg0f6Hb0mQgQdgkqyL2vEildmpNB17cVcfD+bG3QB1lnUtfYBLgp5TCKxtJgwWEhx4pWOaWX49UE&#10;yuP3MIpXjWtjvdObjanW+59YqV63XX6B8NT6d/jV/tYKhpMJ/J8JR0DO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mpG+bEAAAA3AAAAA8AAAAAAAAAAAAAAAAAmAIAAGRycy9k&#10;b3ducmV2LnhtbFBLBQYAAAAABAAEAPUAAACJAwAAAAA=&#10;" fillcolor="white [3201]" strokeweight=".5pt">
                  <v:textbox>
                    <w:txbxContent>
                      <w:p w14:paraId="4BB37000" w14:textId="77777777" w:rsidR="00BD650A" w:rsidRDefault="00BD650A" w:rsidP="005F2EE3">
                        <w:r>
                          <w:t>Vukani Gaming</w:t>
                        </w:r>
                      </w:p>
                    </w:txbxContent>
                  </v:textbox>
                </v:shape>
                <v:shape id="Text Box 278" o:spid="_x0000_s1078" type="#_x0000_t202" style="position:absolute;left:45646;top:32683;width:12396;height:412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ukBcIA&#10;AADcAAAADwAAAGRycy9kb3ducmV2LnhtbERPy4rCMBTdC/5DuMLsNFXRkWpaRBwQBmR8gC6vze0D&#10;m5vSRO38vVkMzPJw3qu0M7V4UusqywrGowgEcWZ1xYWC8+lruADhPLLG2jIp+CUHadLvrTDW9sUH&#10;eh59IUIIuxgVlN43sZQuK8mgG9mGOHC5bQ36ANtC6hZfIdzUchJFc2mw4tBQYkObkrL78WEU7Ddz&#10;O5veukW+/fm2hyKfyuvsotTHoFsvQXjq/L/4z73TCiafYW04E46ATN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u6QFwgAAANwAAAAPAAAAAAAAAAAAAAAAAJgCAABkcnMvZG93&#10;bnJldi54bWxQSwUGAAAAAAQABAD1AAAAhwMAAAAA&#10;" fillcolor="white [3201]" strokeweight=".5pt">
                  <v:textbox>
                    <w:txbxContent>
                      <w:p w14:paraId="529AB804" w14:textId="77777777" w:rsidR="00BD650A" w:rsidRDefault="00BD650A" w:rsidP="005F2EE3">
                        <w:r>
                          <w:t>Galaxy Gaming</w:t>
                        </w:r>
                      </w:p>
                    </w:txbxContent>
                  </v:textbox>
                </v:shape>
                <v:shape id="Text Box 282" o:spid="_x0000_s1079" type="#_x0000_t202" style="position:absolute;left:15462;top:43385;width:8128;height:37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4bjyMQA&#10;AADcAAAADwAAAGRycy9kb3ducmV2LnhtbESP3YrCMBSE7wXfIRxh7zS1opRqFBGFhQVZXUEvj83p&#10;DzYnpclqffuNIOzlMDPfMItVZ2pxp9ZVlhWMRxEI4szqigsFp5/dMAHhPLLG2jIpeJKD1bLfW2Cq&#10;7YMPdD/6QgQIuxQVlN43qZQuK8mgG9mGOHi5bQ36INtC6hYfAW5qGUfRTBqsOCyU2NCmpOx2/DUK&#10;9puZnU6uXZJvv7/socgn8jI9K/Ux6NZzEJ46/x9+tz+1gjiJ4XUmHA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eG48jEAAAA3AAAAA8AAAAAAAAAAAAAAAAAmAIAAGRycy9k&#10;b3ducmV2LnhtbFBLBQYAAAAABAAEAPUAAACJAwAAAAA=&#10;" fillcolor="white [3201]" strokeweight=".5pt">
                  <v:textbox>
                    <w:txbxContent>
                      <w:p w14:paraId="4BD8087C" w14:textId="77777777" w:rsidR="00BD650A" w:rsidRDefault="00BD650A" w:rsidP="005F2EE3">
                        <w:r>
                          <w:t>Kuruman</w:t>
                        </w:r>
                      </w:p>
                    </w:txbxContent>
                  </v:textbox>
                </v:shape>
                <v:shape id="Straight Arrow Connector 283" o:spid="_x0000_s1080" type="#_x0000_t32" style="position:absolute;left:19526;top:36986;width:12;height:639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JdaBcMAAADcAAAADwAAAGRycy9kb3ducmV2LnhtbESPT4vCMBTE78J+h/AWvGmqgkhtlGVB&#10;WPSwWAU9PprXP9q8lCar8dtvBMHjMDO/YbJ1MK24Ue8aywom4wQEcWF1w5WC42EzWoBwHllja5kU&#10;PMjBevUxyDDV9s57uuW+EhHCLkUFtfddKqUrajLoxrYjjl5pe4M+yr6Susd7hJtWTpNkLg02HBdq&#10;7Oi7puKa/xkF29OlPMhjE9DkYb7dJZvf9jxRavgZvpYgPAX/Dr/aP1rBdDGD55l4BOTq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iXWgXDAAAA3AAAAA8AAAAAAAAAAAAA&#10;AAAAoQIAAGRycy9kb3ducmV2LnhtbFBLBQYAAAAABAAEAPkAAACRAwAAAAA=&#10;" strokecolor="black [3040]">
                  <v:stroke endarrow="block"/>
                </v:shape>
                <v:shape id="Text Box 284" o:spid="_x0000_s1081" type="#_x0000_t202" style="position:absolute;left:11245;top:37561;width:4922;height:266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9Mz8UA&#10;AADcAAAADwAAAGRycy9kb3ducmV2LnhtbESPQWvCQBSE74X+h+UVeqsbUylr6ioiCDm0B6PS6yP7&#10;moRm38bdrcZ/3xWEHoeZ+YZZrEbbizP50DnWMJ1kIIhrZzpuNBz22xcFIkRkg71j0nClAKvl48MC&#10;C+MuvKNzFRuRIBwK1NDGOBRShroli2HiBuLkfTtvMSbpG2k8XhLc9jLPsjdpseO00OJAm5bqn+rX&#10;avjczCtV5lf/NX8tt5U6Td2HOmr9/DSu30FEGuN/+N4ujYZczeB2Jh0Buf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b0zPxQAAANwAAAAPAAAAAAAAAAAAAAAAAJgCAABkcnMv&#10;ZG93bnJldi54bWxQSwUGAAAAAAQABAD1AAAAigMAAAAA&#10;" fillcolor="white [3201]" stroked="f" strokeweight=".5pt">
                  <v:textbox>
                    <w:txbxContent>
                      <w:p w14:paraId="25317495" w14:textId="77777777" w:rsidR="00BD650A" w:rsidRDefault="00BD650A" w:rsidP="005F2EE3">
                        <w:r>
                          <w:t>60%</w:t>
                        </w:r>
                      </w:p>
                    </w:txbxContent>
                  </v:textbox>
                </v:shape>
                <v:shape id="Straight Arrow Connector 285" o:spid="_x0000_s1082" type="#_x0000_t32" style="position:absolute;left:24068;top:27761;width:7961;height:492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DJn6sMAAADcAAAADwAAAGRycy9kb3ducmV2LnhtbESPT4vCMBTE78J+h/AWvGmqoEhtlGVB&#10;WPSwWAU9PprXP9q8lCar8dtvBMHjMDO/YbJ1MK24Ue8aywom4wQEcWF1w5WC42EzWoBwHllja5kU&#10;PMjBevUxyDDV9s57uuW+EhHCLkUFtfddKqUrajLoxrYjjl5pe4M+yr6Susd7hJtWTpNkLg02HBdq&#10;7Oi7puKa/xkF29OlPMhjE9DkYb7dJZvf9jxRavgZvpYgPAX/Dr/aP1rBdDGD55l4BOTq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gyZ+rDAAAA3AAAAA8AAAAAAAAAAAAA&#10;AAAAoQIAAGRycy9kb3ducmV2LnhtbFBLBQYAAAAABAAEAPkAAACRAwAAAAA=&#10;" strokecolor="black [3040]">
                  <v:stroke endarrow="block"/>
                </v:shape>
                <v:shape id="Straight Arrow Connector 286" o:spid="_x0000_s1083" type="#_x0000_t32" style="position:absolute;left:32594;top:27584;width:65;height:510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OD5ncQAAADcAAAADwAAAGRycy9kb3ducmV2LnhtbESPT2vCQBTE7wW/w/IEb3WjhxCiGxFB&#10;EHuQRqE9PrIvfzT7NmS3Zvvtu4VCj8PM/IbZ7oLpxZNG11lWsFomIIgrqztuFNyux9cMhPPIGnvL&#10;pOCbHOyK2csWc20nfqdn6RsRIexyVNB6P+RSuqolg25pB+Lo1XY06KMcG6lHnCLc9HKdJKk02HFc&#10;aHGgQ0vVo/wyCs4f9/oqb11AU4b0/JYcL/3nSqnFPOw3IDwF/x/+a5+0gnWWwu+ZeARk8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Y4PmdxAAAANwAAAAPAAAAAAAAAAAA&#10;AAAAAKECAABkcnMvZG93bnJldi54bWxQSwUGAAAAAAQABAD5AAAAkgMAAAAA&#10;" strokecolor="black [3040]">
                  <v:stroke endarrow="block"/>
                </v:shape>
                <v:shape id="Text Box 287" o:spid="_x0000_s1084" type="#_x0000_t202" style="position:absolute;left:18129;top:29115;width:5747;height:27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3SuMUA&#10;AADcAAAADwAAAGRycy9kb3ducmV2LnhtbESPQWvCQBSE74X+h+UVeqsbU7Br6ioiCDm0B6PS6yP7&#10;moRm38bdrcZ/3xWEHoeZ+YZZrEbbizP50DnWMJ1kIIhrZzpuNBz22xcFIkRkg71j0nClAKvl48MC&#10;C+MuvKNzFRuRIBwK1NDGOBRShroli2HiBuLkfTtvMSbpG2k8XhLc9jLPspm02HFaaHGgTUv1T/Vr&#10;NXxu5pUq86v/mr+W20qdpu5DHbV+fhrX7yAijfE/fG+XRkOu3uB2Jh0Buf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vdK4xQAAANwAAAAPAAAAAAAAAAAAAAAAAJgCAABkcnMv&#10;ZG93bnJldi54bWxQSwUGAAAAAAQABAD1AAAAigMAAAAA&#10;" fillcolor="white [3201]" stroked="f" strokeweight=".5pt">
                  <v:textbox>
                    <w:txbxContent>
                      <w:p w14:paraId="70D7B782" w14:textId="77777777" w:rsidR="00BD650A" w:rsidRDefault="00BD650A" w:rsidP="005F2EE3">
                        <w:r>
                          <w:t>100%</w:t>
                        </w:r>
                      </w:p>
                    </w:txbxContent>
                  </v:textbox>
                </v:shape>
                <v:shape id="Straight Arrow Connector 288" o:spid="_x0000_s1085" type="#_x0000_t32" style="position:absolute;left:34899;top:27580;width:12211;height:492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A54Gb0AAADcAAAADwAAAGRycy9kb3ducmV2LnhtbERPy4rCMBTdC/5DuIKbQVNFRKpRRBDq&#10;0scHXJprU2xuSpI+5u8niwGXh/M+nEbbiJ58qB0rWC0zEMSl0zVXCl7P62IHIkRkjY1jUvBLAU7H&#10;6eSAuXYD36l/xEqkEA45KjAxtrmUoTRkMSxdS5y4t/MWY4K+ktrjkMJtI9dZtpUWa04NBlu6GCo/&#10;j84qcD2b2+bHxo/syucZu+Iy+EKp+Ww870FEGuNX/O8utIL1Lq1NZ9IRkMc/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LwOeBm9AAAA3AAAAA8AAAAAAAAAAAAAAAAAoQIA&#10;AGRycy9kb3ducmV2LnhtbFBLBQYAAAAABAAEAPkAAACLAwAAAAA=&#10;" strokecolor="black [3040]">
                  <v:stroke endarrow="block"/>
                </v:shape>
                <v:shape id="Text Box 289" o:spid="_x0000_s1086" type="#_x0000_t202" style="position:absolute;left:33024;top:29835;width:5747;height:266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7jUcUA&#10;AADcAAAADwAAAGRycy9kb3ducmV2LnhtbESPwWrDMBBE74X+g9hAb40cF4LsRgkhEPChPcRp6XWx&#10;NraJtXIlNXH+vioUchxm5g2z2kx2EBfyoXesYTHPQBA3zvTcavg47p8ViBCRDQ6OScONAmzWjw8r&#10;LI278oEudWxFgnAoUUMX41hKGZqOLIa5G4mTd3LeYkzSt9J4vCa4HWSeZUtpsee00OFIu46ac/1j&#10;NbzvilpV+c1/FS/VvlbfC/emPrV+mk3bVxCRpngP/7croyFXBfydSUdA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2buNRxQAAANwAAAAPAAAAAAAAAAAAAAAAAJgCAABkcnMv&#10;ZG93bnJldi54bWxQSwUGAAAAAAQABAD1AAAAigMAAAAA&#10;" fillcolor="white [3201]" stroked="f" strokeweight=".5pt">
                  <v:textbox>
                    <w:txbxContent>
                      <w:p w14:paraId="283EDE68" w14:textId="77777777" w:rsidR="00BD650A" w:rsidRDefault="00BD650A" w:rsidP="005F2EE3">
                        <w:r>
                          <w:t>100%</w:t>
                        </w:r>
                      </w:p>
                    </w:txbxContent>
                  </v:textbox>
                </v:shape>
                <v:shape id="Text Box 290" o:spid="_x0000_s1087" type="#_x0000_t202" style="position:absolute;left:47232;top:29600;width:5746;height:308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3cEcEA&#10;AADcAAAADwAAAGRycy9kb3ducmV2LnhtbERPz2vCMBS+D/wfwhO8zdQK0nZGGYLQgx7WKV4fzVtb&#10;1rzUJGr975eDsOPH93u9HU0v7uR8Z1nBYp6AIK6t7rhRcPrev2cgfEDW2FsmBU/ysN1M3tZYaPvg&#10;L7pXoRExhH2BCtoQhkJKX7dk0M/tQBy5H+sMhghdI7XDRww3vUyTZCUNdhwbWhxo11L9W92MguMu&#10;r7IyfbpLviz3VXZd2EN2Vmo2HT8/QAQaw7/45S61gjSP8+OZeATk5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KN3BHBAAAA3AAAAA8AAAAAAAAAAAAAAAAAmAIAAGRycy9kb3du&#10;cmV2LnhtbFBLBQYAAAAABAAEAPUAAACGAwAAAAA=&#10;" fillcolor="white [3201]" stroked="f" strokeweight=".5pt">
                  <v:textbox>
                    <w:txbxContent>
                      <w:p w14:paraId="4E109627" w14:textId="77777777" w:rsidR="00BD650A" w:rsidRDefault="00BD650A" w:rsidP="005F2EE3">
                        <w:r>
                          <w:t>100%</w:t>
                        </w:r>
                      </w:p>
                    </w:txbxContent>
                  </v:textbox>
                </v:shape>
                <w10:wrap anchorx="page" anchory="page"/>
              </v:group>
            </w:pict>
          </mc:Fallback>
        </mc:AlternateContent>
      </w:r>
    </w:p>
    <w:p w14:paraId="56EDC5AB" w14:textId="77777777" w:rsidR="005F2EE3" w:rsidRDefault="005F2EE3" w:rsidP="005F2EE3">
      <w:pPr>
        <w:pStyle w:val="JUDGMENTNUMBERED"/>
        <w:numPr>
          <w:ilvl w:val="0"/>
          <w:numId w:val="0"/>
        </w:numPr>
      </w:pPr>
    </w:p>
    <w:p w14:paraId="7AC51406" w14:textId="77777777" w:rsidR="005F2EE3" w:rsidRDefault="005F2EE3" w:rsidP="005F2EE3">
      <w:pPr>
        <w:pStyle w:val="JUDGMENTCONTINUED"/>
      </w:pPr>
    </w:p>
    <w:p w14:paraId="759E2163" w14:textId="77777777" w:rsidR="005F2EE3" w:rsidRDefault="005F2EE3" w:rsidP="005F2EE3">
      <w:pPr>
        <w:spacing w:line="240" w:lineRule="auto"/>
        <w:jc w:val="left"/>
      </w:pPr>
    </w:p>
    <w:p w14:paraId="4E73D2DE" w14:textId="77777777" w:rsidR="005F2EE3" w:rsidRDefault="005F2EE3" w:rsidP="005F2EE3">
      <w:pPr>
        <w:spacing w:line="240" w:lineRule="auto"/>
        <w:jc w:val="left"/>
      </w:pPr>
    </w:p>
    <w:p w14:paraId="4C6D6AE2" w14:textId="77777777" w:rsidR="005F2EE3" w:rsidRDefault="005F2EE3" w:rsidP="005F2EE3">
      <w:pPr>
        <w:spacing w:line="240" w:lineRule="auto"/>
        <w:jc w:val="left"/>
      </w:pPr>
    </w:p>
    <w:p w14:paraId="1CAA50F2" w14:textId="77777777" w:rsidR="005F2EE3" w:rsidRDefault="005F2EE3" w:rsidP="005F2EE3">
      <w:pPr>
        <w:spacing w:line="240" w:lineRule="auto"/>
        <w:jc w:val="left"/>
      </w:pPr>
    </w:p>
    <w:p w14:paraId="4CF01C85" w14:textId="77777777" w:rsidR="005F2EE3" w:rsidRDefault="005F2EE3" w:rsidP="005F2EE3">
      <w:pPr>
        <w:spacing w:line="240" w:lineRule="auto"/>
        <w:jc w:val="left"/>
      </w:pPr>
    </w:p>
    <w:p w14:paraId="3282F488" w14:textId="77777777" w:rsidR="005F2EE3" w:rsidRDefault="005F2EE3" w:rsidP="005F2EE3">
      <w:pPr>
        <w:spacing w:line="240" w:lineRule="auto"/>
        <w:jc w:val="left"/>
      </w:pPr>
    </w:p>
    <w:p w14:paraId="64EBD38E" w14:textId="77777777" w:rsidR="005F2EE3" w:rsidRDefault="005F2EE3" w:rsidP="005F2EE3">
      <w:pPr>
        <w:spacing w:line="240" w:lineRule="auto"/>
        <w:jc w:val="left"/>
      </w:pPr>
    </w:p>
    <w:p w14:paraId="461FD9BC" w14:textId="77777777" w:rsidR="005F2EE3" w:rsidRDefault="005F2EE3" w:rsidP="005F2EE3">
      <w:pPr>
        <w:spacing w:line="240" w:lineRule="auto"/>
        <w:jc w:val="left"/>
      </w:pPr>
    </w:p>
    <w:p w14:paraId="4EF0D165" w14:textId="77777777" w:rsidR="005F2EE3" w:rsidRDefault="005F2EE3" w:rsidP="005F2EE3">
      <w:pPr>
        <w:spacing w:line="240" w:lineRule="auto"/>
        <w:jc w:val="left"/>
      </w:pPr>
    </w:p>
    <w:p w14:paraId="079DF034" w14:textId="77777777" w:rsidR="005F2EE3" w:rsidRDefault="005F2EE3" w:rsidP="005F2EE3">
      <w:pPr>
        <w:spacing w:line="240" w:lineRule="auto"/>
        <w:jc w:val="left"/>
      </w:pPr>
    </w:p>
    <w:p w14:paraId="5114AC91" w14:textId="77777777" w:rsidR="005F2EE3" w:rsidRDefault="005F2EE3" w:rsidP="005F2EE3">
      <w:pPr>
        <w:spacing w:line="240" w:lineRule="auto"/>
        <w:jc w:val="left"/>
      </w:pPr>
    </w:p>
    <w:p w14:paraId="212D20ED" w14:textId="77777777" w:rsidR="005F2EE3" w:rsidRDefault="005F2EE3" w:rsidP="005F2EE3">
      <w:pPr>
        <w:spacing w:line="240" w:lineRule="auto"/>
        <w:jc w:val="left"/>
      </w:pPr>
    </w:p>
    <w:p w14:paraId="5B54ED4D" w14:textId="77777777" w:rsidR="005F2EE3" w:rsidRDefault="005F2EE3" w:rsidP="005F2EE3">
      <w:pPr>
        <w:spacing w:line="240" w:lineRule="auto"/>
        <w:jc w:val="left"/>
      </w:pPr>
    </w:p>
    <w:p w14:paraId="64208E91" w14:textId="77777777" w:rsidR="005F2EE3" w:rsidRDefault="005F2EE3" w:rsidP="005F2EE3">
      <w:pPr>
        <w:spacing w:line="240" w:lineRule="auto"/>
        <w:jc w:val="left"/>
      </w:pPr>
    </w:p>
    <w:p w14:paraId="500A4A95" w14:textId="77777777" w:rsidR="005F2EE3" w:rsidRDefault="005F2EE3" w:rsidP="005F2EE3">
      <w:pPr>
        <w:spacing w:line="240" w:lineRule="auto"/>
        <w:jc w:val="left"/>
      </w:pPr>
    </w:p>
    <w:p w14:paraId="35DC2446" w14:textId="77777777" w:rsidR="005F2EE3" w:rsidRDefault="005F2EE3" w:rsidP="005F2EE3">
      <w:pPr>
        <w:spacing w:line="240" w:lineRule="auto"/>
        <w:jc w:val="center"/>
      </w:pPr>
    </w:p>
    <w:p w14:paraId="59686BB8" w14:textId="77777777" w:rsidR="005F2EE3" w:rsidRDefault="005F2EE3" w:rsidP="005F2EE3">
      <w:pPr>
        <w:spacing w:line="240" w:lineRule="auto"/>
        <w:jc w:val="left"/>
      </w:pPr>
    </w:p>
    <w:p w14:paraId="15F946F7" w14:textId="77777777" w:rsidR="005F2EE3" w:rsidRDefault="005F2EE3" w:rsidP="005F2EE3">
      <w:pPr>
        <w:spacing w:line="240" w:lineRule="auto"/>
        <w:jc w:val="left"/>
      </w:pPr>
    </w:p>
    <w:p w14:paraId="17243265" w14:textId="77777777" w:rsidR="005F2EE3" w:rsidRDefault="005F2EE3" w:rsidP="005F2EE3">
      <w:pPr>
        <w:spacing w:line="240" w:lineRule="auto"/>
        <w:jc w:val="left"/>
      </w:pPr>
    </w:p>
    <w:p w14:paraId="62AE1D2A" w14:textId="77777777" w:rsidR="005F2EE3" w:rsidRDefault="005F2EE3" w:rsidP="005F2EE3">
      <w:pPr>
        <w:spacing w:line="240" w:lineRule="auto"/>
        <w:jc w:val="left"/>
      </w:pPr>
    </w:p>
    <w:p w14:paraId="4CA1B13E" w14:textId="77777777" w:rsidR="005F2EE3" w:rsidRDefault="005F2EE3" w:rsidP="005F2EE3">
      <w:pPr>
        <w:spacing w:line="240" w:lineRule="auto"/>
        <w:jc w:val="left"/>
      </w:pPr>
    </w:p>
    <w:p w14:paraId="72198152" w14:textId="77777777" w:rsidR="005F2EE3" w:rsidRDefault="005F2EE3" w:rsidP="005F2EE3">
      <w:pPr>
        <w:spacing w:line="240" w:lineRule="auto"/>
        <w:jc w:val="left"/>
      </w:pPr>
    </w:p>
    <w:p w14:paraId="578312E9" w14:textId="77777777" w:rsidR="005F2EE3" w:rsidRDefault="005F2EE3" w:rsidP="005F2EE3">
      <w:pPr>
        <w:spacing w:line="240" w:lineRule="auto"/>
        <w:jc w:val="left"/>
      </w:pPr>
    </w:p>
    <w:p w14:paraId="5A7952AE" w14:textId="77777777" w:rsidR="005F2EE3" w:rsidRDefault="005F2EE3" w:rsidP="005F2EE3">
      <w:pPr>
        <w:spacing w:line="240" w:lineRule="auto"/>
        <w:jc w:val="left"/>
      </w:pPr>
    </w:p>
    <w:p w14:paraId="7B65B579" w14:textId="77777777" w:rsidR="005F2EE3" w:rsidRDefault="005F2EE3" w:rsidP="005F2EE3">
      <w:pPr>
        <w:spacing w:line="240" w:lineRule="auto"/>
        <w:jc w:val="left"/>
      </w:pPr>
    </w:p>
    <w:p w14:paraId="154A5D71" w14:textId="5B8070AC" w:rsidR="00E6756F" w:rsidRPr="00070076" w:rsidRDefault="005F2EE3" w:rsidP="00070076">
      <w:pPr>
        <w:spacing w:line="240" w:lineRule="auto"/>
        <w:jc w:val="left"/>
        <w:rPr>
          <w:i/>
        </w:rPr>
      </w:pPr>
      <w:r>
        <w:br w:type="page"/>
      </w:r>
    </w:p>
    <w:p w14:paraId="60EF7651" w14:textId="26BC6977" w:rsidR="004B5BEE" w:rsidRPr="003C4572" w:rsidRDefault="003C4572" w:rsidP="003C4572">
      <w:pPr>
        <w:pStyle w:val="HEADING"/>
      </w:pPr>
      <w:r w:rsidRPr="003C4572">
        <w:lastRenderedPageBreak/>
        <w:t xml:space="preserve">The </w:t>
      </w:r>
      <w:r w:rsidR="0030112B">
        <w:t>Commission</w:t>
      </w:r>
      <w:r w:rsidR="00647532">
        <w:t>’</w:t>
      </w:r>
      <w:r w:rsidR="0030112B">
        <w:t>s advisory opinion</w:t>
      </w:r>
    </w:p>
    <w:p w14:paraId="5D9AD917" w14:textId="2CDFA830" w:rsidR="001D5503" w:rsidRDefault="001D5503" w:rsidP="000C7587">
      <w:pPr>
        <w:pStyle w:val="JUDGMENTNUMBERED"/>
        <w:numPr>
          <w:ilvl w:val="0"/>
          <w:numId w:val="6"/>
        </w:numPr>
      </w:pPr>
      <w:r w:rsidRPr="00E07CA2">
        <w:t xml:space="preserve">HCI approached the Commission in 2016 with a request for an advisory opinion to confirm whether the proposed consolidation of all of HCI’s gaming interests (other than its sports betting and lottery interests) under Tsogo would constitute a notifiable merger for the purpose of section 12 of the Act. </w:t>
      </w:r>
      <w:r w:rsidR="008E3552">
        <w:t xml:space="preserve"> </w:t>
      </w:r>
      <w:r w:rsidR="002079E7">
        <w:t>HCI explain</w:t>
      </w:r>
      <w:r w:rsidR="004A56BA">
        <w:t>ed</w:t>
      </w:r>
      <w:r w:rsidRPr="00E07CA2">
        <w:t xml:space="preserve"> that it approached the Commission for </w:t>
      </w:r>
      <w:r w:rsidR="00F950D9">
        <w:t>an</w:t>
      </w:r>
      <w:r w:rsidR="00A974DC">
        <w:t xml:space="preserve"> </w:t>
      </w:r>
      <w:r w:rsidRPr="00E07CA2">
        <w:t xml:space="preserve">opinion </w:t>
      </w:r>
      <w:r w:rsidR="00B23B6A">
        <w:t xml:space="preserve">despite </w:t>
      </w:r>
      <w:r w:rsidRPr="00E07CA2">
        <w:t>its own view that the proposed transaction did not require notification in terms of the Act</w:t>
      </w:r>
      <w:r w:rsidR="000901D2">
        <w:t>,</w:t>
      </w:r>
      <w:r w:rsidR="002079E7">
        <w:t xml:space="preserve"> but that </w:t>
      </w:r>
      <w:r w:rsidRPr="00E07CA2">
        <w:t>it believed that it was important to engage with the competition authorities in respect of the proposed transaction both as a matter of courtesy and in the interests of transparency.</w:t>
      </w:r>
    </w:p>
    <w:p w14:paraId="18873521" w14:textId="77777777" w:rsidR="00A318CC" w:rsidRPr="00A318CC" w:rsidRDefault="00A318CC" w:rsidP="00D63D62">
      <w:pPr>
        <w:pStyle w:val="JUDGMENTCONTINUED"/>
      </w:pPr>
    </w:p>
    <w:p w14:paraId="160DEA70" w14:textId="2B3B0802" w:rsidR="001D5503" w:rsidRDefault="001D5503" w:rsidP="000C7587">
      <w:pPr>
        <w:pStyle w:val="JUDGMENTNUMBERED"/>
        <w:numPr>
          <w:ilvl w:val="0"/>
          <w:numId w:val="6"/>
        </w:numPr>
      </w:pPr>
      <w:r w:rsidRPr="00E07CA2">
        <w:t>In the request fo</w:t>
      </w:r>
      <w:r w:rsidR="0030112B">
        <w:t>r the advisory opinion, HCI set</w:t>
      </w:r>
      <w:r w:rsidRPr="00E07CA2">
        <w:t xml:space="preserve"> out the rationale for the proposed transaction and </w:t>
      </w:r>
      <w:r w:rsidR="00DB3ACD">
        <w:t>informed</w:t>
      </w:r>
      <w:r w:rsidRPr="00E07CA2">
        <w:t xml:space="preserve"> the </w:t>
      </w:r>
      <w:r w:rsidR="001441C9">
        <w:t xml:space="preserve">Commission </w:t>
      </w:r>
      <w:r w:rsidRPr="00E07CA2">
        <w:t>that the transaction constituted an internal restructuring</w:t>
      </w:r>
      <w:r w:rsidR="002079E7">
        <w:t xml:space="preserve"> involving two entities that are</w:t>
      </w:r>
      <w:r w:rsidRPr="00E07CA2">
        <w:t xml:space="preserve"> ultimately controlled by HCI. </w:t>
      </w:r>
      <w:r w:rsidR="00A318CC">
        <w:t xml:space="preserve"> </w:t>
      </w:r>
      <w:r w:rsidR="009035F7">
        <w:t xml:space="preserve">HCI </w:t>
      </w:r>
      <w:r w:rsidR="00D63D62">
        <w:t>also</w:t>
      </w:r>
      <w:r w:rsidR="00D63D62" w:rsidRPr="00E07CA2">
        <w:t xml:space="preserve"> </w:t>
      </w:r>
      <w:r w:rsidRPr="00E07CA2">
        <w:t>stated that the combination of the various gaming interest</w:t>
      </w:r>
      <w:r w:rsidR="00F70C89">
        <w:t xml:space="preserve">s </w:t>
      </w:r>
      <w:r w:rsidRPr="00E07CA2">
        <w:t>of HCI was simply a manifestation of the p</w:t>
      </w:r>
      <w:r w:rsidR="001441C9">
        <w:t>revious approval by the Commission</w:t>
      </w:r>
      <w:r w:rsidRPr="00E07CA2">
        <w:t xml:space="preserve"> in 2014</w:t>
      </w:r>
      <w:r w:rsidR="00B23B6A">
        <w:t>, a</w:t>
      </w:r>
      <w:r w:rsidRPr="00E07CA2">
        <w:t>nd</w:t>
      </w:r>
      <w:r w:rsidR="00B23B6A">
        <w:t xml:space="preserve"> further</w:t>
      </w:r>
      <w:r w:rsidRPr="00E07CA2">
        <w:t xml:space="preserve"> that the proposed 2017 transaction did not entail an acquisition of control as it </w:t>
      </w:r>
      <w:r w:rsidR="00C06228">
        <w:t>only</w:t>
      </w:r>
      <w:r w:rsidR="0089042E">
        <w:t xml:space="preserve"> </w:t>
      </w:r>
      <w:r w:rsidR="00DB3ACD">
        <w:t>involved the</w:t>
      </w:r>
      <w:r w:rsidRPr="00E07CA2">
        <w:t xml:space="preserve"> combination of assets </w:t>
      </w:r>
      <w:r w:rsidR="006F2900">
        <w:t>that</w:t>
      </w:r>
      <w:r w:rsidR="006F2900" w:rsidRPr="00E07CA2">
        <w:t xml:space="preserve"> </w:t>
      </w:r>
      <w:r w:rsidRPr="00E07CA2">
        <w:t>were already subject to the sole unfettered control of HCI.  HCI further submitted that the competition authorities have, in any event, already effectively considered and approved the consideration of HC</w:t>
      </w:r>
      <w:r w:rsidR="00A318CC">
        <w:t>I</w:t>
      </w:r>
      <w:r w:rsidRPr="00E07CA2">
        <w:t xml:space="preserve">’s gaming interests. </w:t>
      </w:r>
      <w:r w:rsidR="00A318CC">
        <w:t xml:space="preserve"> </w:t>
      </w:r>
      <w:r w:rsidR="00407EA9">
        <w:t>In addition</w:t>
      </w:r>
      <w:r w:rsidR="002C4D06">
        <w:t>,</w:t>
      </w:r>
      <w:r w:rsidR="00407EA9">
        <w:t xml:space="preserve"> HCI </w:t>
      </w:r>
      <w:r w:rsidRPr="00E07CA2">
        <w:t>submitted that</w:t>
      </w:r>
      <w:r w:rsidR="002C4D06">
        <w:t>,</w:t>
      </w:r>
      <w:r w:rsidRPr="00E07CA2">
        <w:t xml:space="preserve"> given the fact that both Tsogo and Niveus are controlled by HCI, the proposed transaction </w:t>
      </w:r>
      <w:r w:rsidR="00DD2C36">
        <w:t>would</w:t>
      </w:r>
      <w:r w:rsidRPr="00E07CA2">
        <w:t xml:space="preserve"> </w:t>
      </w:r>
      <w:r w:rsidR="00A318CC">
        <w:t xml:space="preserve">simplify </w:t>
      </w:r>
      <w:r w:rsidR="00485EC5">
        <w:t>HCI</w:t>
      </w:r>
      <w:r w:rsidR="00D63D62">
        <w:t xml:space="preserve"> </w:t>
      </w:r>
      <w:r w:rsidR="00F23578">
        <w:t>G</w:t>
      </w:r>
      <w:r w:rsidR="00D63D62" w:rsidRPr="00E07CA2">
        <w:t>roup</w:t>
      </w:r>
      <w:r w:rsidR="008D4A17">
        <w:t>’s</w:t>
      </w:r>
      <w:r w:rsidRPr="00E07CA2">
        <w:t xml:space="preserve"> structure and would provide investors with a “single entry point for gaming exposure”</w:t>
      </w:r>
      <w:r w:rsidR="00C06228">
        <w:t>.</w:t>
      </w:r>
    </w:p>
    <w:p w14:paraId="2EE78E0D" w14:textId="77777777" w:rsidR="001D5503" w:rsidRPr="001D5503" w:rsidRDefault="001D5503" w:rsidP="001D5503">
      <w:pPr>
        <w:pStyle w:val="JUDGMENTCONTINUED"/>
      </w:pPr>
    </w:p>
    <w:p w14:paraId="04414784" w14:textId="0AF7AB18" w:rsidR="000A14FF" w:rsidRDefault="000A14FF" w:rsidP="000C7587">
      <w:pPr>
        <w:pStyle w:val="JUDGMENTNUMBERED"/>
        <w:numPr>
          <w:ilvl w:val="0"/>
          <w:numId w:val="6"/>
        </w:numPr>
      </w:pPr>
      <w:r w:rsidRPr="00E07CA2">
        <w:t xml:space="preserve">The Commission requested </w:t>
      </w:r>
      <w:r w:rsidR="002079E7">
        <w:t xml:space="preserve">the following </w:t>
      </w:r>
      <w:r w:rsidRPr="00E07CA2">
        <w:t>information regarding the proposed transaction</w:t>
      </w:r>
      <w:r w:rsidR="0030112B">
        <w:t xml:space="preserve">: </w:t>
      </w:r>
      <w:r w:rsidRPr="00E07CA2">
        <w:t xml:space="preserve">the breakdown of the shareholdings and various Tsogo entities as well as the voting results in shareholding meetings; whether the market conditions in the Northern Cape Province in respect of the business activities of Tsogo and Niveus </w:t>
      </w:r>
      <w:r w:rsidR="0069600F">
        <w:t>had</w:t>
      </w:r>
      <w:r w:rsidR="0069600F" w:rsidRPr="00E07CA2">
        <w:t xml:space="preserve"> </w:t>
      </w:r>
      <w:r w:rsidRPr="00E07CA2">
        <w:t>not changed</w:t>
      </w:r>
      <w:r w:rsidR="0030112B">
        <w:t xml:space="preserve"> since the 2014 transaction</w:t>
      </w:r>
      <w:r w:rsidRPr="00E07CA2">
        <w:t xml:space="preserve"> and information pertaining to HCI’s exercise of voting rights</w:t>
      </w:r>
      <w:r w:rsidR="006F2900">
        <w:t xml:space="preserve">. </w:t>
      </w:r>
      <w:r w:rsidR="0030112B">
        <w:t xml:space="preserve"> </w:t>
      </w:r>
      <w:r w:rsidR="006F2900">
        <w:t xml:space="preserve">All </w:t>
      </w:r>
      <w:r w:rsidR="0033447F">
        <w:t>of the above were</w:t>
      </w:r>
      <w:r w:rsidR="009C3649">
        <w:t xml:space="preserve"> furnished by </w:t>
      </w:r>
      <w:r w:rsidR="0030112B">
        <w:t>HCI</w:t>
      </w:r>
      <w:r w:rsidRPr="00E07CA2">
        <w:t>.</w:t>
      </w:r>
    </w:p>
    <w:p w14:paraId="57614EAB" w14:textId="77777777" w:rsidR="000A14FF" w:rsidRPr="000A14FF" w:rsidRDefault="000A14FF" w:rsidP="000A14FF">
      <w:pPr>
        <w:pStyle w:val="JUDGMENTCONTINUED"/>
      </w:pPr>
    </w:p>
    <w:p w14:paraId="4B13ED68" w14:textId="0F5D1A72" w:rsidR="00E329C7" w:rsidRDefault="00E329C7" w:rsidP="000C7587">
      <w:pPr>
        <w:pStyle w:val="JUDGMENTNUMBERED"/>
        <w:numPr>
          <w:ilvl w:val="0"/>
          <w:numId w:val="6"/>
        </w:numPr>
      </w:pPr>
      <w:r w:rsidRPr="00E07CA2">
        <w:lastRenderedPageBreak/>
        <w:t xml:space="preserve">The Commission identified the following two issues as determinative: </w:t>
      </w:r>
      <w:r w:rsidR="00363369">
        <w:t>f</w:t>
      </w:r>
      <w:r w:rsidR="0030112B">
        <w:t>irst</w:t>
      </w:r>
      <w:r w:rsidR="00005702">
        <w:t>,</w:t>
      </w:r>
      <w:r w:rsidRPr="00E07CA2">
        <w:t xml:space="preserve"> whether the proposed internal restructuring would amount to a change of control</w:t>
      </w:r>
      <w:r w:rsidR="00FC18A2">
        <w:t>,</w:t>
      </w:r>
      <w:r w:rsidRPr="00E07CA2">
        <w:t xml:space="preserve"> and second</w:t>
      </w:r>
      <w:r w:rsidR="00005702">
        <w:t>,</w:t>
      </w:r>
      <w:r w:rsidRPr="00E07CA2">
        <w:t xml:space="preserve"> whether the change of control had already been considered by the competition authorities in 2014.</w:t>
      </w:r>
    </w:p>
    <w:p w14:paraId="56878F37" w14:textId="77777777" w:rsidR="00E329C7" w:rsidRPr="00E329C7" w:rsidRDefault="00E329C7" w:rsidP="00E329C7">
      <w:pPr>
        <w:pStyle w:val="JUDGMENTCONTINUED"/>
      </w:pPr>
    </w:p>
    <w:p w14:paraId="6E26457E" w14:textId="07ED281F" w:rsidR="0069600F" w:rsidRDefault="00785CE9" w:rsidP="000C7587">
      <w:pPr>
        <w:pStyle w:val="JUDGMENTNUMBERED"/>
        <w:numPr>
          <w:ilvl w:val="0"/>
          <w:numId w:val="6"/>
        </w:numPr>
      </w:pPr>
      <w:r w:rsidRPr="00E07CA2">
        <w:t>The Commission issued its advisory opinion on 17 August 2017</w:t>
      </w:r>
      <w:r w:rsidR="009B2004">
        <w:t xml:space="preserve">.  </w:t>
      </w:r>
      <w:r w:rsidRPr="00E07CA2">
        <w:t xml:space="preserve">It </w:t>
      </w:r>
      <w:r w:rsidR="00F950D9">
        <w:t>stated</w:t>
      </w:r>
      <w:r w:rsidRPr="00E07CA2">
        <w:t xml:space="preserve"> that the opinion</w:t>
      </w:r>
      <w:r w:rsidR="00CD4CE7">
        <w:t>—</w:t>
      </w:r>
    </w:p>
    <w:p w14:paraId="6137B444" w14:textId="77777777" w:rsidR="0069600F" w:rsidRPr="0069600F" w:rsidRDefault="0069600F" w:rsidP="0069600F">
      <w:pPr>
        <w:pStyle w:val="QUOTATION"/>
      </w:pPr>
    </w:p>
    <w:p w14:paraId="1AD7B08D" w14:textId="3C142CEF" w:rsidR="00005702" w:rsidRDefault="00785CE9" w:rsidP="0069600F">
      <w:pPr>
        <w:pStyle w:val="QUOTATION"/>
      </w:pPr>
      <w:r w:rsidRPr="00E07CA2">
        <w:t xml:space="preserve">“does not constitute a decision or a finding by the Commission as to whether or not the proposed transaction constitutes a notifiable merger as defined in section 12 of the Act. </w:t>
      </w:r>
      <w:r w:rsidR="00F82D4F">
        <w:t xml:space="preserve"> </w:t>
      </w:r>
      <w:r w:rsidRPr="00E07CA2">
        <w:t xml:space="preserve">It merely serves as a guide on the approach the Commission is likely to adopt in assessing the matter. </w:t>
      </w:r>
      <w:r w:rsidR="00F82D4F">
        <w:t xml:space="preserve"> </w:t>
      </w:r>
      <w:r w:rsidRPr="00E07CA2">
        <w:t>The Commission ordinarily needs to conduct an investigation before it makes a decision</w:t>
      </w:r>
      <w:r w:rsidR="00FC4686">
        <w:t>.</w:t>
      </w:r>
      <w:r w:rsidRPr="00E07CA2">
        <w:t>”</w:t>
      </w:r>
    </w:p>
    <w:p w14:paraId="5F9CD9FA" w14:textId="77777777" w:rsidR="00005702" w:rsidRPr="00005702" w:rsidRDefault="00005702" w:rsidP="0069600F">
      <w:pPr>
        <w:pStyle w:val="JUDGMENTCONTINUED"/>
      </w:pPr>
    </w:p>
    <w:p w14:paraId="1F6333F9" w14:textId="35DBE476" w:rsidR="00785CE9" w:rsidRDefault="00785CE9" w:rsidP="000C7587">
      <w:pPr>
        <w:pStyle w:val="JUDGMENTNUMBERED"/>
        <w:numPr>
          <w:ilvl w:val="0"/>
          <w:numId w:val="6"/>
        </w:numPr>
      </w:pPr>
      <w:r w:rsidRPr="00E07CA2">
        <w:t>The Commission thereafter dealt with the two jurisdictional prerequisites that render</w:t>
      </w:r>
      <w:r w:rsidR="009035F7">
        <w:t>ed</w:t>
      </w:r>
      <w:r w:rsidRPr="00E07CA2">
        <w:t xml:space="preserve"> </w:t>
      </w:r>
      <w:r w:rsidR="009035F7">
        <w:t xml:space="preserve">the </w:t>
      </w:r>
      <w:r w:rsidRPr="00E07CA2">
        <w:t>transaction subject to the scrutiny of the competition authorities</w:t>
      </w:r>
      <w:r w:rsidR="00FC1C4E">
        <w:t>.</w:t>
      </w:r>
      <w:r w:rsidR="00CD4CE7">
        <w:t xml:space="preserve"> </w:t>
      </w:r>
      <w:r w:rsidRPr="00E07CA2">
        <w:t xml:space="preserve"> </w:t>
      </w:r>
      <w:r w:rsidR="00FC1C4E">
        <w:t>T</w:t>
      </w:r>
      <w:r w:rsidRPr="00E07CA2">
        <w:t>he first is that the transaction must result in an acquisition or establishment of control by one or more firms over the whole or part of the business of another firm</w:t>
      </w:r>
      <w:r w:rsidR="009A5207">
        <w:t xml:space="preserve">. </w:t>
      </w:r>
      <w:r w:rsidRPr="00E07CA2">
        <w:t xml:space="preserve"> </w:t>
      </w:r>
      <w:r w:rsidR="009A5207">
        <w:t>The</w:t>
      </w:r>
      <w:r w:rsidRPr="00E07CA2">
        <w:t xml:space="preserve"> second</w:t>
      </w:r>
      <w:r w:rsidR="009A5207">
        <w:t xml:space="preserve"> is that</w:t>
      </w:r>
      <w:r w:rsidRPr="00E07CA2">
        <w:t xml:space="preserve"> the transaction must meet the requisite merge</w:t>
      </w:r>
      <w:r w:rsidR="00F82D4F">
        <w:t>r</w:t>
      </w:r>
      <w:r w:rsidRPr="00E07CA2">
        <w:t xml:space="preserve"> thresholds for notification under the Determination of Merger Thresholds an</w:t>
      </w:r>
      <w:r w:rsidR="002603D6">
        <w:t>d Methods of Calculation Notice.</w:t>
      </w:r>
      <w:r w:rsidR="00E14A55">
        <w:rPr>
          <w:rStyle w:val="FootnoteReference"/>
        </w:rPr>
        <w:footnoteReference w:id="4"/>
      </w:r>
    </w:p>
    <w:p w14:paraId="3BCD9D5E" w14:textId="77777777" w:rsidR="00785CE9" w:rsidRPr="00785CE9" w:rsidRDefault="00785CE9" w:rsidP="00785CE9">
      <w:pPr>
        <w:pStyle w:val="JUDGMENTCONTINUED"/>
      </w:pPr>
    </w:p>
    <w:p w14:paraId="54C3D6A1" w14:textId="656F552C" w:rsidR="004A25EF" w:rsidRDefault="004A25EF" w:rsidP="000C7587">
      <w:pPr>
        <w:pStyle w:val="JUDGMENTNUMBERED"/>
        <w:numPr>
          <w:ilvl w:val="0"/>
          <w:numId w:val="6"/>
        </w:numPr>
      </w:pPr>
      <w:r w:rsidRPr="00E07CA2">
        <w:t>The Commission recogni</w:t>
      </w:r>
      <w:r w:rsidR="0068692D">
        <w:t>s</w:t>
      </w:r>
      <w:r w:rsidRPr="00E07CA2">
        <w:t>ed that section 12(2) of the Act anticipates the various ways in which control may be established and that this section sets out a non</w:t>
      </w:r>
      <w:r w:rsidR="002C4D06">
        <w:noBreakHyphen/>
      </w:r>
      <w:r w:rsidRPr="00E07CA2">
        <w:t>exhaustive list of “instances</w:t>
      </w:r>
      <w:r w:rsidR="00144FC5">
        <w:t>”</w:t>
      </w:r>
      <w:r w:rsidRPr="00E07CA2">
        <w:t xml:space="preserve"> where there is a </w:t>
      </w:r>
      <w:r w:rsidRPr="00CB080B">
        <w:t>change</w:t>
      </w:r>
      <w:r w:rsidRPr="00E07CA2">
        <w:t xml:space="preserve"> of control.</w:t>
      </w:r>
      <w:r w:rsidR="00144FC5" w:rsidRPr="00E07CA2" w:rsidDel="00144FC5">
        <w:t xml:space="preserve"> </w:t>
      </w:r>
      <w:r w:rsidR="00CD4CE7">
        <w:t xml:space="preserve"> </w:t>
      </w:r>
      <w:r w:rsidRPr="00E07CA2">
        <w:t>The Commission then considered, with reference to the undisputed facts</w:t>
      </w:r>
      <w:r w:rsidR="0033447F">
        <w:t>,</w:t>
      </w:r>
      <w:r w:rsidRPr="00E07CA2">
        <w:t xml:space="preserve"> whether the change of control which occurred in 2017 must be notified to the </w:t>
      </w:r>
      <w:r w:rsidR="00053592">
        <w:t>competition</w:t>
      </w:r>
      <w:r w:rsidR="002603D6">
        <w:t xml:space="preserve"> </w:t>
      </w:r>
      <w:r w:rsidRPr="00E07CA2">
        <w:t xml:space="preserve">authorities. </w:t>
      </w:r>
      <w:r w:rsidR="00144FC5">
        <w:t xml:space="preserve"> </w:t>
      </w:r>
      <w:r w:rsidR="00611E98">
        <w:t>It concluded that</w:t>
      </w:r>
      <w:r w:rsidRPr="00E07CA2">
        <w:t xml:space="preserve"> </w:t>
      </w:r>
      <w:r w:rsidR="009A5207">
        <w:t>HCI’s 2017 tran</w:t>
      </w:r>
      <w:r w:rsidR="005A4526">
        <w:t xml:space="preserve">saction crossed </w:t>
      </w:r>
      <w:r w:rsidR="006F2900">
        <w:t>“</w:t>
      </w:r>
      <w:r w:rsidR="005A4526">
        <w:t>a bright line</w:t>
      </w:r>
      <w:r w:rsidR="006F2900">
        <w:t>”</w:t>
      </w:r>
      <w:r w:rsidR="005A4526">
        <w:t xml:space="preserve"> </w:t>
      </w:r>
      <w:r w:rsidR="009A5207">
        <w:t>by acquiring control</w:t>
      </w:r>
      <w:r w:rsidR="00480DEF">
        <w:t xml:space="preserve"> in terms of section </w:t>
      </w:r>
      <w:r w:rsidR="005A4526">
        <w:t>12(2)(a)</w:t>
      </w:r>
      <w:r w:rsidR="00F950D9">
        <w:t>.</w:t>
      </w:r>
      <w:r w:rsidR="005A4526">
        <w:t xml:space="preserve"> </w:t>
      </w:r>
      <w:r w:rsidR="00FC18A2">
        <w:t xml:space="preserve"> </w:t>
      </w:r>
      <w:r w:rsidR="00F950D9">
        <w:t>This</w:t>
      </w:r>
      <w:r w:rsidR="009A5207">
        <w:t xml:space="preserve"> made it a notifiable transaction as</w:t>
      </w:r>
      <w:r w:rsidRPr="00E07CA2">
        <w:t xml:space="preserve"> “the crossing of the bright line has a definite legal implication because it indicates the types of transactions the Legislat</w:t>
      </w:r>
      <w:r w:rsidR="006467E0">
        <w:t>ure</w:t>
      </w:r>
      <w:r w:rsidRPr="00E07CA2">
        <w:t xml:space="preserve"> deemed should be notified to the Commission”</w:t>
      </w:r>
      <w:r w:rsidR="00FC4686">
        <w:t>.</w:t>
      </w:r>
      <w:r w:rsidRPr="00E07CA2">
        <w:t xml:space="preserve"> </w:t>
      </w:r>
      <w:r w:rsidR="00144FC5">
        <w:t xml:space="preserve"> </w:t>
      </w:r>
      <w:r w:rsidRPr="00E07CA2">
        <w:t xml:space="preserve">The upshot of the Commission’s </w:t>
      </w:r>
      <w:r w:rsidR="00144FC5">
        <w:t xml:space="preserve">advisory </w:t>
      </w:r>
      <w:r w:rsidRPr="00E07CA2">
        <w:lastRenderedPageBreak/>
        <w:t xml:space="preserve">opinion therefore was that the </w:t>
      </w:r>
      <w:r w:rsidR="002603D6">
        <w:t xml:space="preserve">requirement to notify a merger is triggered once a transaction falls squarely </w:t>
      </w:r>
      <w:r w:rsidR="00480DEF" w:rsidRPr="00E07CA2">
        <w:t>within the purview of section 12(</w:t>
      </w:r>
      <w:r w:rsidR="00647532">
        <w:t>2</w:t>
      </w:r>
      <w:r w:rsidR="00480DEF" w:rsidRPr="00E07CA2">
        <w:t>) of the Act</w:t>
      </w:r>
      <w:r w:rsidRPr="00E07CA2">
        <w:t>.</w:t>
      </w:r>
    </w:p>
    <w:p w14:paraId="7E16C23F" w14:textId="77777777" w:rsidR="002057A0" w:rsidRPr="002057A0" w:rsidRDefault="002057A0" w:rsidP="002057A0">
      <w:pPr>
        <w:pStyle w:val="JUDGMENTCONTINUED"/>
      </w:pPr>
    </w:p>
    <w:p w14:paraId="5C636353" w14:textId="0856D5A0" w:rsidR="001E4463" w:rsidRDefault="002629E8" w:rsidP="000C7587">
      <w:pPr>
        <w:pStyle w:val="JUDGMENTNUMBERED"/>
        <w:numPr>
          <w:ilvl w:val="0"/>
          <w:numId w:val="6"/>
        </w:numPr>
      </w:pPr>
      <w:r w:rsidRPr="00E07CA2">
        <w:t>Furthermore, although the Commission accepted that the investigations into the 2014 transaction did not raise any competition concerns</w:t>
      </w:r>
      <w:r w:rsidR="00B23B6A">
        <w:t>, i</w:t>
      </w:r>
      <w:r w:rsidRPr="00E07CA2">
        <w:t>t was nonetheless of the view that</w:t>
      </w:r>
      <w:r w:rsidR="00A3213E">
        <w:t>,</w:t>
      </w:r>
      <w:r w:rsidRPr="00E07CA2">
        <w:t xml:space="preserve"> because there was a lapse of time between the 2014 transaction and the proposed 2017 transaction and</w:t>
      </w:r>
      <w:r w:rsidR="00B23B6A">
        <w:t>,</w:t>
      </w:r>
      <w:r w:rsidRPr="00E07CA2">
        <w:t xml:space="preserve"> given the change in circumstances and market structures since 2014, it would not be appropriate to make a determination within the context of an advisory opinion whether the structure of the market has changed. </w:t>
      </w:r>
      <w:r w:rsidR="000A5EC8">
        <w:t xml:space="preserve"> </w:t>
      </w:r>
      <w:r w:rsidRPr="00E07CA2">
        <w:t>Lastly, the Commission was of the view that the question whether the proposed transaction raises public interest issues</w:t>
      </w:r>
      <w:r w:rsidR="006F2900">
        <w:t>,</w:t>
      </w:r>
      <w:r w:rsidRPr="00E07CA2">
        <w:t xml:space="preserve"> such as retrenchments, also had to be considered in a new merger investigation.</w:t>
      </w:r>
    </w:p>
    <w:p w14:paraId="7D34170F" w14:textId="77777777" w:rsidR="00CD4CE7" w:rsidRPr="00CD4CE7" w:rsidRDefault="00CD4CE7" w:rsidP="00CD4CE7">
      <w:pPr>
        <w:pStyle w:val="JUDGMENTCONTINUED"/>
      </w:pPr>
    </w:p>
    <w:p w14:paraId="6BE64F73" w14:textId="6E5FDFFA" w:rsidR="002629E8" w:rsidRPr="002629E8" w:rsidRDefault="00883B01" w:rsidP="00883B01">
      <w:pPr>
        <w:pStyle w:val="HEADING"/>
      </w:pPr>
      <w:r w:rsidRPr="00883B01">
        <w:t>Urgent proceedings before the Tribunal</w:t>
      </w:r>
    </w:p>
    <w:p w14:paraId="7D82E8FB" w14:textId="01DD8DB9" w:rsidR="00373370" w:rsidRDefault="00373370" w:rsidP="000C7587">
      <w:pPr>
        <w:pStyle w:val="JUDGMENTNUMBERED"/>
        <w:numPr>
          <w:ilvl w:val="0"/>
          <w:numId w:val="6"/>
        </w:numPr>
      </w:pPr>
      <w:r w:rsidRPr="00E07CA2">
        <w:t xml:space="preserve">Dissatisfied with the advisory opinion, HCI and Tsogo approached the Tribunal on an urgent basis for an order declaring that the proposed transaction does not require approval by the competition authorities in terms of the merger control provisions of the Act. </w:t>
      </w:r>
      <w:r w:rsidR="000A5EC8">
        <w:t xml:space="preserve"> </w:t>
      </w:r>
      <w:r w:rsidRPr="00E07CA2">
        <w:t xml:space="preserve">HCI </w:t>
      </w:r>
      <w:r w:rsidR="006F2900">
        <w:t xml:space="preserve">considered </w:t>
      </w:r>
      <w:r w:rsidRPr="00E07CA2">
        <w:t xml:space="preserve">that it would face a significant risk if it implemented the </w:t>
      </w:r>
      <w:r w:rsidR="005D4D9C">
        <w:t xml:space="preserve">transaction </w:t>
      </w:r>
      <w:r w:rsidRPr="00E07CA2">
        <w:t>in the face of the</w:t>
      </w:r>
      <w:r w:rsidR="000A5EC8">
        <w:t xml:space="preserve"> Commission</w:t>
      </w:r>
      <w:r w:rsidR="006E3649">
        <w:t>’s advisory opinion.</w:t>
      </w:r>
    </w:p>
    <w:p w14:paraId="2230EF47" w14:textId="77777777" w:rsidR="00373370" w:rsidRPr="00373370" w:rsidRDefault="00373370" w:rsidP="00373370">
      <w:pPr>
        <w:pStyle w:val="JUDGMENTCONTINUED"/>
      </w:pPr>
    </w:p>
    <w:p w14:paraId="37C1380B" w14:textId="726CC8B0" w:rsidR="00B0001C" w:rsidRDefault="00B0001C" w:rsidP="000C7587">
      <w:pPr>
        <w:pStyle w:val="JUDGMENTNUMBERED"/>
        <w:numPr>
          <w:ilvl w:val="0"/>
          <w:numId w:val="6"/>
        </w:numPr>
      </w:pPr>
      <w:r w:rsidRPr="00E07CA2">
        <w:t>The Commission opposed the application on the basis that HCI would cross the “bright line” as contemplated</w:t>
      </w:r>
      <w:r w:rsidR="0038197E">
        <w:t xml:space="preserve"> by section 12(2)(a) of the Act</w:t>
      </w:r>
      <w:r w:rsidRPr="00E07CA2">
        <w:t xml:space="preserve"> </w:t>
      </w:r>
      <w:r w:rsidR="00F122EF">
        <w:t>and</w:t>
      </w:r>
      <w:r w:rsidR="0038197E">
        <w:t xml:space="preserve">, for that reason, </w:t>
      </w:r>
      <w:r w:rsidRPr="00E07CA2">
        <w:t xml:space="preserve">the transaction was </w:t>
      </w:r>
      <w:r w:rsidR="006F2900">
        <w:t xml:space="preserve">rightly </w:t>
      </w:r>
      <w:r w:rsidRPr="00E07CA2">
        <w:t xml:space="preserve">considered to be a notifiable merger.  It was submitted on behalf of the Commission, relying on the decision of the Tribunal in </w:t>
      </w:r>
      <w:r w:rsidRPr="00CD4CE7">
        <w:rPr>
          <w:i/>
          <w:snapToGrid w:val="0"/>
        </w:rPr>
        <w:t>Ethos</w:t>
      </w:r>
      <w:r w:rsidR="00F950D9">
        <w:rPr>
          <w:snapToGrid w:val="0"/>
        </w:rPr>
        <w:t>,</w:t>
      </w:r>
      <w:r w:rsidRPr="00D82FA2">
        <w:rPr>
          <w:snapToGrid w:val="0"/>
          <w:vertAlign w:val="superscript"/>
          <w:lang w:val="x-none"/>
        </w:rPr>
        <w:footnoteReference w:id="5"/>
      </w:r>
      <w:r w:rsidRPr="00E07CA2">
        <w:t xml:space="preserve"> that the bright lines relied </w:t>
      </w:r>
      <w:r w:rsidR="00F122EF">
        <w:t xml:space="preserve">on </w:t>
      </w:r>
      <w:r w:rsidRPr="00E07CA2">
        <w:t>in that decision are instances that trigger notification</w:t>
      </w:r>
      <w:r w:rsidR="00741A4D">
        <w:t>.</w:t>
      </w:r>
    </w:p>
    <w:p w14:paraId="525C042B" w14:textId="77777777" w:rsidR="002057A0" w:rsidRPr="002057A0" w:rsidRDefault="002057A0" w:rsidP="002057A0">
      <w:pPr>
        <w:pStyle w:val="JUDGMENTCONTINUED"/>
      </w:pPr>
    </w:p>
    <w:p w14:paraId="685D5166" w14:textId="064E1CEA" w:rsidR="00310951" w:rsidRDefault="00AE53F1" w:rsidP="000C7587">
      <w:pPr>
        <w:pStyle w:val="JUDGMENTNUMBERED"/>
        <w:numPr>
          <w:ilvl w:val="0"/>
          <w:numId w:val="6"/>
        </w:numPr>
      </w:pPr>
      <w:r w:rsidRPr="00E07CA2">
        <w:t xml:space="preserve">When the matter came before the Tribunal, </w:t>
      </w:r>
      <w:r w:rsidR="005D0214">
        <w:t>it declined to assume jurisdiction to issue a declaratory order</w:t>
      </w:r>
      <w:r w:rsidR="00B84825">
        <w:t xml:space="preserve">. </w:t>
      </w:r>
      <w:r w:rsidR="008920E2">
        <w:t xml:space="preserve"> </w:t>
      </w:r>
      <w:r w:rsidR="00B84825">
        <w:t>It did so</w:t>
      </w:r>
      <w:r w:rsidR="005D0214">
        <w:t xml:space="preserve"> principally on the basis</w:t>
      </w:r>
      <w:r w:rsidRPr="00E07CA2">
        <w:t xml:space="preserve"> that its jurisdiction </w:t>
      </w:r>
      <w:r w:rsidR="006E3649">
        <w:t>was</w:t>
      </w:r>
      <w:r w:rsidR="006E3649" w:rsidRPr="00E07CA2">
        <w:t xml:space="preserve"> </w:t>
      </w:r>
      <w:r w:rsidRPr="00E07CA2">
        <w:t xml:space="preserve">triggered </w:t>
      </w:r>
      <w:r w:rsidR="00F950D9">
        <w:t xml:space="preserve">only </w:t>
      </w:r>
      <w:r w:rsidRPr="00E07CA2">
        <w:t xml:space="preserve">once a transaction had been notified to the Commission. </w:t>
      </w:r>
      <w:r w:rsidR="00213758">
        <w:t xml:space="preserve"> </w:t>
      </w:r>
      <w:r w:rsidRPr="00E07CA2">
        <w:t xml:space="preserve">The parties </w:t>
      </w:r>
      <w:r w:rsidRPr="00E07CA2">
        <w:lastRenderedPageBreak/>
        <w:t xml:space="preserve">were </w:t>
      </w:r>
      <w:r w:rsidR="005D0214">
        <w:t xml:space="preserve">accordingly </w:t>
      </w:r>
      <w:r w:rsidRPr="00E07CA2">
        <w:t>requested to address</w:t>
      </w:r>
      <w:r w:rsidR="005D0214">
        <w:t xml:space="preserve"> </w:t>
      </w:r>
      <w:r w:rsidRPr="00E07CA2">
        <w:t>the question</w:t>
      </w:r>
      <w:r w:rsidR="009D1076">
        <w:t xml:space="preserve"> of jurisdiction</w:t>
      </w:r>
      <w:r w:rsidR="003E6BA4">
        <w:t xml:space="preserve"> before the merits of the matter could be entertained</w:t>
      </w:r>
      <w:r w:rsidRPr="00E07CA2">
        <w:t>.</w:t>
      </w:r>
      <w:r w:rsidR="000C08D5">
        <w:t xml:space="preserve"> </w:t>
      </w:r>
      <w:r w:rsidR="00213758">
        <w:t xml:space="preserve"> </w:t>
      </w:r>
      <w:r w:rsidR="004109A3" w:rsidRPr="00E07CA2">
        <w:t>The Tribunal analysed the provisions of sections</w:t>
      </w:r>
      <w:r w:rsidR="0036123D">
        <w:t> </w:t>
      </w:r>
      <w:r w:rsidR="004109A3" w:rsidRPr="00E07CA2">
        <w:t xml:space="preserve"> 27(1)</w:t>
      </w:r>
      <w:r w:rsidR="004109A3" w:rsidRPr="00E07CA2">
        <w:rPr>
          <w:vertAlign w:val="superscript"/>
        </w:rPr>
        <w:footnoteReference w:id="6"/>
      </w:r>
      <w:r w:rsidR="004109A3" w:rsidRPr="00E07CA2">
        <w:t xml:space="preserve"> </w:t>
      </w:r>
      <w:r w:rsidR="0036123D">
        <w:t> </w:t>
      </w:r>
      <w:r w:rsidR="004109A3" w:rsidRPr="00E07CA2">
        <w:t>and 58</w:t>
      </w:r>
      <w:r w:rsidR="004109A3" w:rsidRPr="00E07CA2">
        <w:rPr>
          <w:vertAlign w:val="superscript"/>
        </w:rPr>
        <w:footnoteReference w:id="7"/>
      </w:r>
      <w:r w:rsidR="004109A3" w:rsidRPr="00E07CA2">
        <w:t xml:space="preserve"> of the Act and</w:t>
      </w:r>
      <w:r w:rsidR="00D82FA2">
        <w:t xml:space="preserve"> concluded as follows</w:t>
      </w:r>
      <w:r w:rsidR="004109A3" w:rsidRPr="00E07CA2">
        <w:t xml:space="preserve">: </w:t>
      </w:r>
      <w:r w:rsidR="003C03A2">
        <w:t>f</w:t>
      </w:r>
      <w:r w:rsidR="004109A3" w:rsidRPr="00E07CA2">
        <w:t>irst, it does not have the power to grant declaratory relief in terms of these two sections</w:t>
      </w:r>
      <w:r w:rsidR="004A0745">
        <w:t xml:space="preserve">; </w:t>
      </w:r>
      <w:r w:rsidR="004A0745" w:rsidRPr="00E07CA2">
        <w:t>second</w:t>
      </w:r>
      <w:r w:rsidR="004109A3" w:rsidRPr="00E07CA2">
        <w:t xml:space="preserve">, the </w:t>
      </w:r>
      <w:r w:rsidR="004A0745">
        <w:t>Commissio</w:t>
      </w:r>
      <w:r w:rsidR="004A0745" w:rsidRPr="00E07CA2">
        <w:t>n’s</w:t>
      </w:r>
      <w:r w:rsidR="006E3649" w:rsidRPr="00E07CA2">
        <w:t xml:space="preserve"> </w:t>
      </w:r>
      <w:r w:rsidR="004109A3" w:rsidRPr="00E07CA2">
        <w:t>advisory opinion is not binding o</w:t>
      </w:r>
      <w:r w:rsidR="00985B82">
        <w:t>n</w:t>
      </w:r>
      <w:r w:rsidR="004109A3" w:rsidRPr="00E07CA2">
        <w:t xml:space="preserve"> the parties</w:t>
      </w:r>
      <w:r w:rsidR="006E3649">
        <w:t xml:space="preserve">; </w:t>
      </w:r>
      <w:r w:rsidR="004A0745">
        <w:t xml:space="preserve">and </w:t>
      </w:r>
      <w:r w:rsidR="000C08D5">
        <w:t>third</w:t>
      </w:r>
      <w:r w:rsidR="004109A3" w:rsidRPr="00E07CA2">
        <w:t xml:space="preserve">, the jurisdiction </w:t>
      </w:r>
      <w:r w:rsidR="004109A3" w:rsidRPr="00E07CA2">
        <w:lastRenderedPageBreak/>
        <w:t>of the Tribunal to consider whether a merger falls within the ambit</w:t>
      </w:r>
      <w:r w:rsidR="00416E3D">
        <w:t xml:space="preserve"> of the Act</w:t>
      </w:r>
      <w:r w:rsidR="004109A3" w:rsidRPr="00E07CA2">
        <w:t xml:space="preserve"> is only triggered once notification of the merger transaction had been given to the Commission.</w:t>
      </w:r>
    </w:p>
    <w:p w14:paraId="6B8CDBEC" w14:textId="77777777" w:rsidR="00310951" w:rsidRPr="00310951" w:rsidRDefault="00310951" w:rsidP="00F70C89">
      <w:pPr>
        <w:pStyle w:val="JUDGMENTCONTINUED"/>
      </w:pPr>
    </w:p>
    <w:p w14:paraId="54BA5CAD" w14:textId="430257D4" w:rsidR="004109A3" w:rsidRDefault="004109A3" w:rsidP="000C7587">
      <w:pPr>
        <w:pStyle w:val="JUDGMENTNUMBERED"/>
        <w:numPr>
          <w:ilvl w:val="0"/>
          <w:numId w:val="6"/>
        </w:numPr>
      </w:pPr>
      <w:r w:rsidRPr="00E07CA2">
        <w:t xml:space="preserve">Because the respondents elected not to notify the </w:t>
      </w:r>
      <w:r w:rsidR="003C03A2" w:rsidRPr="00E07CA2">
        <w:t>proposed</w:t>
      </w:r>
      <w:r w:rsidRPr="00E07CA2">
        <w:t xml:space="preserve"> transaction, the Tribunal </w:t>
      </w:r>
      <w:r w:rsidR="00F45EBE">
        <w:t xml:space="preserve">held that it did not have the </w:t>
      </w:r>
      <w:r w:rsidRPr="00E07CA2">
        <w:t>jurisdiction to</w:t>
      </w:r>
      <w:r w:rsidR="00647532">
        <w:t xml:space="preserve"> grant declaratory relief</w:t>
      </w:r>
      <w:r w:rsidRPr="00E07CA2">
        <w:t xml:space="preserve">. </w:t>
      </w:r>
      <w:r w:rsidR="003C03A2">
        <w:t xml:space="preserve"> </w:t>
      </w:r>
      <w:r w:rsidRPr="00E07CA2">
        <w:t xml:space="preserve">The Tribunal further held that there was no live dispute between the parties </w:t>
      </w:r>
      <w:r w:rsidR="005D0214">
        <w:t xml:space="preserve">as the advisory opinion was </w:t>
      </w:r>
      <w:r w:rsidR="00F45EBE">
        <w:t>not binding</w:t>
      </w:r>
      <w:r w:rsidR="005D0214">
        <w:t xml:space="preserve"> and</w:t>
      </w:r>
      <w:r w:rsidR="00EF6B67">
        <w:t>,</w:t>
      </w:r>
      <w:r w:rsidR="005D0214">
        <w:t xml:space="preserve"> at best, it gave rise to a difference of opinion. </w:t>
      </w:r>
      <w:r w:rsidR="00213758">
        <w:t xml:space="preserve"> </w:t>
      </w:r>
      <w:r w:rsidR="005D0214">
        <w:t xml:space="preserve">Furthermore, </w:t>
      </w:r>
      <w:r w:rsidRPr="00E07CA2">
        <w:t>if the</w:t>
      </w:r>
      <w:r w:rsidR="00F950D9">
        <w:t xml:space="preserve"> parties</w:t>
      </w:r>
      <w:r w:rsidRPr="00E07CA2">
        <w:t xml:space="preserve"> wished to challenge the Commission’s view regarding the proposed transaction they had to do so in accordance with </w:t>
      </w:r>
      <w:r w:rsidR="00A22E7F">
        <w:t xml:space="preserve">rule 31(1)(c) of the </w:t>
      </w:r>
      <w:r w:rsidR="00A7423F">
        <w:t xml:space="preserve">Competition </w:t>
      </w:r>
      <w:r w:rsidRPr="00E07CA2">
        <w:t>Tribunal Rule</w:t>
      </w:r>
      <w:r w:rsidR="00A22E7F">
        <w:t>s</w:t>
      </w:r>
      <w:r w:rsidR="005A2886">
        <w:t xml:space="preserve"> a</w:t>
      </w:r>
      <w:r w:rsidRPr="00E07CA2">
        <w:t xml:space="preserve">nd </w:t>
      </w:r>
      <w:r w:rsidR="00A22E7F">
        <w:t xml:space="preserve">rule 33 of the </w:t>
      </w:r>
      <w:r w:rsidR="00A7423F">
        <w:t xml:space="preserve">Competition </w:t>
      </w:r>
      <w:r w:rsidRPr="00E07CA2">
        <w:t>Commission Rule</w:t>
      </w:r>
      <w:r w:rsidR="00A22E7F">
        <w:t>s</w:t>
      </w:r>
      <w:r w:rsidR="005A2886">
        <w:t>.</w:t>
      </w:r>
    </w:p>
    <w:p w14:paraId="0C823636" w14:textId="77777777" w:rsidR="004109A3" w:rsidRPr="004109A3" w:rsidRDefault="004109A3" w:rsidP="004109A3">
      <w:pPr>
        <w:pStyle w:val="JUDGMENTCONTINUED"/>
      </w:pPr>
    </w:p>
    <w:p w14:paraId="5BFE026F" w14:textId="1754B6E8" w:rsidR="00241EF2" w:rsidRDefault="000C08D5" w:rsidP="000C7587">
      <w:pPr>
        <w:pStyle w:val="JUDGMENTNUMBERED"/>
        <w:numPr>
          <w:ilvl w:val="0"/>
          <w:numId w:val="6"/>
        </w:numPr>
      </w:pPr>
      <w:r>
        <w:t>N</w:t>
      </w:r>
      <w:r w:rsidR="00241EF2" w:rsidRPr="00E07CA2">
        <w:t xml:space="preserve">otwithstanding its refusal to assume jurisdiction, the </w:t>
      </w:r>
      <w:r w:rsidR="00396C9E">
        <w:t>Tribunal</w:t>
      </w:r>
      <w:r w:rsidR="00396C9E" w:rsidRPr="00E07CA2">
        <w:t xml:space="preserve"> </w:t>
      </w:r>
      <w:r w:rsidR="00241EF2" w:rsidRPr="00E07CA2">
        <w:t>proceeded to consider whether it should exercise a discretion in favour of HCI and Tsogo</w:t>
      </w:r>
      <w:r w:rsidR="00B84825">
        <w:t xml:space="preserve">. </w:t>
      </w:r>
      <w:r w:rsidR="00213758">
        <w:t xml:space="preserve"> </w:t>
      </w:r>
      <w:r w:rsidR="00B84825">
        <w:t>It</w:t>
      </w:r>
      <w:r w:rsidR="00241EF2" w:rsidRPr="00E07CA2">
        <w:t xml:space="preserve"> concluded, with reference to the Supreme Court</w:t>
      </w:r>
      <w:r w:rsidR="00F97AD7">
        <w:t xml:space="preserve"> of Appeal</w:t>
      </w:r>
      <w:r w:rsidR="00241EF2" w:rsidRPr="00E07CA2">
        <w:t xml:space="preserve"> decision in </w:t>
      </w:r>
      <w:r w:rsidR="00241EF2" w:rsidRPr="00E07CA2">
        <w:rPr>
          <w:i/>
        </w:rPr>
        <w:t>Cordiant</w:t>
      </w:r>
      <w:r w:rsidR="007209DC">
        <w:rPr>
          <w:i/>
        </w:rPr>
        <w:t>,</w:t>
      </w:r>
      <w:r w:rsidR="00241EF2" w:rsidRPr="004525AC">
        <w:rPr>
          <w:vertAlign w:val="superscript"/>
        </w:rPr>
        <w:footnoteReference w:id="8"/>
      </w:r>
      <w:r w:rsidR="00241EF2" w:rsidRPr="00E07CA2">
        <w:t xml:space="preserve"> that the intervention of the Tribunal was not required as there was no live dispute between the parties.</w:t>
      </w:r>
      <w:r w:rsidR="00213758">
        <w:t xml:space="preserve"> </w:t>
      </w:r>
      <w:r w:rsidR="00241EF2" w:rsidRPr="00E07CA2">
        <w:t xml:space="preserve"> Further</w:t>
      </w:r>
      <w:r w:rsidR="001E4463">
        <w:t>more</w:t>
      </w:r>
      <w:r w:rsidR="00241EF2" w:rsidRPr="00E07CA2">
        <w:t>, according to the Tribunal</w:t>
      </w:r>
      <w:r w:rsidR="005A2886">
        <w:t>,</w:t>
      </w:r>
      <w:r w:rsidR="00241EF2" w:rsidRPr="00E07CA2">
        <w:t xml:space="preserve"> the respondents were not without </w:t>
      </w:r>
      <w:r w:rsidR="000C0CE1">
        <w:t xml:space="preserve">a </w:t>
      </w:r>
      <w:r w:rsidR="00241EF2" w:rsidRPr="00E07CA2">
        <w:t>remedy and had various alternat</w:t>
      </w:r>
      <w:r w:rsidR="00F97AD7">
        <w:t>ive remedies at their disposal</w:t>
      </w:r>
      <w:r w:rsidR="00B23B6A">
        <w:t>:</w:t>
      </w:r>
      <w:r w:rsidR="00241EF2" w:rsidRPr="00E07CA2">
        <w:t xml:space="preserve"> they could implement the transaction wi</w:t>
      </w:r>
      <w:r w:rsidR="00F97AD7">
        <w:t>thout notifying the Commission;</w:t>
      </w:r>
      <w:r w:rsidR="00241EF2" w:rsidRPr="00E07CA2">
        <w:t xml:space="preserve"> </w:t>
      </w:r>
      <w:r w:rsidR="00F97AD7">
        <w:t>simply notify the transaction;</w:t>
      </w:r>
      <w:r>
        <w:t xml:space="preserve"> </w:t>
      </w:r>
      <w:r w:rsidRPr="00E07CA2">
        <w:t xml:space="preserve">notify the merger under protest and approach the Tribunal on the question of notification in terms of </w:t>
      </w:r>
      <w:r w:rsidR="00985B82">
        <w:t>r</w:t>
      </w:r>
      <w:r w:rsidRPr="00E07CA2">
        <w:t xml:space="preserve">ule 31(1)(c) of the Act similar to </w:t>
      </w:r>
      <w:r w:rsidRPr="00E07CA2">
        <w:rPr>
          <w:i/>
        </w:rPr>
        <w:t>Ethos</w:t>
      </w:r>
      <w:r w:rsidRPr="00E07CA2">
        <w:t xml:space="preserve"> and</w:t>
      </w:r>
      <w:r>
        <w:t xml:space="preserve"> </w:t>
      </w:r>
      <w:r w:rsidRPr="00E07CA2">
        <w:t>engage the Commission further.</w:t>
      </w:r>
    </w:p>
    <w:p w14:paraId="17B6F1A0" w14:textId="77777777" w:rsidR="00F97AD7" w:rsidRDefault="00F97AD7" w:rsidP="008A698A">
      <w:pPr>
        <w:pStyle w:val="JUDGMENTCONTINUED"/>
      </w:pPr>
    </w:p>
    <w:p w14:paraId="158DB5C2" w14:textId="4F64BA20" w:rsidR="00241EF2" w:rsidRPr="00241EF2" w:rsidRDefault="00833C96" w:rsidP="00833C96">
      <w:pPr>
        <w:pStyle w:val="HEADING"/>
      </w:pPr>
      <w:r w:rsidRPr="00E07CA2">
        <w:t>Appeal to the</w:t>
      </w:r>
      <w:r w:rsidR="00B11744">
        <w:t xml:space="preserve"> C</w:t>
      </w:r>
      <w:r w:rsidR="00213758">
        <w:t xml:space="preserve">ompetition </w:t>
      </w:r>
      <w:r w:rsidR="00B11744">
        <w:t>A</w:t>
      </w:r>
      <w:r w:rsidR="00213758">
        <w:t xml:space="preserve">ppeal </w:t>
      </w:r>
      <w:r w:rsidR="00B11744">
        <w:t>C</w:t>
      </w:r>
      <w:r w:rsidR="00213758">
        <w:t>ourt</w:t>
      </w:r>
    </w:p>
    <w:p w14:paraId="7882A179" w14:textId="53140C73" w:rsidR="006E0C10" w:rsidRDefault="006E0C10" w:rsidP="000C7587">
      <w:pPr>
        <w:pStyle w:val="JUDGMENTNUMBERED"/>
        <w:numPr>
          <w:ilvl w:val="0"/>
          <w:numId w:val="6"/>
        </w:numPr>
      </w:pPr>
      <w:r w:rsidRPr="00E07CA2">
        <w:t>Aggrieved by</w:t>
      </w:r>
      <w:r w:rsidR="0070094F">
        <w:t xml:space="preserve"> these </w:t>
      </w:r>
      <w:r w:rsidRPr="00E07CA2">
        <w:t xml:space="preserve">findings, HCI and Tsogo launched an appeal to the </w:t>
      </w:r>
      <w:r w:rsidR="007D1A0C" w:rsidRPr="004D46AB">
        <w:t>Competition</w:t>
      </w:r>
      <w:r w:rsidR="007D1A0C">
        <w:t> </w:t>
      </w:r>
      <w:r w:rsidR="007D1A0C" w:rsidRPr="004D46AB">
        <w:t>Appeal Court</w:t>
      </w:r>
      <w:r w:rsidRPr="00E07CA2">
        <w:t xml:space="preserve">. </w:t>
      </w:r>
      <w:r w:rsidR="008F0D2B">
        <w:t xml:space="preserve"> </w:t>
      </w:r>
      <w:r w:rsidRPr="00E07CA2">
        <w:t xml:space="preserve">The </w:t>
      </w:r>
      <w:r w:rsidR="007D1A0C" w:rsidRPr="004D46AB">
        <w:t>Competition</w:t>
      </w:r>
      <w:r w:rsidR="007D1A0C">
        <w:t> </w:t>
      </w:r>
      <w:r w:rsidR="007D1A0C" w:rsidRPr="004D46AB">
        <w:t>Appeal Court</w:t>
      </w:r>
      <w:r w:rsidR="007D1A0C">
        <w:t xml:space="preserve"> </w:t>
      </w:r>
      <w:r w:rsidRPr="00E07CA2">
        <w:t>identified two issues for consideration</w:t>
      </w:r>
      <w:r w:rsidR="00B11744">
        <w:t>:</w:t>
      </w:r>
      <w:r w:rsidRPr="00E07CA2">
        <w:t xml:space="preserve"> </w:t>
      </w:r>
      <w:r w:rsidR="00363068">
        <w:t xml:space="preserve">first </w:t>
      </w:r>
      <w:r w:rsidRPr="00E07CA2">
        <w:t>whether the Tribunal had jurisdiction to entertain a matter where a party ha</w:t>
      </w:r>
      <w:r w:rsidR="00B11744">
        <w:t>d</w:t>
      </w:r>
      <w:r w:rsidRPr="00E07CA2">
        <w:t xml:space="preserve"> not notified a transaction in terms of section 13</w:t>
      </w:r>
      <w:r w:rsidR="005F7088">
        <w:t>A</w:t>
      </w:r>
      <w:r w:rsidRPr="00E07CA2">
        <w:t xml:space="preserve"> of the Act</w:t>
      </w:r>
      <w:r w:rsidR="001E4463">
        <w:t>,</w:t>
      </w:r>
      <w:r w:rsidR="00363068">
        <w:t xml:space="preserve"> second </w:t>
      </w:r>
      <w:r w:rsidRPr="00E07CA2">
        <w:t xml:space="preserve">whether an acquiring company, having already obtained </w:t>
      </w:r>
      <w:r w:rsidR="00837452">
        <w:t xml:space="preserve">prior </w:t>
      </w:r>
      <w:r w:rsidRPr="00E07CA2">
        <w:t xml:space="preserve">merger approval from the </w:t>
      </w:r>
      <w:r w:rsidRPr="00E07CA2">
        <w:lastRenderedPageBreak/>
        <w:t>Commission to acquire sole control of an entity, must again obtain merger approval before entering into a subsequent transaction with that entity.</w:t>
      </w:r>
    </w:p>
    <w:p w14:paraId="4679A288" w14:textId="77777777" w:rsidR="006E0C10" w:rsidRPr="006E0C10" w:rsidRDefault="006E0C10" w:rsidP="006E0C10">
      <w:pPr>
        <w:pStyle w:val="JUDGMENTCONTINUED"/>
      </w:pPr>
    </w:p>
    <w:p w14:paraId="435D13BF" w14:textId="16A009A5" w:rsidR="00345EFD" w:rsidRDefault="00345EFD" w:rsidP="000C7587">
      <w:pPr>
        <w:pStyle w:val="JUDGMENTNUMBERED"/>
        <w:numPr>
          <w:ilvl w:val="0"/>
          <w:numId w:val="6"/>
        </w:numPr>
      </w:pPr>
      <w:r w:rsidRPr="00E07CA2">
        <w:t>In respect of the Tribunal’s finding that the notification of a transaction is a jurisdictio</w:t>
      </w:r>
      <w:r w:rsidR="0033447F">
        <w:t>nal requirement to trigger its</w:t>
      </w:r>
      <w:r w:rsidRPr="00E07CA2">
        <w:t xml:space="preserve"> func</w:t>
      </w:r>
      <w:r w:rsidR="000C08D5">
        <w:t xml:space="preserve">tion, the </w:t>
      </w:r>
      <w:r w:rsidR="007D1A0C" w:rsidRPr="004D46AB">
        <w:t>Competition</w:t>
      </w:r>
      <w:r w:rsidR="007D1A0C">
        <w:t> </w:t>
      </w:r>
      <w:r w:rsidR="007D1A0C" w:rsidRPr="004D46AB">
        <w:t>Appeal Court</w:t>
      </w:r>
      <w:r w:rsidR="007D1A0C">
        <w:t xml:space="preserve"> </w:t>
      </w:r>
      <w:r w:rsidR="00F96062">
        <w:t>concluded:</w:t>
      </w:r>
      <w:r w:rsidR="000C08D5">
        <w:t xml:space="preserve"> first</w:t>
      </w:r>
      <w:r w:rsidR="0009528A">
        <w:t>,</w:t>
      </w:r>
      <w:r w:rsidRPr="00E07CA2">
        <w:t xml:space="preserve"> that the powers conferred </w:t>
      </w:r>
      <w:r w:rsidR="00985B82">
        <w:t>on</w:t>
      </w:r>
      <w:r w:rsidR="00985B82" w:rsidRPr="00E07CA2">
        <w:t xml:space="preserve"> </w:t>
      </w:r>
      <w:r w:rsidRPr="00E07CA2">
        <w:t>the Tribunal in terms of section</w:t>
      </w:r>
      <w:r w:rsidR="00F950D9">
        <w:t>s</w:t>
      </w:r>
      <w:r w:rsidRPr="00E07CA2">
        <w:t xml:space="preserve"> 27(1) and </w:t>
      </w:r>
      <w:r w:rsidR="00210BAE">
        <w:t>58</w:t>
      </w:r>
      <w:r w:rsidR="00344B37">
        <w:t xml:space="preserve"> </w:t>
      </w:r>
      <w:r w:rsidRPr="00E07CA2">
        <w:t xml:space="preserve">are wide enough to include a declaratory order. </w:t>
      </w:r>
      <w:r w:rsidR="00191C56">
        <w:t xml:space="preserve"> </w:t>
      </w:r>
      <w:r w:rsidRPr="00E07CA2">
        <w:t>Second, the Tribunal has, in many instances, assumed jurisdiction and granted declaratory orders.</w:t>
      </w:r>
      <w:r w:rsidRPr="00E07CA2">
        <w:rPr>
          <w:vertAlign w:val="superscript"/>
        </w:rPr>
        <w:footnoteReference w:id="9"/>
      </w:r>
      <w:r w:rsidRPr="00E07CA2">
        <w:t xml:space="preserve"> </w:t>
      </w:r>
      <w:r w:rsidR="00F56177">
        <w:t xml:space="preserve"> </w:t>
      </w:r>
      <w:r w:rsidRPr="00E07CA2">
        <w:t xml:space="preserve">Third, it would </w:t>
      </w:r>
      <w:r w:rsidR="00B84825">
        <w:t>be</w:t>
      </w:r>
      <w:r w:rsidRPr="00E07CA2">
        <w:t xml:space="preserve"> an incomprehensible reading of the Act to accept</w:t>
      </w:r>
      <w:r w:rsidR="00736990">
        <w:t xml:space="preserve"> that</w:t>
      </w:r>
      <w:r w:rsidR="00F45EBE">
        <w:t>, on the one hand,</w:t>
      </w:r>
      <w:r w:rsidRPr="00E07CA2">
        <w:t xml:space="preserve"> the Tribunal has the power to declare that a transaction constitutes a merger, to order parties to notify </w:t>
      </w:r>
      <w:r w:rsidR="007A0102">
        <w:t xml:space="preserve">and </w:t>
      </w:r>
      <w:r w:rsidRPr="00E07CA2">
        <w:t>not to implement a transaction pending approval of the transaction</w:t>
      </w:r>
      <w:r w:rsidR="00736990">
        <w:t>.</w:t>
      </w:r>
      <w:r w:rsidRPr="00E07CA2">
        <w:t xml:space="preserve"> </w:t>
      </w:r>
      <w:r w:rsidR="00B16E1E">
        <w:t xml:space="preserve"> </w:t>
      </w:r>
      <w:r w:rsidR="00EF48A4">
        <w:t>O</w:t>
      </w:r>
      <w:r w:rsidRPr="00E07CA2">
        <w:t xml:space="preserve">n the other hand, to conclude that the Tribunal does not have the power to issue a declaratory order when approached by a party </w:t>
      </w:r>
      <w:r w:rsidR="00344B37">
        <w:t xml:space="preserve">arguing </w:t>
      </w:r>
      <w:r w:rsidRPr="00E07CA2">
        <w:t xml:space="preserve">that a transaction does not constitute a merger. </w:t>
      </w:r>
      <w:r w:rsidR="00191C56">
        <w:t xml:space="preserve"> </w:t>
      </w:r>
      <w:r w:rsidRPr="00E07CA2">
        <w:t xml:space="preserve">Fourth, having regard to the provisions of section 62 of the Act, which confers exclusive jurisdiction on the Tribunal and the </w:t>
      </w:r>
      <w:r w:rsidR="007D1A0C" w:rsidRPr="004D46AB">
        <w:t>Competition</w:t>
      </w:r>
      <w:r w:rsidR="007D1A0C">
        <w:t> </w:t>
      </w:r>
      <w:r w:rsidR="007D1A0C" w:rsidRPr="004D46AB">
        <w:t>Appeal Court</w:t>
      </w:r>
      <w:r w:rsidR="007D1A0C">
        <w:t xml:space="preserve"> </w:t>
      </w:r>
      <w:r w:rsidRPr="00E07CA2">
        <w:t>in respect of issues falling within their respective jurisdiction</w:t>
      </w:r>
      <w:r w:rsidR="00B84825">
        <w:t>s</w:t>
      </w:r>
      <w:r w:rsidRPr="00E07CA2">
        <w:t xml:space="preserve">, a party would not, in the event the Tribunal declines jurisdiction, be able to approach the High Court for declaratory relief. </w:t>
      </w:r>
      <w:r w:rsidR="00191C56">
        <w:t xml:space="preserve"> </w:t>
      </w:r>
      <w:r w:rsidRPr="00E07CA2">
        <w:t xml:space="preserve">The </w:t>
      </w:r>
      <w:r w:rsidR="007D1A0C" w:rsidRPr="004D46AB">
        <w:t>Competition</w:t>
      </w:r>
      <w:r w:rsidR="00363068">
        <w:t xml:space="preserve"> </w:t>
      </w:r>
      <w:r w:rsidR="007D1A0C" w:rsidRPr="004D46AB">
        <w:t>Appeal Court</w:t>
      </w:r>
      <w:r w:rsidRPr="00E07CA2">
        <w:t xml:space="preserve"> concluded that would effectively depriv</w:t>
      </w:r>
      <w:r w:rsidR="00B84825">
        <w:t>e</w:t>
      </w:r>
      <w:r w:rsidRPr="00E07CA2">
        <w:t xml:space="preserve"> a party of the right to access court</w:t>
      </w:r>
      <w:r w:rsidR="007A0102">
        <w:t>s</w:t>
      </w:r>
      <w:r w:rsidRPr="00E07CA2">
        <w:t xml:space="preserve"> enshrined in </w:t>
      </w:r>
      <w:r w:rsidR="007A0102">
        <w:t>section 34 of the Constitution.</w:t>
      </w:r>
    </w:p>
    <w:p w14:paraId="64CB6625" w14:textId="77777777" w:rsidR="00345EFD" w:rsidRPr="00345EFD" w:rsidRDefault="00345EFD" w:rsidP="00345EFD">
      <w:pPr>
        <w:pStyle w:val="JUDGMENTCONTINUED"/>
      </w:pPr>
    </w:p>
    <w:p w14:paraId="6A1A7886" w14:textId="2B209D7B" w:rsidR="009D25A4" w:rsidRDefault="009D25A4" w:rsidP="000C7587">
      <w:pPr>
        <w:pStyle w:val="JUDGMENTNUMBERED"/>
        <w:numPr>
          <w:ilvl w:val="0"/>
          <w:numId w:val="6"/>
        </w:numPr>
      </w:pPr>
      <w:r w:rsidRPr="00E07CA2">
        <w:t xml:space="preserve">The </w:t>
      </w:r>
      <w:r w:rsidR="007D1A0C" w:rsidRPr="004D46AB">
        <w:t>Competition</w:t>
      </w:r>
      <w:r w:rsidR="00363068">
        <w:t xml:space="preserve"> </w:t>
      </w:r>
      <w:r w:rsidR="007D1A0C" w:rsidRPr="004D46AB">
        <w:t>Appeal</w:t>
      </w:r>
      <w:r w:rsidR="00363068">
        <w:t xml:space="preserve"> </w:t>
      </w:r>
      <w:r w:rsidR="007D1A0C" w:rsidRPr="004D46AB">
        <w:t>Court</w:t>
      </w:r>
      <w:r w:rsidRPr="00E07CA2">
        <w:t xml:space="preserve"> held that the Tribunal’s jurisdiction was triggered despite the fact that the merger </w:t>
      </w:r>
      <w:r w:rsidR="00837452">
        <w:t>had</w:t>
      </w:r>
      <w:r w:rsidRPr="00E07CA2">
        <w:t xml:space="preserve"> not been notified in terms of section 13</w:t>
      </w:r>
      <w:r w:rsidR="00453D14">
        <w:t>A</w:t>
      </w:r>
      <w:r w:rsidRPr="00E07CA2">
        <w:t xml:space="preserve"> of the Act.</w:t>
      </w:r>
      <w:r w:rsidR="00191C56">
        <w:t xml:space="preserve"> </w:t>
      </w:r>
      <w:r w:rsidRPr="00E07CA2">
        <w:t xml:space="preserve"> Having concluded that there was a jurisdictional basis for the Tribunal to grant a declarator, the </w:t>
      </w:r>
      <w:r w:rsidR="007D1A0C" w:rsidRPr="004D46AB">
        <w:t>Competition</w:t>
      </w:r>
      <w:r w:rsidR="007D1A0C">
        <w:t> </w:t>
      </w:r>
      <w:r w:rsidR="007D1A0C" w:rsidRPr="004D46AB">
        <w:t>Appeal Court</w:t>
      </w:r>
      <w:r w:rsidRPr="00E07CA2">
        <w:t xml:space="preserve"> then proceeded to consider whether the Tribunal ought to have exercised its discretion in favour of </w:t>
      </w:r>
      <w:r w:rsidR="00882773">
        <w:t>HCI and Tsogo</w:t>
      </w:r>
      <w:r w:rsidRPr="00E07CA2">
        <w:t xml:space="preserve">. </w:t>
      </w:r>
      <w:r w:rsidR="00191C56">
        <w:t xml:space="preserve"> </w:t>
      </w:r>
      <w:r w:rsidRPr="00E07CA2">
        <w:t xml:space="preserve">The </w:t>
      </w:r>
      <w:r w:rsidR="007D1A0C" w:rsidRPr="004D46AB">
        <w:t>Competition</w:t>
      </w:r>
      <w:r w:rsidR="007D1A0C">
        <w:t> </w:t>
      </w:r>
      <w:r w:rsidR="007D1A0C" w:rsidRPr="004D46AB">
        <w:t>Appeal Court</w:t>
      </w:r>
      <w:r w:rsidRPr="00E07CA2">
        <w:t xml:space="preserve"> acknowledged that the </w:t>
      </w:r>
      <w:r w:rsidRPr="00E07CA2">
        <w:rPr>
          <w:rFonts w:eastAsia="Times New Roman"/>
          <w:lang w:eastAsia="en-ZA"/>
        </w:rPr>
        <w:t>granting of a declaratory order in th</w:t>
      </w:r>
      <w:r w:rsidR="007A0102">
        <w:rPr>
          <w:rFonts w:eastAsia="Times New Roman"/>
          <w:lang w:eastAsia="en-ZA"/>
        </w:rPr>
        <w:t>ese</w:t>
      </w:r>
      <w:r w:rsidRPr="00E07CA2">
        <w:rPr>
          <w:rFonts w:eastAsia="Times New Roman"/>
          <w:lang w:eastAsia="en-ZA"/>
        </w:rPr>
        <w:t xml:space="preserve"> kind</w:t>
      </w:r>
      <w:r w:rsidR="007A0102">
        <w:rPr>
          <w:rFonts w:eastAsia="Times New Roman"/>
          <w:lang w:eastAsia="en-ZA"/>
        </w:rPr>
        <w:t>s</w:t>
      </w:r>
      <w:r w:rsidRPr="00E07CA2">
        <w:rPr>
          <w:rFonts w:eastAsia="Times New Roman"/>
          <w:lang w:eastAsia="en-ZA"/>
        </w:rPr>
        <w:t xml:space="preserve"> of case</w:t>
      </w:r>
      <w:r w:rsidR="00191C56">
        <w:rPr>
          <w:rFonts w:eastAsia="Times New Roman"/>
          <w:lang w:eastAsia="en-ZA"/>
        </w:rPr>
        <w:t>s</w:t>
      </w:r>
      <w:r w:rsidRPr="00E07CA2">
        <w:rPr>
          <w:rFonts w:eastAsia="Times New Roman"/>
          <w:lang w:eastAsia="en-ZA"/>
        </w:rPr>
        <w:t xml:space="preserve"> must be considered very carefully and that the “power should be </w:t>
      </w:r>
      <w:r w:rsidRPr="00E07CA2">
        <w:rPr>
          <w:rFonts w:eastAsia="Times New Roman"/>
          <w:lang w:eastAsia="en-ZA"/>
        </w:rPr>
        <w:lastRenderedPageBreak/>
        <w:t>exercised sparingly, lest the investigative powers of the Tribunal be undermined”</w:t>
      </w:r>
      <w:r w:rsidR="00381C8B">
        <w:rPr>
          <w:rFonts w:eastAsia="Times New Roman"/>
          <w:lang w:eastAsia="en-ZA"/>
        </w:rPr>
        <w:t>.</w:t>
      </w:r>
      <w:r w:rsidRPr="00E07CA2">
        <w:rPr>
          <w:rFonts w:eastAsia="Times New Roman"/>
          <w:vertAlign w:val="superscript"/>
          <w:lang w:eastAsia="en-ZA"/>
        </w:rPr>
        <w:footnoteReference w:id="10"/>
      </w:r>
      <w:r w:rsidRPr="00E07CA2">
        <w:t xml:space="preserve"> </w:t>
      </w:r>
      <w:r w:rsidR="00191C56">
        <w:t xml:space="preserve"> </w:t>
      </w:r>
      <w:r w:rsidRPr="00E07CA2">
        <w:t xml:space="preserve">Taking into account that declaratory orders are discretionary and that such orders can provide legal certainty to the parties in this matter, the </w:t>
      </w:r>
      <w:r w:rsidR="007D1A0C" w:rsidRPr="004D46AB">
        <w:t>Competition</w:t>
      </w:r>
      <w:r w:rsidR="007D1A0C">
        <w:t> </w:t>
      </w:r>
      <w:r w:rsidR="007D1A0C" w:rsidRPr="004D46AB">
        <w:t>Appeal Court</w:t>
      </w:r>
      <w:r w:rsidRPr="00E07CA2">
        <w:t xml:space="preserve"> applying the two</w:t>
      </w:r>
      <w:r w:rsidR="00AA7A78">
        <w:t>-</w:t>
      </w:r>
      <w:r w:rsidRPr="00E07CA2">
        <w:t xml:space="preserve">stage approach proposed in </w:t>
      </w:r>
      <w:r w:rsidRPr="00E07CA2">
        <w:rPr>
          <w:i/>
        </w:rPr>
        <w:t>Cordiant</w:t>
      </w:r>
      <w:r w:rsidRPr="00E07CA2">
        <w:rPr>
          <w:vertAlign w:val="superscript"/>
        </w:rPr>
        <w:footnoteReference w:id="11"/>
      </w:r>
      <w:r w:rsidR="0033447F">
        <w:t xml:space="preserve"> concluded</w:t>
      </w:r>
      <w:r w:rsidR="00363068">
        <w:t xml:space="preserve"> first</w:t>
      </w:r>
      <w:r w:rsidRPr="00E07CA2">
        <w:t>, that there was a live dispute between the parties in that the respondents clearly had a legal interest in the declaratory relief sought and second</w:t>
      </w:r>
      <w:r w:rsidR="001672F6">
        <w:t>,</w:t>
      </w:r>
      <w:r w:rsidR="00363068">
        <w:t xml:space="preserve"> that the proposed 2017 </w:t>
      </w:r>
      <w:r w:rsidRPr="00E07CA2">
        <w:t>transacti</w:t>
      </w:r>
      <w:r w:rsidR="00EC7734">
        <w:t>on did not constitute a merger.</w:t>
      </w:r>
    </w:p>
    <w:p w14:paraId="148E99C7" w14:textId="77777777" w:rsidR="009D25A4" w:rsidRPr="009D25A4" w:rsidRDefault="009D25A4" w:rsidP="009D25A4">
      <w:pPr>
        <w:pStyle w:val="JUDGMENTCONTINUED"/>
      </w:pPr>
    </w:p>
    <w:p w14:paraId="3DAE2CC1" w14:textId="49034F80" w:rsidR="00387EF8" w:rsidRDefault="00A35CF4" w:rsidP="000C7587">
      <w:pPr>
        <w:pStyle w:val="JUDGMENTNUMBERED"/>
        <w:numPr>
          <w:ilvl w:val="0"/>
          <w:numId w:val="6"/>
        </w:numPr>
      </w:pPr>
      <w:r>
        <w:t>T</w:t>
      </w:r>
      <w:r w:rsidR="00387EF8" w:rsidRPr="00E07CA2">
        <w:t xml:space="preserve">he </w:t>
      </w:r>
      <w:r w:rsidR="007D1A0C" w:rsidRPr="004D46AB">
        <w:t>Competition</w:t>
      </w:r>
      <w:r w:rsidR="007D1A0C">
        <w:t> </w:t>
      </w:r>
      <w:r w:rsidR="007D1A0C" w:rsidRPr="004D46AB">
        <w:t>Appeal Court</w:t>
      </w:r>
      <w:r w:rsidR="00387EF8" w:rsidRPr="00E07CA2">
        <w:t xml:space="preserve"> analysed section 12(2)</w:t>
      </w:r>
      <w:r>
        <w:t xml:space="preserve">, </w:t>
      </w:r>
      <w:r w:rsidR="00387EF8" w:rsidRPr="00E07CA2">
        <w:t xml:space="preserve">pointing out that </w:t>
      </w:r>
      <w:r w:rsidR="00FE76D3">
        <w:t xml:space="preserve">it </w:t>
      </w:r>
      <w:r w:rsidR="00387EF8" w:rsidRPr="00E07CA2">
        <w:t xml:space="preserve">does not list different kinds of control each of which is separately notifiable, but that it merely illustrates the different ways in which control may be acquired. </w:t>
      </w:r>
      <w:r w:rsidR="00191C56">
        <w:t xml:space="preserve"> </w:t>
      </w:r>
      <w:r w:rsidR="00387EF8" w:rsidRPr="00E07CA2">
        <w:t xml:space="preserve">Once </w:t>
      </w:r>
      <w:r w:rsidR="00A3213E" w:rsidRPr="00A3213E">
        <w:rPr>
          <w:i/>
        </w:rPr>
        <w:t>de facto</w:t>
      </w:r>
      <w:r w:rsidR="00A3213E">
        <w:t xml:space="preserve"> </w:t>
      </w:r>
      <w:r w:rsidR="00387EF8" w:rsidRPr="00E07CA2">
        <w:t xml:space="preserve">control has been </w:t>
      </w:r>
      <w:r w:rsidR="00191C56">
        <w:t>acquired</w:t>
      </w:r>
      <w:r w:rsidR="00EC7734">
        <w:t xml:space="preserve"> </w:t>
      </w:r>
      <w:r w:rsidR="00387EF8" w:rsidRPr="00E07CA2">
        <w:t xml:space="preserve">in terms of any one of the </w:t>
      </w:r>
      <w:r w:rsidR="00EC7734">
        <w:t>sub</w:t>
      </w:r>
      <w:r w:rsidR="00AA7A78">
        <w:t>paragraphs</w:t>
      </w:r>
      <w:r w:rsidR="00387EF8" w:rsidRPr="00E07CA2">
        <w:t xml:space="preserve">, </w:t>
      </w:r>
      <w:r w:rsidR="00AA7A78">
        <w:t>a party need not again</w:t>
      </w:r>
      <w:r w:rsidR="00387EF8" w:rsidRPr="00E07CA2">
        <w:t xml:space="preserve"> notify and seek approval from the </w:t>
      </w:r>
      <w:r w:rsidR="00985B82">
        <w:t>Commission</w:t>
      </w:r>
      <w:r w:rsidR="00985B82" w:rsidRPr="00E07CA2">
        <w:t xml:space="preserve"> </w:t>
      </w:r>
      <w:r w:rsidR="00387EF8" w:rsidRPr="00E07CA2">
        <w:t xml:space="preserve">for the transaction when control is subsequently acquired in one of the other ways. </w:t>
      </w:r>
      <w:r w:rsidR="00191C56">
        <w:t xml:space="preserve"> </w:t>
      </w:r>
      <w:r w:rsidR="00387EF8" w:rsidRPr="00E07CA2">
        <w:t>Merger</w:t>
      </w:r>
      <w:r w:rsidR="00363068">
        <w:t xml:space="preserve"> approval is thus a “once</w:t>
      </w:r>
      <w:r w:rsidR="00363068">
        <w:noBreakHyphen/>
      </w:r>
      <w:r w:rsidR="00387EF8" w:rsidRPr="00E07CA2">
        <w:t>off</w:t>
      </w:r>
      <w:r w:rsidR="00363068">
        <w:t> </w:t>
      </w:r>
      <w:r w:rsidR="00387EF8" w:rsidRPr="00E07CA2">
        <w:t>affair”</w:t>
      </w:r>
      <w:r w:rsidR="00EF48A4">
        <w:t>.</w:t>
      </w:r>
      <w:r w:rsidR="005A2886">
        <w:t xml:space="preserve"> </w:t>
      </w:r>
      <w:r w:rsidR="00387EF8" w:rsidRPr="00E07CA2">
        <w:t xml:space="preserve"> </w:t>
      </w:r>
      <w:r w:rsidR="00EF48A4">
        <w:t>I</w:t>
      </w:r>
      <w:r w:rsidR="00387EF8" w:rsidRPr="00E07CA2">
        <w:t xml:space="preserve">n light of the fact that merger approval had already been granted to HCI in 2014 for the acquisition of </w:t>
      </w:r>
      <w:r w:rsidR="001F0BD3">
        <w:t xml:space="preserve">sole </w:t>
      </w:r>
      <w:r w:rsidR="003D6DF8" w:rsidRPr="003D6DF8">
        <w:rPr>
          <w:i/>
        </w:rPr>
        <w:t>de facto</w:t>
      </w:r>
      <w:r w:rsidR="00387EF8" w:rsidRPr="00E07CA2">
        <w:t xml:space="preserve"> control over Tsogo consequent upon the increase in shareholding in Tsogo to 47%, the proposed </w:t>
      </w:r>
      <w:r w:rsidR="0070094F">
        <w:t>transaction</w:t>
      </w:r>
      <w:r w:rsidR="0070094F" w:rsidRPr="00E07CA2">
        <w:t xml:space="preserve"> </w:t>
      </w:r>
      <w:r w:rsidR="00387EF8" w:rsidRPr="00E07CA2">
        <w:t>in 2017 did not constitute a notifiable merge</w:t>
      </w:r>
      <w:r w:rsidR="00191C56">
        <w:t>r</w:t>
      </w:r>
      <w:r w:rsidR="00387EF8" w:rsidRPr="00E07CA2">
        <w:t xml:space="preserve">. </w:t>
      </w:r>
      <w:r w:rsidR="00191C56">
        <w:t xml:space="preserve"> </w:t>
      </w:r>
      <w:r w:rsidR="00387EF8" w:rsidRPr="00E07CA2">
        <w:t xml:space="preserve">The </w:t>
      </w:r>
      <w:r w:rsidR="007D1A0C" w:rsidRPr="004D46AB">
        <w:t>Competition</w:t>
      </w:r>
      <w:r w:rsidR="007D1A0C">
        <w:t> </w:t>
      </w:r>
      <w:r w:rsidR="007D1A0C" w:rsidRPr="004D46AB">
        <w:t>Appeal Court</w:t>
      </w:r>
      <w:r w:rsidR="00387EF8" w:rsidRPr="00E07CA2">
        <w:t xml:space="preserve"> also took into account that it was expressly recogni</w:t>
      </w:r>
      <w:r w:rsidR="00D20578">
        <w:t>s</w:t>
      </w:r>
      <w:r w:rsidR="00387EF8" w:rsidRPr="00E07CA2">
        <w:t>ed by the Tribunal in 2014 that HCI intended to ultimately increase its shareholding in Tsogo to more than 50%.</w:t>
      </w:r>
      <w:r w:rsidR="00191C56">
        <w:t xml:space="preserve"> </w:t>
      </w:r>
      <w:r w:rsidR="00387EF8" w:rsidRPr="00E07CA2">
        <w:t xml:space="preserve"> In respect of the nature of the control exercised by </w:t>
      </w:r>
      <w:r w:rsidR="00191C56">
        <w:t xml:space="preserve">HCI </w:t>
      </w:r>
      <w:r w:rsidR="00387EF8" w:rsidRPr="00E07CA2">
        <w:t xml:space="preserve">over Tsogo at the time, the </w:t>
      </w:r>
      <w:r w:rsidR="007D1A0C" w:rsidRPr="004D46AB">
        <w:t>Competition</w:t>
      </w:r>
      <w:r w:rsidR="00AD0DA9">
        <w:t xml:space="preserve"> </w:t>
      </w:r>
      <w:r w:rsidR="007D1A0C" w:rsidRPr="004D46AB">
        <w:t>Appeal Court</w:t>
      </w:r>
      <w:r w:rsidR="00387EF8" w:rsidRPr="00E07CA2">
        <w:t xml:space="preserve"> emphasised the significance of the fact that HCI commanded the majority of votes in Tsogo and that voting patterns were stable in that the minority of institutional investors were acquiescent.</w:t>
      </w:r>
      <w:r w:rsidR="00387EF8" w:rsidRPr="00E07CA2">
        <w:rPr>
          <w:vertAlign w:val="superscript"/>
        </w:rPr>
        <w:footnoteReference w:id="12"/>
      </w:r>
    </w:p>
    <w:p w14:paraId="5DF7AA33" w14:textId="77777777" w:rsidR="00387EF8" w:rsidRPr="00387EF8" w:rsidRDefault="00387EF8" w:rsidP="00387EF8">
      <w:pPr>
        <w:pStyle w:val="JUDGMENTCONTINUED"/>
      </w:pPr>
    </w:p>
    <w:p w14:paraId="01494850" w14:textId="310B7FE2" w:rsidR="002823FB" w:rsidRDefault="002823FB" w:rsidP="000C7587">
      <w:pPr>
        <w:pStyle w:val="JUDGMENTNUMBERED"/>
        <w:numPr>
          <w:ilvl w:val="0"/>
          <w:numId w:val="6"/>
        </w:numPr>
      </w:pPr>
      <w:r w:rsidRPr="00E07CA2">
        <w:t xml:space="preserve">The </w:t>
      </w:r>
      <w:r w:rsidR="007D1A0C" w:rsidRPr="004D46AB">
        <w:t>Competition</w:t>
      </w:r>
      <w:r w:rsidR="007D1A0C">
        <w:t> </w:t>
      </w:r>
      <w:r w:rsidR="007D1A0C" w:rsidRPr="004D46AB">
        <w:t>Appeal Court</w:t>
      </w:r>
      <w:r w:rsidRPr="00E07CA2">
        <w:t xml:space="preserve"> concluded that </w:t>
      </w:r>
      <w:r w:rsidR="000603A7">
        <w:t>the Commission could not require</w:t>
      </w:r>
      <w:r w:rsidRPr="00E07CA2">
        <w:t xml:space="preserve"> the notification based on the reason that it wished to asse</w:t>
      </w:r>
      <w:r w:rsidR="00363068">
        <w:t xml:space="preserve">ss the implications of the </w:t>
      </w:r>
      <w:r w:rsidR="00363068">
        <w:lastRenderedPageBreak/>
        <w:t>2017 </w:t>
      </w:r>
      <w:r w:rsidRPr="00E07CA2">
        <w:t>transaction</w:t>
      </w:r>
      <w:r w:rsidR="00A35CF4">
        <w:t>.</w:t>
      </w:r>
      <w:r w:rsidRPr="00E07CA2">
        <w:t xml:space="preserve"> </w:t>
      </w:r>
      <w:r w:rsidR="00A35CF4">
        <w:t xml:space="preserve"> It </w:t>
      </w:r>
      <w:r w:rsidR="00F70C89">
        <w:t xml:space="preserve">emphasised </w:t>
      </w:r>
      <w:r w:rsidR="00F70C89" w:rsidRPr="00E07CA2">
        <w:t>that</w:t>
      </w:r>
      <w:r w:rsidRPr="00E07CA2">
        <w:t xml:space="preserve"> the effects of the acquisition of control </w:t>
      </w:r>
      <w:r w:rsidR="00A35CF4">
        <w:t>are</w:t>
      </w:r>
      <w:r w:rsidR="00A35CF4" w:rsidRPr="00E07CA2">
        <w:t xml:space="preserve"> </w:t>
      </w:r>
      <w:r w:rsidRPr="00E07CA2">
        <w:t>assessed at the time approval is sought on a forward-looking assessment of the likelihood of competition harm and the public interest</w:t>
      </w:r>
      <w:r w:rsidR="00A35CF4">
        <w:t>.  This</w:t>
      </w:r>
      <w:r w:rsidRPr="00E07CA2">
        <w:t xml:space="preserve"> cannot be revisit</w:t>
      </w:r>
      <w:r w:rsidR="00D20578">
        <w:t>ed once it has been determined.</w:t>
      </w:r>
      <w:r w:rsidR="000603A7">
        <w:rPr>
          <w:rStyle w:val="FootnoteReference"/>
        </w:rPr>
        <w:footnoteReference w:id="13"/>
      </w:r>
    </w:p>
    <w:p w14:paraId="7367DA1C" w14:textId="77777777" w:rsidR="008E4D22" w:rsidRDefault="008E4D22" w:rsidP="008A698A">
      <w:pPr>
        <w:pStyle w:val="JUDGMENTCONTINUED"/>
      </w:pPr>
    </w:p>
    <w:p w14:paraId="72275516" w14:textId="6DAEEB3C" w:rsidR="002823FB" w:rsidRPr="002823FB" w:rsidRDefault="008E4D22" w:rsidP="008E4D22">
      <w:pPr>
        <w:pStyle w:val="HEADING"/>
      </w:pPr>
      <w:r w:rsidRPr="00E07CA2">
        <w:t xml:space="preserve">Issues in this </w:t>
      </w:r>
      <w:r w:rsidR="000916E1">
        <w:t>C</w:t>
      </w:r>
      <w:r w:rsidRPr="00E07CA2">
        <w:t>ourt</w:t>
      </w:r>
    </w:p>
    <w:p w14:paraId="411C0FFB" w14:textId="5C34338E" w:rsidR="00CE5F9F" w:rsidRDefault="00CF45B9" w:rsidP="000C7587">
      <w:pPr>
        <w:pStyle w:val="JUDGMENTNUMBERED"/>
        <w:numPr>
          <w:ilvl w:val="0"/>
          <w:numId w:val="6"/>
        </w:numPr>
      </w:pPr>
      <w:r w:rsidRPr="00E07CA2">
        <w:t xml:space="preserve">This Court has to decide </w:t>
      </w:r>
      <w:r w:rsidR="00D20578">
        <w:t>whether leave to appeal should be granted; whether it was appropriate for the Tribunal to grant a declarat</w:t>
      </w:r>
      <w:r w:rsidR="00363068">
        <w:t>ory order; and whether the 2017 </w:t>
      </w:r>
      <w:r w:rsidR="00D20578">
        <w:t>transaction was notifiable in terms of the Act.</w:t>
      </w:r>
    </w:p>
    <w:p w14:paraId="67A48CA0" w14:textId="77777777" w:rsidR="00760207" w:rsidRPr="00760207" w:rsidRDefault="00760207" w:rsidP="008A698A">
      <w:pPr>
        <w:pStyle w:val="JUDGMENTCONTINUED"/>
      </w:pPr>
    </w:p>
    <w:p w14:paraId="21A9FE3A" w14:textId="10B4D707" w:rsidR="00760207" w:rsidRPr="009C3888" w:rsidRDefault="006B3716" w:rsidP="00760207">
      <w:pPr>
        <w:pStyle w:val="HEADING"/>
      </w:pPr>
      <w:r>
        <w:t>Leave to appeal</w:t>
      </w:r>
    </w:p>
    <w:p w14:paraId="08BB037F" w14:textId="27D43F12" w:rsidR="00D04440" w:rsidRDefault="00036E88" w:rsidP="000C7587">
      <w:pPr>
        <w:pStyle w:val="JUDGMENTNUMBERED"/>
        <w:numPr>
          <w:ilvl w:val="0"/>
          <w:numId w:val="6"/>
        </w:numPr>
        <w:rPr>
          <w:lang w:eastAsia="en-ZA"/>
        </w:rPr>
      </w:pPr>
      <w:r>
        <w:t>T</w:t>
      </w:r>
      <w:r w:rsidR="00D04440" w:rsidRPr="00D355E3">
        <w:t>he Commission plays a vital role in “the investigation, control and evaluation of restrictive practices, abuse of dominant position, and mergers”</w:t>
      </w:r>
      <w:r w:rsidR="003D6DF8">
        <w:t>.</w:t>
      </w:r>
      <w:r w:rsidR="007B4DBF">
        <w:rPr>
          <w:rStyle w:val="FootnoteReference"/>
        </w:rPr>
        <w:footnoteReference w:id="14"/>
      </w:r>
      <w:r w:rsidR="00D04440" w:rsidRPr="00D355E3">
        <w:t xml:space="preserve"> </w:t>
      </w:r>
      <w:r w:rsidR="0081242B">
        <w:t xml:space="preserve"> </w:t>
      </w:r>
      <w:r w:rsidR="003D6DF8">
        <w:t xml:space="preserve">The Act further recognises that </w:t>
      </w:r>
      <w:r w:rsidR="00D04440" w:rsidRPr="00D355E3">
        <w:t>“an efficient, competitive economic environment, balancing the interests of workers, owners and consumers and focussed on development, will benefit all South Africans”</w:t>
      </w:r>
      <w:r w:rsidR="00453D14">
        <w:t>.</w:t>
      </w:r>
      <w:r w:rsidR="007B4DBF">
        <w:rPr>
          <w:rStyle w:val="FootnoteReference"/>
        </w:rPr>
        <w:footnoteReference w:id="15"/>
      </w:r>
      <w:r w:rsidR="00B64C26" w:rsidRPr="00D355E3" w:rsidDel="00B64C26">
        <w:rPr>
          <w:rStyle w:val="FootnoteReference"/>
          <w:vertAlign w:val="baseline"/>
        </w:rPr>
        <w:t xml:space="preserve"> </w:t>
      </w:r>
      <w:r w:rsidR="0081242B">
        <w:t xml:space="preserve"> </w:t>
      </w:r>
      <w:r w:rsidR="00C63EEE">
        <w:rPr>
          <w:lang w:eastAsia="en-ZA"/>
        </w:rPr>
        <w:t xml:space="preserve">Although the Act grants jurisdiction almost exclusively to competition authorities in matters relating to </w:t>
      </w:r>
      <w:r>
        <w:rPr>
          <w:lang w:eastAsia="en-ZA"/>
        </w:rPr>
        <w:t xml:space="preserve">economic </w:t>
      </w:r>
      <w:r w:rsidR="00C63EEE">
        <w:rPr>
          <w:lang w:eastAsia="en-ZA"/>
        </w:rPr>
        <w:t>competition, the ambit of the competition authorities’ investigatory powers is ma</w:t>
      </w:r>
      <w:r w:rsidR="00AD0DA9">
        <w:rPr>
          <w:lang w:eastAsia="en-ZA"/>
        </w:rPr>
        <w:t>nifestly a constitutional issue</w:t>
      </w:r>
      <w:r w:rsidR="00C63EEE">
        <w:rPr>
          <w:lang w:eastAsia="en-ZA"/>
        </w:rPr>
        <w:t xml:space="preserve"> and as such engages this Court’s jurisdiction.</w:t>
      </w:r>
      <w:r w:rsidR="00C63EEE">
        <w:rPr>
          <w:rStyle w:val="FootnoteReference"/>
          <w:lang w:eastAsia="en-ZA"/>
        </w:rPr>
        <w:footnoteReference w:id="16"/>
      </w:r>
      <w:r w:rsidR="00C63EEE">
        <w:rPr>
          <w:lang w:eastAsia="en-ZA"/>
        </w:rPr>
        <w:t xml:space="preserve">  S</w:t>
      </w:r>
      <w:r w:rsidR="001672F6">
        <w:rPr>
          <w:lang w:eastAsia="en-ZA"/>
        </w:rPr>
        <w:t>ubs</w:t>
      </w:r>
      <w:r w:rsidR="00C63EEE">
        <w:rPr>
          <w:lang w:eastAsia="en-ZA"/>
        </w:rPr>
        <w:t>ection</w:t>
      </w:r>
      <w:r w:rsidR="001672F6">
        <w:rPr>
          <w:lang w:eastAsia="en-ZA"/>
        </w:rPr>
        <w:t>s</w:t>
      </w:r>
      <w:r w:rsidR="00C63EEE">
        <w:rPr>
          <w:lang w:eastAsia="en-ZA"/>
        </w:rPr>
        <w:t xml:space="preserve"> 62(3)(b) and (4) of the Act also provide for this Court’s jurisdiction </w:t>
      </w:r>
      <w:r>
        <w:rPr>
          <w:lang w:eastAsia="en-ZA"/>
        </w:rPr>
        <w:t>in respect of</w:t>
      </w:r>
      <w:r w:rsidR="00C63EEE">
        <w:rPr>
          <w:lang w:eastAsia="en-ZA"/>
        </w:rPr>
        <w:t xml:space="preserve"> matters that raise constitutional issues.</w:t>
      </w:r>
    </w:p>
    <w:p w14:paraId="715441EC" w14:textId="77777777" w:rsidR="00D944B0" w:rsidRPr="00D944B0" w:rsidRDefault="00D944B0" w:rsidP="00D944B0">
      <w:pPr>
        <w:pStyle w:val="JUDGMENTCONTINUED"/>
        <w:rPr>
          <w:lang w:eastAsia="en-ZA"/>
        </w:rPr>
      </w:pPr>
    </w:p>
    <w:p w14:paraId="6414141B" w14:textId="070D6172" w:rsidR="00D944B0" w:rsidRDefault="00866DD9" w:rsidP="000C7587">
      <w:pPr>
        <w:pStyle w:val="JUDGMENTNUMBERED"/>
        <w:numPr>
          <w:ilvl w:val="0"/>
          <w:numId w:val="6"/>
        </w:numPr>
      </w:pPr>
      <w:r>
        <w:t>An arguable point of law</w:t>
      </w:r>
      <w:r w:rsidR="00D944B0">
        <w:t xml:space="preserve"> o</w:t>
      </w:r>
      <w:r>
        <w:t>n the interpretation of the Act</w:t>
      </w:r>
      <w:r w:rsidR="00D944B0">
        <w:t xml:space="preserve"> that has a significant impact on the functions of the C</w:t>
      </w:r>
      <w:r w:rsidR="000C0CE1">
        <w:t>ommission is raised</w:t>
      </w:r>
      <w:r w:rsidR="00A35CF4">
        <w:t>.</w:t>
      </w:r>
      <w:r w:rsidR="00D944B0">
        <w:t xml:space="preserve">  T</w:t>
      </w:r>
      <w:r w:rsidR="00D944B0" w:rsidRPr="00C8283B">
        <w:t xml:space="preserve">his Court is called upon to decide whether a transaction is notifiable when the nature of control </w:t>
      </w:r>
      <w:r w:rsidR="00D944B0">
        <w:t xml:space="preserve">over an entity </w:t>
      </w:r>
      <w:r w:rsidR="00D944B0" w:rsidRPr="00C8283B">
        <w:t xml:space="preserve">changes </w:t>
      </w:r>
      <w:r w:rsidR="00D944B0" w:rsidRPr="00C8283B">
        <w:lastRenderedPageBreak/>
        <w:t xml:space="preserve">from </w:t>
      </w:r>
      <w:r w:rsidR="00D944B0" w:rsidRPr="00DD6D43">
        <w:rPr>
          <w:i/>
        </w:rPr>
        <w:t xml:space="preserve">de facto </w:t>
      </w:r>
      <w:r w:rsidR="00D944B0" w:rsidRPr="00C8283B">
        <w:t>control as contemplated in section 12</w:t>
      </w:r>
      <w:r w:rsidR="00D944B0">
        <w:t>(2)</w:t>
      </w:r>
      <w:r w:rsidR="00D944B0" w:rsidRPr="00C8283B">
        <w:t xml:space="preserve">(g) to </w:t>
      </w:r>
      <w:r w:rsidR="00A97427">
        <w:rPr>
          <w:i/>
        </w:rPr>
        <w:t xml:space="preserve">de </w:t>
      </w:r>
      <w:r w:rsidR="00D944B0" w:rsidRPr="00DD6D43">
        <w:rPr>
          <w:i/>
        </w:rPr>
        <w:t>jure</w:t>
      </w:r>
      <w:r w:rsidR="00D944B0" w:rsidRPr="00C8283B">
        <w:t xml:space="preserve"> control as contemplated by section 12</w:t>
      </w:r>
      <w:r w:rsidR="00D944B0">
        <w:t>(2)(a) of the Act.</w:t>
      </w:r>
    </w:p>
    <w:p w14:paraId="0847F7CD" w14:textId="77777777" w:rsidR="00D944B0" w:rsidRPr="00D944B0" w:rsidRDefault="00D944B0" w:rsidP="00D63959">
      <w:pPr>
        <w:pStyle w:val="JUDGMENTCONTINUED"/>
      </w:pPr>
    </w:p>
    <w:p w14:paraId="6D41A8C5" w14:textId="012ADF50" w:rsidR="00D944B0" w:rsidRDefault="002E6C24" w:rsidP="000C7587">
      <w:pPr>
        <w:pStyle w:val="JUDGMENTNUMBERED"/>
        <w:numPr>
          <w:ilvl w:val="0"/>
          <w:numId w:val="6"/>
        </w:numPr>
      </w:pPr>
      <w:r>
        <w:t>A f</w:t>
      </w:r>
      <w:r w:rsidR="00C2361A">
        <w:t xml:space="preserve">urther question of general public importance </w:t>
      </w:r>
      <w:r w:rsidR="00112818">
        <w:t xml:space="preserve">is whether </w:t>
      </w:r>
      <w:r w:rsidR="00C2361A">
        <w:t xml:space="preserve">the </w:t>
      </w:r>
      <w:r w:rsidR="00112818">
        <w:t>Tribunal has the power</w:t>
      </w:r>
      <w:r w:rsidR="00C2361A">
        <w:t xml:space="preserve"> to issue declaratory orders.</w:t>
      </w:r>
      <w:r w:rsidR="00AA7A78">
        <w:t xml:space="preserve"> </w:t>
      </w:r>
      <w:r w:rsidR="0081242B">
        <w:t xml:space="preserve"> </w:t>
      </w:r>
      <w:r w:rsidR="00AA7A78">
        <w:t>Leave to appeal must be granted.</w:t>
      </w:r>
    </w:p>
    <w:p w14:paraId="086B82F4" w14:textId="77777777" w:rsidR="00AD0DA9" w:rsidRDefault="00AD0DA9" w:rsidP="00AD0DA9">
      <w:pPr>
        <w:pStyle w:val="JUDGMENTCONTINUED"/>
      </w:pPr>
    </w:p>
    <w:p w14:paraId="1F8B8AA2" w14:textId="0BD02DE0" w:rsidR="00AD0DA9" w:rsidRDefault="00AD0DA9" w:rsidP="00AD0DA9">
      <w:pPr>
        <w:pStyle w:val="HEADING"/>
      </w:pPr>
      <w:r>
        <w:t>Condonation</w:t>
      </w:r>
    </w:p>
    <w:p w14:paraId="40C2CA1A" w14:textId="11834642" w:rsidR="00AD0DA9" w:rsidRPr="00AD0DA9" w:rsidRDefault="00AD0DA9" w:rsidP="000C7587">
      <w:pPr>
        <w:pStyle w:val="JUDGMENTNUMBERED"/>
        <w:numPr>
          <w:ilvl w:val="0"/>
          <w:numId w:val="6"/>
        </w:numPr>
      </w:pPr>
      <w:r>
        <w:t>The applicant filed its application for leave to appeal one day late.  The delay is negligible and the explanation for the delay reasonable.</w:t>
      </w:r>
      <w:r w:rsidR="00AD26D3">
        <w:t xml:space="preserve">  Condonation is therefore granted.</w:t>
      </w:r>
    </w:p>
    <w:p w14:paraId="469974B1" w14:textId="77777777" w:rsidR="00E3380A" w:rsidRPr="00E3380A" w:rsidRDefault="00E3380A" w:rsidP="00E3380A">
      <w:pPr>
        <w:pStyle w:val="JUDGMENTCONTINUED"/>
      </w:pPr>
    </w:p>
    <w:p w14:paraId="01A46BC0" w14:textId="0CB59659" w:rsidR="00D944B0" w:rsidRPr="00AD26D3" w:rsidRDefault="00D944B0" w:rsidP="00D944B0">
      <w:pPr>
        <w:pStyle w:val="HEADING"/>
        <w:rPr>
          <w:szCs w:val="26"/>
        </w:rPr>
      </w:pPr>
      <w:r w:rsidRPr="00AD26D3">
        <w:rPr>
          <w:szCs w:val="26"/>
        </w:rPr>
        <w:t>Was there a merger, and if so, was it notifiable?</w:t>
      </w:r>
    </w:p>
    <w:p w14:paraId="1974C124" w14:textId="64841B42" w:rsidR="00E3380A" w:rsidRDefault="00753EC1" w:rsidP="000C7587">
      <w:pPr>
        <w:pStyle w:val="JUDGMENTNUMBERED"/>
        <w:numPr>
          <w:ilvl w:val="0"/>
          <w:numId w:val="6"/>
        </w:numPr>
      </w:pPr>
      <w:r>
        <w:rPr>
          <w:lang w:eastAsia="en-ZA"/>
        </w:rPr>
        <w:t xml:space="preserve">An important function </w:t>
      </w:r>
      <w:r w:rsidR="002A1336">
        <w:rPr>
          <w:lang w:eastAsia="en-ZA"/>
        </w:rPr>
        <w:t xml:space="preserve">of </w:t>
      </w:r>
      <w:r>
        <w:rPr>
          <w:lang w:eastAsia="en-ZA"/>
        </w:rPr>
        <w:t>the Commission is to “authorise, with or without conditions, prohibit or refer mergers of which it rece</w:t>
      </w:r>
      <w:r w:rsidR="00A97427">
        <w:rPr>
          <w:lang w:eastAsia="en-ZA"/>
        </w:rPr>
        <w:t>ives notice in terms of Chapter </w:t>
      </w:r>
      <w:r>
        <w:rPr>
          <w:lang w:eastAsia="en-ZA"/>
        </w:rPr>
        <w:t>3”.</w:t>
      </w:r>
      <w:r w:rsidR="00A97427">
        <w:rPr>
          <w:rStyle w:val="FootnoteReference"/>
          <w:lang w:eastAsia="en-ZA"/>
        </w:rPr>
        <w:footnoteReference w:id="17"/>
      </w:r>
      <w:r>
        <w:rPr>
          <w:lang w:eastAsia="en-ZA"/>
        </w:rPr>
        <w:t xml:space="preserve"> </w:t>
      </w:r>
      <w:r w:rsidR="00E3380A">
        <w:rPr>
          <w:lang w:eastAsia="en-ZA"/>
        </w:rPr>
        <w:t xml:space="preserve"> </w:t>
      </w:r>
      <w:r>
        <w:rPr>
          <w:lang w:eastAsia="en-ZA"/>
        </w:rPr>
        <w:t>Th</w:t>
      </w:r>
      <w:r w:rsidR="00AA7A78">
        <w:rPr>
          <w:lang w:eastAsia="en-ZA"/>
        </w:rPr>
        <w:t>is</w:t>
      </w:r>
      <w:r>
        <w:rPr>
          <w:lang w:eastAsia="en-ZA"/>
        </w:rPr>
        <w:t xml:space="preserve"> Court in </w:t>
      </w:r>
      <w:r w:rsidR="002E6C24">
        <w:rPr>
          <w:i/>
        </w:rPr>
        <w:t>S.O.S</w:t>
      </w:r>
      <w:r>
        <w:t xml:space="preserve"> explain</w:t>
      </w:r>
      <w:r w:rsidR="00AA7A78">
        <w:t>ed</w:t>
      </w:r>
      <w:r>
        <w:t>:</w:t>
      </w:r>
    </w:p>
    <w:p w14:paraId="7169D9F4" w14:textId="77777777" w:rsidR="00E3380A" w:rsidRPr="00E3380A" w:rsidRDefault="00E3380A" w:rsidP="00E3380A">
      <w:pPr>
        <w:pStyle w:val="QUOTATION"/>
      </w:pPr>
    </w:p>
    <w:p w14:paraId="13946F4C" w14:textId="6B4D6941" w:rsidR="00753EC1" w:rsidRPr="002E6C24" w:rsidRDefault="00E3380A" w:rsidP="00513E5D">
      <w:pPr>
        <w:pStyle w:val="QUOTATION"/>
        <w:rPr>
          <w:sz w:val="26"/>
        </w:rPr>
      </w:pPr>
      <w:r>
        <w:t>“</w:t>
      </w:r>
      <w:r w:rsidR="00753EC1" w:rsidRPr="00E3380A">
        <w:t xml:space="preserve">As </w:t>
      </w:r>
      <w:r w:rsidR="00753EC1" w:rsidRPr="00E3380A">
        <w:rPr>
          <w:noProof/>
        </w:rPr>
        <w:t>a specialist regulator</w:t>
      </w:r>
      <w:r w:rsidR="00753EC1" w:rsidRPr="00E3380A">
        <w:t xml:space="preserve">, the </w:t>
      </w:r>
      <w:r w:rsidR="00753EC1" w:rsidRPr="00E3380A">
        <w:rPr>
          <w:noProof/>
        </w:rPr>
        <w:t>Commission</w:t>
      </w:r>
      <w:r w:rsidR="00753EC1" w:rsidRPr="00E3380A">
        <w:t xml:space="preserve"> </w:t>
      </w:r>
      <w:r w:rsidR="00753EC1" w:rsidRPr="00E3380A">
        <w:rPr>
          <w:noProof/>
        </w:rPr>
        <w:t>is tasked</w:t>
      </w:r>
      <w:r w:rsidR="00753EC1" w:rsidRPr="00E3380A">
        <w:t xml:space="preserve"> </w:t>
      </w:r>
      <w:r w:rsidR="00753EC1" w:rsidRPr="00E3380A">
        <w:rPr>
          <w:noProof/>
        </w:rPr>
        <w:t>with, among other things,</w:t>
      </w:r>
      <w:r w:rsidR="00753EC1" w:rsidRPr="00E3380A">
        <w:t xml:space="preserve"> the regulation of mergers that </w:t>
      </w:r>
      <w:r w:rsidR="00753EC1" w:rsidRPr="00E3380A">
        <w:rPr>
          <w:noProof/>
        </w:rPr>
        <w:t>have an anti-competitive effect in</w:t>
      </w:r>
      <w:r w:rsidR="00753EC1" w:rsidRPr="00E3380A">
        <w:t xml:space="preserve"> South Africa.  </w:t>
      </w:r>
      <w:r w:rsidR="00753EC1" w:rsidRPr="00E3380A">
        <w:rPr>
          <w:lang w:val="en-US"/>
        </w:rPr>
        <w:t xml:space="preserve">In terms of section 20(1) of the Competition Act, the Commission is independent, subject only to the Constitution and the law and must be impartial and perform its functions without fear, favour or prejudice. </w:t>
      </w:r>
      <w:r w:rsidR="00753EC1" w:rsidRPr="00E3380A">
        <w:t xml:space="preserve"> It is empowered to approve a proposed merger outright, approve it subject to conditions, or refuse merger approval where the proposed transaction will lead to a substantial lessening of competition, and cannot be justified </w:t>
      </w:r>
      <w:r w:rsidR="00753EC1" w:rsidRPr="00E3380A">
        <w:rPr>
          <w:noProof/>
        </w:rPr>
        <w:t>by</w:t>
      </w:r>
      <w:r w:rsidR="00753EC1" w:rsidRPr="00E3380A">
        <w:t xml:space="preserve"> merger-specific pro-competitive gains or in the public interest.”</w:t>
      </w:r>
      <w:r w:rsidRPr="00E3380A">
        <w:rPr>
          <w:rStyle w:val="FootnoteReference"/>
          <w:i/>
        </w:rPr>
        <w:t xml:space="preserve"> </w:t>
      </w:r>
      <w:r w:rsidRPr="002E6C24">
        <w:rPr>
          <w:rStyle w:val="FootnoteReference"/>
        </w:rPr>
        <w:footnoteReference w:id="18"/>
      </w:r>
    </w:p>
    <w:p w14:paraId="60CCCDA0" w14:textId="77777777" w:rsidR="00753EC1" w:rsidRPr="00753EC1" w:rsidRDefault="00753EC1" w:rsidP="00381C8B">
      <w:pPr>
        <w:pStyle w:val="JUDGMENTCONTINUED"/>
        <w:rPr>
          <w:lang w:eastAsia="en-ZA"/>
        </w:rPr>
      </w:pPr>
    </w:p>
    <w:p w14:paraId="6253E760" w14:textId="6BBA78DF" w:rsidR="00B03DE8" w:rsidRDefault="004F0591" w:rsidP="000C7587">
      <w:pPr>
        <w:pStyle w:val="JUDGMENTNUMBERED"/>
        <w:numPr>
          <w:ilvl w:val="0"/>
          <w:numId w:val="6"/>
        </w:numPr>
        <w:rPr>
          <w:lang w:eastAsia="en-ZA"/>
        </w:rPr>
      </w:pPr>
      <w:r>
        <w:rPr>
          <w:lang w:eastAsia="en-ZA"/>
        </w:rPr>
        <w:t>Parties to a notifiable merger are obliged to notify the Commission in the prescribe</w:t>
      </w:r>
      <w:r w:rsidR="001266D2">
        <w:rPr>
          <w:lang w:eastAsia="en-ZA"/>
        </w:rPr>
        <w:t>d</w:t>
      </w:r>
      <w:r>
        <w:rPr>
          <w:lang w:eastAsia="en-ZA"/>
        </w:rPr>
        <w:t xml:space="preserve"> form</w:t>
      </w:r>
      <w:r w:rsidR="00B03DE8">
        <w:rPr>
          <w:rStyle w:val="FootnoteReference"/>
          <w:lang w:eastAsia="en-ZA"/>
        </w:rPr>
        <w:footnoteReference w:id="19"/>
      </w:r>
      <w:r w:rsidR="00B03DE8">
        <w:rPr>
          <w:lang w:eastAsia="en-ZA"/>
        </w:rPr>
        <w:t xml:space="preserve"> and may not implement the proposed merger until it has been </w:t>
      </w:r>
      <w:r w:rsidR="00B03DE8">
        <w:rPr>
          <w:lang w:eastAsia="en-ZA"/>
        </w:rPr>
        <w:lastRenderedPageBreak/>
        <w:t>approved by the Commission.</w:t>
      </w:r>
      <w:r w:rsidR="00B03DE8">
        <w:rPr>
          <w:rStyle w:val="FootnoteReference"/>
          <w:lang w:eastAsia="en-ZA"/>
        </w:rPr>
        <w:footnoteReference w:id="20"/>
      </w:r>
      <w:r w:rsidR="00B03DE8">
        <w:rPr>
          <w:lang w:eastAsia="en-ZA"/>
        </w:rPr>
        <w:t xml:space="preserve"> </w:t>
      </w:r>
      <w:r w:rsidR="00653076">
        <w:rPr>
          <w:lang w:eastAsia="en-ZA"/>
        </w:rPr>
        <w:t xml:space="preserve"> </w:t>
      </w:r>
      <w:r w:rsidR="00B03DE8">
        <w:rPr>
          <w:lang w:eastAsia="en-ZA"/>
        </w:rPr>
        <w:t xml:space="preserve">A failure to </w:t>
      </w:r>
      <w:r w:rsidR="00C80032">
        <w:rPr>
          <w:lang w:eastAsia="en-ZA"/>
        </w:rPr>
        <w:t xml:space="preserve">do so </w:t>
      </w:r>
      <w:r w:rsidR="00B03DE8">
        <w:rPr>
          <w:lang w:eastAsia="en-ZA"/>
        </w:rPr>
        <w:t xml:space="preserve">empowers the Tribunal to impose an administrative </w:t>
      </w:r>
      <w:r w:rsidR="004953E4">
        <w:rPr>
          <w:lang w:eastAsia="en-ZA"/>
        </w:rPr>
        <w:t>penalty.</w:t>
      </w:r>
      <w:r w:rsidR="004953E4">
        <w:rPr>
          <w:rStyle w:val="FootnoteReference"/>
          <w:lang w:eastAsia="en-ZA"/>
        </w:rPr>
        <w:footnoteReference w:id="21"/>
      </w:r>
    </w:p>
    <w:p w14:paraId="0EF76F88" w14:textId="2C4C9242" w:rsidR="002E6740" w:rsidRDefault="002E6740" w:rsidP="00E3456B">
      <w:pPr>
        <w:pStyle w:val="JUDGMENTCONTINUED"/>
        <w:rPr>
          <w:lang w:eastAsia="en-ZA"/>
        </w:rPr>
      </w:pPr>
    </w:p>
    <w:p w14:paraId="79ACBF14" w14:textId="3D23B7C7" w:rsidR="002E6740" w:rsidRDefault="002E6740" w:rsidP="000C7587">
      <w:pPr>
        <w:pStyle w:val="JUDGMENTNUMBERED"/>
        <w:numPr>
          <w:ilvl w:val="0"/>
          <w:numId w:val="6"/>
        </w:numPr>
        <w:rPr>
          <w:lang w:eastAsia="en-ZA"/>
        </w:rPr>
      </w:pPr>
      <w:r>
        <w:rPr>
          <w:lang w:eastAsia="en-ZA"/>
        </w:rPr>
        <w:t xml:space="preserve">The Commission has the power under the Act to investigate not only whether a notified merger should be approved but also the anterior question of </w:t>
      </w:r>
      <w:r w:rsidR="00DB6EAA">
        <w:rPr>
          <w:lang w:eastAsia="en-ZA"/>
        </w:rPr>
        <w:t>whether</w:t>
      </w:r>
      <w:r>
        <w:rPr>
          <w:lang w:eastAsia="en-ZA"/>
        </w:rPr>
        <w:t xml:space="preserve"> or not the transaction constitutes a notifiable merger in the first place. </w:t>
      </w:r>
      <w:r w:rsidR="006E75DE">
        <w:rPr>
          <w:lang w:eastAsia="en-ZA"/>
        </w:rPr>
        <w:t xml:space="preserve"> </w:t>
      </w:r>
      <w:r>
        <w:rPr>
          <w:lang w:eastAsia="en-ZA"/>
        </w:rPr>
        <w:t xml:space="preserve">This Court </w:t>
      </w:r>
      <w:r w:rsidR="00381C8B">
        <w:rPr>
          <w:lang w:eastAsia="en-ZA"/>
        </w:rPr>
        <w:t xml:space="preserve">in </w:t>
      </w:r>
      <w:r w:rsidR="00381C8B" w:rsidRPr="006E75DE">
        <w:rPr>
          <w:i/>
          <w:lang w:eastAsia="en-ZA"/>
        </w:rPr>
        <w:t>S.O.S</w:t>
      </w:r>
      <w:r w:rsidR="00381C8B">
        <w:rPr>
          <w:lang w:eastAsia="en-ZA"/>
        </w:rPr>
        <w:t xml:space="preserve"> </w:t>
      </w:r>
      <w:r w:rsidR="00033137">
        <w:rPr>
          <w:lang w:eastAsia="en-ZA"/>
        </w:rPr>
        <w:t>explained</w:t>
      </w:r>
      <w:r w:rsidR="008577C8">
        <w:rPr>
          <w:lang w:eastAsia="en-ZA"/>
        </w:rPr>
        <w:t>:</w:t>
      </w:r>
    </w:p>
    <w:p w14:paraId="65D63ABD" w14:textId="07FFBAC7" w:rsidR="002E6740" w:rsidRDefault="002E6740" w:rsidP="00E3456B">
      <w:pPr>
        <w:pStyle w:val="QUOTATION"/>
        <w:rPr>
          <w:lang w:eastAsia="en-ZA"/>
        </w:rPr>
      </w:pPr>
    </w:p>
    <w:p w14:paraId="2B8C0392" w14:textId="696F58F0" w:rsidR="00B03DE8" w:rsidRPr="00B03DE8" w:rsidRDefault="002E6740" w:rsidP="00070076">
      <w:pPr>
        <w:pStyle w:val="QUOTATION"/>
      </w:pPr>
      <w:r w:rsidRPr="00E3456B">
        <w:t>“The power to investigate whether a transaction constitutes a notifiable merger stems from section 13A(1) and (3) read with section 59(1)(d)(i) of the Competitio</w:t>
      </w:r>
      <w:r w:rsidR="006E75DE">
        <w:t xml:space="preserve">n </w:t>
      </w:r>
      <w:r w:rsidRPr="00E3456B">
        <w:t xml:space="preserve">Act.  Section 13A(1) obliges a party to an intermediate or large </w:t>
      </w:r>
      <w:r w:rsidRPr="00E3456B">
        <w:rPr>
          <w:noProof/>
        </w:rPr>
        <w:t>merger</w:t>
      </w:r>
      <w:r w:rsidRPr="00E3456B">
        <w:t xml:space="preserve"> to notify the Commission of the merger.  Section 13A(3) prevents prior implementation of a notifiable merger without the approval of the Commission, the Tribunal or the Competition Appeal Court.  If the Commission finds that a notifiable merger has </w:t>
      </w:r>
      <w:r w:rsidRPr="00E3456B">
        <w:rPr>
          <w:noProof/>
        </w:rPr>
        <w:t>been implemented</w:t>
      </w:r>
      <w:r w:rsidRPr="00E3456B">
        <w:t xml:space="preserve"> without </w:t>
      </w:r>
      <w:r w:rsidRPr="00E3456B">
        <w:rPr>
          <w:noProof/>
        </w:rPr>
        <w:t>approval,</w:t>
      </w:r>
      <w:r w:rsidRPr="00E3456B">
        <w:t xml:space="preserve"> it must refer that transaction to the Tribunal for adjudication.  </w:t>
      </w:r>
      <w:r w:rsidR="006E75DE">
        <w:t xml:space="preserve">Section </w:t>
      </w:r>
      <w:r w:rsidRPr="00E3456B">
        <w:t xml:space="preserve">59(1)(d)(i) empowers the Tribunal to impose an administrative penalty on firms that fail to give notice of a merger or implement a notifiable merger without prior approval.  The necessary implication of these provisions is that the Commission is </w:t>
      </w:r>
      <w:r w:rsidRPr="00E3456B">
        <w:rPr>
          <w:noProof/>
        </w:rPr>
        <w:t>authorised</w:t>
      </w:r>
      <w:r w:rsidRPr="00E3456B">
        <w:t xml:space="preserve"> to investigate transactions to determine whether they constitute or give rise to a notifiable merger as defined in the Competition </w:t>
      </w:r>
      <w:r w:rsidRPr="00E3456B">
        <w:rPr>
          <w:noProof/>
        </w:rPr>
        <w:t xml:space="preserve">Act, </w:t>
      </w:r>
      <w:r w:rsidRPr="00E3456B">
        <w:t>and whether proceedings should be initiated in the Tribunal to impose appropriate penalties</w:t>
      </w:r>
      <w:r w:rsidR="00851C3F" w:rsidRPr="00E3456B">
        <w:rPr>
          <w:lang w:eastAsia="en-ZA"/>
        </w:rPr>
        <w:t>.”</w:t>
      </w:r>
      <w:r w:rsidR="006D696C">
        <w:rPr>
          <w:rStyle w:val="FootnoteReference"/>
          <w:lang w:eastAsia="en-ZA"/>
        </w:rPr>
        <w:footnoteReference w:id="22"/>
      </w:r>
    </w:p>
    <w:p w14:paraId="75366713" w14:textId="1215DB65" w:rsidR="00381C8B" w:rsidRDefault="00ED2543" w:rsidP="000C7587">
      <w:pPr>
        <w:pStyle w:val="JUDGMENTNUMBERED"/>
        <w:numPr>
          <w:ilvl w:val="0"/>
          <w:numId w:val="6"/>
        </w:numPr>
        <w:rPr>
          <w:lang w:eastAsia="en-ZA"/>
        </w:rPr>
      </w:pPr>
      <w:r>
        <w:rPr>
          <w:lang w:eastAsia="en-ZA"/>
        </w:rPr>
        <w:lastRenderedPageBreak/>
        <w:t>F</w:t>
      </w:r>
      <w:r w:rsidR="00EF6C7E">
        <w:rPr>
          <w:lang w:eastAsia="en-ZA"/>
        </w:rPr>
        <w:t xml:space="preserve">or </w:t>
      </w:r>
      <w:r w:rsidR="00D04440" w:rsidRPr="00BE484B">
        <w:rPr>
          <w:lang w:eastAsia="en-ZA"/>
        </w:rPr>
        <w:t>a transaction to require notification</w:t>
      </w:r>
      <w:r w:rsidR="00381C8B">
        <w:rPr>
          <w:lang w:eastAsia="en-ZA"/>
        </w:rPr>
        <w:t>,</w:t>
      </w:r>
      <w:r w:rsidR="00D04440" w:rsidRPr="00BE484B">
        <w:rPr>
          <w:lang w:eastAsia="en-ZA"/>
        </w:rPr>
        <w:t xml:space="preserve"> the transaction must</w:t>
      </w:r>
      <w:r w:rsidR="00851C3F">
        <w:rPr>
          <w:lang w:eastAsia="en-ZA"/>
        </w:rPr>
        <w:t xml:space="preserve"> first</w:t>
      </w:r>
      <w:r w:rsidR="00851C3F" w:rsidRPr="00BE484B">
        <w:rPr>
          <w:lang w:eastAsia="en-ZA"/>
        </w:rPr>
        <w:t xml:space="preserve"> constitute</w:t>
      </w:r>
      <w:r w:rsidR="00D04440" w:rsidRPr="00BE484B">
        <w:rPr>
          <w:lang w:eastAsia="en-ZA"/>
        </w:rPr>
        <w:t xml:space="preserve"> a “merger</w:t>
      </w:r>
      <w:r w:rsidR="00D04440">
        <w:rPr>
          <w:lang w:eastAsia="en-ZA"/>
        </w:rPr>
        <w:t>”</w:t>
      </w:r>
      <w:r w:rsidR="00D04440" w:rsidRPr="00BE484B">
        <w:rPr>
          <w:lang w:eastAsia="en-ZA"/>
        </w:rPr>
        <w:t xml:space="preserve"> as contemplated in section 12(1)</w:t>
      </w:r>
      <w:r w:rsidR="00611E98">
        <w:rPr>
          <w:lang w:eastAsia="en-ZA"/>
        </w:rPr>
        <w:t xml:space="preserve"> of the Act</w:t>
      </w:r>
      <w:r w:rsidR="00237E23">
        <w:rPr>
          <w:lang w:eastAsia="en-ZA"/>
        </w:rPr>
        <w:t>.</w:t>
      </w:r>
      <w:r w:rsidR="006E75DE">
        <w:rPr>
          <w:lang w:eastAsia="en-ZA"/>
        </w:rPr>
        <w:t xml:space="preserve"> </w:t>
      </w:r>
      <w:r w:rsidR="00DB6EAA">
        <w:rPr>
          <w:lang w:eastAsia="en-ZA"/>
        </w:rPr>
        <w:t xml:space="preserve"> Once a transaction meets the definition of a “merger” as contemplated in </w:t>
      </w:r>
      <w:r w:rsidR="005414D7">
        <w:rPr>
          <w:lang w:eastAsia="en-ZA"/>
        </w:rPr>
        <w:t>section</w:t>
      </w:r>
      <w:r w:rsidR="00DB6EAA">
        <w:rPr>
          <w:lang w:eastAsia="en-ZA"/>
        </w:rPr>
        <w:t xml:space="preserve"> 12</w:t>
      </w:r>
      <w:r w:rsidR="001266D2">
        <w:rPr>
          <w:lang w:eastAsia="en-ZA"/>
        </w:rPr>
        <w:t>(1)</w:t>
      </w:r>
      <w:r w:rsidR="00DB6EAA">
        <w:rPr>
          <w:lang w:eastAsia="en-ZA"/>
        </w:rPr>
        <w:t xml:space="preserve"> of the Competition Act, the vast investigative powers of the Commission will come into play. </w:t>
      </w:r>
      <w:r w:rsidR="006E75DE">
        <w:rPr>
          <w:lang w:eastAsia="en-ZA"/>
        </w:rPr>
        <w:t xml:space="preserve"> </w:t>
      </w:r>
      <w:r w:rsidR="00381C8B">
        <w:rPr>
          <w:lang w:eastAsia="en-ZA"/>
        </w:rPr>
        <w:t xml:space="preserve">This Court in </w:t>
      </w:r>
      <w:r w:rsidR="00381C8B" w:rsidRPr="006E648D">
        <w:rPr>
          <w:i/>
          <w:lang w:eastAsia="en-ZA"/>
        </w:rPr>
        <w:t>S.O.S</w:t>
      </w:r>
      <w:r w:rsidR="00381C8B" w:rsidRPr="00D4481B">
        <w:rPr>
          <w:lang w:eastAsia="en-ZA"/>
        </w:rPr>
        <w:t xml:space="preserve"> </w:t>
      </w:r>
      <w:r w:rsidR="00381C8B">
        <w:rPr>
          <w:lang w:eastAsia="en-ZA"/>
        </w:rPr>
        <w:t>confirmed that the obligation to notify the Commission of a proposed transaction is dependent on two jurisdictional facts: first</w:t>
      </w:r>
      <w:r w:rsidR="00DA504D">
        <w:rPr>
          <w:lang w:eastAsia="en-ZA"/>
        </w:rPr>
        <w:t xml:space="preserve">, </w:t>
      </w:r>
      <w:r w:rsidR="00381C8B">
        <w:rPr>
          <w:lang w:eastAsia="en-ZA"/>
        </w:rPr>
        <w:t>where the proposed transaction meets the definition of a “merger” in terms of section 12 of the Act, and second</w:t>
      </w:r>
      <w:r w:rsidR="00154186">
        <w:rPr>
          <w:lang w:eastAsia="en-ZA"/>
        </w:rPr>
        <w:t>,</w:t>
      </w:r>
      <w:r w:rsidR="00381C8B">
        <w:rPr>
          <w:lang w:eastAsia="en-ZA"/>
        </w:rPr>
        <w:t xml:space="preserve"> where the proposed transaction meets the financial threshold for an intermediate or large merger.</w:t>
      </w:r>
      <w:r w:rsidR="00AA7A78" w:rsidRPr="00AA7A78">
        <w:rPr>
          <w:vertAlign w:val="superscript"/>
          <w:lang w:eastAsia="en-ZA"/>
        </w:rPr>
        <w:footnoteReference w:id="23"/>
      </w:r>
      <w:r w:rsidR="006E75DE">
        <w:rPr>
          <w:lang w:eastAsia="en-ZA"/>
        </w:rPr>
        <w:t xml:space="preserve"> </w:t>
      </w:r>
      <w:r w:rsidR="00154186">
        <w:rPr>
          <w:lang w:eastAsia="en-ZA"/>
        </w:rPr>
        <w:t xml:space="preserve"> </w:t>
      </w:r>
      <w:r w:rsidR="00381C8B">
        <w:rPr>
          <w:lang w:eastAsia="en-ZA"/>
        </w:rPr>
        <w:t xml:space="preserve">Section 12A of the Act further makes it clear that the substantive merger consideration process provided for in </w:t>
      </w:r>
      <w:r w:rsidR="003D6DF8">
        <w:rPr>
          <w:lang w:eastAsia="en-ZA"/>
        </w:rPr>
        <w:t xml:space="preserve">this </w:t>
      </w:r>
      <w:r w:rsidR="00381C8B">
        <w:rPr>
          <w:lang w:eastAsia="en-ZA"/>
        </w:rPr>
        <w:t>section only applies to a transaction that constitutes a “merger</w:t>
      </w:r>
      <w:r w:rsidR="006E75DE">
        <w:rPr>
          <w:lang w:eastAsia="en-ZA"/>
        </w:rPr>
        <w:t xml:space="preserve">” </w:t>
      </w:r>
      <w:r w:rsidR="00381C8B">
        <w:rPr>
          <w:lang w:eastAsia="en-ZA"/>
        </w:rPr>
        <w:t>within the meaning of section 12.</w:t>
      </w:r>
      <w:r w:rsidR="00381C8B">
        <w:rPr>
          <w:rStyle w:val="FootnoteReference"/>
          <w:lang w:eastAsia="en-ZA"/>
        </w:rPr>
        <w:footnoteReference w:id="24"/>
      </w:r>
    </w:p>
    <w:p w14:paraId="0CBBA8D1" w14:textId="77777777" w:rsidR="00942CE2" w:rsidRPr="00942CE2" w:rsidRDefault="00942CE2" w:rsidP="00942CE2">
      <w:pPr>
        <w:pStyle w:val="JUDGMENTCONTINUED"/>
        <w:rPr>
          <w:lang w:eastAsia="en-ZA"/>
        </w:rPr>
      </w:pPr>
    </w:p>
    <w:p w14:paraId="340551BE" w14:textId="5B521C74" w:rsidR="00894FF3" w:rsidRDefault="00AA7A78" w:rsidP="000C7587">
      <w:pPr>
        <w:pStyle w:val="JUDGMENTNUMBERED"/>
        <w:numPr>
          <w:ilvl w:val="0"/>
          <w:numId w:val="6"/>
        </w:numPr>
      </w:pPr>
      <w:r>
        <w:t xml:space="preserve">Here </w:t>
      </w:r>
      <w:r w:rsidR="00154186">
        <w:t>t</w:t>
      </w:r>
      <w:r w:rsidR="00D04440" w:rsidRPr="003A38DC">
        <w:t xml:space="preserve">he </w:t>
      </w:r>
      <w:r w:rsidR="008D4C4E">
        <w:t>Commission</w:t>
      </w:r>
      <w:r w:rsidR="008D4C4E" w:rsidRPr="003A38DC">
        <w:t xml:space="preserve"> </w:t>
      </w:r>
      <w:r w:rsidR="00F8213B">
        <w:t>operated</w:t>
      </w:r>
      <w:r w:rsidR="00D04440" w:rsidRPr="003A38DC">
        <w:t xml:space="preserve"> from the premise that there was a merger and</w:t>
      </w:r>
      <w:r w:rsidR="00D04440">
        <w:t xml:space="preserve"> </w:t>
      </w:r>
      <w:r w:rsidR="00204FEB">
        <w:t>contends</w:t>
      </w:r>
      <w:r w:rsidR="00204FEB" w:rsidRPr="003A38DC">
        <w:t xml:space="preserve"> </w:t>
      </w:r>
      <w:r w:rsidR="00D04440" w:rsidRPr="003A38DC">
        <w:t>that the only question</w:t>
      </w:r>
      <w:r w:rsidR="00130934">
        <w:t xml:space="preserve"> is</w:t>
      </w:r>
      <w:r w:rsidR="00D04440" w:rsidRPr="003A38DC">
        <w:t xml:space="preserve"> whether the merger was notifiable. </w:t>
      </w:r>
      <w:r w:rsidR="00204FEB">
        <w:t xml:space="preserve"> HCI and Tsogo</w:t>
      </w:r>
      <w:r w:rsidR="00D04440" w:rsidRPr="003A38DC">
        <w:t xml:space="preserve"> </w:t>
      </w:r>
      <w:r w:rsidR="00A64B8B">
        <w:t>argue</w:t>
      </w:r>
      <w:r w:rsidR="00A64B8B" w:rsidRPr="003A38DC">
        <w:t xml:space="preserve"> </w:t>
      </w:r>
      <w:r w:rsidR="00D04440" w:rsidRPr="003A38DC">
        <w:t xml:space="preserve">that there was no merger within the meaning of section 12 of the </w:t>
      </w:r>
      <w:r w:rsidR="00D04440">
        <w:t>Act</w:t>
      </w:r>
      <w:r w:rsidR="00A64B8B">
        <w:t>.</w:t>
      </w:r>
      <w:r w:rsidR="00D04440">
        <w:t xml:space="preserve"> </w:t>
      </w:r>
      <w:r w:rsidR="00A64B8B">
        <w:t xml:space="preserve"> T</w:t>
      </w:r>
      <w:r w:rsidR="00D04440" w:rsidRPr="003A38DC">
        <w:t xml:space="preserve">herefore </w:t>
      </w:r>
      <w:r w:rsidR="00985B82">
        <w:t>the question of notifiability does not arise</w:t>
      </w:r>
      <w:r w:rsidR="00D04440">
        <w:t xml:space="preserve">. </w:t>
      </w:r>
      <w:r w:rsidR="00204FEB">
        <w:t xml:space="preserve"> </w:t>
      </w:r>
      <w:r w:rsidR="00EF6C7E">
        <w:t>They fu</w:t>
      </w:r>
      <w:r w:rsidR="00273399">
        <w:t>rther submit</w:t>
      </w:r>
      <w:r w:rsidR="00D04440" w:rsidRPr="003A38DC">
        <w:t xml:space="preserve">, relying on the </w:t>
      </w:r>
      <w:r w:rsidR="00D04440" w:rsidRPr="004A6512">
        <w:t>once-off</w:t>
      </w:r>
      <w:r w:rsidR="00D04440">
        <w:t xml:space="preserve"> </w:t>
      </w:r>
      <w:r w:rsidR="00D04440" w:rsidRPr="003A38DC">
        <w:t>principle, that even if there was a merger, the 2017 transaction was</w:t>
      </w:r>
      <w:r w:rsidR="0014148F">
        <w:t xml:space="preserve"> already</w:t>
      </w:r>
      <w:r w:rsidR="00D04440" w:rsidRPr="003A38DC">
        <w:t xml:space="preserve"> approved by the Commission in 2014</w:t>
      </w:r>
      <w:r w:rsidR="00894FF3">
        <w:t>.</w:t>
      </w:r>
    </w:p>
    <w:p w14:paraId="4CFBF6C8" w14:textId="77777777" w:rsidR="008B42F1" w:rsidRPr="008B42F1" w:rsidRDefault="008B42F1" w:rsidP="008B42F1">
      <w:pPr>
        <w:pStyle w:val="JUDGMENTCONTINUED"/>
      </w:pPr>
    </w:p>
    <w:p w14:paraId="46336E2B" w14:textId="4CEA1F9B" w:rsidR="00D04440" w:rsidRDefault="00D04440" w:rsidP="000C7587">
      <w:pPr>
        <w:pStyle w:val="JUDGMENTNUMBERED"/>
        <w:numPr>
          <w:ilvl w:val="0"/>
          <w:numId w:val="6"/>
        </w:numPr>
      </w:pPr>
      <w:r>
        <w:t xml:space="preserve">In light of the </w:t>
      </w:r>
      <w:r w:rsidRPr="00AF2149">
        <w:t xml:space="preserve">respondents’ </w:t>
      </w:r>
      <w:r w:rsidR="00A37D63">
        <w:t>insistence</w:t>
      </w:r>
      <w:r w:rsidR="00130934">
        <w:t xml:space="preserve"> </w:t>
      </w:r>
      <w:r w:rsidRPr="00AF2149">
        <w:t xml:space="preserve">that there was no merger in the first place, it is necessary to consider whether the 2017 transaction in </w:t>
      </w:r>
      <w:r w:rsidR="00985B82">
        <w:t>this</w:t>
      </w:r>
      <w:r w:rsidR="00985B82" w:rsidRPr="00AF2149">
        <w:t xml:space="preserve"> </w:t>
      </w:r>
      <w:r w:rsidRPr="00AF2149">
        <w:t>matter constituted a me</w:t>
      </w:r>
      <w:r>
        <w:t>rger for purposes of the Act</w:t>
      </w:r>
      <w:r w:rsidR="00B61BAB">
        <w:t>.</w:t>
      </w:r>
    </w:p>
    <w:p w14:paraId="3E16547E" w14:textId="77777777" w:rsidR="00D04440" w:rsidRDefault="00D04440" w:rsidP="00D04440">
      <w:pPr>
        <w:spacing w:line="360" w:lineRule="auto"/>
      </w:pPr>
    </w:p>
    <w:p w14:paraId="60EEA10B" w14:textId="692F0D6B" w:rsidR="00E60916" w:rsidRDefault="00D04440" w:rsidP="000C7587">
      <w:pPr>
        <w:pStyle w:val="JUDGMENTNUMBERED"/>
        <w:numPr>
          <w:ilvl w:val="0"/>
          <w:numId w:val="6"/>
        </w:numPr>
      </w:pPr>
      <w:r w:rsidRPr="00D355E3">
        <w:t>Mergers are regulated in terms of Chapter 3 of the Act</w:t>
      </w:r>
      <w:r>
        <w:t xml:space="preserve">. </w:t>
      </w:r>
      <w:r w:rsidR="00E0324D">
        <w:t xml:space="preserve"> </w:t>
      </w:r>
      <w:r w:rsidR="00D4481B">
        <w:t>The definition of a merger in s</w:t>
      </w:r>
      <w:r w:rsidRPr="00D355E3">
        <w:t xml:space="preserve">ection 12(1) states that “a merger occurs when one or more firms directly or indirectly acquire or establish direct or indirect control over the whole or part of the business of another firm”. </w:t>
      </w:r>
      <w:r w:rsidR="00154186">
        <w:t xml:space="preserve"> </w:t>
      </w:r>
      <w:r w:rsidR="004A6512">
        <w:t xml:space="preserve">Two or more entities are contemplated in the merger </w:t>
      </w:r>
      <w:r w:rsidR="004A6512">
        <w:lastRenderedPageBreak/>
        <w:t xml:space="preserve">transaction: </w:t>
      </w:r>
      <w:r w:rsidR="00B703F4">
        <w:t>t</w:t>
      </w:r>
      <w:r w:rsidR="004A6512">
        <w:t>he acquiring firm and “another firm”</w:t>
      </w:r>
      <w:r w:rsidR="00E60916">
        <w:t xml:space="preserve"> (often referred to as the target firm)</w:t>
      </w:r>
      <w:r w:rsidR="004A6512">
        <w:t xml:space="preserve">. </w:t>
      </w:r>
      <w:r w:rsidR="00E0324D">
        <w:t xml:space="preserve"> </w:t>
      </w:r>
      <w:r w:rsidR="004A6512">
        <w:t xml:space="preserve">An “acquiring firm” is defined </w:t>
      </w:r>
      <w:r w:rsidR="00E0324D">
        <w:t>as</w:t>
      </w:r>
      <w:r w:rsidR="004A6512">
        <w:t xml:space="preserve"> “a </w:t>
      </w:r>
      <w:r w:rsidR="00E60916">
        <w:t>firm” that</w:t>
      </w:r>
      <w:r w:rsidR="004A6512">
        <w:t xml:space="preserve"> “as a result of a transaction in any circumstances set out in section 12, would directly or indirectly acquire, or establish direct or indirect control over, the whole or part of the business of another firm</w:t>
      </w:r>
      <w:r w:rsidR="00E60916">
        <w:t>”.</w:t>
      </w:r>
      <w:r w:rsidR="00E60916">
        <w:rPr>
          <w:rStyle w:val="FootnoteReference"/>
        </w:rPr>
        <w:footnoteReference w:id="25"/>
      </w:r>
    </w:p>
    <w:p w14:paraId="7DB54D36" w14:textId="77777777" w:rsidR="00E60916" w:rsidRPr="00E60916" w:rsidRDefault="00E60916" w:rsidP="00E60916">
      <w:pPr>
        <w:pStyle w:val="JUDGMENTCONTINUED"/>
      </w:pPr>
    </w:p>
    <w:p w14:paraId="008DAA8D" w14:textId="76DC4716" w:rsidR="00251104" w:rsidRDefault="00BA1DE6" w:rsidP="00A64B8B">
      <w:pPr>
        <w:pStyle w:val="JUDGMENTNUMBERED"/>
        <w:numPr>
          <w:ilvl w:val="0"/>
          <w:numId w:val="6"/>
        </w:numPr>
      </w:pPr>
      <w:r>
        <w:t>S</w:t>
      </w:r>
      <w:r w:rsidRPr="00D355E3">
        <w:t xml:space="preserve">ection 12(2) sets out </w:t>
      </w:r>
      <w:r w:rsidR="00954AB8">
        <w:t xml:space="preserve">statutory </w:t>
      </w:r>
      <w:r w:rsidRPr="00D355E3">
        <w:t>instances</w:t>
      </w:r>
      <w:r>
        <w:t xml:space="preserve"> or </w:t>
      </w:r>
      <w:r w:rsidR="00D4481B">
        <w:t xml:space="preserve">the </w:t>
      </w:r>
      <w:r>
        <w:t>common forms</w:t>
      </w:r>
      <w:r w:rsidRPr="00D355E3">
        <w:t xml:space="preserve"> of control for purposes of section 12(1).  Section 12(2) reads:</w:t>
      </w:r>
    </w:p>
    <w:p w14:paraId="7BA00821" w14:textId="77777777" w:rsidR="00A64B8B" w:rsidRPr="00A64B8B" w:rsidRDefault="00A64B8B" w:rsidP="00A64B8B">
      <w:pPr>
        <w:pStyle w:val="QUOTATION"/>
      </w:pPr>
    </w:p>
    <w:p w14:paraId="038EDBC0" w14:textId="77777777" w:rsidR="00BA1DE6" w:rsidRPr="00902924" w:rsidRDefault="00BA1DE6" w:rsidP="007A49F0">
      <w:pPr>
        <w:pStyle w:val="QUOTATION"/>
      </w:pPr>
      <w:r w:rsidRPr="00902924">
        <w:t xml:space="preserve">“A person controls a </w:t>
      </w:r>
      <w:r w:rsidRPr="00AC1FA7">
        <w:t>firm</w:t>
      </w:r>
      <w:r w:rsidRPr="00902924">
        <w:t xml:space="preserve"> if that person—</w:t>
      </w:r>
    </w:p>
    <w:p w14:paraId="1A90FEF0" w14:textId="77777777" w:rsidR="00BA1DE6" w:rsidRPr="00AC1FA7" w:rsidRDefault="00BA1DE6" w:rsidP="00E231E3">
      <w:pPr>
        <w:pStyle w:val="QUOTATION"/>
        <w:numPr>
          <w:ilvl w:val="0"/>
          <w:numId w:val="4"/>
        </w:numPr>
        <w:ind w:left="2160" w:hanging="720"/>
      </w:pPr>
      <w:r w:rsidRPr="00902924">
        <w:t xml:space="preserve">beneficially owns more than one half of the issued share capital of the </w:t>
      </w:r>
      <w:r w:rsidRPr="00AC1FA7">
        <w:t>firm;</w:t>
      </w:r>
    </w:p>
    <w:p w14:paraId="4790FAC7" w14:textId="77777777" w:rsidR="00BA1DE6" w:rsidRPr="00AC1FA7" w:rsidRDefault="00BA1DE6" w:rsidP="00E231E3">
      <w:pPr>
        <w:pStyle w:val="QUOTATION"/>
        <w:numPr>
          <w:ilvl w:val="0"/>
          <w:numId w:val="4"/>
        </w:numPr>
        <w:ind w:left="2160" w:hanging="720"/>
      </w:pPr>
      <w:r w:rsidRPr="00AC1FA7">
        <w:t>is entitled to vote a majority of the votes that may be cast at a general meeting of the firm, or has the ability to control the voting of a majority of those votes, either directly or through a controlled entity of that person;</w:t>
      </w:r>
    </w:p>
    <w:p w14:paraId="1FF189F9" w14:textId="77777777" w:rsidR="00BA1DE6" w:rsidRPr="00AC1FA7" w:rsidRDefault="00BA1DE6" w:rsidP="00E231E3">
      <w:pPr>
        <w:pStyle w:val="QUOTATION"/>
        <w:numPr>
          <w:ilvl w:val="0"/>
          <w:numId w:val="4"/>
        </w:numPr>
        <w:ind w:left="2160" w:hanging="720"/>
      </w:pPr>
      <w:r w:rsidRPr="00AC1FA7">
        <w:t>is able to appoint or to veto the appointment of a majority of the directors of the firm;</w:t>
      </w:r>
    </w:p>
    <w:p w14:paraId="1046DB98" w14:textId="67324DA5" w:rsidR="00BA1DE6" w:rsidRPr="00AC1FA7" w:rsidRDefault="00BA1DE6" w:rsidP="00E231E3">
      <w:pPr>
        <w:pStyle w:val="QUOTATION"/>
        <w:numPr>
          <w:ilvl w:val="0"/>
          <w:numId w:val="4"/>
        </w:numPr>
        <w:ind w:left="2160" w:hanging="720"/>
      </w:pPr>
      <w:r w:rsidRPr="00AC1FA7">
        <w:t>is a holding company, and the firm is a subsidiary of that compa</w:t>
      </w:r>
      <w:r w:rsidR="00A64B8B">
        <w:t>ny as contemplated in section 1(3)</w:t>
      </w:r>
      <w:r w:rsidRPr="00AC1FA7">
        <w:t>(a) of the Companies Act, 1973 (</w:t>
      </w:r>
      <w:hyperlink r:id="rId16" w:tgtFrame="main" w:history="1">
        <w:r w:rsidRPr="00AC1FA7">
          <w:rPr>
            <w:rStyle w:val="Hyperlink"/>
            <w:color w:val="auto"/>
            <w:u w:val="none"/>
          </w:rPr>
          <w:t>Act 61 of 1973</w:t>
        </w:r>
      </w:hyperlink>
      <w:r w:rsidRPr="00AC1FA7">
        <w:t>);</w:t>
      </w:r>
    </w:p>
    <w:p w14:paraId="09630A4C" w14:textId="77777777" w:rsidR="00BA1DE6" w:rsidRPr="00AC1FA7" w:rsidRDefault="00BA1DE6" w:rsidP="00E231E3">
      <w:pPr>
        <w:pStyle w:val="QUOTATION"/>
        <w:numPr>
          <w:ilvl w:val="0"/>
          <w:numId w:val="4"/>
        </w:numPr>
        <w:ind w:left="2160" w:hanging="720"/>
      </w:pPr>
      <w:r w:rsidRPr="00AC1FA7">
        <w:t>in the case of a firm that is a trust, has the ability to control the majority of the votes of the trustees, to appoint the majority of the trustees or to appoint or change the majority of the beneficiaries of the trust;</w:t>
      </w:r>
    </w:p>
    <w:p w14:paraId="1E4461C5" w14:textId="0B18A47F" w:rsidR="00154186" w:rsidRPr="002A05D5" w:rsidRDefault="00180C57" w:rsidP="00E231E3">
      <w:pPr>
        <w:pStyle w:val="QUOTATION"/>
        <w:numPr>
          <w:ilvl w:val="0"/>
          <w:numId w:val="4"/>
        </w:numPr>
        <w:ind w:left="2160" w:hanging="720"/>
      </w:pPr>
      <w:r w:rsidRPr="002A05D5">
        <w:t>in the case of a close corporation, owns the majority of members’ interest or controls directly or has the right to control the majority of members’ votes in the close corporation; or</w:t>
      </w:r>
    </w:p>
    <w:p w14:paraId="71487A08" w14:textId="487F9BDD" w:rsidR="00D04440" w:rsidRPr="002A05D5" w:rsidRDefault="00BA1DE6" w:rsidP="00E231E3">
      <w:pPr>
        <w:pStyle w:val="QUOTATION"/>
        <w:numPr>
          <w:ilvl w:val="0"/>
          <w:numId w:val="4"/>
        </w:numPr>
        <w:ind w:left="2160" w:hanging="720"/>
      </w:pPr>
      <w:r w:rsidRPr="002A05D5">
        <w:t>has the ability to materially influence the policy of the firm in a manner comparable to a person who, in ordinary commercial practice, can exercise an element of control referred to in paragraphs (a) to (f).</w:t>
      </w:r>
      <w:r w:rsidR="00D04440" w:rsidRPr="002A05D5">
        <w:t>”</w:t>
      </w:r>
    </w:p>
    <w:p w14:paraId="047E6C76" w14:textId="77777777" w:rsidR="00D04440" w:rsidRPr="00AF2149" w:rsidRDefault="00D04440" w:rsidP="00251104">
      <w:pPr>
        <w:pStyle w:val="JUDGMENTCONTINUED"/>
      </w:pPr>
    </w:p>
    <w:p w14:paraId="4D1B7A56" w14:textId="6A319F3B" w:rsidR="00894FF3" w:rsidRDefault="00D04440" w:rsidP="000C7587">
      <w:pPr>
        <w:pStyle w:val="JUDGMENTNUMBERED"/>
        <w:numPr>
          <w:ilvl w:val="0"/>
          <w:numId w:val="6"/>
        </w:numPr>
      </w:pPr>
      <w:r w:rsidRPr="00AF2149">
        <w:t xml:space="preserve">The acquisition of control is central to the definition of a “merger”. </w:t>
      </w:r>
      <w:r>
        <w:t xml:space="preserve"> </w:t>
      </w:r>
      <w:r w:rsidRPr="00AF2149">
        <w:t>The term “control” is</w:t>
      </w:r>
      <w:r w:rsidR="00E60916">
        <w:t>, however,</w:t>
      </w:r>
      <w:r w:rsidRPr="00AF2149">
        <w:t xml:space="preserve"> not defined in the Act.  Section 12(2) goes no further than to list instances of what </w:t>
      </w:r>
      <w:r w:rsidR="00985B82">
        <w:t>constitute</w:t>
      </w:r>
      <w:r w:rsidR="00A7370C">
        <w:t>s</w:t>
      </w:r>
      <w:r w:rsidRPr="00AF2149">
        <w:t xml:space="preserve"> control for purposes of the definition of a merger in terms </w:t>
      </w:r>
      <w:r w:rsidRPr="00AF2149">
        <w:lastRenderedPageBreak/>
        <w:t>of section 12(1).  The list is not exhaustive and it is accepted that other instances of control than those listed in section 12(2) may be sufficient to establish control for the purposes of the definition of a merg</w:t>
      </w:r>
      <w:r>
        <w:t>er.</w:t>
      </w:r>
    </w:p>
    <w:p w14:paraId="1F7B4609" w14:textId="77777777" w:rsidR="00894FF3" w:rsidRPr="00894FF3" w:rsidRDefault="00894FF3" w:rsidP="00F70C89">
      <w:pPr>
        <w:pStyle w:val="JUDGMENTCONTINUED"/>
      </w:pPr>
    </w:p>
    <w:p w14:paraId="01139F8C" w14:textId="26FA1FD5" w:rsidR="00D04440" w:rsidRDefault="00D04440" w:rsidP="000C7587">
      <w:pPr>
        <w:pStyle w:val="JUDGMENTNUMBERED"/>
        <w:numPr>
          <w:ilvl w:val="0"/>
          <w:numId w:val="6"/>
        </w:numPr>
      </w:pPr>
      <w:r>
        <w:t>Instances of control range</w:t>
      </w:r>
      <w:r w:rsidRPr="00AF2149">
        <w:t xml:space="preserve"> from ownership of more than half of the issued share capital </w:t>
      </w:r>
      <w:r>
        <w:t>of the firm (section 12(2)(a)</w:t>
      </w:r>
      <w:r w:rsidR="00301B7F">
        <w:t xml:space="preserve"> - </w:t>
      </w:r>
      <w:r w:rsidR="00A37D63">
        <w:t xml:space="preserve">what </w:t>
      </w:r>
      <w:r w:rsidR="00301B7F">
        <w:t xml:space="preserve">we would </w:t>
      </w:r>
      <w:r w:rsidR="00A37D63">
        <w:t xml:space="preserve">call </w:t>
      </w:r>
      <w:r w:rsidR="003D6DF8" w:rsidRPr="003D6DF8">
        <w:rPr>
          <w:i/>
        </w:rPr>
        <w:t>de jure</w:t>
      </w:r>
      <w:r w:rsidR="003D6DF8">
        <w:t xml:space="preserve"> </w:t>
      </w:r>
      <w:r w:rsidRPr="00AF2149">
        <w:t>control) to a more general and widely couched form of control provided for in section 12(2)(g) of the Act</w:t>
      </w:r>
      <w:r w:rsidR="00377F6E">
        <w:t xml:space="preserve">. </w:t>
      </w:r>
      <w:r w:rsidRPr="00AF2149">
        <w:t xml:space="preserve"> </w:t>
      </w:r>
      <w:r w:rsidR="00377F6E">
        <w:t>This</w:t>
      </w:r>
      <w:r w:rsidR="00377F6E" w:rsidRPr="00AF2149">
        <w:t xml:space="preserve"> </w:t>
      </w:r>
      <w:r w:rsidRPr="00AF2149">
        <w:t>include</w:t>
      </w:r>
      <w:r w:rsidR="00377F6E">
        <w:t>s</w:t>
      </w:r>
      <w:r w:rsidRPr="00AF2149">
        <w:t xml:space="preserve"> the mere </w:t>
      </w:r>
      <w:r w:rsidR="00A7370C">
        <w:t xml:space="preserve">power </w:t>
      </w:r>
      <w:r w:rsidRPr="00AF2149">
        <w:t xml:space="preserve">to </w:t>
      </w:r>
      <w:r w:rsidR="00193702">
        <w:t>“</w:t>
      </w:r>
      <w:r w:rsidRPr="00AF2149">
        <w:t>materially influence</w:t>
      </w:r>
      <w:r w:rsidR="00193702">
        <w:t>”</w:t>
      </w:r>
      <w:r w:rsidRPr="00AF2149">
        <w:t xml:space="preserve"> the policy of a firm to the extent that it can exercise an element of control referred to in paragraphs (a)</w:t>
      </w:r>
      <w:r w:rsidR="00C330A9">
        <w:noBreakHyphen/>
      </w:r>
      <w:r w:rsidRPr="00AF2149">
        <w:t>(f) of the Act (</w:t>
      </w:r>
      <w:r w:rsidR="00A37D63">
        <w:t xml:space="preserve">what </w:t>
      </w:r>
      <w:r w:rsidR="00301B7F">
        <w:t xml:space="preserve">we </w:t>
      </w:r>
      <w:r w:rsidR="005A2886">
        <w:t xml:space="preserve">would </w:t>
      </w:r>
      <w:r w:rsidR="00A37D63">
        <w:t xml:space="preserve">call </w:t>
      </w:r>
      <w:r w:rsidR="003D6DF8" w:rsidRPr="003D6DF8">
        <w:rPr>
          <w:i/>
        </w:rPr>
        <w:t>de facto</w:t>
      </w:r>
      <w:r w:rsidR="003D6DF8">
        <w:t xml:space="preserve"> </w:t>
      </w:r>
      <w:r w:rsidRPr="00AF2149">
        <w:t>control).</w:t>
      </w:r>
      <w:r>
        <w:rPr>
          <w:rStyle w:val="FootnoteReference"/>
        </w:rPr>
        <w:footnoteReference w:id="26"/>
      </w:r>
      <w:r w:rsidR="00662ABD">
        <w:t xml:space="preserve"> </w:t>
      </w:r>
      <w:r w:rsidR="00193702">
        <w:t xml:space="preserve"> </w:t>
      </w:r>
      <w:r w:rsidR="00E27C7B">
        <w:t xml:space="preserve">The “ability to materially influence” </w:t>
      </w:r>
      <w:r w:rsidR="00A7370C">
        <w:t xml:space="preserve">is </w:t>
      </w:r>
      <w:r w:rsidR="00E27C7B">
        <w:t>central to the definition of contr</w:t>
      </w:r>
      <w:r w:rsidR="00662ABD">
        <w:t>ol in section 12(2) of the Act.</w:t>
      </w:r>
    </w:p>
    <w:p w14:paraId="68DC6592" w14:textId="77777777" w:rsidR="00D04440" w:rsidRDefault="00D04440" w:rsidP="00D04440">
      <w:pPr>
        <w:pStyle w:val="JUDGMENTCONTINUED"/>
      </w:pPr>
    </w:p>
    <w:p w14:paraId="6A317638" w14:textId="17873066" w:rsidR="00D04440" w:rsidRDefault="00D04440" w:rsidP="000C7587">
      <w:pPr>
        <w:pStyle w:val="JUDGMENTNUMBERED"/>
        <w:numPr>
          <w:ilvl w:val="0"/>
          <w:numId w:val="6"/>
        </w:numPr>
      </w:pPr>
      <w:r w:rsidRPr="00A62E45">
        <w:t>Although different degrees of control are contemplated in section 12(2)(a)</w:t>
      </w:r>
      <w:r w:rsidR="00087EDB">
        <w:noBreakHyphen/>
      </w:r>
      <w:r w:rsidRPr="00A62E45">
        <w:t xml:space="preserve">(g), all the listed instances have in common the acquisition of direct or indirect control over the whole or part of </w:t>
      </w:r>
      <w:r w:rsidR="00B61BAB">
        <w:t xml:space="preserve">“another” </w:t>
      </w:r>
      <w:r w:rsidRPr="00A62E45">
        <w:t>firm.  If a transaction falls within the ambit of any one of the instances listed in section 12(2) of the Act, i</w:t>
      </w:r>
      <w:r>
        <w:t xml:space="preserve">t will be a merger </w:t>
      </w:r>
      <w:r w:rsidRPr="00A62E45">
        <w:t xml:space="preserve">and will </w:t>
      </w:r>
      <w:r w:rsidR="00377F6E">
        <w:t>trigger</w:t>
      </w:r>
      <w:r w:rsidRPr="00A62E45">
        <w:t xml:space="preserve"> the investigative powers of the</w:t>
      </w:r>
      <w:r w:rsidR="006E2AE9">
        <w:t xml:space="preserve"> </w:t>
      </w:r>
      <w:r w:rsidR="00B703F4">
        <w:t>Commission</w:t>
      </w:r>
      <w:r w:rsidRPr="00A62E45">
        <w:t>.</w:t>
      </w:r>
    </w:p>
    <w:p w14:paraId="06912208" w14:textId="77777777" w:rsidR="00D04440" w:rsidRDefault="00D04440" w:rsidP="00D04440">
      <w:pPr>
        <w:pStyle w:val="JUDGMENTCONTINUED"/>
      </w:pPr>
    </w:p>
    <w:p w14:paraId="08D33EAA" w14:textId="58F9538B" w:rsidR="00D04440" w:rsidRDefault="00377F6E" w:rsidP="000C7587">
      <w:pPr>
        <w:pStyle w:val="JUDGMENTNUMBERED"/>
        <w:numPr>
          <w:ilvl w:val="0"/>
          <w:numId w:val="6"/>
        </w:numPr>
      </w:pPr>
      <w:r>
        <w:t>Pertinent here is</w:t>
      </w:r>
      <w:r w:rsidR="00D04440">
        <w:t xml:space="preserve"> the “bright line” principle in the context of section</w:t>
      </w:r>
      <w:r w:rsidR="000C3E08">
        <w:t> </w:t>
      </w:r>
      <w:r w:rsidR="00D04440">
        <w:t xml:space="preserve">12(2).  An example is to be found in </w:t>
      </w:r>
      <w:r w:rsidR="00D04440" w:rsidRPr="000E1B93">
        <w:rPr>
          <w:i/>
        </w:rPr>
        <w:t>Et</w:t>
      </w:r>
      <w:r w:rsidR="00D04440">
        <w:rPr>
          <w:i/>
        </w:rPr>
        <w:t xml:space="preserve">hos </w:t>
      </w:r>
      <w:r w:rsidR="00D04440">
        <w:t xml:space="preserve">where </w:t>
      </w:r>
      <w:r w:rsidR="000C3E08">
        <w:t>the Tribunal stated:</w:t>
      </w:r>
    </w:p>
    <w:p w14:paraId="2B17A440" w14:textId="77777777" w:rsidR="00D04440" w:rsidRDefault="00D04440" w:rsidP="00D04440">
      <w:pPr>
        <w:pStyle w:val="QUOTATION"/>
      </w:pPr>
    </w:p>
    <w:p w14:paraId="4504F055" w14:textId="12389AAC" w:rsidR="00D04440" w:rsidRDefault="000C3E08" w:rsidP="000C3E08">
      <w:pPr>
        <w:pStyle w:val="QUOTATION"/>
        <w:spacing w:after="120"/>
      </w:pPr>
      <w:r>
        <w:lastRenderedPageBreak/>
        <w:t>“</w:t>
      </w:r>
      <w:r w:rsidR="00D04440">
        <w:t xml:space="preserve">For this reason, section 12(2) instances certain </w:t>
      </w:r>
      <w:r w:rsidR="000C69FF">
        <w:t>‘</w:t>
      </w:r>
      <w:r w:rsidR="00D04440">
        <w:t>bright lines</w:t>
      </w:r>
      <w:r w:rsidR="000C69FF">
        <w:t>’</w:t>
      </w:r>
      <w:r w:rsidR="00D04440">
        <w:t xml:space="preserve"> of when control will be assumed.  When firms cross that line, as Ethos has, they must notify, albeit that they have not travelled very far in crossing it.</w:t>
      </w:r>
    </w:p>
    <w:p w14:paraId="287FF338" w14:textId="7E92669B" w:rsidR="00D04440" w:rsidRDefault="00D04440" w:rsidP="006A4481">
      <w:pPr>
        <w:pStyle w:val="QUOTATION"/>
        <w:spacing w:after="120"/>
      </w:pPr>
      <w:r>
        <w:t>This does not mean that section</w:t>
      </w:r>
      <w:r w:rsidR="00EF1160">
        <w:t xml:space="preserve"> </w:t>
      </w:r>
      <w:r>
        <w:t xml:space="preserve">12(2) sets out only bright lines.  The parties correctly observe that section 12(2)(g) is anything but </w:t>
      </w:r>
      <w:r w:rsidR="000C69FF">
        <w:t>‘</w:t>
      </w:r>
      <w:r>
        <w:t>bright</w:t>
      </w:r>
      <w:r w:rsidR="000C69FF">
        <w:t>’</w:t>
      </w:r>
      <w:r>
        <w:t>.”</w:t>
      </w:r>
      <w:r w:rsidR="00507452">
        <w:rPr>
          <w:rStyle w:val="FootnoteReference"/>
        </w:rPr>
        <w:footnoteReference w:id="27"/>
      </w:r>
    </w:p>
    <w:p w14:paraId="28D0AE44" w14:textId="77777777" w:rsidR="00D04440" w:rsidRDefault="00D04440" w:rsidP="00D04440">
      <w:pPr>
        <w:pStyle w:val="JUDGMENTCONTINUED"/>
      </w:pPr>
    </w:p>
    <w:p w14:paraId="68BA2A36" w14:textId="342771FA" w:rsidR="00D04440" w:rsidRDefault="00D04440" w:rsidP="000C7587">
      <w:pPr>
        <w:pStyle w:val="JUDGMENTNUMBERED"/>
        <w:numPr>
          <w:ilvl w:val="0"/>
          <w:numId w:val="6"/>
        </w:numPr>
      </w:pPr>
      <w:r w:rsidRPr="00A62E45">
        <w:t xml:space="preserve">Adopting the terminology used in </w:t>
      </w:r>
      <w:r w:rsidRPr="000E1B93">
        <w:rPr>
          <w:i/>
        </w:rPr>
        <w:t>Ethos</w:t>
      </w:r>
      <w:r w:rsidRPr="00A62E45">
        <w:t>, the obvious example of a bright line</w:t>
      </w:r>
      <w:r w:rsidR="00020C1E">
        <w:t xml:space="preserve"> is</w:t>
      </w:r>
      <w:r w:rsidRPr="00A62E45">
        <w:t xml:space="preserve"> where </w:t>
      </w:r>
      <w:r w:rsidR="0018372B" w:rsidRPr="008B7172">
        <w:rPr>
          <w:i/>
        </w:rPr>
        <w:t>de jure</w:t>
      </w:r>
      <w:r w:rsidR="0018372B">
        <w:t xml:space="preserve"> </w:t>
      </w:r>
      <w:r w:rsidRPr="00A62E45">
        <w:t xml:space="preserve">control is acquired in terms of section 12(2)(a) of the Act by virtue of the fact that it beneficially owns more than one half of the issued share capital of the firm.  As I read </w:t>
      </w:r>
      <w:r w:rsidRPr="000E1B93">
        <w:rPr>
          <w:i/>
        </w:rPr>
        <w:t>Ethos</w:t>
      </w:r>
      <w:r w:rsidRPr="00A62E45">
        <w:t xml:space="preserve">, that does not, however, mean that the other instances of control listed in </w:t>
      </w:r>
      <w:r w:rsidR="00A64B8B">
        <w:t>sub-paragraphs (b)-</w:t>
      </w:r>
      <w:r w:rsidRPr="00A62E45">
        <w:t xml:space="preserve">(g) do not also </w:t>
      </w:r>
      <w:r w:rsidR="00020C1E">
        <w:t>draw</w:t>
      </w:r>
      <w:r w:rsidRPr="00A62E45">
        <w:t xml:space="preserve"> a so-called </w:t>
      </w:r>
      <w:r w:rsidR="00622393">
        <w:t>“</w:t>
      </w:r>
      <w:r w:rsidRPr="00A62E45">
        <w:t>bright line</w:t>
      </w:r>
      <w:r w:rsidR="00622393">
        <w:t xml:space="preserve">” </w:t>
      </w:r>
      <w:r w:rsidRPr="00A62E45">
        <w:t>they are just not considered as bright and, in the instance of section 12(2)(g), “anything but bright”.</w:t>
      </w:r>
      <w:r w:rsidR="00796566">
        <w:t xml:space="preserve"> </w:t>
      </w:r>
      <w:r w:rsidR="000C69FF">
        <w:t xml:space="preserve"> </w:t>
      </w:r>
      <w:r w:rsidR="00796566">
        <w:t>Whether the</w:t>
      </w:r>
      <w:r w:rsidR="00BB661B">
        <w:t xml:space="preserve"> bright lines</w:t>
      </w:r>
      <w:r w:rsidR="00796566">
        <w:t xml:space="preserve"> appear in the obvious instance of </w:t>
      </w:r>
      <w:r w:rsidR="008B7172" w:rsidRPr="008B7172">
        <w:rPr>
          <w:i/>
        </w:rPr>
        <w:t>de jure</w:t>
      </w:r>
      <w:r w:rsidR="008B7172">
        <w:t xml:space="preserve"> </w:t>
      </w:r>
      <w:r w:rsidR="00796566">
        <w:t xml:space="preserve">control contemplated in section 12(2)(a) or in terms of the “catch all” in section 12(2)(g), the lines set to trigger notification are </w:t>
      </w:r>
      <w:r w:rsidR="00273399">
        <w:t xml:space="preserve">couched sufficiently </w:t>
      </w:r>
      <w:r w:rsidR="00796566">
        <w:t>wide in order to allow</w:t>
      </w:r>
      <w:r w:rsidR="008B7172">
        <w:t xml:space="preserve"> </w:t>
      </w:r>
      <w:r w:rsidR="00452A31">
        <w:t xml:space="preserve">for </w:t>
      </w:r>
      <w:r w:rsidR="00796566">
        <w:t xml:space="preserve">the </w:t>
      </w:r>
      <w:r w:rsidR="008B7172">
        <w:t>Commission</w:t>
      </w:r>
      <w:r w:rsidR="00452A31">
        <w:t>’s</w:t>
      </w:r>
      <w:r w:rsidR="008B7172">
        <w:t xml:space="preserve"> wide</w:t>
      </w:r>
      <w:r w:rsidR="00452A31">
        <w:t xml:space="preserve"> investigating</w:t>
      </w:r>
      <w:r w:rsidR="00796566">
        <w:t xml:space="preserve"> power</w:t>
      </w:r>
      <w:r w:rsidR="00273399">
        <w:t>s</w:t>
      </w:r>
      <w:r w:rsidR="00796566">
        <w:t>.</w:t>
      </w:r>
    </w:p>
    <w:p w14:paraId="48F24CB5" w14:textId="77777777" w:rsidR="00D04440" w:rsidRDefault="00D04440" w:rsidP="00D04440">
      <w:pPr>
        <w:pStyle w:val="JUDGMENTCONTINUED"/>
      </w:pPr>
    </w:p>
    <w:p w14:paraId="12759599" w14:textId="40510C0F" w:rsidR="00D04440" w:rsidRDefault="00D04440" w:rsidP="000C7587">
      <w:pPr>
        <w:pStyle w:val="JUDGMENTNUMBERED"/>
        <w:numPr>
          <w:ilvl w:val="0"/>
          <w:numId w:val="6"/>
        </w:numPr>
      </w:pPr>
      <w:r w:rsidRPr="00A62E45">
        <w:t>The terminology</w:t>
      </w:r>
      <w:r w:rsidR="00E51050">
        <w:t>,</w:t>
      </w:r>
      <w:r w:rsidR="008B7172">
        <w:t xml:space="preserve"> </w:t>
      </w:r>
      <w:r w:rsidRPr="00A62E45">
        <w:t>although helpful, should be used with circumspection</w:t>
      </w:r>
      <w:r w:rsidR="00A321A5">
        <w:t xml:space="preserve">. </w:t>
      </w:r>
      <w:r w:rsidRPr="00A62E45">
        <w:t xml:space="preserve"> </w:t>
      </w:r>
      <w:r w:rsidR="007671A3">
        <w:t>T</w:t>
      </w:r>
      <w:r w:rsidRPr="00A62E45">
        <w:t>here is no indication from section 12(2) of the Act that</w:t>
      </w:r>
      <w:r w:rsidR="007671A3">
        <w:t xml:space="preserve">, as the </w:t>
      </w:r>
      <w:r w:rsidR="005D4ABB">
        <w:t>Commission</w:t>
      </w:r>
      <w:r w:rsidR="003E6EB5">
        <w:t xml:space="preserve"> </w:t>
      </w:r>
      <w:r w:rsidR="007671A3">
        <w:t>argues,</w:t>
      </w:r>
      <w:r w:rsidRPr="00A62E45">
        <w:t xml:space="preserve"> </w:t>
      </w:r>
      <w:r>
        <w:t xml:space="preserve">one </w:t>
      </w:r>
      <w:r w:rsidRPr="00A62E45">
        <w:t xml:space="preserve">form of control (most notably </w:t>
      </w:r>
      <w:r w:rsidR="008B7172" w:rsidRPr="008B7172">
        <w:rPr>
          <w:i/>
        </w:rPr>
        <w:t>de jure</w:t>
      </w:r>
      <w:r w:rsidR="003E6EB5">
        <w:rPr>
          <w:i/>
        </w:rPr>
        <w:t xml:space="preserve"> </w:t>
      </w:r>
      <w:r w:rsidRPr="00A62E45">
        <w:t xml:space="preserve">control </w:t>
      </w:r>
      <w:r w:rsidR="00850CED">
        <w:t>in</w:t>
      </w:r>
      <w:r w:rsidRPr="00A62E45">
        <w:t xml:space="preserve"> sectio</w:t>
      </w:r>
      <w:r w:rsidR="00A64B8B">
        <w:t>n </w:t>
      </w:r>
      <w:r w:rsidRPr="00A62E45">
        <w:t>12(2)(a)) is more significant than any of the other forms of control</w:t>
      </w:r>
      <w:r w:rsidR="00653267">
        <w:t>.</w:t>
      </w:r>
      <w:r w:rsidR="007671A3">
        <w:t xml:space="preserve"> </w:t>
      </w:r>
      <w:r w:rsidRPr="00A62E45">
        <w:t xml:space="preserve"> Each of the seven instances listed in section 12(1) </w:t>
      </w:r>
      <w:r w:rsidR="00E51050">
        <w:t>is</w:t>
      </w:r>
      <w:r w:rsidR="003E6EB5">
        <w:t xml:space="preserve"> </w:t>
      </w:r>
      <w:r w:rsidRPr="00A62E45">
        <w:t>freestanding and</w:t>
      </w:r>
      <w:r w:rsidR="000D1098">
        <w:t>,</w:t>
      </w:r>
      <w:r w:rsidRPr="00A62E45">
        <w:t xml:space="preserve"> each on its own, is sufficient to establish control. </w:t>
      </w:r>
      <w:r>
        <w:t xml:space="preserve"> </w:t>
      </w:r>
      <w:r w:rsidRPr="00A62E45">
        <w:t xml:space="preserve">Each instance of control </w:t>
      </w:r>
      <w:r>
        <w:t xml:space="preserve">therefore </w:t>
      </w:r>
      <w:r w:rsidRPr="00A62E45">
        <w:t xml:space="preserve">constitutes a </w:t>
      </w:r>
      <w:r w:rsidR="00424A19">
        <w:t>“</w:t>
      </w:r>
      <w:r w:rsidRPr="00A62E45">
        <w:t>bright line</w:t>
      </w:r>
      <w:r w:rsidR="00424A19">
        <w:t>”</w:t>
      </w:r>
      <w:r w:rsidRPr="00A62E45">
        <w:t xml:space="preserve"> on its own and </w:t>
      </w:r>
      <w:r>
        <w:t xml:space="preserve">the </w:t>
      </w:r>
      <w:r w:rsidRPr="00A62E45">
        <w:t xml:space="preserve">fulfilment of each one of the instances is sufficient </w:t>
      </w:r>
      <w:r>
        <w:t>to constitute a “merger”</w:t>
      </w:r>
      <w:r w:rsidR="00F60AB3">
        <w:t xml:space="preserve"> </w:t>
      </w:r>
      <w:r w:rsidRPr="00A62E45">
        <w:t>as contemplated by section 12(1).</w:t>
      </w:r>
    </w:p>
    <w:p w14:paraId="43F8B9E4" w14:textId="77777777" w:rsidR="00D04440" w:rsidRPr="00A62E45" w:rsidRDefault="00D04440" w:rsidP="00D04440">
      <w:pPr>
        <w:pStyle w:val="JUDGMENTCONTINUED"/>
      </w:pPr>
    </w:p>
    <w:p w14:paraId="7B9FE791" w14:textId="51C440DA" w:rsidR="00D04440" w:rsidRDefault="00E51050" w:rsidP="000C7587">
      <w:pPr>
        <w:pStyle w:val="JUDGMENTNUMBERED"/>
        <w:numPr>
          <w:ilvl w:val="0"/>
          <w:numId w:val="6"/>
        </w:numPr>
      </w:pPr>
      <w:r>
        <w:t>I</w:t>
      </w:r>
      <w:r w:rsidR="00D04440" w:rsidRPr="00A62E45">
        <w:t xml:space="preserve">t is common cause that the control acquired </w:t>
      </w:r>
      <w:r>
        <w:t>over</w:t>
      </w:r>
      <w:r w:rsidR="003E6EB5">
        <w:t xml:space="preserve"> </w:t>
      </w:r>
      <w:r w:rsidR="00D04440" w:rsidRPr="00A62E45">
        <w:t>Tsogo after the merger in 2014 fell within the ambit of section 12(2)</w:t>
      </w:r>
      <w:r w:rsidR="00D04A9B">
        <w:t>(g)</w:t>
      </w:r>
      <w:r w:rsidR="00D04440" w:rsidRPr="00A62E45">
        <w:t xml:space="preserve"> of the Act.  The </w:t>
      </w:r>
      <w:r w:rsidR="00020C1E">
        <w:t>Commission</w:t>
      </w:r>
      <w:r w:rsidR="00D04440" w:rsidRPr="00A62E45">
        <w:t xml:space="preserve"> also accepted at the time that HCI exercised </w:t>
      </w:r>
      <w:r w:rsidR="001F0BD3">
        <w:t xml:space="preserve">sole </w:t>
      </w:r>
      <w:r w:rsidR="00D04440" w:rsidRPr="008771AB">
        <w:rPr>
          <w:i/>
        </w:rPr>
        <w:t>de facto</w:t>
      </w:r>
      <w:r w:rsidR="00D04440" w:rsidRPr="00A62E45">
        <w:t xml:space="preserve"> control over Tsogo.  So in 2014 the transaction amounted to a notifiable merger because HCI graduated from shared joint control (with </w:t>
      </w:r>
      <w:r w:rsidR="00D04440" w:rsidRPr="00A62E45">
        <w:lastRenderedPageBreak/>
        <w:t>SABMill</w:t>
      </w:r>
      <w:r w:rsidR="005E144E">
        <w:t>er</w:t>
      </w:r>
      <w:r w:rsidR="00D04440" w:rsidRPr="00A62E45">
        <w:t xml:space="preserve">) to </w:t>
      </w:r>
      <w:r w:rsidR="008B7172" w:rsidRPr="008B7172">
        <w:rPr>
          <w:i/>
        </w:rPr>
        <w:t>de facto</w:t>
      </w:r>
      <w:r w:rsidR="008B7172">
        <w:t xml:space="preserve"> </w:t>
      </w:r>
      <w:r w:rsidR="00D04440" w:rsidRPr="00A62E45">
        <w:t xml:space="preserve">control. </w:t>
      </w:r>
      <w:r w:rsidR="00796566">
        <w:t xml:space="preserve"> </w:t>
      </w:r>
      <w:r w:rsidR="00D04440" w:rsidRPr="00A62E45">
        <w:t xml:space="preserve">HCI acquired control of Tsogo </w:t>
      </w:r>
      <w:r w:rsidR="00BE4C90">
        <w:t xml:space="preserve">that </w:t>
      </w:r>
      <w:r w:rsidR="00622393">
        <w:t>it did not</w:t>
      </w:r>
      <w:r w:rsidR="0095155F">
        <w:t xml:space="preserve"> previously</w:t>
      </w:r>
      <w:r w:rsidR="00622393">
        <w:t xml:space="preserve"> have</w:t>
      </w:r>
      <w:r w:rsidR="0095155F">
        <w:t xml:space="preserve"> </w:t>
      </w:r>
      <w:r w:rsidR="00D04440" w:rsidRPr="00A62E45">
        <w:t xml:space="preserve">(as contemplated in </w:t>
      </w:r>
      <w:r w:rsidR="00022F0C">
        <w:t>subsection</w:t>
      </w:r>
      <w:r w:rsidR="00022F0C" w:rsidRPr="00A62E45">
        <w:t xml:space="preserve"> </w:t>
      </w:r>
      <w:r w:rsidR="00D04440" w:rsidRPr="00A62E45">
        <w:t>12(1)(a)</w:t>
      </w:r>
      <w:r w:rsidR="007A3A2C">
        <w:noBreakHyphen/>
      </w:r>
      <w:r w:rsidR="00D04440" w:rsidRPr="00A62E45">
        <w:t>(g)).</w:t>
      </w:r>
    </w:p>
    <w:p w14:paraId="0FE8F0CE" w14:textId="77777777" w:rsidR="000C0CE1" w:rsidRPr="000C0CE1" w:rsidRDefault="000C0CE1" w:rsidP="000C0CE1">
      <w:pPr>
        <w:pStyle w:val="JUDGMENTCONTINUED"/>
      </w:pPr>
    </w:p>
    <w:p w14:paraId="408397CB" w14:textId="6A92825D" w:rsidR="00D04440" w:rsidRDefault="00D04440" w:rsidP="000C7587">
      <w:pPr>
        <w:pStyle w:val="JUDGMENTNUMBERED"/>
        <w:numPr>
          <w:ilvl w:val="0"/>
          <w:numId w:val="6"/>
        </w:numPr>
      </w:pPr>
      <w:r w:rsidRPr="00A62E45">
        <w:t xml:space="preserve">It is also common cause that after the 2017 transaction (which has now been implemented), HCI </w:t>
      </w:r>
      <w:r w:rsidR="00E51050">
        <w:t xml:space="preserve">in addition </w:t>
      </w:r>
      <w:r w:rsidRPr="00A62E45">
        <w:t xml:space="preserve">acquired </w:t>
      </w:r>
      <w:r w:rsidRPr="000E1B93">
        <w:rPr>
          <w:i/>
        </w:rPr>
        <w:t>de jure</w:t>
      </w:r>
      <w:r w:rsidRPr="00A62E45">
        <w:t xml:space="preserve"> control within </w:t>
      </w:r>
      <w:r w:rsidR="00424A19">
        <w:t>sub</w:t>
      </w:r>
      <w:r w:rsidRPr="00A62E45">
        <w:t>section</w:t>
      </w:r>
      <w:r w:rsidR="00AA460F">
        <w:t> </w:t>
      </w:r>
      <w:r w:rsidRPr="00A62E45">
        <w:t xml:space="preserve">12(2)(a) of the Act.  I have already referred to the fact that the Commission was of the view that the crossing of this </w:t>
      </w:r>
      <w:r w:rsidR="00C422A3">
        <w:t>“</w:t>
      </w:r>
      <w:r w:rsidRPr="00A62E45">
        <w:t>bright line</w:t>
      </w:r>
      <w:r w:rsidR="00C422A3">
        <w:t>”</w:t>
      </w:r>
      <w:r w:rsidRPr="00A62E45">
        <w:t xml:space="preserve"> has a definite legal implication because it indicates the types of transaction that the </w:t>
      </w:r>
      <w:r w:rsidR="000D1098">
        <w:t>L</w:t>
      </w:r>
      <w:r w:rsidRPr="00A62E45">
        <w:t>egislature would require notification.</w:t>
      </w:r>
    </w:p>
    <w:p w14:paraId="136312CD" w14:textId="77777777" w:rsidR="00D04440" w:rsidRPr="00A62E45" w:rsidRDefault="00D04440" w:rsidP="00D04440">
      <w:pPr>
        <w:pStyle w:val="JUDGMENTCONTINUED"/>
      </w:pPr>
    </w:p>
    <w:p w14:paraId="5AD503F5" w14:textId="11A00C2B" w:rsidR="00D04440" w:rsidRDefault="00D04440" w:rsidP="000C7587">
      <w:pPr>
        <w:pStyle w:val="JUDGMENTNUMBERED"/>
        <w:numPr>
          <w:ilvl w:val="0"/>
          <w:numId w:val="6"/>
        </w:numPr>
      </w:pPr>
      <w:r w:rsidRPr="00A62E45">
        <w:t xml:space="preserve">Two questions arise. </w:t>
      </w:r>
      <w:r>
        <w:t xml:space="preserve"> </w:t>
      </w:r>
      <w:r w:rsidRPr="00A62E45">
        <w:t xml:space="preserve">First, is </w:t>
      </w:r>
      <w:r w:rsidR="000D1098">
        <w:t>the</w:t>
      </w:r>
      <w:r w:rsidR="00C422A3">
        <w:t xml:space="preserve"> </w:t>
      </w:r>
      <w:r w:rsidRPr="00A62E45">
        <w:t xml:space="preserve">transaction notifiable simply because HCI now acquired </w:t>
      </w:r>
      <w:r w:rsidR="00934DC6" w:rsidRPr="00934DC6">
        <w:rPr>
          <w:i/>
        </w:rPr>
        <w:t>de jure</w:t>
      </w:r>
      <w:r w:rsidR="00934DC6">
        <w:t xml:space="preserve"> </w:t>
      </w:r>
      <w:r w:rsidRPr="00A62E45">
        <w:t xml:space="preserve">control </w:t>
      </w:r>
      <w:r w:rsidR="00E51050">
        <w:t xml:space="preserve">in distinction </w:t>
      </w:r>
      <w:r w:rsidRPr="00A62E45">
        <w:t xml:space="preserve">to a </w:t>
      </w:r>
      <w:r w:rsidR="002571D9">
        <w:t>different</w:t>
      </w:r>
      <w:r w:rsidR="002571D9" w:rsidRPr="00A62E45">
        <w:t xml:space="preserve"> </w:t>
      </w:r>
      <w:r w:rsidRPr="00A62E45">
        <w:t>form of control (</w:t>
      </w:r>
      <w:r w:rsidR="00CF0775" w:rsidRPr="00CF0775">
        <w:rPr>
          <w:i/>
        </w:rPr>
        <w:t>de facto</w:t>
      </w:r>
      <w:r w:rsidR="00CF0775">
        <w:t xml:space="preserve"> </w:t>
      </w:r>
      <w:r w:rsidRPr="00A62E45">
        <w:t xml:space="preserve">control)?  Put differently, does the mere fact that the nature </w:t>
      </w:r>
      <w:r>
        <w:t xml:space="preserve">or quality </w:t>
      </w:r>
      <w:r w:rsidRPr="00A62E45">
        <w:t>of control changes resulting</w:t>
      </w:r>
      <w:r w:rsidR="0095155F">
        <w:t xml:space="preserve"> in a</w:t>
      </w:r>
      <w:r w:rsidRPr="00A62E45">
        <w:t xml:space="preserve"> party cross</w:t>
      </w:r>
      <w:r w:rsidR="0095155F">
        <w:t>ing</w:t>
      </w:r>
      <w:r w:rsidRPr="00A62E45">
        <w:t xml:space="preserve"> a further bright </w:t>
      </w:r>
      <w:r>
        <w:t xml:space="preserve">(or brighter) </w:t>
      </w:r>
      <w:r w:rsidRPr="00A62E45">
        <w:t>line render</w:t>
      </w:r>
      <w:r w:rsidR="0095155F">
        <w:t>ing</w:t>
      </w:r>
      <w:r w:rsidRPr="00A62E45">
        <w:t xml:space="preserve"> the transaction notifiable?  Second, can the respondents rely on the </w:t>
      </w:r>
      <w:r w:rsidR="0069706C" w:rsidRPr="0069706C">
        <w:t>once-off</w:t>
      </w:r>
      <w:r w:rsidRPr="00A62E45">
        <w:t xml:space="preserve"> principle to avoid having to notify the 2017 transaction?</w:t>
      </w:r>
      <w:r w:rsidR="00C422A3">
        <w:t xml:space="preserve">  The latter question is important in light of th</w:t>
      </w:r>
      <w:r w:rsidR="00E51050">
        <w:t>is</w:t>
      </w:r>
      <w:r w:rsidR="00C422A3">
        <w:t xml:space="preserve"> </w:t>
      </w:r>
      <w:r w:rsidR="00E51050">
        <w:t xml:space="preserve">Court’s </w:t>
      </w:r>
      <w:r w:rsidR="00C422A3">
        <w:t xml:space="preserve">decision in </w:t>
      </w:r>
      <w:r w:rsidR="00C422A3" w:rsidRPr="00C422A3">
        <w:rPr>
          <w:i/>
        </w:rPr>
        <w:t>S.O.S</w:t>
      </w:r>
      <w:r w:rsidR="00C422A3">
        <w:t>.</w:t>
      </w:r>
      <w:r w:rsidR="00C422A3">
        <w:rPr>
          <w:rStyle w:val="FootnoteReference"/>
        </w:rPr>
        <w:footnoteReference w:id="28"/>
      </w:r>
    </w:p>
    <w:p w14:paraId="3905C4C4" w14:textId="77777777" w:rsidR="00D04440" w:rsidRPr="00A62E45" w:rsidRDefault="00D04440" w:rsidP="00D04440">
      <w:pPr>
        <w:pStyle w:val="JUDGMENTCONTINUED"/>
      </w:pPr>
    </w:p>
    <w:p w14:paraId="2D5A6939" w14:textId="687FF3B1" w:rsidR="00D04440" w:rsidRPr="005F2B80" w:rsidRDefault="00D04440" w:rsidP="00D04440">
      <w:pPr>
        <w:pStyle w:val="HEADING"/>
        <w:rPr>
          <w:sz w:val="28"/>
          <w:szCs w:val="28"/>
          <w:lang w:eastAsia="en-ZA"/>
        </w:rPr>
      </w:pPr>
      <w:r w:rsidRPr="005F2B80">
        <w:rPr>
          <w:sz w:val="28"/>
          <w:szCs w:val="28"/>
          <w:lang w:eastAsia="en-ZA"/>
        </w:rPr>
        <w:t>Is the acquisition of control “once</w:t>
      </w:r>
      <w:r w:rsidR="00424A19">
        <w:rPr>
          <w:sz w:val="28"/>
          <w:szCs w:val="28"/>
          <w:lang w:eastAsia="en-ZA"/>
        </w:rPr>
        <w:noBreakHyphen/>
      </w:r>
      <w:r w:rsidRPr="005F2B80">
        <w:rPr>
          <w:sz w:val="28"/>
          <w:szCs w:val="28"/>
          <w:lang w:eastAsia="en-ZA"/>
        </w:rPr>
        <w:t>off”?</w:t>
      </w:r>
    </w:p>
    <w:p w14:paraId="00837745" w14:textId="3DEA1611" w:rsidR="00D04440" w:rsidRPr="00A62E45" w:rsidRDefault="00D04440" w:rsidP="000C7587">
      <w:pPr>
        <w:pStyle w:val="JUDGMENTNUMBERED"/>
        <w:numPr>
          <w:ilvl w:val="0"/>
          <w:numId w:val="6"/>
        </w:numPr>
        <w:rPr>
          <w:lang w:eastAsia="en-ZA"/>
        </w:rPr>
      </w:pPr>
      <w:r w:rsidRPr="00A62E45">
        <w:rPr>
          <w:lang w:eastAsia="en-ZA"/>
        </w:rPr>
        <w:t xml:space="preserve">This question is relevant for the following reason: </w:t>
      </w:r>
      <w:r w:rsidR="0095155F">
        <w:rPr>
          <w:lang w:eastAsia="en-ZA"/>
        </w:rPr>
        <w:t>t</w:t>
      </w:r>
      <w:r w:rsidR="00934DC6">
        <w:rPr>
          <w:lang w:eastAsia="en-ZA"/>
        </w:rPr>
        <w:t>he</w:t>
      </w:r>
      <w:r>
        <w:rPr>
          <w:lang w:eastAsia="en-ZA"/>
        </w:rPr>
        <w:t xml:space="preserve"> Commission’s advisory opinion</w:t>
      </w:r>
      <w:r w:rsidRPr="00A62E45">
        <w:rPr>
          <w:lang w:eastAsia="en-ZA"/>
        </w:rPr>
        <w:t xml:space="preserve"> </w:t>
      </w:r>
      <w:r w:rsidR="002571D9">
        <w:rPr>
          <w:lang w:eastAsia="en-ZA"/>
        </w:rPr>
        <w:t xml:space="preserve">expresses </w:t>
      </w:r>
      <w:r w:rsidRPr="00A62E45">
        <w:rPr>
          <w:lang w:eastAsia="en-ZA"/>
        </w:rPr>
        <w:t>the view that,</w:t>
      </w:r>
      <w:r w:rsidR="002571D9">
        <w:rPr>
          <w:lang w:eastAsia="en-ZA"/>
        </w:rPr>
        <w:t xml:space="preserve"> </w:t>
      </w:r>
      <w:r w:rsidRPr="00A62E45">
        <w:rPr>
          <w:lang w:eastAsia="en-ZA"/>
        </w:rPr>
        <w:t xml:space="preserve">because the proposed transaction in 2017 would result in the crossing of a </w:t>
      </w:r>
      <w:r w:rsidR="009E08B9">
        <w:rPr>
          <w:lang w:eastAsia="en-ZA"/>
        </w:rPr>
        <w:t>“</w:t>
      </w:r>
      <w:r w:rsidRPr="00A62E45">
        <w:rPr>
          <w:lang w:eastAsia="en-ZA"/>
        </w:rPr>
        <w:t>bright line</w:t>
      </w:r>
      <w:r w:rsidR="009E08B9">
        <w:rPr>
          <w:lang w:eastAsia="en-ZA"/>
        </w:rPr>
        <w:t>”</w:t>
      </w:r>
      <w:r w:rsidRPr="00A62E45">
        <w:rPr>
          <w:lang w:eastAsia="en-ZA"/>
        </w:rPr>
        <w:t xml:space="preserve">, in that the shareholding in Tsogo would have increased from 47% to more than 50%, the transaction was notifiable.  </w:t>
      </w:r>
      <w:r w:rsidR="00DC2211">
        <w:rPr>
          <w:lang w:eastAsia="en-ZA"/>
        </w:rPr>
        <w:t>O</w:t>
      </w:r>
      <w:r w:rsidRPr="00A62E45">
        <w:rPr>
          <w:lang w:eastAsia="en-ZA"/>
        </w:rPr>
        <w:t xml:space="preserve">nce a transaction results in the acquisition of more than half of the issued share capital, that crossing of a “bright line” renders the proposed </w:t>
      </w:r>
      <w:r w:rsidR="006D1E8E">
        <w:rPr>
          <w:lang w:eastAsia="en-ZA"/>
        </w:rPr>
        <w:t>transaction</w:t>
      </w:r>
      <w:r w:rsidRPr="00A62E45">
        <w:rPr>
          <w:lang w:eastAsia="en-ZA"/>
        </w:rPr>
        <w:t xml:space="preserve"> notifiable.</w:t>
      </w:r>
      <w:r w:rsidR="004D13B0">
        <w:rPr>
          <w:lang w:eastAsia="en-ZA"/>
        </w:rPr>
        <w:t xml:space="preserve"> </w:t>
      </w:r>
      <w:r w:rsidR="008A698A">
        <w:rPr>
          <w:lang w:eastAsia="en-ZA"/>
        </w:rPr>
        <w:t xml:space="preserve"> </w:t>
      </w:r>
      <w:r w:rsidR="00020C1E" w:rsidRPr="00020C1E">
        <w:rPr>
          <w:lang w:eastAsia="en-ZA"/>
        </w:rPr>
        <w:t xml:space="preserve">There were also other reasons why the Commission was of the view that the transaction is notifiable </w:t>
      </w:r>
      <w:r w:rsidR="00EF3DBF">
        <w:rPr>
          <w:lang w:eastAsia="en-ZA"/>
        </w:rPr>
        <w:t>including</w:t>
      </w:r>
      <w:r w:rsidR="000F24A7">
        <w:rPr>
          <w:lang w:eastAsia="en-ZA"/>
        </w:rPr>
        <w:t xml:space="preserve"> </w:t>
      </w:r>
      <w:r w:rsidR="00020C1E" w:rsidRPr="00020C1E">
        <w:rPr>
          <w:lang w:eastAsia="en-ZA"/>
        </w:rPr>
        <w:t>a change in market structure.</w:t>
      </w:r>
    </w:p>
    <w:p w14:paraId="4E833116" w14:textId="77777777" w:rsidR="00D04440" w:rsidRDefault="00D04440" w:rsidP="00D04440">
      <w:pPr>
        <w:pStyle w:val="JUDGMENTCONTINUED"/>
        <w:rPr>
          <w:lang w:eastAsia="en-ZA"/>
        </w:rPr>
      </w:pPr>
    </w:p>
    <w:p w14:paraId="19FEFA7A" w14:textId="3C04E3EF" w:rsidR="00D04440" w:rsidRDefault="00D04440" w:rsidP="000C7587">
      <w:pPr>
        <w:pStyle w:val="JUDGMENTNUMBERED"/>
        <w:numPr>
          <w:ilvl w:val="0"/>
          <w:numId w:val="6"/>
        </w:numPr>
        <w:rPr>
          <w:lang w:eastAsia="en-ZA"/>
        </w:rPr>
      </w:pPr>
      <w:r w:rsidRPr="00A62E45">
        <w:rPr>
          <w:lang w:eastAsia="en-ZA"/>
        </w:rPr>
        <w:t xml:space="preserve">The respondents differ. </w:t>
      </w:r>
      <w:r>
        <w:rPr>
          <w:lang w:eastAsia="en-ZA"/>
        </w:rPr>
        <w:t xml:space="preserve"> </w:t>
      </w:r>
      <w:r w:rsidRPr="00A62E45">
        <w:rPr>
          <w:lang w:eastAsia="en-ZA"/>
        </w:rPr>
        <w:t>Their</w:t>
      </w:r>
      <w:r w:rsidR="00840C1C">
        <w:rPr>
          <w:lang w:eastAsia="en-ZA"/>
        </w:rPr>
        <w:t xml:space="preserve"> stance</w:t>
      </w:r>
      <w:r w:rsidRPr="00A62E45">
        <w:rPr>
          <w:lang w:eastAsia="en-ZA"/>
        </w:rPr>
        <w:t xml:space="preserve"> is that where a firm has already acquired control </w:t>
      </w:r>
      <w:r>
        <w:rPr>
          <w:lang w:eastAsia="en-ZA"/>
        </w:rPr>
        <w:t>of a</w:t>
      </w:r>
      <w:r w:rsidR="009E08B9">
        <w:rPr>
          <w:lang w:eastAsia="en-ZA"/>
        </w:rPr>
        <w:t>nother</w:t>
      </w:r>
      <w:r>
        <w:rPr>
          <w:lang w:eastAsia="en-ZA"/>
        </w:rPr>
        <w:t xml:space="preserve"> firm </w:t>
      </w:r>
      <w:r w:rsidRPr="00A62E45">
        <w:rPr>
          <w:lang w:eastAsia="en-ZA"/>
        </w:rPr>
        <w:t xml:space="preserve">in terms of any means listed in </w:t>
      </w:r>
      <w:r w:rsidR="009E08B9">
        <w:rPr>
          <w:lang w:eastAsia="en-ZA"/>
        </w:rPr>
        <w:t>sub</w:t>
      </w:r>
      <w:r w:rsidRPr="00A62E45">
        <w:rPr>
          <w:lang w:eastAsia="en-ZA"/>
        </w:rPr>
        <w:t xml:space="preserve">section 12(2) of the Act </w:t>
      </w:r>
      <w:r w:rsidRPr="00A62E45">
        <w:rPr>
          <w:lang w:eastAsia="en-ZA"/>
        </w:rPr>
        <w:lastRenderedPageBreak/>
        <w:t>(</w:t>
      </w:r>
      <w:r w:rsidR="006D1E8E">
        <w:rPr>
          <w:i/>
          <w:lang w:eastAsia="en-ZA"/>
        </w:rPr>
        <w:t>de </w:t>
      </w:r>
      <w:r w:rsidR="00934DC6" w:rsidRPr="00934DC6">
        <w:rPr>
          <w:i/>
          <w:lang w:eastAsia="en-ZA"/>
        </w:rPr>
        <w:t>facto</w:t>
      </w:r>
      <w:r w:rsidR="00934DC6">
        <w:rPr>
          <w:lang w:eastAsia="en-ZA"/>
        </w:rPr>
        <w:t xml:space="preserve"> </w:t>
      </w:r>
      <w:r w:rsidRPr="00A62E45">
        <w:rPr>
          <w:lang w:eastAsia="en-ZA"/>
        </w:rPr>
        <w:t xml:space="preserve">control) </w:t>
      </w:r>
      <w:r w:rsidR="00BE4C90">
        <w:rPr>
          <w:lang w:eastAsia="en-ZA"/>
        </w:rPr>
        <w:t xml:space="preserve">a transaction </w:t>
      </w:r>
      <w:r w:rsidR="002571D9">
        <w:rPr>
          <w:lang w:eastAsia="en-ZA"/>
        </w:rPr>
        <w:t>need not</w:t>
      </w:r>
      <w:r w:rsidR="002571D9" w:rsidRPr="00A62E45">
        <w:rPr>
          <w:lang w:eastAsia="en-ZA"/>
        </w:rPr>
        <w:t xml:space="preserve"> </w:t>
      </w:r>
      <w:r w:rsidRPr="00A62E45">
        <w:rPr>
          <w:lang w:eastAsia="en-ZA"/>
        </w:rPr>
        <w:t>aga</w:t>
      </w:r>
      <w:r w:rsidR="00BE4C90">
        <w:rPr>
          <w:lang w:eastAsia="en-ZA"/>
        </w:rPr>
        <w:t>in</w:t>
      </w:r>
      <w:r>
        <w:rPr>
          <w:lang w:eastAsia="en-ZA"/>
        </w:rPr>
        <w:t xml:space="preserve"> be notified simply because t</w:t>
      </w:r>
      <w:r w:rsidRPr="00A62E45">
        <w:rPr>
          <w:lang w:eastAsia="en-ZA"/>
        </w:rPr>
        <w:t xml:space="preserve">he nature of the control </w:t>
      </w:r>
      <w:r>
        <w:rPr>
          <w:lang w:eastAsia="en-ZA"/>
        </w:rPr>
        <w:t xml:space="preserve">has changed and </w:t>
      </w:r>
      <w:r w:rsidRPr="00A62E45">
        <w:rPr>
          <w:lang w:eastAsia="en-ZA"/>
        </w:rPr>
        <w:t xml:space="preserve">now falls within the contemplation of one of the other </w:t>
      </w:r>
      <w:r w:rsidR="00452A31">
        <w:rPr>
          <w:lang w:eastAsia="en-ZA"/>
        </w:rPr>
        <w:t xml:space="preserve">paragraphs in subsection </w:t>
      </w:r>
      <w:r w:rsidRPr="00A62E45">
        <w:rPr>
          <w:lang w:eastAsia="en-ZA"/>
        </w:rPr>
        <w:t>12(2)</w:t>
      </w:r>
      <w:r w:rsidR="00452A31">
        <w:rPr>
          <w:lang w:eastAsia="en-ZA"/>
        </w:rPr>
        <w:t xml:space="preserve">.  </w:t>
      </w:r>
      <w:r w:rsidRPr="00A62E45">
        <w:rPr>
          <w:lang w:eastAsia="en-ZA"/>
        </w:rPr>
        <w:t xml:space="preserve">In this case that means that once HCI acquired </w:t>
      </w:r>
      <w:r w:rsidR="001F0BD3">
        <w:rPr>
          <w:lang w:eastAsia="en-ZA"/>
        </w:rPr>
        <w:t xml:space="preserve">sole </w:t>
      </w:r>
      <w:r w:rsidR="00934DC6" w:rsidRPr="00934DC6">
        <w:rPr>
          <w:i/>
          <w:lang w:eastAsia="en-ZA"/>
        </w:rPr>
        <w:t>de facto</w:t>
      </w:r>
      <w:r w:rsidR="00934DC6">
        <w:rPr>
          <w:lang w:eastAsia="en-ZA"/>
        </w:rPr>
        <w:t xml:space="preserve"> </w:t>
      </w:r>
      <w:r w:rsidRPr="00A62E45">
        <w:rPr>
          <w:lang w:eastAsia="en-ZA"/>
        </w:rPr>
        <w:t>control of Tsogo (within the contemplation of section 12(2)(g) of the Act), it did not acquire any further control in Tsogo when its shareholding increased beyond 50% (</w:t>
      </w:r>
      <w:r w:rsidR="0018372B">
        <w:rPr>
          <w:lang w:eastAsia="en-ZA"/>
        </w:rPr>
        <w:t xml:space="preserve">as contemplated by </w:t>
      </w:r>
      <w:r w:rsidR="009E08B9">
        <w:rPr>
          <w:lang w:eastAsia="en-ZA"/>
        </w:rPr>
        <w:t>paragraph</w:t>
      </w:r>
      <w:r w:rsidR="000F24A7">
        <w:rPr>
          <w:lang w:eastAsia="en-ZA"/>
        </w:rPr>
        <w:t xml:space="preserve"> </w:t>
      </w:r>
      <w:r w:rsidRPr="00A62E45">
        <w:rPr>
          <w:lang w:eastAsia="en-ZA"/>
        </w:rPr>
        <w:t>12(2)(a) of the Act).</w:t>
      </w:r>
    </w:p>
    <w:p w14:paraId="65DBE552" w14:textId="77777777" w:rsidR="00D04440" w:rsidRDefault="00D04440" w:rsidP="00D04440">
      <w:pPr>
        <w:pStyle w:val="JUDGMENTCONTINUED"/>
        <w:rPr>
          <w:lang w:eastAsia="en-ZA"/>
        </w:rPr>
      </w:pPr>
    </w:p>
    <w:p w14:paraId="3FF9742C" w14:textId="46837A71" w:rsidR="00D04440" w:rsidRPr="008B67F0" w:rsidRDefault="00CB74B6" w:rsidP="000C7587">
      <w:pPr>
        <w:pStyle w:val="JUDGMENTNUMBERED"/>
        <w:numPr>
          <w:ilvl w:val="0"/>
          <w:numId w:val="6"/>
        </w:numPr>
        <w:rPr>
          <w:sz w:val="22"/>
          <w:lang w:eastAsia="en-ZA"/>
        </w:rPr>
      </w:pPr>
      <w:r>
        <w:rPr>
          <w:lang w:eastAsia="en-ZA"/>
        </w:rPr>
        <w:t>The respondent</w:t>
      </w:r>
      <w:r w:rsidR="00537190">
        <w:rPr>
          <w:lang w:eastAsia="en-ZA"/>
        </w:rPr>
        <w:t>s’</w:t>
      </w:r>
      <w:r w:rsidR="00070413">
        <w:rPr>
          <w:lang w:eastAsia="en-ZA"/>
        </w:rPr>
        <w:t xml:space="preserve"> view is supported by</w:t>
      </w:r>
      <w:r>
        <w:rPr>
          <w:lang w:eastAsia="en-ZA"/>
        </w:rPr>
        <w:t xml:space="preserve"> case law.</w:t>
      </w:r>
      <w:r w:rsidR="00D04440">
        <w:rPr>
          <w:lang w:eastAsia="en-ZA"/>
        </w:rPr>
        <w:t xml:space="preserve"> </w:t>
      </w:r>
      <w:r w:rsidR="00A279E4">
        <w:rPr>
          <w:lang w:eastAsia="en-ZA"/>
        </w:rPr>
        <w:t xml:space="preserve"> </w:t>
      </w:r>
      <w:r w:rsidR="00934DC6">
        <w:rPr>
          <w:lang w:eastAsia="en-ZA"/>
        </w:rPr>
        <w:t>Moreover,</w:t>
      </w:r>
      <w:r w:rsidR="00A279E4">
        <w:rPr>
          <w:lang w:eastAsia="en-ZA"/>
        </w:rPr>
        <w:t xml:space="preserve"> i</w:t>
      </w:r>
      <w:r w:rsidR="00D04440">
        <w:rPr>
          <w:lang w:eastAsia="en-ZA"/>
        </w:rPr>
        <w:t>f</w:t>
      </w:r>
      <w:r w:rsidR="00E56A35">
        <w:rPr>
          <w:lang w:eastAsia="en-ZA"/>
        </w:rPr>
        <w:t xml:space="preserve"> the statute</w:t>
      </w:r>
      <w:r w:rsidR="00D04440">
        <w:rPr>
          <w:lang w:eastAsia="en-ZA"/>
        </w:rPr>
        <w:t xml:space="preserve"> require</w:t>
      </w:r>
      <w:r w:rsidR="00E56A35">
        <w:rPr>
          <w:lang w:eastAsia="en-ZA"/>
        </w:rPr>
        <w:t>d</w:t>
      </w:r>
      <w:r w:rsidR="00D04440">
        <w:rPr>
          <w:lang w:eastAsia="en-ZA"/>
        </w:rPr>
        <w:t xml:space="preserve"> a new notification once the </w:t>
      </w:r>
      <w:r w:rsidR="00BE4C90">
        <w:rPr>
          <w:lang w:eastAsia="en-ZA"/>
        </w:rPr>
        <w:t xml:space="preserve">form </w:t>
      </w:r>
      <w:r w:rsidR="00D04440">
        <w:rPr>
          <w:lang w:eastAsia="en-ZA"/>
        </w:rPr>
        <w:t xml:space="preserve">of existing control </w:t>
      </w:r>
      <w:r w:rsidR="00BE4C90">
        <w:rPr>
          <w:lang w:eastAsia="en-ZA"/>
        </w:rPr>
        <w:t xml:space="preserve">changes </w:t>
      </w:r>
      <w:r w:rsidR="00D04440">
        <w:rPr>
          <w:lang w:eastAsia="en-ZA"/>
        </w:rPr>
        <w:t xml:space="preserve">to </w:t>
      </w:r>
      <w:r w:rsidR="00D04440" w:rsidRPr="005D6CBC">
        <w:rPr>
          <w:i/>
          <w:lang w:eastAsia="en-ZA"/>
        </w:rPr>
        <w:t>de jure</w:t>
      </w:r>
      <w:r w:rsidR="00D04440">
        <w:rPr>
          <w:lang w:eastAsia="en-ZA"/>
        </w:rPr>
        <w:t xml:space="preserve"> control, it would have said so.</w:t>
      </w:r>
      <w:r>
        <w:rPr>
          <w:lang w:eastAsia="en-ZA"/>
        </w:rPr>
        <w:t xml:space="preserve"> </w:t>
      </w:r>
      <w:r w:rsidR="00D04440">
        <w:rPr>
          <w:lang w:eastAsia="en-ZA"/>
        </w:rPr>
        <w:t xml:space="preserve"> Once a firm has acquired control over another firm in any of the instances contemplated by section 12(2)(</w:t>
      </w:r>
      <w:r w:rsidR="00653267">
        <w:rPr>
          <w:lang w:eastAsia="en-ZA"/>
        </w:rPr>
        <w:t>b</w:t>
      </w:r>
      <w:r w:rsidR="00D04440">
        <w:rPr>
          <w:lang w:eastAsia="en-ZA"/>
        </w:rPr>
        <w:t>)</w:t>
      </w:r>
      <w:r w:rsidR="00B5773E">
        <w:rPr>
          <w:lang w:eastAsia="en-ZA"/>
        </w:rPr>
        <w:t>-</w:t>
      </w:r>
      <w:r w:rsidR="00D04440">
        <w:rPr>
          <w:lang w:eastAsia="en-ZA"/>
        </w:rPr>
        <w:t xml:space="preserve">(g), the crossing of </w:t>
      </w:r>
      <w:r w:rsidR="00B16E1E">
        <w:rPr>
          <w:lang w:eastAsia="en-ZA"/>
        </w:rPr>
        <w:t xml:space="preserve">a </w:t>
      </w:r>
      <w:r w:rsidR="00457316">
        <w:rPr>
          <w:lang w:eastAsia="en-ZA"/>
        </w:rPr>
        <w:t xml:space="preserve">further </w:t>
      </w:r>
      <w:r w:rsidR="000F24A7">
        <w:rPr>
          <w:lang w:eastAsia="en-ZA"/>
        </w:rPr>
        <w:t>“</w:t>
      </w:r>
      <w:r w:rsidR="00B16E1E">
        <w:rPr>
          <w:lang w:eastAsia="en-ZA"/>
        </w:rPr>
        <w:t>bright line</w:t>
      </w:r>
      <w:r w:rsidR="00537190">
        <w:rPr>
          <w:lang w:eastAsia="en-ZA"/>
        </w:rPr>
        <w:t>”</w:t>
      </w:r>
      <w:r w:rsidR="00D04440">
        <w:rPr>
          <w:lang w:eastAsia="en-ZA"/>
        </w:rPr>
        <w:t xml:space="preserve"> does not </w:t>
      </w:r>
      <w:r w:rsidR="00B16E1E">
        <w:rPr>
          <w:lang w:eastAsia="en-ZA"/>
        </w:rPr>
        <w:t>result in the acquisition of control that it did not have before</w:t>
      </w:r>
      <w:r w:rsidR="00D04440">
        <w:rPr>
          <w:lang w:eastAsia="en-ZA"/>
        </w:rPr>
        <w:t xml:space="preserve">. </w:t>
      </w:r>
      <w:r>
        <w:rPr>
          <w:lang w:eastAsia="en-ZA"/>
        </w:rPr>
        <w:t xml:space="preserve"> </w:t>
      </w:r>
      <w:r w:rsidR="00D04440">
        <w:rPr>
          <w:lang w:eastAsia="en-ZA"/>
        </w:rPr>
        <w:t>This is consonant with the requirement that control must be acquired over the whole or part of the business of another</w:t>
      </w:r>
      <w:r w:rsidR="006E11E6">
        <w:rPr>
          <w:lang w:eastAsia="en-ZA"/>
        </w:rPr>
        <w:t xml:space="preserve"> </w:t>
      </w:r>
      <w:r w:rsidR="00D04440">
        <w:rPr>
          <w:lang w:eastAsia="en-ZA"/>
        </w:rPr>
        <w:t xml:space="preserve">firm. </w:t>
      </w:r>
      <w:r>
        <w:rPr>
          <w:lang w:eastAsia="en-ZA"/>
        </w:rPr>
        <w:t xml:space="preserve"> </w:t>
      </w:r>
      <w:r w:rsidR="00D04440">
        <w:rPr>
          <w:lang w:eastAsia="en-ZA"/>
        </w:rPr>
        <w:t xml:space="preserve">Where the quality of control over </w:t>
      </w:r>
      <w:r w:rsidR="0018372B">
        <w:rPr>
          <w:lang w:eastAsia="en-ZA"/>
        </w:rPr>
        <w:t xml:space="preserve">the </w:t>
      </w:r>
      <w:r w:rsidR="00D04440">
        <w:rPr>
          <w:lang w:eastAsia="en-ZA"/>
        </w:rPr>
        <w:t xml:space="preserve">firm </w:t>
      </w:r>
      <w:r w:rsidR="0018372B">
        <w:rPr>
          <w:lang w:eastAsia="en-ZA"/>
        </w:rPr>
        <w:t xml:space="preserve">which was already controlled </w:t>
      </w:r>
      <w:r w:rsidR="00D04440">
        <w:rPr>
          <w:lang w:eastAsia="en-ZA"/>
        </w:rPr>
        <w:t>changes, it will not constitute a “merger”.</w:t>
      </w:r>
    </w:p>
    <w:p w14:paraId="5FEA9FB6" w14:textId="77777777" w:rsidR="00D04440" w:rsidRDefault="00D04440" w:rsidP="00D04440">
      <w:pPr>
        <w:pStyle w:val="JUDGMENTCONTINUED"/>
        <w:rPr>
          <w:lang w:eastAsia="en-ZA"/>
        </w:rPr>
      </w:pPr>
    </w:p>
    <w:p w14:paraId="46FE0041" w14:textId="17AFECBA" w:rsidR="00D04440" w:rsidRDefault="00D04440" w:rsidP="000C7587">
      <w:pPr>
        <w:pStyle w:val="JUDGMENTNUMBERED"/>
        <w:numPr>
          <w:ilvl w:val="0"/>
          <w:numId w:val="6"/>
        </w:numPr>
        <w:rPr>
          <w:lang w:eastAsia="en-ZA"/>
        </w:rPr>
      </w:pPr>
      <w:r>
        <w:rPr>
          <w:lang w:eastAsia="en-ZA"/>
        </w:rPr>
        <w:t xml:space="preserve">Requiring an entity to notify a </w:t>
      </w:r>
      <w:r w:rsidR="00E56A35">
        <w:rPr>
          <w:lang w:eastAsia="en-ZA"/>
        </w:rPr>
        <w:t xml:space="preserve">further </w:t>
      </w:r>
      <w:r>
        <w:rPr>
          <w:lang w:eastAsia="en-ZA"/>
        </w:rPr>
        <w:t xml:space="preserve">transaction in circumstances where it has </w:t>
      </w:r>
      <w:r w:rsidR="00457316">
        <w:rPr>
          <w:lang w:eastAsia="en-ZA"/>
        </w:rPr>
        <w:t>previously</w:t>
      </w:r>
      <w:r w:rsidR="006E11E6">
        <w:rPr>
          <w:lang w:eastAsia="en-ZA"/>
        </w:rPr>
        <w:t xml:space="preserve"> </w:t>
      </w:r>
      <w:r>
        <w:rPr>
          <w:lang w:eastAsia="en-ZA"/>
        </w:rPr>
        <w:t xml:space="preserve">notified a merger for the acquisition of </w:t>
      </w:r>
      <w:r w:rsidR="0018372B" w:rsidRPr="00934DC6">
        <w:rPr>
          <w:i/>
          <w:lang w:eastAsia="en-ZA"/>
        </w:rPr>
        <w:t xml:space="preserve">de </w:t>
      </w:r>
      <w:r w:rsidR="00934DC6" w:rsidRPr="00934DC6">
        <w:rPr>
          <w:i/>
          <w:lang w:eastAsia="en-ZA"/>
        </w:rPr>
        <w:t>facto</w:t>
      </w:r>
      <w:r w:rsidR="00934DC6">
        <w:rPr>
          <w:lang w:eastAsia="en-ZA"/>
        </w:rPr>
        <w:t xml:space="preserve"> </w:t>
      </w:r>
      <w:r>
        <w:rPr>
          <w:lang w:eastAsia="en-ZA"/>
        </w:rPr>
        <w:t xml:space="preserve">control merely because the nature of control transmutes to a </w:t>
      </w:r>
      <w:r w:rsidR="00020C1E">
        <w:rPr>
          <w:lang w:eastAsia="en-ZA"/>
        </w:rPr>
        <w:t xml:space="preserve">different </w:t>
      </w:r>
      <w:r>
        <w:rPr>
          <w:lang w:eastAsia="en-ZA"/>
        </w:rPr>
        <w:t>form of control</w:t>
      </w:r>
      <w:r w:rsidR="00934DC6">
        <w:rPr>
          <w:lang w:eastAsia="en-ZA"/>
        </w:rPr>
        <w:t>,</w:t>
      </w:r>
      <w:r>
        <w:rPr>
          <w:lang w:eastAsia="en-ZA"/>
        </w:rPr>
        <w:t xml:space="preserve"> is</w:t>
      </w:r>
      <w:r w:rsidR="00E56A35">
        <w:rPr>
          <w:lang w:eastAsia="en-ZA"/>
        </w:rPr>
        <w:t xml:space="preserve"> not</w:t>
      </w:r>
      <w:r>
        <w:rPr>
          <w:lang w:eastAsia="en-ZA"/>
        </w:rPr>
        <w:t xml:space="preserve"> </w:t>
      </w:r>
      <w:r w:rsidR="00A279E4">
        <w:rPr>
          <w:lang w:eastAsia="en-ZA"/>
        </w:rPr>
        <w:t xml:space="preserve">only </w:t>
      </w:r>
      <w:r>
        <w:rPr>
          <w:lang w:eastAsia="en-ZA"/>
        </w:rPr>
        <w:t>unduly formalistic</w:t>
      </w:r>
      <w:r w:rsidR="00894FF3">
        <w:rPr>
          <w:lang w:eastAsia="en-ZA"/>
        </w:rPr>
        <w:t>, it is also burdensome</w:t>
      </w:r>
      <w:r>
        <w:rPr>
          <w:lang w:eastAsia="en-ZA"/>
        </w:rPr>
        <w:t xml:space="preserve">.  The Tribunal in </w:t>
      </w:r>
      <w:r w:rsidRPr="00230953">
        <w:rPr>
          <w:i/>
          <w:lang w:eastAsia="en-ZA"/>
        </w:rPr>
        <w:t>Ethos</w:t>
      </w:r>
      <w:r>
        <w:rPr>
          <w:lang w:eastAsia="en-ZA"/>
        </w:rPr>
        <w:t xml:space="preserve"> said:</w:t>
      </w:r>
    </w:p>
    <w:p w14:paraId="195C901D" w14:textId="77777777" w:rsidR="00D04440" w:rsidRDefault="00D04440" w:rsidP="00894FF3">
      <w:pPr>
        <w:pStyle w:val="QUOTATION"/>
        <w:rPr>
          <w:lang w:eastAsia="en-ZA"/>
        </w:rPr>
      </w:pPr>
    </w:p>
    <w:p w14:paraId="0F115B7D" w14:textId="2986B9D7" w:rsidR="00D04440" w:rsidRDefault="000963B4" w:rsidP="004C57CE">
      <w:pPr>
        <w:pStyle w:val="QUOTATION"/>
        <w:spacing w:after="120"/>
        <w:rPr>
          <w:lang w:eastAsia="en-ZA"/>
        </w:rPr>
      </w:pPr>
      <w:r>
        <w:rPr>
          <w:lang w:eastAsia="en-ZA"/>
        </w:rPr>
        <w:t>“</w:t>
      </w:r>
      <w:r w:rsidR="00D04440">
        <w:rPr>
          <w:lang w:eastAsia="en-ZA"/>
        </w:rPr>
        <w:t>As the Commission has argued, other jurisdictions adopt bright lines not because they are perfect in each case, but because by and large they are consistent with commercial reality and, most importantly, they help create certainty for both regulator and regulated.</w:t>
      </w:r>
    </w:p>
    <w:p w14:paraId="27EF91AB" w14:textId="1B322A19" w:rsidR="00D04440" w:rsidRDefault="00D04440" w:rsidP="004C57CE">
      <w:pPr>
        <w:pStyle w:val="QUOTATION"/>
        <w:spacing w:after="120"/>
        <w:rPr>
          <w:lang w:eastAsia="en-ZA"/>
        </w:rPr>
      </w:pPr>
      <w:r>
        <w:rPr>
          <w:lang w:eastAsia="en-ZA"/>
        </w:rPr>
        <w:t xml:space="preserve">Does this mean that </w:t>
      </w:r>
      <w:r w:rsidRPr="00537190">
        <w:rPr>
          <w:i/>
          <w:lang w:eastAsia="en-ZA"/>
        </w:rPr>
        <w:t>Ethos</w:t>
      </w:r>
      <w:r>
        <w:rPr>
          <w:lang w:eastAsia="en-ZA"/>
        </w:rPr>
        <w:t xml:space="preserve"> might have to notify again if it crosses some other threshold in section 12(2) that it presently does not enjoy now? </w:t>
      </w:r>
      <w:r w:rsidR="0099572E">
        <w:rPr>
          <w:lang w:eastAsia="en-ZA"/>
        </w:rPr>
        <w:t xml:space="preserve"> </w:t>
      </w:r>
      <w:r>
        <w:rPr>
          <w:lang w:eastAsia="en-ZA"/>
        </w:rPr>
        <w:t>For instance, if it was able to control or veto the appointment of the majority of the directors of the firm, a power that, as we have seen, it does not presently enjoy.</w:t>
      </w:r>
    </w:p>
    <w:p w14:paraId="04FFBE91" w14:textId="0BF81A9D" w:rsidR="00D04440" w:rsidRDefault="00D04440" w:rsidP="00107232">
      <w:pPr>
        <w:pStyle w:val="QUOTATION"/>
        <w:spacing w:after="120"/>
        <w:rPr>
          <w:lang w:eastAsia="en-ZA"/>
        </w:rPr>
      </w:pPr>
      <w:r>
        <w:rPr>
          <w:lang w:eastAsia="en-ZA"/>
        </w:rPr>
        <w:t xml:space="preserve">The answer to that question is no.  </w:t>
      </w:r>
      <w:r w:rsidRPr="00A279E4">
        <w:rPr>
          <w:i/>
          <w:lang w:eastAsia="en-ZA"/>
        </w:rPr>
        <w:t>A change of control is a once-off affair</w:t>
      </w:r>
      <w:r>
        <w:rPr>
          <w:lang w:eastAsia="en-ZA"/>
        </w:rPr>
        <w:t>.</w:t>
      </w:r>
      <w:r w:rsidR="00107232">
        <w:rPr>
          <w:lang w:eastAsia="en-ZA"/>
        </w:rPr>
        <w:t xml:space="preserve"> </w:t>
      </w:r>
      <w:r>
        <w:rPr>
          <w:lang w:eastAsia="en-ZA"/>
        </w:rPr>
        <w:t xml:space="preserve"> Even if a firm has notified sole control at a time when that control is attenuated in some respects by other shareholders and it later acquires an unfettered right, </w:t>
      </w:r>
      <w:r w:rsidRPr="00A279E4">
        <w:rPr>
          <w:i/>
          <w:lang w:eastAsia="en-ZA"/>
        </w:rPr>
        <w:t xml:space="preserve">provided that sole control </w:t>
      </w:r>
      <w:r w:rsidRPr="00A279E4">
        <w:rPr>
          <w:i/>
          <w:lang w:eastAsia="en-ZA"/>
        </w:rPr>
        <w:lastRenderedPageBreak/>
        <w:t>has been notified and that this formed the basis of the decision, no subsequent notification is required</w:t>
      </w:r>
      <w:r>
        <w:rPr>
          <w:lang w:eastAsia="en-ZA"/>
        </w:rPr>
        <w:t>.”</w:t>
      </w:r>
      <w:r w:rsidR="000963B4">
        <w:rPr>
          <w:rStyle w:val="FootnoteReference"/>
          <w:lang w:eastAsia="en-ZA"/>
        </w:rPr>
        <w:footnoteReference w:id="29"/>
      </w:r>
    </w:p>
    <w:p w14:paraId="623E836F" w14:textId="77777777" w:rsidR="00D04440" w:rsidRDefault="00D04440" w:rsidP="00D04440">
      <w:pPr>
        <w:pStyle w:val="JUDGMENTCONTINUED"/>
        <w:rPr>
          <w:lang w:eastAsia="en-ZA"/>
        </w:rPr>
      </w:pPr>
    </w:p>
    <w:p w14:paraId="4D151E5C" w14:textId="0D9E3DF5" w:rsidR="00DB6EAA" w:rsidRDefault="00AC2659" w:rsidP="000C7587">
      <w:pPr>
        <w:pStyle w:val="JUDGMENTNUMBERED"/>
        <w:numPr>
          <w:ilvl w:val="0"/>
          <w:numId w:val="6"/>
        </w:numPr>
        <w:rPr>
          <w:lang w:eastAsia="en-ZA"/>
        </w:rPr>
      </w:pPr>
      <w:r>
        <w:rPr>
          <w:lang w:eastAsia="en-ZA"/>
        </w:rPr>
        <w:t xml:space="preserve">This Court in </w:t>
      </w:r>
      <w:r w:rsidR="00107232" w:rsidRPr="007D450F">
        <w:rPr>
          <w:i/>
          <w:lang w:eastAsia="en-ZA"/>
        </w:rPr>
        <w:t xml:space="preserve">S.O.S </w:t>
      </w:r>
      <w:r w:rsidR="00D25D3A">
        <w:rPr>
          <w:lang w:eastAsia="en-ZA"/>
        </w:rPr>
        <w:t>support</w:t>
      </w:r>
      <w:r w:rsidR="00020C1E">
        <w:rPr>
          <w:lang w:eastAsia="en-ZA"/>
        </w:rPr>
        <w:t>ed</w:t>
      </w:r>
      <w:r w:rsidR="00107232">
        <w:rPr>
          <w:lang w:eastAsia="en-ZA"/>
        </w:rPr>
        <w:t xml:space="preserve"> </w:t>
      </w:r>
      <w:r w:rsidR="00AE50C8">
        <w:rPr>
          <w:lang w:eastAsia="en-ZA"/>
        </w:rPr>
        <w:t>the on</w:t>
      </w:r>
      <w:r w:rsidR="000D1098">
        <w:rPr>
          <w:lang w:eastAsia="en-ZA"/>
        </w:rPr>
        <w:t>c</w:t>
      </w:r>
      <w:r w:rsidR="00AE50C8">
        <w:rPr>
          <w:lang w:eastAsia="en-ZA"/>
        </w:rPr>
        <w:t>e-off principle</w:t>
      </w:r>
      <w:r w:rsidR="00D25D3A">
        <w:rPr>
          <w:lang w:eastAsia="en-ZA"/>
        </w:rPr>
        <w:t xml:space="preserve"> as</w:t>
      </w:r>
      <w:r w:rsidR="00AE50C8">
        <w:rPr>
          <w:lang w:eastAsia="en-ZA"/>
        </w:rPr>
        <w:t xml:space="preserve"> set out in </w:t>
      </w:r>
      <w:r w:rsidR="00AE50C8" w:rsidRPr="00A279E4">
        <w:rPr>
          <w:i/>
          <w:lang w:eastAsia="en-ZA"/>
        </w:rPr>
        <w:t>Ethos</w:t>
      </w:r>
      <w:r w:rsidR="00AE50C8">
        <w:rPr>
          <w:lang w:eastAsia="en-ZA"/>
        </w:rPr>
        <w:t xml:space="preserve">, stating that </w:t>
      </w:r>
      <w:r w:rsidR="00107232">
        <w:rPr>
          <w:lang w:eastAsia="en-ZA"/>
        </w:rPr>
        <w:t>the acquisition of control is a once-off affair for which notification is only required upon the initial acquisition.</w:t>
      </w:r>
      <w:r w:rsidR="00AC46C1">
        <w:rPr>
          <w:lang w:eastAsia="en-ZA"/>
        </w:rPr>
        <w:t xml:space="preserve">  It said:</w:t>
      </w:r>
    </w:p>
    <w:p w14:paraId="5ACAFF56" w14:textId="46E24401" w:rsidR="00782690" w:rsidRDefault="00782690" w:rsidP="00107232">
      <w:pPr>
        <w:pStyle w:val="QUOTATION"/>
        <w:rPr>
          <w:lang w:eastAsia="en-ZA"/>
        </w:rPr>
      </w:pPr>
    </w:p>
    <w:p w14:paraId="110E012E" w14:textId="398B76DF" w:rsidR="00782690" w:rsidRPr="00107232" w:rsidRDefault="00782690" w:rsidP="008A698A">
      <w:pPr>
        <w:pStyle w:val="QUOTATION"/>
        <w:rPr>
          <w:rFonts w:cs="Arial"/>
          <w:lang w:val="en-US"/>
        </w:rPr>
      </w:pPr>
      <w:r w:rsidRPr="00107232">
        <w:rPr>
          <w:lang w:eastAsia="en-ZA"/>
        </w:rPr>
        <w:t>“</w:t>
      </w:r>
      <w:r w:rsidRPr="00107232">
        <w:t xml:space="preserve">Parliament has </w:t>
      </w:r>
      <w:r w:rsidRPr="00107232">
        <w:rPr>
          <w:noProof/>
        </w:rPr>
        <w:t xml:space="preserve">crafted </w:t>
      </w:r>
      <w:r w:rsidRPr="00107232">
        <w:t xml:space="preserve">a compulsory </w:t>
      </w:r>
      <w:r w:rsidR="00537190">
        <w:t>‘</w:t>
      </w:r>
      <w:r w:rsidRPr="00107232">
        <w:t>self-notification</w:t>
      </w:r>
      <w:r w:rsidR="00537190">
        <w:t>’</w:t>
      </w:r>
      <w:r w:rsidRPr="00107232">
        <w:t xml:space="preserve"> pre-merger regime.  </w:t>
      </w:r>
      <w:r w:rsidRPr="00107232">
        <w:rPr>
          <w:noProof/>
        </w:rPr>
        <w:t>The Competition Act obliges parties to notify the Commission of proposed transactions when two jurisdictional facts are present: the first is where the proposed transac</w:t>
      </w:r>
      <w:r w:rsidR="00F24D1F">
        <w:rPr>
          <w:noProof/>
        </w:rPr>
        <w:t>tion meets the definition of a ‘merger’</w:t>
      </w:r>
      <w:r w:rsidRPr="00107232">
        <w:rPr>
          <w:noProof/>
        </w:rPr>
        <w:t xml:space="preserve"> in section 12(1), and the second is where it meets the financial threshold for an intermediate or large merger. </w:t>
      </w:r>
      <w:r w:rsidR="00AC46C1">
        <w:rPr>
          <w:noProof/>
        </w:rPr>
        <w:t xml:space="preserve"> </w:t>
      </w:r>
      <w:r w:rsidRPr="00D25D3A">
        <w:rPr>
          <w:i/>
          <w:noProof/>
        </w:rPr>
        <w:t xml:space="preserve">Since </w:t>
      </w:r>
      <w:r w:rsidRPr="00D25D3A">
        <w:rPr>
          <w:rFonts w:cs="Arial"/>
          <w:i/>
          <w:lang w:val="en-US"/>
        </w:rPr>
        <w:t>merger approval gives the merged firm immunity from any future challenges</w:t>
      </w:r>
      <w:r w:rsidRPr="00107232">
        <w:rPr>
          <w:rFonts w:cs="Arial"/>
          <w:lang w:val="en-US"/>
        </w:rPr>
        <w:t xml:space="preserve">, </w:t>
      </w:r>
      <w:r w:rsidR="00537190">
        <w:rPr>
          <w:rFonts w:cs="Arial"/>
          <w:lang w:val="en-US"/>
        </w:rPr>
        <w:t>‘</w:t>
      </w:r>
      <w:r w:rsidRPr="00107232">
        <w:t xml:space="preserve">firms are obliged to notify mergers before they </w:t>
      </w:r>
      <w:r w:rsidRPr="00107232">
        <w:rPr>
          <w:noProof/>
        </w:rPr>
        <w:t>are implemented</w:t>
      </w:r>
      <w:r w:rsidRPr="00107232">
        <w:t xml:space="preserve"> and to delay implementation until they get regulatory approval</w:t>
      </w:r>
      <w:r w:rsidR="00537190">
        <w:t>’</w:t>
      </w:r>
      <w:r w:rsidRPr="00107232">
        <w:t>.</w:t>
      </w:r>
      <w:r w:rsidR="00537190">
        <w:t>”</w:t>
      </w:r>
      <w:r w:rsidR="00AC46C1">
        <w:rPr>
          <w:rStyle w:val="FootnoteReference"/>
        </w:rPr>
        <w:footnoteReference w:id="30"/>
      </w:r>
    </w:p>
    <w:p w14:paraId="7157B2B3" w14:textId="34336251" w:rsidR="00782690" w:rsidRDefault="00782690" w:rsidP="00107232">
      <w:pPr>
        <w:pStyle w:val="JUDGMENTNUMBERED"/>
        <w:numPr>
          <w:ilvl w:val="0"/>
          <w:numId w:val="0"/>
        </w:numPr>
        <w:ind w:left="720"/>
        <w:rPr>
          <w:lang w:eastAsia="en-ZA"/>
        </w:rPr>
      </w:pPr>
    </w:p>
    <w:p w14:paraId="65491B68" w14:textId="5E8268BD" w:rsidR="008326BB" w:rsidRPr="00107232" w:rsidRDefault="00AE50C8" w:rsidP="000C7587">
      <w:pPr>
        <w:pStyle w:val="JUDGMENTCONTINUED"/>
        <w:numPr>
          <w:ilvl w:val="0"/>
          <w:numId w:val="6"/>
        </w:numPr>
        <w:rPr>
          <w:lang w:eastAsia="en-ZA"/>
        </w:rPr>
      </w:pPr>
      <w:r>
        <w:rPr>
          <w:rFonts w:cs="Arial"/>
          <w:szCs w:val="20"/>
        </w:rPr>
        <w:t xml:space="preserve">It relied on </w:t>
      </w:r>
      <w:r w:rsidR="00DA6145">
        <w:rPr>
          <w:rFonts w:cs="Arial"/>
          <w:szCs w:val="20"/>
        </w:rPr>
        <w:t>the decision in</w:t>
      </w:r>
      <w:r w:rsidR="00782690">
        <w:rPr>
          <w:rFonts w:cs="Arial"/>
          <w:szCs w:val="20"/>
        </w:rPr>
        <w:t xml:space="preserve"> </w:t>
      </w:r>
      <w:r w:rsidR="00782690" w:rsidRPr="00F7770D">
        <w:rPr>
          <w:rFonts w:cs="Arial"/>
          <w:i/>
          <w:szCs w:val="20"/>
        </w:rPr>
        <w:t>Netcare Hospital Group</w:t>
      </w:r>
      <w:r w:rsidR="00A16AFB">
        <w:rPr>
          <w:rStyle w:val="FootnoteReference"/>
          <w:rFonts w:cs="Arial"/>
          <w:i/>
          <w:szCs w:val="20"/>
        </w:rPr>
        <w:footnoteReference w:id="31"/>
      </w:r>
      <w:r w:rsidR="00782690" w:rsidRPr="00F7770D">
        <w:rPr>
          <w:rFonts w:cs="Arial"/>
          <w:i/>
          <w:szCs w:val="20"/>
        </w:rPr>
        <w:t xml:space="preserve"> </w:t>
      </w:r>
      <w:r w:rsidR="00FF37CE">
        <w:rPr>
          <w:rFonts w:cs="Arial"/>
          <w:szCs w:val="20"/>
        </w:rPr>
        <w:t>where the Tribunal accepted that merger approval gives the merged firm immunity from any future challenges</w:t>
      </w:r>
      <w:r w:rsidR="005C2937">
        <w:rPr>
          <w:rFonts w:cs="Arial"/>
          <w:szCs w:val="20"/>
        </w:rPr>
        <w:t xml:space="preserve"> whilst explaining that </w:t>
      </w:r>
      <w:r w:rsidR="00544FAD">
        <w:rPr>
          <w:rFonts w:cs="Arial"/>
          <w:szCs w:val="20"/>
        </w:rPr>
        <w:t xml:space="preserve">our </w:t>
      </w:r>
      <w:r w:rsidR="005C2937">
        <w:rPr>
          <w:rFonts w:cs="Arial"/>
          <w:szCs w:val="20"/>
        </w:rPr>
        <w:t>merger regime does not allow for the evaluation of mergers after the fact</w:t>
      </w:r>
      <w:r w:rsidR="00263DB8">
        <w:rPr>
          <w:rFonts w:cs="Arial"/>
          <w:szCs w:val="20"/>
        </w:rPr>
        <w:t>.  There it was said</w:t>
      </w:r>
      <w:r>
        <w:rPr>
          <w:rFonts w:cs="Arial"/>
          <w:szCs w:val="20"/>
        </w:rPr>
        <w:t>:</w:t>
      </w:r>
    </w:p>
    <w:p w14:paraId="696C24DD" w14:textId="77777777" w:rsidR="008326BB" w:rsidRDefault="008326BB" w:rsidP="00AE50C8">
      <w:pPr>
        <w:pStyle w:val="QUOTATION"/>
      </w:pPr>
    </w:p>
    <w:p w14:paraId="15AE2F02" w14:textId="4DBEF66D" w:rsidR="008326BB" w:rsidRDefault="00AE50C8" w:rsidP="00544FAD">
      <w:pPr>
        <w:pStyle w:val="QUOTATION"/>
      </w:pPr>
      <w:r>
        <w:t>“Our merger regime is not designed for evaluating mergers after the fact.</w:t>
      </w:r>
      <w:r w:rsidR="00544FAD">
        <w:t xml:space="preserve"> </w:t>
      </w:r>
      <w:r>
        <w:t xml:space="preserve"> One only need examine the language of the section to see its futuristic inclination. </w:t>
      </w:r>
      <w:r w:rsidR="00544FAD">
        <w:t xml:space="preserve"> </w:t>
      </w:r>
      <w:r>
        <w:t xml:space="preserve">For this reason we have a system of compulsory premerger notification. </w:t>
      </w:r>
      <w:r w:rsidR="00544FAD">
        <w:t xml:space="preserve"> </w:t>
      </w:r>
      <w:r>
        <w:t xml:space="preserve">In some other systems which also require mergers to be notified before they are implemented this simply means the merging parties cannot implement for a certain period. </w:t>
      </w:r>
      <w:r w:rsidR="00544FAD">
        <w:t xml:space="preserve"> </w:t>
      </w:r>
      <w:r>
        <w:t>Thereafter, unless the authorities indicate an intention to stop the merger the parties can consummate the transaction but still risk the possibility of post merger scrutiny by either the authorities or private parties.</w:t>
      </w:r>
      <w:r w:rsidR="00544FAD">
        <w:rPr>
          <w:color w:val="CD0000"/>
          <w:sz w:val="16"/>
          <w:szCs w:val="16"/>
        </w:rPr>
        <w:t xml:space="preserve">  </w:t>
      </w:r>
      <w:r>
        <w:t xml:space="preserve">Our system requires an active decision by the competition authority once a merger is notified and for this reason a merger cannot be challenged again later; </w:t>
      </w:r>
      <w:r>
        <w:lastRenderedPageBreak/>
        <w:t xml:space="preserve">neither by the competition authorities nor private parties. </w:t>
      </w:r>
      <w:r w:rsidR="00544FAD">
        <w:t xml:space="preserve"> </w:t>
      </w:r>
      <w:r>
        <w:t xml:space="preserve">In this sense, merger approval gives the merged firm immunity from future challenges and thus the comfort of business certainty going forward. </w:t>
      </w:r>
      <w:r w:rsidR="00544FAD">
        <w:t xml:space="preserve"> </w:t>
      </w:r>
      <w:r>
        <w:t xml:space="preserve">In return for this benefit, firms are obliged to notify mergers before they are implemented and to delay implementation until they get regulatory approval. </w:t>
      </w:r>
      <w:r w:rsidR="00544FAD">
        <w:t xml:space="preserve"> </w:t>
      </w:r>
      <w:r>
        <w:t xml:space="preserve">The entire edifice of merger control; notification, evaluation, and recommendation, is premised on this assumption of compliance. </w:t>
      </w:r>
      <w:r w:rsidR="00544FAD">
        <w:t xml:space="preserve"> </w:t>
      </w:r>
      <w:r>
        <w:t xml:space="preserve">The leitmotif throughout this </w:t>
      </w:r>
      <w:r w:rsidR="00544FAD">
        <w:t xml:space="preserve">enquiry is </w:t>
      </w:r>
      <w:r w:rsidR="00EE6444">
        <w:t>‘</w:t>
      </w:r>
      <w:r>
        <w:t>what will the w</w:t>
      </w:r>
      <w:r w:rsidR="00544FAD">
        <w:t>orld look like after the merger</w:t>
      </w:r>
      <w:r w:rsidR="00EE6444">
        <w:t>’</w:t>
      </w:r>
      <w:r>
        <w:t xml:space="preserve">. </w:t>
      </w:r>
      <w:r w:rsidR="00544FAD">
        <w:t xml:space="preserve"> </w:t>
      </w:r>
      <w:r>
        <w:t xml:space="preserve">When a merger has already been implemented, and as in this case for some time, the premise of the entire system is undermined; a system designed to look into the future now has to gaze back in the past. </w:t>
      </w:r>
      <w:r w:rsidR="00544FAD">
        <w:t xml:space="preserve"> </w:t>
      </w:r>
      <w:r>
        <w:t xml:space="preserve">Typically in the </w:t>
      </w:r>
      <w:r w:rsidRPr="00544FAD">
        <w:rPr>
          <w:i/>
          <w:iCs/>
        </w:rPr>
        <w:t>ex ante</w:t>
      </w:r>
      <w:r>
        <w:rPr>
          <w:rFonts w:ascii="Verdana-Italic" w:hAnsi="Verdana-Italic" w:cs="Verdana-Italic"/>
          <w:i/>
          <w:iCs/>
        </w:rPr>
        <w:t xml:space="preserve"> </w:t>
      </w:r>
      <w:r>
        <w:t>merger review, we, in the words of the Competi</w:t>
      </w:r>
      <w:r w:rsidR="00544FAD">
        <w:t xml:space="preserve">tion Appeal Court, </w:t>
      </w:r>
      <w:r w:rsidR="00EE6444">
        <w:t>‘</w:t>
      </w:r>
      <w:r w:rsidR="00544FAD">
        <w:t>forecast a likely possibility</w:t>
      </w:r>
      <w:r w:rsidR="00EE6444">
        <w:t>’</w:t>
      </w:r>
      <w:r>
        <w:rPr>
          <w:rFonts w:ascii="Verdana-Italic" w:hAnsi="Verdana-Italic" w:cs="Verdana-Italic"/>
          <w:i/>
          <w:iCs/>
        </w:rPr>
        <w:t xml:space="preserve">. </w:t>
      </w:r>
      <w:r w:rsidR="00544FAD">
        <w:rPr>
          <w:rFonts w:ascii="Verdana-Italic" w:hAnsi="Verdana-Italic" w:cs="Verdana-Italic"/>
          <w:iCs/>
        </w:rPr>
        <w:t xml:space="preserve"> </w:t>
      </w:r>
      <w:r>
        <w:t xml:space="preserve">We use the past to make an informed prediction about the future. </w:t>
      </w:r>
      <w:r w:rsidR="00544FAD">
        <w:t xml:space="preserve"> </w:t>
      </w:r>
      <w:r>
        <w:t>When a merger has already been implemented and, as in this case for some time, the entire evidential premise of the system is compromised.”</w:t>
      </w:r>
      <w:r>
        <w:rPr>
          <w:rStyle w:val="FootnoteReference"/>
        </w:rPr>
        <w:footnoteReference w:id="32"/>
      </w:r>
    </w:p>
    <w:p w14:paraId="1FB263D6" w14:textId="77777777" w:rsidR="003974A6" w:rsidRPr="003974A6" w:rsidRDefault="003974A6" w:rsidP="003974A6">
      <w:pPr>
        <w:pStyle w:val="JUDGMENTCONTINUED"/>
      </w:pPr>
    </w:p>
    <w:p w14:paraId="59E92C82" w14:textId="1309CD16" w:rsidR="00EF7ABA" w:rsidRDefault="00020C1E" w:rsidP="008A698A">
      <w:pPr>
        <w:pStyle w:val="HEADING"/>
      </w:pPr>
      <w:r>
        <w:t>T</w:t>
      </w:r>
      <w:r w:rsidR="00882192">
        <w:t>he Commission</w:t>
      </w:r>
      <w:r w:rsidR="00052D98">
        <w:t>’</w:t>
      </w:r>
      <w:r w:rsidR="00882192">
        <w:t>s powers in light of the once-off principle</w:t>
      </w:r>
    </w:p>
    <w:p w14:paraId="743CDFE0" w14:textId="07FE4C4B" w:rsidR="00A279E4" w:rsidRDefault="000963B4" w:rsidP="000C7587">
      <w:pPr>
        <w:pStyle w:val="JUDGMENTNUMBERED"/>
        <w:numPr>
          <w:ilvl w:val="0"/>
          <w:numId w:val="6"/>
        </w:numPr>
      </w:pPr>
      <w:r>
        <w:rPr>
          <w:lang w:eastAsia="en-ZA"/>
        </w:rPr>
        <w:t>A</w:t>
      </w:r>
      <w:r w:rsidR="00D04440" w:rsidRPr="00CC5F11">
        <w:rPr>
          <w:lang w:eastAsia="en-ZA"/>
        </w:rPr>
        <w:t>lthough I accept the once-off</w:t>
      </w:r>
      <w:r w:rsidR="00A279E4" w:rsidRPr="00A279E4">
        <w:rPr>
          <w:lang w:eastAsia="en-ZA"/>
        </w:rPr>
        <w:t xml:space="preserve"> </w:t>
      </w:r>
      <w:r w:rsidR="00A279E4" w:rsidRPr="00CC5F11">
        <w:rPr>
          <w:lang w:eastAsia="en-ZA"/>
        </w:rPr>
        <w:t>principle</w:t>
      </w:r>
      <w:r w:rsidR="00D04440" w:rsidRPr="00CC5F11">
        <w:rPr>
          <w:lang w:eastAsia="en-ZA"/>
        </w:rPr>
        <w:t xml:space="preserve">, having regard to the overall purpose of the Act and the fact that the competition authorities play a vital supervisory role in preventing anti-competitive market </w:t>
      </w:r>
      <w:r w:rsidR="00D63959" w:rsidRPr="00CC5F11">
        <w:rPr>
          <w:lang w:eastAsia="en-ZA"/>
        </w:rPr>
        <w:t xml:space="preserve">structures, </w:t>
      </w:r>
      <w:r w:rsidR="00EF6C7E" w:rsidRPr="00CC5F11">
        <w:rPr>
          <w:lang w:eastAsia="en-ZA"/>
        </w:rPr>
        <w:t>the</w:t>
      </w:r>
      <w:r>
        <w:t xml:space="preserve"> once</w:t>
      </w:r>
      <w:r w:rsidR="00653267">
        <w:t>-</w:t>
      </w:r>
      <w:r>
        <w:t xml:space="preserve">off </w:t>
      </w:r>
      <w:r w:rsidR="00F24D1F">
        <w:t xml:space="preserve">principle </w:t>
      </w:r>
      <w:r>
        <w:t>should not be understood to shackle the Commission from investigating where it suspects potential irregularities or is privy to information in a new economic context.</w:t>
      </w:r>
      <w:r w:rsidR="005C2937">
        <w:rPr>
          <w:rStyle w:val="FootnoteReference"/>
        </w:rPr>
        <w:footnoteReference w:id="33"/>
      </w:r>
    </w:p>
    <w:p w14:paraId="2DE1146F" w14:textId="77777777" w:rsidR="00130040" w:rsidRPr="00130040" w:rsidRDefault="00130040" w:rsidP="00130040">
      <w:pPr>
        <w:pStyle w:val="JUDGMENTCONTINUED"/>
      </w:pPr>
    </w:p>
    <w:p w14:paraId="70745032" w14:textId="4B0EFC99" w:rsidR="00B87AC5" w:rsidRDefault="00043864" w:rsidP="000C7587">
      <w:pPr>
        <w:pStyle w:val="JUDGMENTNUMBERED"/>
        <w:numPr>
          <w:ilvl w:val="0"/>
          <w:numId w:val="6"/>
        </w:numPr>
        <w:rPr>
          <w:lang w:eastAsia="en-ZA"/>
        </w:rPr>
      </w:pPr>
      <w:r w:rsidRPr="003B2D8F">
        <w:rPr>
          <w:i/>
          <w:lang w:eastAsia="en-ZA"/>
        </w:rPr>
        <w:t>Ethos</w:t>
      </w:r>
      <w:r>
        <w:rPr>
          <w:lang w:eastAsia="en-ZA"/>
        </w:rPr>
        <w:t xml:space="preserve"> </w:t>
      </w:r>
      <w:r w:rsidR="00F24D1F">
        <w:rPr>
          <w:lang w:eastAsia="en-ZA"/>
        </w:rPr>
        <w:t>merely</w:t>
      </w:r>
      <w:r w:rsidR="000F24A7">
        <w:rPr>
          <w:lang w:eastAsia="en-ZA"/>
        </w:rPr>
        <w:t xml:space="preserve"> held</w:t>
      </w:r>
      <w:r>
        <w:rPr>
          <w:lang w:eastAsia="en-ZA"/>
        </w:rPr>
        <w:t xml:space="preserve"> that the acquisition of control and the notification requirement triggered by acquisition</w:t>
      </w:r>
      <w:r w:rsidR="00934DC6">
        <w:rPr>
          <w:lang w:eastAsia="en-ZA"/>
        </w:rPr>
        <w:t>,</w:t>
      </w:r>
      <w:r>
        <w:rPr>
          <w:lang w:eastAsia="en-ZA"/>
        </w:rPr>
        <w:t xml:space="preserve"> is once-off. </w:t>
      </w:r>
      <w:r w:rsidR="004D13B0">
        <w:rPr>
          <w:lang w:eastAsia="en-ZA"/>
        </w:rPr>
        <w:t xml:space="preserve"> </w:t>
      </w:r>
      <w:r w:rsidR="00922C74">
        <w:rPr>
          <w:lang w:eastAsia="en-ZA"/>
        </w:rPr>
        <w:t xml:space="preserve">That re-notification may not be required simply because of a </w:t>
      </w:r>
      <w:r w:rsidR="003B2D8F">
        <w:rPr>
          <w:lang w:eastAsia="en-ZA"/>
        </w:rPr>
        <w:t>chang</w:t>
      </w:r>
      <w:r w:rsidR="00130040">
        <w:rPr>
          <w:lang w:eastAsia="en-ZA"/>
        </w:rPr>
        <w:t>e in the nature of the control</w:t>
      </w:r>
      <w:r w:rsidR="00934DC6">
        <w:rPr>
          <w:lang w:eastAsia="en-ZA"/>
        </w:rPr>
        <w:t>,</w:t>
      </w:r>
      <w:r w:rsidR="003B2D8F">
        <w:rPr>
          <w:lang w:eastAsia="en-ZA"/>
        </w:rPr>
        <w:t xml:space="preserve"> does not imply that the Commiss</w:t>
      </w:r>
      <w:r w:rsidR="00934DC6">
        <w:rPr>
          <w:lang w:eastAsia="en-ZA"/>
        </w:rPr>
        <w:t xml:space="preserve">ion may not investigate further. </w:t>
      </w:r>
      <w:r w:rsidR="004D13B0">
        <w:rPr>
          <w:lang w:eastAsia="en-ZA"/>
        </w:rPr>
        <w:t xml:space="preserve"> </w:t>
      </w:r>
      <w:r w:rsidR="00934DC6">
        <w:rPr>
          <w:lang w:eastAsia="en-ZA"/>
        </w:rPr>
        <w:t>It</w:t>
      </w:r>
      <w:r w:rsidR="003B2D8F">
        <w:rPr>
          <w:lang w:eastAsia="en-ZA"/>
        </w:rPr>
        <w:t xml:space="preserve"> only </w:t>
      </w:r>
      <w:r w:rsidR="00934DC6">
        <w:rPr>
          <w:lang w:eastAsia="en-ZA"/>
        </w:rPr>
        <w:t xml:space="preserve">means </w:t>
      </w:r>
      <w:r w:rsidR="003B2D8F">
        <w:rPr>
          <w:lang w:eastAsia="en-ZA"/>
        </w:rPr>
        <w:t>that the acquiring firm need not necessarily re-notify.</w:t>
      </w:r>
    </w:p>
    <w:p w14:paraId="1477FDF3" w14:textId="77777777" w:rsidR="00070F2C" w:rsidRPr="00070F2C" w:rsidRDefault="00070F2C" w:rsidP="008A698A">
      <w:pPr>
        <w:pStyle w:val="JUDGMENTCONTINUED"/>
        <w:rPr>
          <w:lang w:eastAsia="en-ZA"/>
        </w:rPr>
      </w:pPr>
    </w:p>
    <w:p w14:paraId="7A9806F5" w14:textId="70DFBDB3" w:rsidR="00D16F91" w:rsidRDefault="000963B4" w:rsidP="000C7587">
      <w:pPr>
        <w:pStyle w:val="JUDGMENTNUMBERED"/>
        <w:numPr>
          <w:ilvl w:val="0"/>
          <w:numId w:val="6"/>
        </w:numPr>
        <w:rPr>
          <w:lang w:eastAsia="en-ZA"/>
        </w:rPr>
      </w:pPr>
      <w:r>
        <w:rPr>
          <w:lang w:eastAsia="en-ZA"/>
        </w:rPr>
        <w:t>I now consider whether the once-off principle applied to the 2017 transaction.</w:t>
      </w:r>
    </w:p>
    <w:p w14:paraId="527D67EC" w14:textId="77777777" w:rsidR="002057A0" w:rsidRPr="002057A0" w:rsidRDefault="002057A0" w:rsidP="002057A0">
      <w:pPr>
        <w:pStyle w:val="JUDGMENTCONTINUED"/>
        <w:rPr>
          <w:lang w:eastAsia="en-ZA"/>
        </w:rPr>
      </w:pPr>
    </w:p>
    <w:p w14:paraId="3D18E1BA" w14:textId="77777777" w:rsidR="00D04440" w:rsidRPr="00A62E45" w:rsidRDefault="00D04440" w:rsidP="008A698A">
      <w:pPr>
        <w:pStyle w:val="HEADING"/>
        <w:rPr>
          <w:szCs w:val="26"/>
          <w:lang w:eastAsia="en-ZA"/>
        </w:rPr>
      </w:pPr>
      <w:r w:rsidRPr="00A62E45">
        <w:rPr>
          <w:szCs w:val="26"/>
          <w:lang w:eastAsia="en-ZA"/>
        </w:rPr>
        <w:lastRenderedPageBreak/>
        <w:t>Does the once-off principle apply to the 2017 transaction?</w:t>
      </w:r>
    </w:p>
    <w:p w14:paraId="39797206" w14:textId="5EE4B16B" w:rsidR="00D04440" w:rsidRDefault="00D04440" w:rsidP="00F24D1F">
      <w:pPr>
        <w:pStyle w:val="JUDGMENTNUMBERED"/>
        <w:numPr>
          <w:ilvl w:val="0"/>
          <w:numId w:val="6"/>
        </w:numPr>
        <w:rPr>
          <w:lang w:eastAsia="en-ZA"/>
        </w:rPr>
      </w:pPr>
      <w:r w:rsidRPr="00A62E45">
        <w:rPr>
          <w:lang w:eastAsia="en-ZA"/>
        </w:rPr>
        <w:t>Answering this question necessitates scrutini</w:t>
      </w:r>
      <w:r w:rsidR="0074196D">
        <w:rPr>
          <w:lang w:eastAsia="en-ZA"/>
        </w:rPr>
        <w:t>s</w:t>
      </w:r>
      <w:r w:rsidRPr="00A62E45">
        <w:rPr>
          <w:lang w:eastAsia="en-ZA"/>
        </w:rPr>
        <w:t xml:space="preserve">ing the facts.  Both the Tribunal and the </w:t>
      </w:r>
      <w:r w:rsidR="007D1A0C" w:rsidRPr="004D46AB">
        <w:t>Competition</w:t>
      </w:r>
      <w:r w:rsidR="007D1A0C">
        <w:t> </w:t>
      </w:r>
      <w:r w:rsidR="007D1A0C" w:rsidRPr="004D46AB">
        <w:t>Appeal Court</w:t>
      </w:r>
      <w:r w:rsidRPr="00A62E45">
        <w:rPr>
          <w:lang w:eastAsia="en-ZA"/>
        </w:rPr>
        <w:t xml:space="preserve"> in </w:t>
      </w:r>
      <w:r w:rsidR="00AF2E50">
        <w:rPr>
          <w:lang w:eastAsia="en-ZA"/>
        </w:rPr>
        <w:t>their</w:t>
      </w:r>
      <w:r w:rsidR="000F24A7">
        <w:rPr>
          <w:lang w:eastAsia="en-ZA"/>
        </w:rPr>
        <w:t xml:space="preserve"> </w:t>
      </w:r>
      <w:r w:rsidRPr="00A62E45">
        <w:rPr>
          <w:lang w:eastAsia="en-ZA"/>
        </w:rPr>
        <w:t>judgment</w:t>
      </w:r>
      <w:r w:rsidR="000F24A7">
        <w:rPr>
          <w:lang w:eastAsia="en-ZA"/>
        </w:rPr>
        <w:t>s</w:t>
      </w:r>
      <w:r w:rsidRPr="00A62E45">
        <w:rPr>
          <w:lang w:eastAsia="en-ZA"/>
        </w:rPr>
        <w:t xml:space="preserve"> have done so in great detail.  I have already alluded to the fact that w</w:t>
      </w:r>
      <w:r w:rsidRPr="00A62E45">
        <w:t xml:space="preserve">hen the respondents sought merger approval in 2014, the Commission </w:t>
      </w:r>
      <w:r w:rsidR="009A50AE">
        <w:t xml:space="preserve">clearly accepted </w:t>
      </w:r>
      <w:r w:rsidRPr="00A62E45">
        <w:t>that a two</w:t>
      </w:r>
      <w:r w:rsidR="009A50AE">
        <w:t>-</w:t>
      </w:r>
      <w:r w:rsidRPr="00A62E45">
        <w:t xml:space="preserve">phased transaction was contemplated which would result in HCI ultimately acquiring </w:t>
      </w:r>
      <w:r w:rsidRPr="00A62E45">
        <w:rPr>
          <w:i/>
          <w:iCs/>
        </w:rPr>
        <w:t>de jure</w:t>
      </w:r>
      <w:r w:rsidRPr="00A62E45">
        <w:t xml:space="preserve"> control of Tsogo </w:t>
      </w:r>
      <w:r w:rsidR="00596502">
        <w:t>“</w:t>
      </w:r>
      <w:r w:rsidRPr="00A62E45">
        <w:t>some</w:t>
      </w:r>
      <w:r w:rsidR="004E70D4">
        <w:t>where</w:t>
      </w:r>
      <w:r w:rsidRPr="00A62E45">
        <w:t xml:space="preserve"> in the future</w:t>
      </w:r>
      <w:r w:rsidR="00596502">
        <w:t>”.</w:t>
      </w:r>
      <w:r w:rsidR="00AA0CE2">
        <w:t xml:space="preserve"> </w:t>
      </w:r>
      <w:r w:rsidRPr="00A62E45">
        <w:t xml:space="preserve"> When the merger was notified, the </w:t>
      </w:r>
      <w:r w:rsidRPr="00A62E45">
        <w:rPr>
          <w:lang w:eastAsia="en-ZA"/>
        </w:rPr>
        <w:t>Commission investigated and commented on the merger on the basis that it would entail two</w:t>
      </w:r>
      <w:r w:rsidR="00AF2E50">
        <w:rPr>
          <w:lang w:eastAsia="en-ZA"/>
        </w:rPr>
        <w:noBreakHyphen/>
      </w:r>
      <w:r w:rsidRPr="00A62E45">
        <w:rPr>
          <w:lang w:eastAsia="en-ZA"/>
        </w:rPr>
        <w:t>phases:</w:t>
      </w:r>
    </w:p>
    <w:p w14:paraId="4C0EBF2B" w14:textId="77777777" w:rsidR="00F24D1F" w:rsidRPr="00F24D1F" w:rsidRDefault="00F24D1F" w:rsidP="00F24D1F">
      <w:pPr>
        <w:pStyle w:val="QUOTATION"/>
        <w:rPr>
          <w:lang w:eastAsia="en-ZA"/>
        </w:rPr>
      </w:pPr>
    </w:p>
    <w:p w14:paraId="03182FB8" w14:textId="77777777" w:rsidR="00D04440" w:rsidRPr="00A62E45" w:rsidRDefault="00D04440" w:rsidP="00AF2E50">
      <w:pPr>
        <w:pStyle w:val="QUOTEINFOOTNOTE"/>
      </w:pPr>
      <w:r>
        <w:t>“</w:t>
      </w:r>
      <w:r w:rsidRPr="00A62E45">
        <w:t>In terms of the first phase (the 2014 transaction), HCI will increase its interest in Tsogo from 39% to between 47% and 48% as a result of the withdrawal of SABMiller.</w:t>
      </w:r>
    </w:p>
    <w:p w14:paraId="51EB49A9" w14:textId="06772C7E" w:rsidR="00D04440" w:rsidRDefault="00D04440" w:rsidP="00837DFE">
      <w:pPr>
        <w:pStyle w:val="QUOTEINFOOTNOTE"/>
      </w:pPr>
      <w:r w:rsidRPr="00A62E45">
        <w:t>In terms of the second phase (somewhere in the future), HCI intended to increase its shareholding in Tsogo to beyond 50%.”</w:t>
      </w:r>
    </w:p>
    <w:p w14:paraId="4A75AB7E" w14:textId="77777777" w:rsidR="00D04440" w:rsidRDefault="00D04440" w:rsidP="008A698A">
      <w:pPr>
        <w:pStyle w:val="JUDGMENTCONTINUED"/>
        <w:spacing w:after="120"/>
        <w:ind w:left="1440" w:right="720" w:firstLine="720"/>
      </w:pPr>
    </w:p>
    <w:p w14:paraId="1F40DC1D" w14:textId="20DCB37E" w:rsidR="00D04440" w:rsidRDefault="00F44F8F" w:rsidP="000C7587">
      <w:pPr>
        <w:pStyle w:val="JUDGMENTNUMBERED"/>
        <w:numPr>
          <w:ilvl w:val="0"/>
          <w:numId w:val="6"/>
        </w:numPr>
      </w:pPr>
      <w:r>
        <w:t>In 2014, this two</w:t>
      </w:r>
      <w:r w:rsidR="008D0BBA">
        <w:t>-</w:t>
      </w:r>
      <w:r>
        <w:t xml:space="preserve">phased transaction was approved </w:t>
      </w:r>
      <w:r w:rsidR="007756FA">
        <w:t>by the Commission, in the</w:t>
      </w:r>
      <w:r>
        <w:t xml:space="preserve"> words of the </w:t>
      </w:r>
      <w:r w:rsidR="007D1A0C" w:rsidRPr="004D46AB">
        <w:t>Competition</w:t>
      </w:r>
      <w:r w:rsidR="007D1A0C">
        <w:t> </w:t>
      </w:r>
      <w:r w:rsidR="007D1A0C" w:rsidRPr="004D46AB">
        <w:t>Appeal Court</w:t>
      </w:r>
      <w:r>
        <w:t>, “on a forward-looking assessment of the likelihood of competition harm, and, in the public interest”.</w:t>
      </w:r>
      <w:r>
        <w:rPr>
          <w:rStyle w:val="FootnoteReference"/>
        </w:rPr>
        <w:footnoteReference w:id="34"/>
      </w:r>
      <w:r>
        <w:t xml:space="preserve"> </w:t>
      </w:r>
      <w:r w:rsidR="004D13B0">
        <w:t xml:space="preserve"> </w:t>
      </w:r>
      <w:r w:rsidR="00D04440" w:rsidRPr="00033C5B">
        <w:t>Further in the 2014</w:t>
      </w:r>
      <w:r w:rsidR="000D0067">
        <w:t> </w:t>
      </w:r>
      <w:r w:rsidR="00D04440" w:rsidRPr="00033C5B">
        <w:t xml:space="preserve"> report the Commission specifically recognised that the activities of Niveus were relevant to the proposed transaction and that, at the time, HCI already held 52% and thus </w:t>
      </w:r>
      <w:r w:rsidR="00D04440" w:rsidRPr="007B3FDB">
        <w:rPr>
          <w:i/>
        </w:rPr>
        <w:t>de jure</w:t>
      </w:r>
      <w:r w:rsidR="00D04440" w:rsidRPr="00033C5B">
        <w:t xml:space="preserve"> control of the gaming and leisure activities through Niveus.</w:t>
      </w:r>
    </w:p>
    <w:p w14:paraId="16490820" w14:textId="77777777" w:rsidR="00D04440" w:rsidRDefault="00D04440" w:rsidP="00D04440">
      <w:pPr>
        <w:pStyle w:val="JUDGMENTCONTINUED"/>
      </w:pPr>
    </w:p>
    <w:p w14:paraId="0AC960F6" w14:textId="367107D6" w:rsidR="00D04440" w:rsidRDefault="00D04440" w:rsidP="000C7587">
      <w:pPr>
        <w:pStyle w:val="JUDGMENTNUMBERED"/>
        <w:numPr>
          <w:ilvl w:val="0"/>
          <w:numId w:val="6"/>
        </w:numPr>
      </w:pPr>
      <w:r w:rsidRPr="00033C5B">
        <w:t xml:space="preserve">In essence three reasons were advanced </w:t>
      </w:r>
      <w:r w:rsidR="005C2937">
        <w:t xml:space="preserve">by the Tribunal in its advisory award </w:t>
      </w:r>
      <w:r w:rsidRPr="00033C5B">
        <w:t xml:space="preserve">as to why </w:t>
      </w:r>
      <w:r w:rsidR="00217340">
        <w:t xml:space="preserve">the latest transaction </w:t>
      </w:r>
      <w:r w:rsidRPr="00033C5B">
        <w:t>was a notifiable merger</w:t>
      </w:r>
      <w:r w:rsidR="00020C1E">
        <w:t>.</w:t>
      </w:r>
      <w:r w:rsidR="00AA0CE2">
        <w:t xml:space="preserve"> </w:t>
      </w:r>
      <w:r w:rsidR="002057A0">
        <w:t xml:space="preserve"> </w:t>
      </w:r>
      <w:r w:rsidRPr="00033C5B">
        <w:t xml:space="preserve">The first is the fact that HCI would be crossing a bright line by increasing its shareholding to more than 50%.  </w:t>
      </w:r>
      <w:r w:rsidR="008C67BC">
        <w:t>A</w:t>
      </w:r>
      <w:r w:rsidRPr="00033C5B">
        <w:t>ccording to the Commission</w:t>
      </w:r>
      <w:r w:rsidR="008C67BC">
        <w:t>, this</w:t>
      </w:r>
      <w:r w:rsidRPr="00033C5B">
        <w:t xml:space="preserve"> has definite legal implications.  The second is that since 2014 market structures had changed (</w:t>
      </w:r>
      <w:r w:rsidR="00000EE4">
        <w:t>because of</w:t>
      </w:r>
      <w:r w:rsidRPr="00033C5B">
        <w:t xml:space="preserve"> </w:t>
      </w:r>
      <w:r w:rsidR="00AF2E50">
        <w:t xml:space="preserve">the </w:t>
      </w:r>
      <w:r w:rsidRPr="00033C5B">
        <w:t xml:space="preserve">time lapse). </w:t>
      </w:r>
      <w:r w:rsidR="00AA0CE2">
        <w:t xml:space="preserve"> </w:t>
      </w:r>
      <w:r w:rsidRPr="00033C5B">
        <w:t>The third is that the transaction involved a different firm and that other factors would be relevant such as the public interest</w:t>
      </w:r>
      <w:r>
        <w:t xml:space="preserve"> and employment consideration</w:t>
      </w:r>
      <w:r w:rsidR="00BE50AD">
        <w:t>s</w:t>
      </w:r>
      <w:r>
        <w:t>.</w:t>
      </w:r>
    </w:p>
    <w:p w14:paraId="6A996CB8" w14:textId="77777777" w:rsidR="00D04440" w:rsidRPr="00033C5B" w:rsidRDefault="00D04440" w:rsidP="00D04440">
      <w:pPr>
        <w:pStyle w:val="JUDGMENTCONTINUED"/>
        <w:rPr>
          <w:szCs w:val="26"/>
        </w:rPr>
      </w:pPr>
    </w:p>
    <w:p w14:paraId="08A4DE7C" w14:textId="0898977A" w:rsidR="00D04440" w:rsidRDefault="00D04440" w:rsidP="000C7587">
      <w:pPr>
        <w:pStyle w:val="JUDGMENTNUMBERED"/>
        <w:numPr>
          <w:ilvl w:val="0"/>
          <w:numId w:val="6"/>
        </w:numPr>
        <w:rPr>
          <w:lang w:eastAsia="en-ZA"/>
        </w:rPr>
      </w:pPr>
      <w:r w:rsidRPr="00033C5B">
        <w:rPr>
          <w:lang w:eastAsia="en-ZA"/>
        </w:rPr>
        <w:lastRenderedPageBreak/>
        <w:t>A comparison between the pre- and post-transaction structures confirms that the corporate structure changed significantly post transaction.</w:t>
      </w:r>
      <w:r w:rsidR="00DA6657">
        <w:rPr>
          <w:lang w:eastAsia="en-ZA"/>
        </w:rPr>
        <w:t xml:space="preserve"> </w:t>
      </w:r>
      <w:r w:rsidRPr="00033C5B">
        <w:rPr>
          <w:lang w:eastAsia="en-ZA"/>
        </w:rPr>
        <w:t xml:space="preserve"> The question remains whether th</w:t>
      </w:r>
      <w:r w:rsidR="00AF2E50">
        <w:rPr>
          <w:lang w:eastAsia="en-ZA"/>
        </w:rPr>
        <w:t>e</w:t>
      </w:r>
      <w:r w:rsidRPr="00033C5B">
        <w:rPr>
          <w:lang w:eastAsia="en-ZA"/>
        </w:rPr>
        <w:t xml:space="preserve"> subsequent transaction falls within the ambit of section 12(1) of the Act and constitutes a “merger” for purposes of the Act.</w:t>
      </w:r>
    </w:p>
    <w:p w14:paraId="37F7F4AB" w14:textId="77777777" w:rsidR="00D04440" w:rsidRDefault="00D04440" w:rsidP="00D04440">
      <w:pPr>
        <w:pStyle w:val="JUDGMENTCONTINUED"/>
        <w:rPr>
          <w:lang w:eastAsia="en-ZA"/>
        </w:rPr>
      </w:pPr>
    </w:p>
    <w:p w14:paraId="3E7211BF" w14:textId="59E7F8DC" w:rsidR="00D04440" w:rsidRDefault="00D04440" w:rsidP="000C7587">
      <w:pPr>
        <w:pStyle w:val="JUDGMENTNUMBERED"/>
        <w:numPr>
          <w:ilvl w:val="0"/>
          <w:numId w:val="6"/>
        </w:numPr>
        <w:rPr>
          <w:lang w:eastAsia="en-ZA"/>
        </w:rPr>
      </w:pPr>
      <w:r w:rsidRPr="00033C5B">
        <w:rPr>
          <w:lang w:eastAsia="en-ZA"/>
        </w:rPr>
        <w:t xml:space="preserve">First, regarding the submission that a transaction becomes notifiable if it crosses the bright line contemplated in </w:t>
      </w:r>
      <w:r w:rsidR="00AF2E50">
        <w:rPr>
          <w:lang w:eastAsia="en-ZA"/>
        </w:rPr>
        <w:t>sub</w:t>
      </w:r>
      <w:r w:rsidRPr="00033C5B">
        <w:rPr>
          <w:lang w:eastAsia="en-ZA"/>
        </w:rPr>
        <w:t>section 12</w:t>
      </w:r>
      <w:r w:rsidR="00AF2E50">
        <w:rPr>
          <w:lang w:eastAsia="en-ZA"/>
        </w:rPr>
        <w:t>(2)</w:t>
      </w:r>
      <w:r w:rsidRPr="00033C5B">
        <w:rPr>
          <w:lang w:eastAsia="en-ZA"/>
        </w:rPr>
        <w:t>(a) (</w:t>
      </w:r>
      <w:r w:rsidR="004D63D9">
        <w:rPr>
          <w:i/>
          <w:lang w:eastAsia="en-ZA"/>
        </w:rPr>
        <w:t>de jure</w:t>
      </w:r>
      <w:r w:rsidRPr="00033C5B">
        <w:rPr>
          <w:lang w:eastAsia="en-ZA"/>
        </w:rPr>
        <w:t xml:space="preserve"> control), as already indicated, </w:t>
      </w:r>
      <w:r>
        <w:rPr>
          <w:lang w:eastAsia="en-ZA"/>
        </w:rPr>
        <w:t xml:space="preserve">once </w:t>
      </w:r>
      <w:r w:rsidR="00271551" w:rsidRPr="00033C5B">
        <w:rPr>
          <w:lang w:eastAsia="en-ZA"/>
        </w:rPr>
        <w:t xml:space="preserve">control </w:t>
      </w:r>
      <w:r w:rsidR="00271551">
        <w:rPr>
          <w:lang w:eastAsia="en-ZA"/>
        </w:rPr>
        <w:t>has</w:t>
      </w:r>
      <w:r>
        <w:rPr>
          <w:lang w:eastAsia="en-ZA"/>
        </w:rPr>
        <w:t xml:space="preserve"> been</w:t>
      </w:r>
      <w:r w:rsidR="004E70D4">
        <w:rPr>
          <w:lang w:eastAsia="en-ZA"/>
        </w:rPr>
        <w:t xml:space="preserve"> </w:t>
      </w:r>
      <w:r w:rsidRPr="00033C5B">
        <w:rPr>
          <w:lang w:eastAsia="en-ZA"/>
        </w:rPr>
        <w:t>acquired</w:t>
      </w:r>
      <w:r>
        <w:rPr>
          <w:lang w:eastAsia="en-ZA"/>
        </w:rPr>
        <w:t xml:space="preserve"> there is no</w:t>
      </w:r>
      <w:r w:rsidRPr="00033C5B">
        <w:rPr>
          <w:lang w:eastAsia="en-ZA"/>
        </w:rPr>
        <w:t xml:space="preserve"> </w:t>
      </w:r>
      <w:r w:rsidR="00271551" w:rsidRPr="00033C5B">
        <w:rPr>
          <w:lang w:eastAsia="en-ZA"/>
        </w:rPr>
        <w:t xml:space="preserve">need </w:t>
      </w:r>
      <w:r w:rsidR="00271551">
        <w:rPr>
          <w:lang w:eastAsia="en-ZA"/>
        </w:rPr>
        <w:t>to</w:t>
      </w:r>
      <w:r>
        <w:rPr>
          <w:lang w:eastAsia="en-ZA"/>
        </w:rPr>
        <w:t xml:space="preserve"> </w:t>
      </w:r>
      <w:r w:rsidR="006415A3">
        <w:rPr>
          <w:lang w:eastAsia="en-ZA"/>
        </w:rPr>
        <w:t>re-</w:t>
      </w:r>
      <w:r>
        <w:rPr>
          <w:lang w:eastAsia="en-ZA"/>
        </w:rPr>
        <w:t xml:space="preserve">notify </w:t>
      </w:r>
      <w:r w:rsidR="006415A3">
        <w:rPr>
          <w:lang w:eastAsia="en-ZA"/>
        </w:rPr>
        <w:t xml:space="preserve">simply because the quality of control changes from </w:t>
      </w:r>
      <w:r w:rsidR="004D63D9">
        <w:rPr>
          <w:i/>
          <w:lang w:eastAsia="en-ZA"/>
        </w:rPr>
        <w:t xml:space="preserve">de facto </w:t>
      </w:r>
      <w:r w:rsidR="006415A3">
        <w:rPr>
          <w:lang w:eastAsia="en-ZA"/>
        </w:rPr>
        <w:t xml:space="preserve">to </w:t>
      </w:r>
      <w:r w:rsidR="004D63D9" w:rsidRPr="004D63D9">
        <w:rPr>
          <w:i/>
          <w:lang w:eastAsia="en-ZA"/>
        </w:rPr>
        <w:t>de jure</w:t>
      </w:r>
      <w:r w:rsidR="004D63D9">
        <w:rPr>
          <w:lang w:eastAsia="en-ZA"/>
        </w:rPr>
        <w:t xml:space="preserve"> </w:t>
      </w:r>
      <w:r w:rsidR="006415A3">
        <w:rPr>
          <w:lang w:eastAsia="en-ZA"/>
        </w:rPr>
        <w:t>control</w:t>
      </w:r>
      <w:r w:rsidR="008C67BC">
        <w:rPr>
          <w:lang w:eastAsia="en-ZA"/>
        </w:rPr>
        <w:t xml:space="preserve">. </w:t>
      </w:r>
      <w:r w:rsidR="001C5E8E">
        <w:rPr>
          <w:lang w:eastAsia="en-ZA"/>
        </w:rPr>
        <w:t xml:space="preserve"> </w:t>
      </w:r>
      <w:r w:rsidR="008C67BC">
        <w:rPr>
          <w:lang w:eastAsia="en-ZA"/>
        </w:rPr>
        <w:t>This accords</w:t>
      </w:r>
      <w:r w:rsidR="006415A3">
        <w:rPr>
          <w:lang w:eastAsia="en-ZA"/>
        </w:rPr>
        <w:t xml:space="preserve"> </w:t>
      </w:r>
      <w:r w:rsidRPr="00033C5B">
        <w:rPr>
          <w:lang w:eastAsia="en-ZA"/>
        </w:rPr>
        <w:t xml:space="preserve">with the </w:t>
      </w:r>
      <w:r w:rsidRPr="00FF2AF7">
        <w:rPr>
          <w:lang w:eastAsia="en-ZA"/>
        </w:rPr>
        <w:t>once-</w:t>
      </w:r>
      <w:r w:rsidR="00AF2E50">
        <w:rPr>
          <w:lang w:eastAsia="en-ZA"/>
        </w:rPr>
        <w:t> </w:t>
      </w:r>
      <w:r w:rsidRPr="00FF2AF7">
        <w:rPr>
          <w:lang w:eastAsia="en-ZA"/>
        </w:rPr>
        <w:t>off</w:t>
      </w:r>
      <w:r w:rsidRPr="00033C5B">
        <w:rPr>
          <w:lang w:eastAsia="en-ZA"/>
        </w:rPr>
        <w:t xml:space="preserve"> p</w:t>
      </w:r>
      <w:r w:rsidR="007756FA">
        <w:rPr>
          <w:lang w:eastAsia="en-ZA"/>
        </w:rPr>
        <w:t>rinciple</w:t>
      </w:r>
      <w:r w:rsidR="00AA0CE2">
        <w:rPr>
          <w:lang w:eastAsia="en-ZA"/>
        </w:rPr>
        <w:t>.</w:t>
      </w:r>
      <w:r>
        <w:rPr>
          <w:lang w:eastAsia="en-ZA"/>
        </w:rPr>
        <w:t xml:space="preserve"> </w:t>
      </w:r>
      <w:r w:rsidRPr="00033C5B">
        <w:rPr>
          <w:lang w:eastAsia="en-ZA"/>
        </w:rPr>
        <w:t xml:space="preserve"> Moreover, at the time the </w:t>
      </w:r>
      <w:r w:rsidR="004525AC">
        <w:rPr>
          <w:lang w:eastAsia="en-ZA"/>
        </w:rPr>
        <w:t>Commission evaluated</w:t>
      </w:r>
      <w:r w:rsidRPr="00033C5B">
        <w:rPr>
          <w:lang w:eastAsia="en-ZA"/>
        </w:rPr>
        <w:t xml:space="preserve"> the merger transaction in 2014</w:t>
      </w:r>
      <w:r w:rsidR="008C67BC">
        <w:rPr>
          <w:lang w:eastAsia="en-ZA"/>
        </w:rPr>
        <w:t>,</w:t>
      </w:r>
      <w:r w:rsidRPr="00033C5B">
        <w:rPr>
          <w:lang w:eastAsia="en-ZA"/>
        </w:rPr>
        <w:t xml:space="preserve"> </w:t>
      </w:r>
      <w:r w:rsidR="00D402B5">
        <w:rPr>
          <w:lang w:eastAsia="en-ZA"/>
        </w:rPr>
        <w:t>they</w:t>
      </w:r>
      <w:r w:rsidRPr="00033C5B">
        <w:rPr>
          <w:lang w:eastAsia="en-ZA"/>
        </w:rPr>
        <w:t xml:space="preserve"> </w:t>
      </w:r>
      <w:r>
        <w:rPr>
          <w:lang w:eastAsia="en-ZA"/>
        </w:rPr>
        <w:t xml:space="preserve">did </w:t>
      </w:r>
      <w:r w:rsidRPr="00033C5B">
        <w:rPr>
          <w:lang w:eastAsia="en-ZA"/>
        </w:rPr>
        <w:t xml:space="preserve">so with knowledge of the intended transaction to acquire </w:t>
      </w:r>
      <w:r w:rsidRPr="007B3FDB">
        <w:rPr>
          <w:i/>
          <w:lang w:eastAsia="en-ZA"/>
        </w:rPr>
        <w:t>de jure</w:t>
      </w:r>
      <w:r w:rsidRPr="00033C5B">
        <w:rPr>
          <w:lang w:eastAsia="en-ZA"/>
        </w:rPr>
        <w:t xml:space="preserve"> control</w:t>
      </w:r>
      <w:r>
        <w:rPr>
          <w:lang w:eastAsia="en-ZA"/>
        </w:rPr>
        <w:t>.</w:t>
      </w:r>
      <w:r w:rsidR="00BB60CC" w:rsidRPr="00BB60CC">
        <w:rPr>
          <w:lang w:eastAsia="en-ZA"/>
        </w:rPr>
        <w:t xml:space="preserve"> </w:t>
      </w:r>
      <w:r w:rsidR="00BB60CC">
        <w:rPr>
          <w:lang w:eastAsia="en-ZA"/>
        </w:rPr>
        <w:t xml:space="preserve"> </w:t>
      </w:r>
      <w:r w:rsidR="00BB60CC" w:rsidRPr="00033C5B">
        <w:rPr>
          <w:lang w:eastAsia="en-ZA"/>
        </w:rPr>
        <w:t xml:space="preserve">If there </w:t>
      </w:r>
      <w:r w:rsidR="00BB60CC">
        <w:rPr>
          <w:lang w:eastAsia="en-ZA"/>
        </w:rPr>
        <w:t>is</w:t>
      </w:r>
      <w:r w:rsidR="00BB60CC" w:rsidRPr="00033C5B">
        <w:rPr>
          <w:lang w:eastAsia="en-ZA"/>
        </w:rPr>
        <w:t xml:space="preserve"> no merger, then the transaction is not notifiable.</w:t>
      </w:r>
    </w:p>
    <w:p w14:paraId="391FAD1F" w14:textId="77777777" w:rsidR="00D04440" w:rsidRDefault="00D04440" w:rsidP="00D04440">
      <w:pPr>
        <w:pStyle w:val="JUDGMENTCONTINUED"/>
        <w:rPr>
          <w:lang w:eastAsia="en-ZA"/>
        </w:rPr>
      </w:pPr>
    </w:p>
    <w:p w14:paraId="50A44FC2" w14:textId="40A12D52" w:rsidR="00853D86" w:rsidRDefault="00D04440" w:rsidP="000C7587">
      <w:pPr>
        <w:pStyle w:val="JUDGMENTNUMBERED"/>
        <w:numPr>
          <w:ilvl w:val="0"/>
          <w:numId w:val="6"/>
        </w:numPr>
        <w:rPr>
          <w:lang w:eastAsia="en-ZA"/>
        </w:rPr>
      </w:pPr>
      <w:r w:rsidRPr="00033C5B">
        <w:rPr>
          <w:lang w:eastAsia="en-ZA"/>
        </w:rPr>
        <w:t xml:space="preserve">Second, regarding the submission that the transaction in 2014 displayed a very different character from </w:t>
      </w:r>
      <w:r w:rsidR="00000EE4">
        <w:rPr>
          <w:lang w:eastAsia="en-ZA"/>
        </w:rPr>
        <w:t>that</w:t>
      </w:r>
      <w:r w:rsidRPr="00033C5B">
        <w:rPr>
          <w:lang w:eastAsia="en-ZA"/>
        </w:rPr>
        <w:t xml:space="preserve"> in 20</w:t>
      </w:r>
      <w:r w:rsidR="00AF796A" w:rsidRPr="00033C5B">
        <w:rPr>
          <w:lang w:eastAsia="en-ZA"/>
        </w:rPr>
        <w:t>17</w:t>
      </w:r>
      <w:r w:rsidR="00FF2AF7">
        <w:rPr>
          <w:lang w:eastAsia="en-ZA"/>
        </w:rPr>
        <w:t xml:space="preserve">, this </w:t>
      </w:r>
      <w:r w:rsidR="00130011">
        <w:rPr>
          <w:lang w:eastAsia="en-ZA"/>
        </w:rPr>
        <w:t xml:space="preserve">Court accepts that the Commission retains its wide powers under the Act to investigate any past merger transaction. </w:t>
      </w:r>
      <w:r w:rsidR="006C200B">
        <w:rPr>
          <w:lang w:eastAsia="en-ZA"/>
        </w:rPr>
        <w:t xml:space="preserve"> </w:t>
      </w:r>
      <w:r w:rsidR="00AF796A">
        <w:rPr>
          <w:lang w:eastAsia="en-ZA"/>
        </w:rPr>
        <w:t>If</w:t>
      </w:r>
      <w:r w:rsidR="00FF2AF7">
        <w:rPr>
          <w:lang w:eastAsia="en-ZA"/>
        </w:rPr>
        <w:t xml:space="preserve"> </w:t>
      </w:r>
      <w:r w:rsidR="00AF796A">
        <w:rPr>
          <w:lang w:eastAsia="en-ZA"/>
        </w:rPr>
        <w:t>HCI and Tsogo</w:t>
      </w:r>
      <w:r w:rsidR="00FF2AF7">
        <w:rPr>
          <w:lang w:eastAsia="en-ZA"/>
        </w:rPr>
        <w:t>,</w:t>
      </w:r>
      <w:r w:rsidR="00AF796A">
        <w:rPr>
          <w:lang w:eastAsia="en-ZA"/>
        </w:rPr>
        <w:t xml:space="preserve"> in implementing the 2017 transaction (phase 2 of the 2014 merger)</w:t>
      </w:r>
      <w:r w:rsidR="00FF2AF7">
        <w:rPr>
          <w:lang w:eastAsia="en-ZA"/>
        </w:rPr>
        <w:t>,</w:t>
      </w:r>
      <w:r w:rsidR="00AF796A">
        <w:rPr>
          <w:lang w:eastAsia="en-ZA"/>
        </w:rPr>
        <w:t xml:space="preserve"> act in a manner that results in adverse effects on employment</w:t>
      </w:r>
      <w:r w:rsidR="00623343">
        <w:rPr>
          <w:lang w:eastAsia="en-ZA"/>
        </w:rPr>
        <w:t xml:space="preserve"> for instance</w:t>
      </w:r>
      <w:r w:rsidR="00FF2AF7">
        <w:rPr>
          <w:lang w:eastAsia="en-ZA"/>
        </w:rPr>
        <w:t xml:space="preserve">, </w:t>
      </w:r>
      <w:r w:rsidR="00AF796A">
        <w:rPr>
          <w:lang w:eastAsia="en-ZA"/>
        </w:rPr>
        <w:t xml:space="preserve">then the Commission may revoke its approval in terms of section </w:t>
      </w:r>
      <w:r w:rsidR="00AF796A" w:rsidRPr="000E1B93">
        <w:rPr>
          <w:lang w:eastAsia="en-ZA"/>
        </w:rPr>
        <w:t>16(3) read with section 15 of the Act</w:t>
      </w:r>
      <w:r w:rsidR="00130011">
        <w:rPr>
          <w:rStyle w:val="FootnoteReference"/>
          <w:lang w:eastAsia="en-ZA"/>
        </w:rPr>
        <w:footnoteReference w:id="35"/>
      </w:r>
      <w:r w:rsidR="00880192">
        <w:rPr>
          <w:lang w:eastAsia="en-ZA"/>
        </w:rPr>
        <w:t xml:space="preserve"> </w:t>
      </w:r>
      <w:r w:rsidR="002207B5">
        <w:rPr>
          <w:lang w:eastAsia="en-ZA"/>
        </w:rPr>
        <w:t xml:space="preserve">that </w:t>
      </w:r>
      <w:r w:rsidR="00AA490D">
        <w:rPr>
          <w:lang w:eastAsia="en-ZA"/>
        </w:rPr>
        <w:lastRenderedPageBreak/>
        <w:t xml:space="preserve">empowers the Commission to revoke its own decision to </w:t>
      </w:r>
      <w:r w:rsidR="00396E42">
        <w:rPr>
          <w:lang w:eastAsia="en-ZA"/>
        </w:rPr>
        <w:t xml:space="preserve">approve </w:t>
      </w:r>
      <w:r w:rsidR="00AA490D">
        <w:rPr>
          <w:lang w:eastAsia="en-ZA"/>
        </w:rPr>
        <w:t>or conditionally approve mergers.</w:t>
      </w:r>
    </w:p>
    <w:p w14:paraId="1AB7B539" w14:textId="77777777" w:rsidR="00171105" w:rsidRPr="00171105" w:rsidRDefault="00171105" w:rsidP="00171105">
      <w:pPr>
        <w:pStyle w:val="JUDGMENTCONTINUED"/>
        <w:rPr>
          <w:lang w:eastAsia="en-ZA"/>
        </w:rPr>
      </w:pPr>
    </w:p>
    <w:p w14:paraId="0CFBF76B" w14:textId="7D51101C" w:rsidR="00894FF3" w:rsidRDefault="00853D86" w:rsidP="000C7587">
      <w:pPr>
        <w:pStyle w:val="JUDGMENTNUMBERED"/>
        <w:numPr>
          <w:ilvl w:val="0"/>
          <w:numId w:val="6"/>
        </w:numPr>
        <w:rPr>
          <w:lang w:eastAsia="en-ZA"/>
        </w:rPr>
      </w:pPr>
      <w:r>
        <w:rPr>
          <w:lang w:eastAsia="en-ZA"/>
        </w:rPr>
        <w:t>Third, t</w:t>
      </w:r>
      <w:r w:rsidR="00D04440" w:rsidRPr="00033C5B">
        <w:rPr>
          <w:lang w:eastAsia="en-ZA"/>
        </w:rPr>
        <w:t xml:space="preserve">he </w:t>
      </w:r>
      <w:r w:rsidR="005B400C">
        <w:rPr>
          <w:lang w:eastAsia="en-ZA"/>
        </w:rPr>
        <w:t>Commission</w:t>
      </w:r>
      <w:r w:rsidR="005B400C" w:rsidRPr="00033C5B">
        <w:rPr>
          <w:lang w:eastAsia="en-ZA"/>
        </w:rPr>
        <w:t xml:space="preserve"> </w:t>
      </w:r>
      <w:r w:rsidR="00D04440" w:rsidRPr="00033C5B">
        <w:rPr>
          <w:lang w:eastAsia="en-ZA"/>
        </w:rPr>
        <w:t xml:space="preserve">submitted that the 2014 transaction merely involved the </w:t>
      </w:r>
      <w:r w:rsidR="004525AC">
        <w:rPr>
          <w:lang w:eastAsia="en-ZA"/>
        </w:rPr>
        <w:t>acquisition of</w:t>
      </w:r>
      <w:r w:rsidR="00D04440" w:rsidRPr="00033C5B">
        <w:rPr>
          <w:lang w:eastAsia="en-ZA"/>
        </w:rPr>
        <w:t xml:space="preserve"> additional shares whereas the 2017 transaction involves </w:t>
      </w:r>
      <w:r w:rsidR="00596502">
        <w:rPr>
          <w:lang w:eastAsia="en-ZA"/>
        </w:rPr>
        <w:t>a transfer of the business Game</w:t>
      </w:r>
      <w:r w:rsidR="00D04440" w:rsidRPr="00033C5B">
        <w:rPr>
          <w:lang w:eastAsia="en-ZA"/>
        </w:rPr>
        <w:t>Co which currently holds HCI’s gaming interest to another entity Tsogo.  The result would be that Niveus would no longe</w:t>
      </w:r>
      <w:r w:rsidR="0010409E">
        <w:rPr>
          <w:lang w:eastAsia="en-ZA"/>
        </w:rPr>
        <w:t>r control GameCo but that Game</w:t>
      </w:r>
      <w:r w:rsidR="00D04440" w:rsidRPr="00033C5B">
        <w:rPr>
          <w:lang w:eastAsia="en-ZA"/>
        </w:rPr>
        <w:t xml:space="preserve">Co will be directly controlled by Tsogo with a shareholding of between 75% - 100%.  The </w:t>
      </w:r>
      <w:r w:rsidR="0010409E">
        <w:rPr>
          <w:lang w:eastAsia="en-ZA"/>
        </w:rPr>
        <w:t>Commission</w:t>
      </w:r>
      <w:r w:rsidR="00D04440" w:rsidRPr="00033C5B">
        <w:rPr>
          <w:lang w:eastAsia="en-ZA"/>
        </w:rPr>
        <w:t xml:space="preserve"> persisted with this submission in this Court.</w:t>
      </w:r>
    </w:p>
    <w:p w14:paraId="3BE3FD80" w14:textId="77777777" w:rsidR="00894FF3" w:rsidRPr="00894FF3" w:rsidRDefault="00894FF3" w:rsidP="009F2512">
      <w:pPr>
        <w:pStyle w:val="JUDGMENTCONTINUED"/>
        <w:rPr>
          <w:lang w:eastAsia="en-ZA"/>
        </w:rPr>
      </w:pPr>
    </w:p>
    <w:p w14:paraId="62A4889B" w14:textId="2CB47DC2" w:rsidR="001F5A95" w:rsidRDefault="00D04440" w:rsidP="000C7587">
      <w:pPr>
        <w:pStyle w:val="JUDGMENTNUMBERED"/>
        <w:numPr>
          <w:ilvl w:val="0"/>
          <w:numId w:val="6"/>
        </w:numPr>
        <w:rPr>
          <w:lang w:eastAsia="en-ZA"/>
        </w:rPr>
      </w:pPr>
      <w:r w:rsidRPr="00033C5B">
        <w:rPr>
          <w:lang w:eastAsia="en-ZA"/>
        </w:rPr>
        <w:t xml:space="preserve">There is no merit in this submission. </w:t>
      </w:r>
      <w:r>
        <w:rPr>
          <w:lang w:eastAsia="en-ZA"/>
        </w:rPr>
        <w:t xml:space="preserve"> </w:t>
      </w:r>
      <w:r w:rsidRPr="00033C5B">
        <w:rPr>
          <w:lang w:eastAsia="en-ZA"/>
        </w:rPr>
        <w:t>Section 12(1)(b) contemplates that a merger in terms of section 12(1)(a) may be achieved not only by the purchase or lease of shares</w:t>
      </w:r>
      <w:r w:rsidR="00A93C46">
        <w:rPr>
          <w:rStyle w:val="FootnoteReference"/>
          <w:lang w:eastAsia="en-ZA"/>
        </w:rPr>
        <w:footnoteReference w:id="36"/>
      </w:r>
      <w:r w:rsidR="00A93C46">
        <w:rPr>
          <w:lang w:eastAsia="en-ZA"/>
        </w:rPr>
        <w:t xml:space="preserve"> </w:t>
      </w:r>
      <w:r w:rsidRPr="00033C5B">
        <w:rPr>
          <w:lang w:eastAsia="en-ZA"/>
        </w:rPr>
        <w:t>but also through the amalgamation or other combination with the other firm in question</w:t>
      </w:r>
      <w:r w:rsidR="00A93C46">
        <w:rPr>
          <w:lang w:eastAsia="en-ZA"/>
        </w:rPr>
        <w:t xml:space="preserve"> </w:t>
      </w:r>
      <w:r w:rsidR="00A93C46">
        <w:rPr>
          <w:rStyle w:val="FootnoteReference"/>
          <w:lang w:eastAsia="en-ZA"/>
        </w:rPr>
        <w:footnoteReference w:id="37"/>
      </w:r>
      <w:r w:rsidRPr="00033C5B">
        <w:rPr>
          <w:lang w:eastAsia="en-ZA"/>
        </w:rPr>
        <w:t xml:space="preserve">. </w:t>
      </w:r>
      <w:r>
        <w:rPr>
          <w:lang w:eastAsia="en-ZA"/>
        </w:rPr>
        <w:t xml:space="preserve"> </w:t>
      </w:r>
      <w:r w:rsidRPr="00033C5B">
        <w:rPr>
          <w:lang w:eastAsia="en-ZA"/>
        </w:rPr>
        <w:t>Moreover, if regard is had to the 2014 report it was made clear that what was under consideration was a merger between HCI’s hotel and casino interests held in Tsogo and HCI’s other gaming interest held in Niveus.</w:t>
      </w:r>
      <w:r w:rsidR="001F5A95">
        <w:rPr>
          <w:lang w:eastAsia="en-ZA"/>
        </w:rPr>
        <w:t xml:space="preserve">  The 2017 transaction is therefore not notifiable and formed par</w:t>
      </w:r>
      <w:r w:rsidR="002057A0">
        <w:rPr>
          <w:lang w:eastAsia="en-ZA"/>
        </w:rPr>
        <w:t>t of the 2014 merger approval.</w:t>
      </w:r>
    </w:p>
    <w:p w14:paraId="3ABBB5ED" w14:textId="77777777" w:rsidR="001F5A95" w:rsidRDefault="001F5A95" w:rsidP="001129D5">
      <w:pPr>
        <w:pStyle w:val="JUDGMENTCONTINUED"/>
        <w:rPr>
          <w:lang w:eastAsia="en-ZA"/>
        </w:rPr>
      </w:pPr>
    </w:p>
    <w:p w14:paraId="3510DABE" w14:textId="7BDE13EE" w:rsidR="001F5A95" w:rsidRPr="001F5A95" w:rsidRDefault="001F5A95" w:rsidP="00327A4D">
      <w:pPr>
        <w:pStyle w:val="HEADING"/>
        <w:rPr>
          <w:lang w:eastAsia="en-ZA"/>
        </w:rPr>
      </w:pPr>
      <w:r>
        <w:rPr>
          <w:lang w:eastAsia="en-ZA"/>
        </w:rPr>
        <w:t>Revocation powers of the Commission under sections 15 and 16 of the Act</w:t>
      </w:r>
    </w:p>
    <w:p w14:paraId="61AFEC80" w14:textId="4D501DBE" w:rsidR="001F5A95" w:rsidRDefault="00C37EF2" w:rsidP="000C7587">
      <w:pPr>
        <w:pStyle w:val="JUDGMENTNUMBERED"/>
        <w:numPr>
          <w:ilvl w:val="0"/>
          <w:numId w:val="6"/>
        </w:numPr>
        <w:rPr>
          <w:lang w:eastAsia="en-ZA"/>
        </w:rPr>
      </w:pPr>
      <w:r>
        <w:rPr>
          <w:lang w:eastAsia="en-ZA"/>
        </w:rPr>
        <w:t>P</w:t>
      </w:r>
      <w:r w:rsidR="00526098" w:rsidRPr="00526098">
        <w:rPr>
          <w:lang w:eastAsia="en-ZA"/>
        </w:rPr>
        <w:t>ursuant to section 15(1)(c)</w:t>
      </w:r>
      <w:r w:rsidR="00526098">
        <w:rPr>
          <w:lang w:eastAsia="en-ZA"/>
        </w:rPr>
        <w:t>,</w:t>
      </w:r>
      <w:r w:rsidR="001F5A95">
        <w:rPr>
          <w:lang w:eastAsia="en-ZA"/>
        </w:rPr>
        <w:t xml:space="preserve"> the Commission retains its powers to revoke its approval of the 2014 merger if a firm has breached an obligation</w:t>
      </w:r>
      <w:r w:rsidR="00327A4D">
        <w:rPr>
          <w:lang w:eastAsia="en-ZA"/>
        </w:rPr>
        <w:t xml:space="preserve"> attached to</w:t>
      </w:r>
      <w:r w:rsidR="00507418">
        <w:rPr>
          <w:lang w:eastAsia="en-ZA"/>
        </w:rPr>
        <w:t xml:space="preserve"> the approval</w:t>
      </w:r>
      <w:r w:rsidR="00327A4D">
        <w:rPr>
          <w:lang w:eastAsia="en-ZA"/>
        </w:rPr>
        <w:t>.</w:t>
      </w:r>
    </w:p>
    <w:p w14:paraId="55FAF05A" w14:textId="77777777" w:rsidR="00D04440" w:rsidRPr="00033C5B" w:rsidRDefault="00D04440" w:rsidP="00D04440">
      <w:pPr>
        <w:pStyle w:val="JUDGMENTCONTINUED"/>
        <w:rPr>
          <w:lang w:eastAsia="en-ZA"/>
        </w:rPr>
      </w:pPr>
    </w:p>
    <w:p w14:paraId="4E51D3B5" w14:textId="374B8E62" w:rsidR="00741206" w:rsidRDefault="00000EE4" w:rsidP="000C7587">
      <w:pPr>
        <w:pStyle w:val="JUDGMENTNUMBERED"/>
        <w:numPr>
          <w:ilvl w:val="0"/>
          <w:numId w:val="6"/>
        </w:numPr>
        <w:rPr>
          <w:lang w:eastAsia="en-ZA"/>
        </w:rPr>
      </w:pPr>
      <w:r>
        <w:rPr>
          <w:lang w:eastAsia="en-ZA"/>
        </w:rPr>
        <w:t>T</w:t>
      </w:r>
      <w:r w:rsidR="00D04440" w:rsidRPr="00033C5B">
        <w:rPr>
          <w:lang w:eastAsia="en-ZA"/>
        </w:rPr>
        <w:t xml:space="preserve">he submission that the </w:t>
      </w:r>
      <w:r w:rsidR="009F2512" w:rsidRPr="00033C5B">
        <w:rPr>
          <w:lang w:eastAsia="en-ZA"/>
        </w:rPr>
        <w:t>Commission should</w:t>
      </w:r>
      <w:r w:rsidR="00D04440" w:rsidRPr="00033C5B">
        <w:rPr>
          <w:lang w:eastAsia="en-ZA"/>
        </w:rPr>
        <w:t xml:space="preserve"> be </w:t>
      </w:r>
      <w:r w:rsidR="002207B5">
        <w:rPr>
          <w:lang w:eastAsia="en-ZA"/>
        </w:rPr>
        <w:t>allowed to investigate the 2017 </w:t>
      </w:r>
      <w:r w:rsidR="00D04440" w:rsidRPr="00033C5B">
        <w:rPr>
          <w:lang w:eastAsia="en-ZA"/>
        </w:rPr>
        <w:t xml:space="preserve">transaction on considerations such as public policy because of the possible impact on employment, </w:t>
      </w:r>
      <w:r w:rsidR="000856D0">
        <w:rPr>
          <w:lang w:eastAsia="en-ZA"/>
        </w:rPr>
        <w:t xml:space="preserve">therefore </w:t>
      </w:r>
      <w:r w:rsidR="00BE795E">
        <w:rPr>
          <w:lang w:eastAsia="en-ZA"/>
        </w:rPr>
        <w:t xml:space="preserve">has </w:t>
      </w:r>
      <w:r w:rsidR="00D04440" w:rsidRPr="00033C5B">
        <w:rPr>
          <w:lang w:eastAsia="en-ZA"/>
        </w:rPr>
        <w:t xml:space="preserve">merit. </w:t>
      </w:r>
      <w:r w:rsidR="00D04440">
        <w:rPr>
          <w:lang w:eastAsia="en-ZA"/>
        </w:rPr>
        <w:t xml:space="preserve"> </w:t>
      </w:r>
      <w:r w:rsidR="00093E60">
        <w:rPr>
          <w:lang w:eastAsia="en-ZA"/>
        </w:rPr>
        <w:t>T</w:t>
      </w:r>
      <w:r w:rsidR="007B68EA">
        <w:rPr>
          <w:lang w:eastAsia="en-ZA"/>
        </w:rPr>
        <w:t>he</w:t>
      </w:r>
      <w:r w:rsidR="007B68EA" w:rsidRPr="00033C5B">
        <w:rPr>
          <w:lang w:eastAsia="en-ZA"/>
        </w:rPr>
        <w:t xml:space="preserve"> Commission</w:t>
      </w:r>
      <w:r w:rsidR="00D04440" w:rsidRPr="00033C5B">
        <w:rPr>
          <w:lang w:eastAsia="en-ZA"/>
        </w:rPr>
        <w:t xml:space="preserve"> conducted a public interest analysis </w:t>
      </w:r>
      <w:r w:rsidR="00BE795E">
        <w:rPr>
          <w:lang w:eastAsia="en-ZA"/>
        </w:rPr>
        <w:t xml:space="preserve">in 2014 </w:t>
      </w:r>
      <w:r w:rsidR="00D04440" w:rsidRPr="00033C5B">
        <w:rPr>
          <w:lang w:eastAsia="en-ZA"/>
        </w:rPr>
        <w:t>with specific reference to the effect that the merger could have on employment</w:t>
      </w:r>
      <w:r w:rsidR="00905F45">
        <w:rPr>
          <w:lang w:eastAsia="en-ZA"/>
        </w:rPr>
        <w:t>.  It</w:t>
      </w:r>
      <w:r w:rsidR="00BE795E">
        <w:rPr>
          <w:lang w:eastAsia="en-ZA"/>
        </w:rPr>
        <w:t xml:space="preserve"> </w:t>
      </w:r>
      <w:r w:rsidR="00D04440" w:rsidRPr="00033C5B">
        <w:rPr>
          <w:lang w:eastAsia="en-ZA"/>
        </w:rPr>
        <w:t xml:space="preserve">concluded </w:t>
      </w:r>
      <w:r w:rsidR="00BE795E">
        <w:rPr>
          <w:lang w:eastAsia="en-ZA"/>
        </w:rPr>
        <w:t xml:space="preserve">at the time </w:t>
      </w:r>
      <w:r w:rsidR="00D04440" w:rsidRPr="00033C5B">
        <w:rPr>
          <w:lang w:eastAsia="en-ZA"/>
        </w:rPr>
        <w:t xml:space="preserve">that the proposed transaction would not </w:t>
      </w:r>
      <w:r w:rsidR="002207B5">
        <w:rPr>
          <w:lang w:eastAsia="en-ZA"/>
        </w:rPr>
        <w:t>have</w:t>
      </w:r>
      <w:r w:rsidR="00D04440" w:rsidRPr="00033C5B">
        <w:rPr>
          <w:lang w:eastAsia="en-ZA"/>
        </w:rPr>
        <w:t xml:space="preserve"> any </w:t>
      </w:r>
      <w:r w:rsidR="00D04440" w:rsidRPr="00033C5B">
        <w:rPr>
          <w:lang w:eastAsia="en-ZA"/>
        </w:rPr>
        <w:lastRenderedPageBreak/>
        <w:t xml:space="preserve">effect on employment and that the proposed transaction also did not raise any </w:t>
      </w:r>
      <w:r w:rsidR="00D04440">
        <w:rPr>
          <w:lang w:eastAsia="en-ZA"/>
        </w:rPr>
        <w:t>other public interest concerns</w:t>
      </w:r>
      <w:r w:rsidR="00741206">
        <w:rPr>
          <w:lang w:eastAsia="en-ZA"/>
        </w:rPr>
        <w:t>.</w:t>
      </w:r>
    </w:p>
    <w:p w14:paraId="5B227288" w14:textId="77777777" w:rsidR="00832A1E" w:rsidRDefault="00832A1E" w:rsidP="001129D5">
      <w:pPr>
        <w:pStyle w:val="JUDGMENTCONTINUED"/>
        <w:rPr>
          <w:lang w:eastAsia="en-ZA"/>
        </w:rPr>
      </w:pPr>
    </w:p>
    <w:p w14:paraId="617B2D15" w14:textId="4422E195" w:rsidR="00BD3FA6" w:rsidRDefault="00FF2AF7" w:rsidP="000C7587">
      <w:pPr>
        <w:pStyle w:val="JUDGMENTNUMBERED"/>
        <w:numPr>
          <w:ilvl w:val="0"/>
          <w:numId w:val="6"/>
        </w:numPr>
        <w:rPr>
          <w:lang w:eastAsia="en-ZA"/>
        </w:rPr>
      </w:pPr>
      <w:r>
        <w:rPr>
          <w:lang w:eastAsia="en-ZA"/>
        </w:rPr>
        <w:t>The</w:t>
      </w:r>
      <w:r w:rsidR="00BE795E">
        <w:rPr>
          <w:lang w:eastAsia="en-ZA"/>
        </w:rPr>
        <w:t xml:space="preserve"> Commission </w:t>
      </w:r>
      <w:r w:rsidR="000856D0">
        <w:rPr>
          <w:lang w:eastAsia="en-ZA"/>
        </w:rPr>
        <w:t>th</w:t>
      </w:r>
      <w:r w:rsidR="00526098">
        <w:rPr>
          <w:lang w:eastAsia="en-ZA"/>
        </w:rPr>
        <w:t>us</w:t>
      </w:r>
      <w:r w:rsidR="000856D0">
        <w:rPr>
          <w:lang w:eastAsia="en-ZA"/>
        </w:rPr>
        <w:t xml:space="preserve"> </w:t>
      </w:r>
      <w:r w:rsidR="00BE795E">
        <w:rPr>
          <w:lang w:eastAsia="en-ZA"/>
        </w:rPr>
        <w:t>retains its wide powers in terms of the Act to investigate</w:t>
      </w:r>
      <w:r w:rsidR="00BD3FA6" w:rsidRPr="00BD3FA6">
        <w:rPr>
          <w:lang w:eastAsia="en-ZA"/>
        </w:rPr>
        <w:t xml:space="preserve"> </w:t>
      </w:r>
      <w:r w:rsidR="00BD3FA6">
        <w:rPr>
          <w:lang w:eastAsia="en-ZA"/>
        </w:rPr>
        <w:t>the assurances given by the parties in 2014</w:t>
      </w:r>
      <w:r w:rsidR="003B09AA">
        <w:rPr>
          <w:lang w:eastAsia="en-ZA"/>
        </w:rPr>
        <w:t xml:space="preserve">.  These were </w:t>
      </w:r>
      <w:r w:rsidR="00BD3FA6">
        <w:rPr>
          <w:lang w:eastAsia="en-ZA"/>
        </w:rPr>
        <w:t xml:space="preserve">that the inclusion of Tsogo within the HCI </w:t>
      </w:r>
      <w:r w:rsidR="00C37EF2">
        <w:rPr>
          <w:lang w:eastAsia="en-ZA"/>
        </w:rPr>
        <w:t>G</w:t>
      </w:r>
      <w:r w:rsidR="00BD3FA6">
        <w:rPr>
          <w:lang w:eastAsia="en-ZA"/>
        </w:rPr>
        <w:t xml:space="preserve">roup would not give rise to any negative impact on employment. </w:t>
      </w:r>
      <w:r w:rsidR="007C17BE">
        <w:rPr>
          <w:lang w:eastAsia="en-ZA"/>
        </w:rPr>
        <w:t xml:space="preserve"> </w:t>
      </w:r>
      <w:r w:rsidR="00BD3FA6">
        <w:rPr>
          <w:lang w:eastAsia="en-ZA"/>
        </w:rPr>
        <w:t xml:space="preserve">That </w:t>
      </w:r>
      <w:r w:rsidR="00E270EC">
        <w:rPr>
          <w:lang w:eastAsia="en-ZA"/>
        </w:rPr>
        <w:t xml:space="preserve">the </w:t>
      </w:r>
      <w:r w:rsidR="007D1A0C" w:rsidRPr="004D46AB">
        <w:t>Competition</w:t>
      </w:r>
      <w:r w:rsidR="00F35D97">
        <w:t xml:space="preserve"> </w:t>
      </w:r>
      <w:r w:rsidR="007D1A0C" w:rsidRPr="004D46AB">
        <w:t>Appeal Court</w:t>
      </w:r>
      <w:r w:rsidR="00BD3FA6">
        <w:rPr>
          <w:lang w:eastAsia="en-ZA"/>
        </w:rPr>
        <w:t xml:space="preserve"> granted </w:t>
      </w:r>
      <w:r w:rsidR="003B09AA">
        <w:rPr>
          <w:lang w:eastAsia="en-ZA"/>
        </w:rPr>
        <w:t xml:space="preserve">a </w:t>
      </w:r>
      <w:r w:rsidR="00BD3FA6">
        <w:rPr>
          <w:lang w:eastAsia="en-ZA"/>
        </w:rPr>
        <w:t>declaratory order to the effect that the 2017 transaction does not constitute a notifiable merger, does not restrict the Commission’s powers to investigate</w:t>
      </w:r>
      <w:r w:rsidR="008C67BC">
        <w:rPr>
          <w:lang w:eastAsia="en-ZA"/>
        </w:rPr>
        <w:t xml:space="preserve"> compliance with</w:t>
      </w:r>
      <w:r w:rsidR="00BD3FA6">
        <w:rPr>
          <w:lang w:eastAsia="en-ZA"/>
        </w:rPr>
        <w:t xml:space="preserve"> the assurances</w:t>
      </w:r>
      <w:r w:rsidR="00E270EC">
        <w:rPr>
          <w:lang w:eastAsia="en-ZA"/>
        </w:rPr>
        <w:t xml:space="preserve"> </w:t>
      </w:r>
      <w:r w:rsidR="003B09AA">
        <w:rPr>
          <w:lang w:eastAsia="en-ZA"/>
        </w:rPr>
        <w:t xml:space="preserve">given </w:t>
      </w:r>
      <w:r w:rsidR="004E2DA8">
        <w:rPr>
          <w:lang w:eastAsia="en-ZA"/>
        </w:rPr>
        <w:t xml:space="preserve">by Hosken and Tsogo </w:t>
      </w:r>
      <w:r w:rsidR="00E270EC">
        <w:rPr>
          <w:lang w:eastAsia="en-ZA"/>
        </w:rPr>
        <w:t>in respect of the effect of the merger on employment and any other public interest concerns</w:t>
      </w:r>
      <w:r w:rsidR="00BD3FA6">
        <w:rPr>
          <w:lang w:eastAsia="en-ZA"/>
        </w:rPr>
        <w:t>.</w:t>
      </w:r>
    </w:p>
    <w:p w14:paraId="2469D711" w14:textId="77777777" w:rsidR="00BD3FA6" w:rsidRPr="00BD3FA6" w:rsidRDefault="00BD3FA6" w:rsidP="00C0132C">
      <w:pPr>
        <w:pStyle w:val="JUDGMENTCONTINUED"/>
        <w:rPr>
          <w:lang w:eastAsia="en-ZA"/>
        </w:rPr>
      </w:pPr>
    </w:p>
    <w:p w14:paraId="639B7793" w14:textId="27BF0673" w:rsidR="00006F4B" w:rsidRDefault="00BD3FA6" w:rsidP="000C7587">
      <w:pPr>
        <w:pStyle w:val="JUDGMENTNUMBERED"/>
        <w:numPr>
          <w:ilvl w:val="0"/>
          <w:numId w:val="6"/>
        </w:numPr>
        <w:rPr>
          <w:lang w:eastAsia="en-ZA"/>
        </w:rPr>
      </w:pPr>
      <w:r>
        <w:rPr>
          <w:lang w:eastAsia="en-ZA"/>
        </w:rPr>
        <w:t xml:space="preserve">Counsel for HCI and Tsogo </w:t>
      </w:r>
      <w:r w:rsidR="007B68EA">
        <w:rPr>
          <w:lang w:eastAsia="en-ZA"/>
        </w:rPr>
        <w:t xml:space="preserve">accept </w:t>
      </w:r>
      <w:r>
        <w:rPr>
          <w:lang w:eastAsia="en-ZA"/>
        </w:rPr>
        <w:t xml:space="preserve">that the Commission retains the power to investigate, if it so wishes, the correctness of the information provided by the merger parties as part of their merger notification, and their compliance with any conditions imposed on the merging parties, or assurances provided by them during the merger approval process. </w:t>
      </w:r>
      <w:r w:rsidR="004A48AA">
        <w:rPr>
          <w:lang w:eastAsia="en-ZA"/>
        </w:rPr>
        <w:t xml:space="preserve"> </w:t>
      </w:r>
      <w:r w:rsidR="00C37EF2">
        <w:rPr>
          <w:lang w:eastAsia="en-ZA"/>
        </w:rPr>
        <w:t>I</w:t>
      </w:r>
      <w:r w:rsidR="00025F9F">
        <w:rPr>
          <w:lang w:eastAsia="en-ZA"/>
        </w:rPr>
        <w:t xml:space="preserve">n </w:t>
      </w:r>
      <w:r w:rsidR="00D04440" w:rsidRPr="00033C5B">
        <w:rPr>
          <w:lang w:eastAsia="en-ZA"/>
        </w:rPr>
        <w:t>argument</w:t>
      </w:r>
      <w:r w:rsidR="00025F9F">
        <w:rPr>
          <w:lang w:eastAsia="en-ZA"/>
        </w:rPr>
        <w:t>,</w:t>
      </w:r>
      <w:r w:rsidR="00D04440" w:rsidRPr="00033C5B">
        <w:rPr>
          <w:lang w:eastAsia="en-ZA"/>
        </w:rPr>
        <w:t xml:space="preserve"> a similar conc</w:t>
      </w:r>
      <w:r w:rsidR="00596502">
        <w:rPr>
          <w:lang w:eastAsia="en-ZA"/>
        </w:rPr>
        <w:t xml:space="preserve">ern was raised by the </w:t>
      </w:r>
      <w:r w:rsidR="00526098">
        <w:rPr>
          <w:lang w:eastAsia="en-ZA"/>
        </w:rPr>
        <w:t>Commission</w:t>
      </w:r>
      <w:r w:rsidR="00D04440" w:rsidRPr="00033C5B">
        <w:rPr>
          <w:lang w:eastAsia="en-ZA"/>
        </w:rPr>
        <w:t xml:space="preserve"> in respect of possible effects on employment as a result of the 2017 transaction</w:t>
      </w:r>
      <w:r w:rsidR="002207B5">
        <w:rPr>
          <w:lang w:eastAsia="en-ZA"/>
        </w:rPr>
        <w:t xml:space="preserve">. </w:t>
      </w:r>
      <w:r w:rsidR="00025F9F">
        <w:rPr>
          <w:lang w:eastAsia="en-ZA"/>
        </w:rPr>
        <w:t xml:space="preserve"> </w:t>
      </w:r>
      <w:r w:rsidR="002207B5">
        <w:rPr>
          <w:lang w:eastAsia="en-ZA"/>
        </w:rPr>
        <w:t>C</w:t>
      </w:r>
      <w:r w:rsidR="00653267">
        <w:rPr>
          <w:lang w:eastAsia="en-ZA"/>
        </w:rPr>
        <w:t xml:space="preserve">ounsel for </w:t>
      </w:r>
      <w:r w:rsidR="00000EE4">
        <w:rPr>
          <w:lang w:eastAsia="en-ZA"/>
        </w:rPr>
        <w:t>HCI and Tsogo</w:t>
      </w:r>
      <w:r w:rsidR="00D04440" w:rsidRPr="00033C5B">
        <w:rPr>
          <w:lang w:eastAsia="en-ZA"/>
        </w:rPr>
        <w:t xml:space="preserve"> made two submissions</w:t>
      </w:r>
      <w:r w:rsidR="004E70D4">
        <w:rPr>
          <w:lang w:eastAsia="en-ZA"/>
        </w:rPr>
        <w:t>.</w:t>
      </w:r>
      <w:r w:rsidR="004A48AA">
        <w:rPr>
          <w:lang w:eastAsia="en-ZA"/>
        </w:rPr>
        <w:t xml:space="preserve"> </w:t>
      </w:r>
      <w:r w:rsidR="004E70D4">
        <w:rPr>
          <w:lang w:eastAsia="en-ZA"/>
        </w:rPr>
        <w:t xml:space="preserve"> </w:t>
      </w:r>
      <w:r w:rsidR="00D04440" w:rsidRPr="00033C5B">
        <w:rPr>
          <w:lang w:eastAsia="en-ZA"/>
        </w:rPr>
        <w:t>The first</w:t>
      </w:r>
      <w:r w:rsidR="0064118D">
        <w:rPr>
          <w:lang w:eastAsia="en-ZA"/>
        </w:rPr>
        <w:t xml:space="preserve"> </w:t>
      </w:r>
      <w:r w:rsidR="00704654">
        <w:rPr>
          <w:lang w:eastAsia="en-ZA"/>
        </w:rPr>
        <w:t xml:space="preserve">submission was made </w:t>
      </w:r>
      <w:r w:rsidR="00D04440" w:rsidRPr="00033C5B">
        <w:rPr>
          <w:lang w:eastAsia="en-ZA"/>
        </w:rPr>
        <w:t>from the bar after having obtained instructions</w:t>
      </w:r>
      <w:r w:rsidR="00A33F49">
        <w:rPr>
          <w:lang w:eastAsia="en-ZA"/>
        </w:rPr>
        <w:t>.</w:t>
      </w:r>
      <w:r w:rsidR="00D04440" w:rsidRPr="00033C5B">
        <w:rPr>
          <w:lang w:eastAsia="en-ZA"/>
        </w:rPr>
        <w:t xml:space="preserve"> </w:t>
      </w:r>
      <w:r w:rsidR="00F35D97">
        <w:rPr>
          <w:lang w:eastAsia="en-ZA"/>
        </w:rPr>
        <w:t xml:space="preserve"> </w:t>
      </w:r>
      <w:r w:rsidR="00A33F49">
        <w:rPr>
          <w:lang w:eastAsia="en-ZA"/>
        </w:rPr>
        <w:t xml:space="preserve">This was </w:t>
      </w:r>
      <w:r w:rsidR="00D04440" w:rsidRPr="00033C5B">
        <w:rPr>
          <w:lang w:eastAsia="en-ZA"/>
        </w:rPr>
        <w:t xml:space="preserve">an undertaking that the </w:t>
      </w:r>
      <w:r w:rsidR="00554FA6">
        <w:rPr>
          <w:lang w:eastAsia="en-ZA"/>
        </w:rPr>
        <w:t xml:space="preserve">2017 </w:t>
      </w:r>
      <w:r w:rsidR="00D04440" w:rsidRPr="00033C5B">
        <w:rPr>
          <w:lang w:eastAsia="en-ZA"/>
        </w:rPr>
        <w:t xml:space="preserve">transaction would have no adverse </w:t>
      </w:r>
      <w:r w:rsidR="00653267">
        <w:rPr>
          <w:lang w:eastAsia="en-ZA"/>
        </w:rPr>
        <w:t xml:space="preserve">effect </w:t>
      </w:r>
      <w:r w:rsidR="00D04440" w:rsidRPr="00033C5B">
        <w:rPr>
          <w:lang w:eastAsia="en-ZA"/>
        </w:rPr>
        <w:t xml:space="preserve">on employment. </w:t>
      </w:r>
      <w:r w:rsidR="005527EE">
        <w:rPr>
          <w:lang w:eastAsia="en-ZA"/>
        </w:rPr>
        <w:t xml:space="preserve"> </w:t>
      </w:r>
      <w:r w:rsidR="00D04440" w:rsidRPr="00033C5B">
        <w:rPr>
          <w:lang w:eastAsia="en-ZA"/>
        </w:rPr>
        <w:t>The second was that the competition authorities may act against any party who implements a merger in a manner contrary to a condition for approval of that merger.</w:t>
      </w:r>
    </w:p>
    <w:p w14:paraId="6D7CF55E" w14:textId="77777777" w:rsidR="00006F4B" w:rsidRDefault="00006F4B" w:rsidP="001129D5">
      <w:pPr>
        <w:pStyle w:val="JUDGMENTCONTINUED"/>
        <w:rPr>
          <w:lang w:eastAsia="en-ZA"/>
        </w:rPr>
      </w:pPr>
    </w:p>
    <w:p w14:paraId="42E7517A" w14:textId="5B3218D4" w:rsidR="00643F3A" w:rsidRPr="00396E42" w:rsidRDefault="00025F9F" w:rsidP="000C7587">
      <w:pPr>
        <w:pStyle w:val="JUDGMENTNUMBERED"/>
        <w:numPr>
          <w:ilvl w:val="0"/>
          <w:numId w:val="6"/>
        </w:numPr>
        <w:rPr>
          <w:i/>
          <w:iCs/>
          <w:lang w:eastAsia="en-ZA"/>
        </w:rPr>
      </w:pPr>
      <w:r>
        <w:rPr>
          <w:lang w:eastAsia="en-ZA"/>
        </w:rPr>
        <w:t>Th</w:t>
      </w:r>
      <w:r w:rsidR="00F26265">
        <w:rPr>
          <w:lang w:eastAsia="en-ZA"/>
        </w:rPr>
        <w:t>e</w:t>
      </w:r>
      <w:r>
        <w:rPr>
          <w:lang w:eastAsia="en-ZA"/>
        </w:rPr>
        <w:t>s</w:t>
      </w:r>
      <w:r w:rsidR="00F26265">
        <w:rPr>
          <w:lang w:eastAsia="en-ZA"/>
        </w:rPr>
        <w:t>e concessions are</w:t>
      </w:r>
      <w:r>
        <w:rPr>
          <w:lang w:eastAsia="en-ZA"/>
        </w:rPr>
        <w:t xml:space="preserve"> correct</w:t>
      </w:r>
      <w:r w:rsidR="00F26265">
        <w:rPr>
          <w:lang w:eastAsia="en-ZA"/>
        </w:rPr>
        <w:t xml:space="preserve"> and warranted</w:t>
      </w:r>
      <w:r>
        <w:rPr>
          <w:lang w:eastAsia="en-ZA"/>
        </w:rPr>
        <w:t>.</w:t>
      </w:r>
      <w:r w:rsidR="00643F3A">
        <w:rPr>
          <w:lang w:eastAsia="en-ZA"/>
        </w:rPr>
        <w:t xml:space="preserve"> </w:t>
      </w:r>
      <w:r w:rsidR="00B00A80">
        <w:rPr>
          <w:lang w:eastAsia="en-ZA"/>
        </w:rPr>
        <w:t xml:space="preserve"> </w:t>
      </w:r>
      <w:r w:rsidR="00643F3A">
        <w:rPr>
          <w:lang w:eastAsia="en-ZA"/>
        </w:rPr>
        <w:t>T</w:t>
      </w:r>
      <w:r w:rsidRPr="000E1B93">
        <w:rPr>
          <w:lang w:eastAsia="en-ZA"/>
        </w:rPr>
        <w:t>he Commission has the power in terms of section 16(3) read with section 15</w:t>
      </w:r>
      <w:r w:rsidR="00B00A80">
        <w:rPr>
          <w:rStyle w:val="FootnoteReference"/>
          <w:lang w:eastAsia="en-ZA"/>
        </w:rPr>
        <w:footnoteReference w:id="38"/>
      </w:r>
      <w:r w:rsidRPr="000E1B93">
        <w:rPr>
          <w:lang w:eastAsia="en-ZA"/>
        </w:rPr>
        <w:t xml:space="preserve"> of the Act to</w:t>
      </w:r>
      <w:r w:rsidR="00C737C3">
        <w:rPr>
          <w:lang w:eastAsia="en-ZA"/>
        </w:rPr>
        <w:t xml:space="preserve"> recommend </w:t>
      </w:r>
      <w:r w:rsidR="00704654">
        <w:rPr>
          <w:lang w:eastAsia="en-ZA"/>
        </w:rPr>
        <w:t xml:space="preserve">that the </w:t>
      </w:r>
      <w:r w:rsidR="00C737C3">
        <w:rPr>
          <w:lang w:eastAsia="en-ZA"/>
        </w:rPr>
        <w:t xml:space="preserve">Tribunal </w:t>
      </w:r>
      <w:r w:rsidRPr="000E1B93">
        <w:rPr>
          <w:lang w:eastAsia="en-ZA"/>
        </w:rPr>
        <w:t>revoke a merger where the firm concerned has breached an obligation intrinsic to that decision</w:t>
      </w:r>
      <w:r w:rsidR="00F35D97">
        <w:rPr>
          <w:lang w:eastAsia="en-ZA"/>
        </w:rPr>
        <w:t xml:space="preserve">.  </w:t>
      </w:r>
      <w:r w:rsidR="00F35D97" w:rsidRPr="00396E42">
        <w:rPr>
          <w:iCs/>
          <w:lang w:eastAsia="en-ZA"/>
        </w:rPr>
        <w:t>Although section</w:t>
      </w:r>
      <w:r w:rsidR="009D34E1">
        <w:rPr>
          <w:iCs/>
          <w:lang w:eastAsia="en-ZA"/>
        </w:rPr>
        <w:t>s</w:t>
      </w:r>
      <w:r w:rsidR="00F35D97" w:rsidRPr="00396E42">
        <w:rPr>
          <w:iCs/>
          <w:lang w:eastAsia="en-ZA"/>
        </w:rPr>
        <w:t xml:space="preserve"> 15 and 16 are not explicit regarding the Commission’s investigative powers in such a situation, the power to revoke provided there implies that </w:t>
      </w:r>
      <w:r w:rsidR="00F35D97" w:rsidRPr="00396E42">
        <w:rPr>
          <w:iCs/>
          <w:lang w:eastAsia="en-ZA"/>
        </w:rPr>
        <w:lastRenderedPageBreak/>
        <w:t>the Commission may investigate any assurances made by a party during the approval proceedings</w:t>
      </w:r>
      <w:r w:rsidR="00F35D97">
        <w:rPr>
          <w:i/>
          <w:iCs/>
          <w:lang w:eastAsia="en-ZA"/>
        </w:rPr>
        <w:t>.</w:t>
      </w:r>
    </w:p>
    <w:p w14:paraId="52D9FB45" w14:textId="77777777" w:rsidR="00AF796A" w:rsidRPr="00C0132C" w:rsidRDefault="00AF796A" w:rsidP="007929D0">
      <w:pPr>
        <w:spacing w:line="360" w:lineRule="auto"/>
        <w:rPr>
          <w:rFonts w:eastAsia="Times New Roman"/>
          <w:sz w:val="22"/>
          <w:lang w:eastAsia="en-ZA"/>
        </w:rPr>
      </w:pPr>
      <w:bookmarkStart w:id="36" w:name="0-0-0-574933"/>
      <w:bookmarkStart w:id="37" w:name="0-0-0-574935"/>
      <w:bookmarkStart w:id="38" w:name="0-0-0-574941"/>
      <w:bookmarkEnd w:id="36"/>
      <w:bookmarkEnd w:id="37"/>
      <w:bookmarkEnd w:id="38"/>
    </w:p>
    <w:p w14:paraId="6F451EA4" w14:textId="0EF13180" w:rsidR="00760207" w:rsidRDefault="00760207" w:rsidP="00760207">
      <w:pPr>
        <w:pStyle w:val="HEADING"/>
      </w:pPr>
      <w:r>
        <w:t>The</w:t>
      </w:r>
      <w:r w:rsidR="00B54B40">
        <w:t xml:space="preserve"> declaratory order</w:t>
      </w:r>
    </w:p>
    <w:p w14:paraId="49B5610E" w14:textId="172629C5" w:rsidR="00760207" w:rsidRPr="00DD6D43" w:rsidRDefault="00760207" w:rsidP="000C7587">
      <w:pPr>
        <w:pStyle w:val="JUDGMENTNUMBERED"/>
        <w:numPr>
          <w:ilvl w:val="0"/>
          <w:numId w:val="6"/>
        </w:numPr>
        <w:rPr>
          <w:i/>
        </w:rPr>
      </w:pPr>
      <w:r w:rsidRPr="00DD6D43">
        <w:t xml:space="preserve">In </w:t>
      </w:r>
      <w:r w:rsidR="00197403">
        <w:t>its written</w:t>
      </w:r>
      <w:r w:rsidRPr="00DD6D43">
        <w:t xml:space="preserve"> argument the </w:t>
      </w:r>
      <w:r w:rsidR="00197403">
        <w:t xml:space="preserve">Commission’s </w:t>
      </w:r>
      <w:r w:rsidRPr="00DD6D43">
        <w:t xml:space="preserve">initial stance was that the Tribunal cannot be approached directly in the absence of a notification in terms of the Act </w:t>
      </w:r>
      <w:r w:rsidR="00704654">
        <w:t>that</w:t>
      </w:r>
      <w:r w:rsidR="003A3AA9">
        <w:t xml:space="preserve"> </w:t>
      </w:r>
      <w:r w:rsidRPr="00DD6D43">
        <w:t>in turn will trigger the jurisdiction of the competition authorities for a declaratory order in respect of an advisory opinion.</w:t>
      </w:r>
    </w:p>
    <w:p w14:paraId="4E592A14" w14:textId="77777777" w:rsidR="00760207" w:rsidRPr="00226CB8" w:rsidRDefault="00760207" w:rsidP="00760207">
      <w:pPr>
        <w:pStyle w:val="JUDGMENTCONTINUED"/>
      </w:pPr>
    </w:p>
    <w:p w14:paraId="4DB032DB" w14:textId="2E89587F" w:rsidR="00760207" w:rsidRDefault="00760207" w:rsidP="000C7587">
      <w:pPr>
        <w:pStyle w:val="JUDGMENTNUMBERED"/>
        <w:numPr>
          <w:ilvl w:val="0"/>
          <w:numId w:val="6"/>
        </w:numPr>
      </w:pPr>
      <w:r w:rsidRPr="00631105">
        <w:t>Th</w:t>
      </w:r>
      <w:r w:rsidR="00B63D63">
        <w:t>at</w:t>
      </w:r>
      <w:r w:rsidRPr="00631105">
        <w:t xml:space="preserve"> stance softened considerably in </w:t>
      </w:r>
      <w:r w:rsidR="00526098">
        <w:t>this C</w:t>
      </w:r>
      <w:r w:rsidRPr="00631105">
        <w:t xml:space="preserve">ourt.  </w:t>
      </w:r>
      <w:r w:rsidR="00197403">
        <w:t>The Commission</w:t>
      </w:r>
      <w:r w:rsidRPr="00631105">
        <w:t xml:space="preserve"> now accept</w:t>
      </w:r>
      <w:r w:rsidR="006F0792">
        <w:t>s</w:t>
      </w:r>
      <w:r w:rsidRPr="00631105">
        <w:t xml:space="preserve"> that the Tribunal can be approached directly without there first </w:t>
      </w:r>
      <w:r w:rsidR="00704654">
        <w:t xml:space="preserve">being </w:t>
      </w:r>
      <w:r w:rsidRPr="00631105">
        <w:t>a notification in terms of the Act and that the Tribunal has the power to issue declaratory orders.</w:t>
      </w:r>
    </w:p>
    <w:p w14:paraId="7B9BE37B" w14:textId="77777777" w:rsidR="00760207" w:rsidRPr="00631105" w:rsidRDefault="00760207" w:rsidP="00760207">
      <w:pPr>
        <w:pStyle w:val="JUDGMENTCONTINUED"/>
      </w:pPr>
    </w:p>
    <w:p w14:paraId="208B2B8E" w14:textId="5531E970" w:rsidR="00760207" w:rsidRDefault="00760207" w:rsidP="000C7587">
      <w:pPr>
        <w:pStyle w:val="JUDGMENTNUMBERED"/>
        <w:numPr>
          <w:ilvl w:val="0"/>
          <w:numId w:val="6"/>
        </w:numPr>
      </w:pPr>
      <w:r>
        <w:t xml:space="preserve">This view is correct. </w:t>
      </w:r>
      <w:r w:rsidR="00070B1A">
        <w:t xml:space="preserve"> </w:t>
      </w:r>
      <w:r>
        <w:t>Section 27(1)(d) of the Act provides that the Tribunal may make any ruling or order that is necessary or incidental to the performance of its functions in terms of the Act</w:t>
      </w:r>
      <w:r w:rsidR="003A3AA9">
        <w:t>.</w:t>
      </w:r>
      <w:r w:rsidR="00B63D63">
        <w:rPr>
          <w:rStyle w:val="FootnoteReference"/>
        </w:rPr>
        <w:footnoteReference w:id="39"/>
      </w:r>
      <w:r>
        <w:t xml:space="preserve">  Section 58 of the Act further grants the Tribunal the power to make an appropriate order in relation to a prohibited practice including an order interdicting any </w:t>
      </w:r>
      <w:r w:rsidR="00B54B40" w:rsidRPr="007C1393">
        <w:t>such</w:t>
      </w:r>
      <w:r w:rsidRPr="007C1393">
        <w:t xml:space="preserve"> </w:t>
      </w:r>
      <w:r>
        <w:t>practice.</w:t>
      </w:r>
      <w:r>
        <w:rPr>
          <w:vertAlign w:val="superscript"/>
        </w:rPr>
        <w:footnoteReference w:id="40"/>
      </w:r>
      <w:r>
        <w:t xml:space="preserve">  Both of these sections are formulated widely </w:t>
      </w:r>
      <w:r>
        <w:lastRenderedPageBreak/>
        <w:t>enough to include the power to grant declaratory relief in respect of issues in dispute referred to it.</w:t>
      </w:r>
    </w:p>
    <w:p w14:paraId="7C401EE1" w14:textId="77777777" w:rsidR="000F2DD5" w:rsidRPr="000F2DD5" w:rsidRDefault="000F2DD5" w:rsidP="000F2DD5">
      <w:pPr>
        <w:pStyle w:val="JUDGMENTCONTINUED"/>
      </w:pPr>
    </w:p>
    <w:p w14:paraId="4DE2AC21" w14:textId="026FD06B" w:rsidR="00760207" w:rsidRPr="004318BB" w:rsidRDefault="00760207" w:rsidP="000C7587">
      <w:pPr>
        <w:pStyle w:val="JUDGMENTNUMBERED"/>
        <w:numPr>
          <w:ilvl w:val="0"/>
          <w:numId w:val="6"/>
        </w:numPr>
        <w:rPr>
          <w:rFonts w:eastAsia="Times New Roman"/>
          <w:lang w:eastAsia="en-ZA"/>
        </w:rPr>
      </w:pPr>
      <w:r>
        <w:t xml:space="preserve">In addition to the wide powers conferred upon the Tribunal, there are persuasive policy considerations to conclude that the Tribunal has the power to grant declaratory orders.  First, the Tribunal has in numerous instances exercised its discretion and granted declaratory relief in a variety of </w:t>
      </w:r>
      <w:r w:rsidR="00197403">
        <w:t>cases</w:t>
      </w:r>
      <w:r>
        <w:t>.</w:t>
      </w:r>
      <w:r w:rsidR="006F0792">
        <w:rPr>
          <w:rStyle w:val="FootnoteReference"/>
        </w:rPr>
        <w:footnoteReference w:id="41"/>
      </w:r>
      <w:r w:rsidR="004318BB">
        <w:t xml:space="preserve"> </w:t>
      </w:r>
      <w:r w:rsidR="004D13B0">
        <w:t xml:space="preserve"> </w:t>
      </w:r>
      <w:r>
        <w:t>Second, parties would ordinarily have been able to approach the High Court for declaratory relief</w:t>
      </w:r>
      <w:r w:rsidR="00D10846">
        <w:t>,</w:t>
      </w:r>
      <w:r w:rsidR="00BD1207">
        <w:t xml:space="preserve"> </w:t>
      </w:r>
      <w:r w:rsidR="00D10846">
        <w:t>b</w:t>
      </w:r>
      <w:r>
        <w:t>ut the High Court’s jurisdiction is ousted by section 65(2) of the Act</w:t>
      </w:r>
      <w:r w:rsidR="00197403">
        <w:t>.</w:t>
      </w:r>
      <w:r w:rsidR="00221B10">
        <w:rPr>
          <w:rStyle w:val="FootnoteReference"/>
        </w:rPr>
        <w:footnoteReference w:id="42"/>
      </w:r>
      <w:r>
        <w:t xml:space="preserve"> </w:t>
      </w:r>
      <w:r w:rsidR="004D13B0">
        <w:t xml:space="preserve"> </w:t>
      </w:r>
      <w:r w:rsidR="00197403">
        <w:t>Thi</w:t>
      </w:r>
      <w:r>
        <w:t xml:space="preserve">s a persuasive reason to allow parties to approach the Tribunal for declaratory relief. </w:t>
      </w:r>
      <w:r w:rsidR="004D13B0">
        <w:t xml:space="preserve"> </w:t>
      </w:r>
      <w:r>
        <w:t xml:space="preserve">It is apparent from the Act that competition matters </w:t>
      </w:r>
      <w:r w:rsidR="00526098">
        <w:t xml:space="preserve">are to </w:t>
      </w:r>
      <w:r>
        <w:t>be dealt with by the competition authorities to the exclusion of the ordinary courts of law.</w:t>
      </w:r>
      <w:r>
        <w:rPr>
          <w:vertAlign w:val="superscript"/>
        </w:rPr>
        <w:footnoteReference w:id="43"/>
      </w:r>
      <w:r>
        <w:t xml:space="preserve">  </w:t>
      </w:r>
      <w:r w:rsidR="00197403">
        <w:t>Forbidding</w:t>
      </w:r>
      <w:r>
        <w:t xml:space="preserve"> parties the option to approach the Tribunal for declaratory relief on an issue which potentially may invoke the Commission’s investigative powers </w:t>
      </w:r>
      <w:r w:rsidR="00197403">
        <w:t>c</w:t>
      </w:r>
      <w:r>
        <w:t xml:space="preserve">ould effectively </w:t>
      </w:r>
      <w:r w:rsidR="00197403">
        <w:t>leave a party</w:t>
      </w:r>
      <w:r>
        <w:t xml:space="preserve"> without a remedy.</w:t>
      </w:r>
      <w:r w:rsidR="00BD1207" w:rsidRPr="004318BB">
        <w:rPr>
          <w:rFonts w:eastAsia="Times New Roman"/>
          <w:lang w:eastAsia="en-ZA"/>
        </w:rPr>
        <w:t xml:space="preserve">  </w:t>
      </w:r>
      <w:r>
        <w:t xml:space="preserve">The predicament that parties then face is underscored by the facts in </w:t>
      </w:r>
      <w:r w:rsidRPr="004318BB">
        <w:rPr>
          <w:rFonts w:eastAsia="Times New Roman"/>
          <w:i/>
          <w:lang w:eastAsia="en-ZA"/>
        </w:rPr>
        <w:t>Seagram</w:t>
      </w:r>
      <w:r w:rsidR="003276EA" w:rsidRPr="004318BB">
        <w:rPr>
          <w:rFonts w:eastAsia="Times New Roman"/>
          <w:lang w:eastAsia="en-ZA"/>
        </w:rPr>
        <w:t>.</w:t>
      </w:r>
      <w:bookmarkStart w:id="39" w:name="_Ref532979518"/>
      <w:r w:rsidRPr="00033137">
        <w:rPr>
          <w:rStyle w:val="FootnoteReference"/>
          <w:rFonts w:eastAsia="Times New Roman"/>
          <w:lang w:eastAsia="en-ZA"/>
        </w:rPr>
        <w:footnoteReference w:id="44"/>
      </w:r>
      <w:bookmarkEnd w:id="39"/>
      <w:r w:rsidR="00D10846">
        <w:rPr>
          <w:rFonts w:eastAsia="Times New Roman"/>
          <w:lang w:eastAsia="en-ZA"/>
        </w:rPr>
        <w:t xml:space="preserve"> </w:t>
      </w:r>
      <w:r w:rsidR="00BD1207" w:rsidRPr="004318BB">
        <w:rPr>
          <w:rFonts w:eastAsia="Times New Roman"/>
          <w:lang w:eastAsia="en-ZA"/>
        </w:rPr>
        <w:t xml:space="preserve"> </w:t>
      </w:r>
      <w:r w:rsidR="00AD04C9" w:rsidRPr="004318BB">
        <w:rPr>
          <w:rFonts w:eastAsia="Times New Roman"/>
          <w:lang w:eastAsia="en-ZA"/>
        </w:rPr>
        <w:t>The</w:t>
      </w:r>
      <w:r w:rsidR="00BD1207" w:rsidRPr="004318BB">
        <w:rPr>
          <w:rFonts w:eastAsia="Times New Roman"/>
          <w:lang w:eastAsia="en-ZA"/>
        </w:rPr>
        <w:t>re</w:t>
      </w:r>
      <w:r w:rsidR="00AD04C9" w:rsidRPr="004318BB">
        <w:rPr>
          <w:rFonts w:eastAsia="Times New Roman"/>
          <w:lang w:eastAsia="en-ZA"/>
        </w:rPr>
        <w:t xml:space="preserve"> </w:t>
      </w:r>
      <w:r w:rsidR="00880F2E" w:rsidRPr="004318BB">
        <w:rPr>
          <w:rFonts w:eastAsia="Times New Roman"/>
          <w:lang w:eastAsia="en-ZA"/>
        </w:rPr>
        <w:t xml:space="preserve">the </w:t>
      </w:r>
      <w:r w:rsidR="00AD04C9" w:rsidRPr="004318BB">
        <w:rPr>
          <w:rFonts w:eastAsia="Times New Roman"/>
          <w:lang w:eastAsia="en-ZA"/>
        </w:rPr>
        <w:t>High C</w:t>
      </w:r>
      <w:r w:rsidRPr="004318BB">
        <w:rPr>
          <w:rFonts w:eastAsia="Times New Roman"/>
          <w:lang w:eastAsia="en-ZA"/>
        </w:rPr>
        <w:t xml:space="preserve">ourt </w:t>
      </w:r>
      <w:r w:rsidRPr="004318BB">
        <w:rPr>
          <w:rFonts w:eastAsia="Times New Roman"/>
          <w:lang w:eastAsia="en-ZA"/>
        </w:rPr>
        <w:lastRenderedPageBreak/>
        <w:t xml:space="preserve">concluded that </w:t>
      </w:r>
      <w:r w:rsidR="00880F2E" w:rsidRPr="004318BB">
        <w:rPr>
          <w:rFonts w:eastAsia="Times New Roman"/>
          <w:lang w:eastAsia="en-ZA"/>
        </w:rPr>
        <w:t>assuming jurisdiction wou</w:t>
      </w:r>
      <w:r w:rsidR="00D10846">
        <w:rPr>
          <w:rFonts w:eastAsia="Times New Roman"/>
          <w:lang w:eastAsia="en-ZA"/>
        </w:rPr>
        <w:t>ld require interpreting section </w:t>
      </w:r>
      <w:r w:rsidR="00880F2E" w:rsidRPr="004318BB">
        <w:rPr>
          <w:rFonts w:eastAsia="Times New Roman"/>
          <w:lang w:eastAsia="en-ZA"/>
        </w:rPr>
        <w:t xml:space="preserve">12 and </w:t>
      </w:r>
      <w:r w:rsidR="00197403" w:rsidRPr="004318BB">
        <w:rPr>
          <w:rFonts w:eastAsia="Times New Roman"/>
          <w:lang w:eastAsia="en-ZA"/>
        </w:rPr>
        <w:t>this</w:t>
      </w:r>
      <w:r w:rsidRPr="004318BB">
        <w:rPr>
          <w:rFonts w:eastAsia="Times New Roman"/>
          <w:lang w:eastAsia="en-ZA"/>
        </w:rPr>
        <w:t xml:space="preserve"> </w:t>
      </w:r>
      <w:r w:rsidR="00880F2E" w:rsidRPr="004318BB">
        <w:rPr>
          <w:rFonts w:eastAsia="Times New Roman"/>
          <w:lang w:eastAsia="en-ZA"/>
        </w:rPr>
        <w:t>would</w:t>
      </w:r>
      <w:r w:rsidRPr="004318BB">
        <w:rPr>
          <w:rFonts w:eastAsia="Times New Roman"/>
          <w:lang w:eastAsia="en-ZA"/>
        </w:rPr>
        <w:t xml:space="preserve"> conflict with the provisions of section 65(3) of the Act</w:t>
      </w:r>
      <w:r w:rsidR="00880F2E" w:rsidRPr="004318BB">
        <w:rPr>
          <w:rFonts w:eastAsia="Times New Roman"/>
          <w:lang w:eastAsia="en-ZA"/>
        </w:rPr>
        <w:t>.</w:t>
      </w:r>
      <w:r w:rsidRPr="004318BB">
        <w:rPr>
          <w:rFonts w:eastAsia="Times New Roman"/>
          <w:lang w:eastAsia="en-ZA"/>
        </w:rPr>
        <w:t xml:space="preserve"> </w:t>
      </w:r>
      <w:r w:rsidR="00880F2E" w:rsidRPr="004318BB">
        <w:rPr>
          <w:rFonts w:eastAsia="Times New Roman"/>
          <w:lang w:eastAsia="en-ZA"/>
        </w:rPr>
        <w:t xml:space="preserve"> The High Court</w:t>
      </w:r>
      <w:r w:rsidRPr="004318BB">
        <w:rPr>
          <w:rFonts w:eastAsia="Times New Roman"/>
          <w:lang w:eastAsia="en-ZA"/>
        </w:rPr>
        <w:t xml:space="preserve"> consequently declined to assume jurisdiction.</w:t>
      </w:r>
      <w:r>
        <w:rPr>
          <w:rFonts w:eastAsia="Times New Roman"/>
          <w:vertAlign w:val="superscript"/>
          <w:lang w:eastAsia="en-ZA"/>
        </w:rPr>
        <w:footnoteReference w:id="45"/>
      </w:r>
    </w:p>
    <w:p w14:paraId="0BF24C07" w14:textId="77777777" w:rsidR="00760207" w:rsidRPr="00E87BF2" w:rsidRDefault="00760207" w:rsidP="00760207">
      <w:pPr>
        <w:pStyle w:val="JUDGMENTCONTINUED"/>
        <w:rPr>
          <w:lang w:eastAsia="en-ZA"/>
        </w:rPr>
      </w:pPr>
    </w:p>
    <w:p w14:paraId="75A73E4B" w14:textId="681A04C5" w:rsidR="001579C8" w:rsidRPr="004318BB" w:rsidRDefault="00760207" w:rsidP="000C7587">
      <w:pPr>
        <w:pStyle w:val="JUDGMENTNUMBERED"/>
        <w:numPr>
          <w:ilvl w:val="0"/>
          <w:numId w:val="6"/>
        </w:numPr>
        <w:rPr>
          <w:rFonts w:eastAsia="Times New Roman"/>
          <w:lang w:eastAsia="en-ZA"/>
        </w:rPr>
      </w:pPr>
      <w:r w:rsidRPr="00B4489D">
        <w:rPr>
          <w:rFonts w:eastAsia="Times New Roman"/>
          <w:lang w:eastAsia="en-ZA"/>
        </w:rPr>
        <w:t xml:space="preserve">Third, </w:t>
      </w:r>
      <w:r>
        <w:t xml:space="preserve">declaratory orders can bring clarity and finality to disputes that may, if unresolved, </w:t>
      </w:r>
      <w:r w:rsidR="004D13B0">
        <w:t xml:space="preserve">have </w:t>
      </w:r>
      <w:r>
        <w:t xml:space="preserve">far reaching consequences </w:t>
      </w:r>
      <w:r w:rsidR="004525AC">
        <w:t>for each</w:t>
      </w:r>
      <w:r>
        <w:t xml:space="preserve"> party.  I return to this issue below.  Last and most importantly, litigants have a constitutional right to have a remedy to resolve </w:t>
      </w:r>
      <w:r w:rsidR="00492779">
        <w:t xml:space="preserve">a </w:t>
      </w:r>
      <w:r>
        <w:t>dispute in an appropriate forum</w:t>
      </w:r>
      <w:r w:rsidRPr="004318BB">
        <w:t>.</w:t>
      </w:r>
      <w:bookmarkStart w:id="40" w:name="0-0-0-8205"/>
      <w:bookmarkEnd w:id="40"/>
      <w:r w:rsidRPr="004318BB">
        <w:rPr>
          <w:rStyle w:val="FootnoteReference"/>
          <w:rFonts w:eastAsia="Times New Roman"/>
          <w:lang w:eastAsia="en-ZA"/>
        </w:rPr>
        <w:footnoteReference w:id="46"/>
      </w:r>
    </w:p>
    <w:p w14:paraId="14ED638B" w14:textId="77777777" w:rsidR="00B4489D" w:rsidRPr="00B4489D" w:rsidRDefault="00B4489D" w:rsidP="00B4489D">
      <w:pPr>
        <w:pStyle w:val="JUDGMENTCONTINUED"/>
        <w:rPr>
          <w:lang w:eastAsia="en-ZA"/>
        </w:rPr>
      </w:pPr>
    </w:p>
    <w:p w14:paraId="35F7094F" w14:textId="054B2190" w:rsidR="00760207" w:rsidRDefault="00760207" w:rsidP="000C7587">
      <w:pPr>
        <w:pStyle w:val="JUDGMENTNUMBERED"/>
        <w:numPr>
          <w:ilvl w:val="0"/>
          <w:numId w:val="6"/>
        </w:numPr>
      </w:pPr>
      <w:r>
        <w:t>The requirements for issuing a declaratory order are non-contentious.  What is contentious in this matter is whether a declaratory order ought to have been granted</w:t>
      </w:r>
      <w:r w:rsidR="002057A0">
        <w:t>.</w:t>
      </w:r>
    </w:p>
    <w:p w14:paraId="074BE2DE" w14:textId="77777777" w:rsidR="002057A0" w:rsidRPr="002057A0" w:rsidRDefault="002057A0" w:rsidP="002057A0">
      <w:pPr>
        <w:pStyle w:val="JUDGMENTCONTINUED"/>
      </w:pPr>
    </w:p>
    <w:p w14:paraId="612CE055" w14:textId="198A2280" w:rsidR="00760207" w:rsidRPr="00526098" w:rsidRDefault="009F514A" w:rsidP="000C7587">
      <w:pPr>
        <w:pStyle w:val="JUDGMENTNUMBERED"/>
        <w:numPr>
          <w:ilvl w:val="0"/>
          <w:numId w:val="6"/>
        </w:numPr>
        <w:rPr>
          <w:rFonts w:eastAsia="Times New Roman"/>
          <w:lang w:eastAsia="en-ZA"/>
        </w:rPr>
      </w:pPr>
      <w:r>
        <w:t>Returning to the</w:t>
      </w:r>
      <w:r w:rsidR="000E7F03">
        <w:t xml:space="preserve"> </w:t>
      </w:r>
      <w:r w:rsidR="00760207">
        <w:t xml:space="preserve">requirements, the Supreme Court of Appeal in </w:t>
      </w:r>
      <w:r w:rsidR="00760207">
        <w:rPr>
          <w:i/>
        </w:rPr>
        <w:t>Cordiant</w:t>
      </w:r>
      <w:r w:rsidR="00760207" w:rsidRPr="00033137">
        <w:rPr>
          <w:sz w:val="28"/>
          <w:szCs w:val="28"/>
          <w:vertAlign w:val="superscript"/>
        </w:rPr>
        <w:footnoteReference w:id="47"/>
      </w:r>
      <w:r w:rsidR="00760207">
        <w:t xml:space="preserve"> applied a two-stage approach in considering whether or not to grant declaratory relief: (i) the court </w:t>
      </w:r>
      <w:r w:rsidR="007956B0">
        <w:t xml:space="preserve">must </w:t>
      </w:r>
      <w:r w:rsidR="00760207">
        <w:t xml:space="preserve">be satisfied that the applicant has an interest in an existing, future or contingent right or obligation; </w:t>
      </w:r>
      <w:r w:rsidR="007956B0">
        <w:t xml:space="preserve">and </w:t>
      </w:r>
      <w:r w:rsidR="00760207">
        <w:t xml:space="preserve">(ii) </w:t>
      </w:r>
      <w:r w:rsidR="007956B0">
        <w:t xml:space="preserve">the </w:t>
      </w:r>
      <w:r w:rsidR="00DD774D">
        <w:t>c</w:t>
      </w:r>
      <w:r w:rsidR="007956B0">
        <w:t xml:space="preserve">ourt may then </w:t>
      </w:r>
      <w:r w:rsidR="00760207">
        <w:t xml:space="preserve">exercise </w:t>
      </w:r>
      <w:r w:rsidR="004525AC">
        <w:t>its discretion</w:t>
      </w:r>
      <w:r w:rsidR="00760207">
        <w:t xml:space="preserve"> either to refuse or grant the order sought.</w:t>
      </w:r>
      <w:r w:rsidR="000E7F03">
        <w:rPr>
          <w:rFonts w:eastAsia="Times New Roman"/>
          <w:sz w:val="28"/>
          <w:szCs w:val="28"/>
          <w:vertAlign w:val="superscript"/>
          <w:lang w:eastAsia="en-ZA"/>
        </w:rPr>
        <w:t xml:space="preserve"> </w:t>
      </w:r>
      <w:r w:rsidR="000E7F03">
        <w:t xml:space="preserve"> </w:t>
      </w:r>
      <w:r w:rsidR="00760207">
        <w:t>Declaratory orders are discretionary</w:t>
      </w:r>
      <w:bookmarkStart w:id="41" w:name="_Ref532979471"/>
      <w:r w:rsidR="00760207">
        <w:rPr>
          <w:sz w:val="28"/>
          <w:szCs w:val="28"/>
          <w:vertAlign w:val="superscript"/>
        </w:rPr>
        <w:footnoteReference w:id="48"/>
      </w:r>
      <w:bookmarkEnd w:id="41"/>
      <w:r w:rsidR="00760207">
        <w:t xml:space="preserve"> and flexible as this Court pointed out in </w:t>
      </w:r>
      <w:r w:rsidR="00760207">
        <w:rPr>
          <w:rFonts w:eastAsia="Times New Roman"/>
          <w:i/>
          <w:lang w:eastAsia="en-ZA"/>
        </w:rPr>
        <w:t>Rail Commuters</w:t>
      </w:r>
      <w:r w:rsidR="00D10846">
        <w:rPr>
          <w:rFonts w:eastAsia="Times New Roman"/>
          <w:lang w:eastAsia="en-ZA"/>
        </w:rPr>
        <w:t>:</w:t>
      </w:r>
    </w:p>
    <w:p w14:paraId="11A70568" w14:textId="77777777" w:rsidR="00760207" w:rsidRDefault="00760207" w:rsidP="000E7F03">
      <w:pPr>
        <w:pStyle w:val="QUOTATION"/>
        <w:rPr>
          <w:lang w:eastAsia="en-ZA"/>
        </w:rPr>
      </w:pPr>
    </w:p>
    <w:p w14:paraId="4F87292B" w14:textId="07FCBE34" w:rsidR="00760207" w:rsidRPr="005C37A9" w:rsidRDefault="00760207" w:rsidP="005C37A9">
      <w:pPr>
        <w:pStyle w:val="QUOTATION"/>
      </w:pPr>
      <w:r w:rsidRPr="005C37A9">
        <w:t xml:space="preserve">“It is quite clear that before it makes a declaratory order a court must consider all the relevant circumstances.  A declaratory order is a flexible remedy which can assist in clarifying legal and constitutional obligations in a manner which promotes the protection and enforcement of our Constitution and its values.  Declaratory orders, of course, may be accompanied by other forms of relief, such as mandatory or prohibitory orders, but they may also stand on their own.  In considering whether it is desirable to </w:t>
      </w:r>
      <w:r w:rsidRPr="005C37A9">
        <w:lastRenderedPageBreak/>
        <w:t>order mandatory or prohibitory relief in addition to the declarator, a court will consider all the relevant circumstances</w:t>
      </w:r>
      <w:r w:rsidR="00764B50">
        <w:t>.</w:t>
      </w:r>
      <w:r w:rsidRPr="005C37A9">
        <w:t>”</w:t>
      </w:r>
      <w:r w:rsidR="00DE5BBA">
        <w:rPr>
          <w:rStyle w:val="FootnoteReference"/>
        </w:rPr>
        <w:footnoteReference w:id="49"/>
      </w:r>
    </w:p>
    <w:p w14:paraId="0F432DEA" w14:textId="77777777" w:rsidR="00760207" w:rsidRPr="0015454E" w:rsidRDefault="00760207" w:rsidP="00760207">
      <w:pPr>
        <w:pStyle w:val="JUDGMENTCONTINUED"/>
        <w:rPr>
          <w:lang w:eastAsia="en-ZA"/>
        </w:rPr>
      </w:pPr>
    </w:p>
    <w:p w14:paraId="1F4534F0" w14:textId="0D944614" w:rsidR="00760207" w:rsidRDefault="00760207" w:rsidP="000C7587">
      <w:pPr>
        <w:pStyle w:val="JUDGMENTNUMBERED"/>
        <w:numPr>
          <w:ilvl w:val="0"/>
          <w:numId w:val="6"/>
        </w:numPr>
      </w:pPr>
      <w:r w:rsidRPr="0033622A">
        <w:t xml:space="preserve">The parties have not taken issue with this two-staged approach except to the extent that the </w:t>
      </w:r>
      <w:r w:rsidR="00197403">
        <w:t>Commission</w:t>
      </w:r>
      <w:r w:rsidR="00197403" w:rsidRPr="0033622A">
        <w:t xml:space="preserve"> </w:t>
      </w:r>
      <w:r w:rsidRPr="0033622A">
        <w:t>is of the view that no live dispute existed between the parties and therefore the Tribunal should not have exercised its discretion to grant a declarator.</w:t>
      </w:r>
    </w:p>
    <w:p w14:paraId="3D0CA73D" w14:textId="77777777" w:rsidR="00760207" w:rsidRPr="00E841BF" w:rsidRDefault="00760207" w:rsidP="00760207">
      <w:pPr>
        <w:pStyle w:val="JUDGMENTCONTINUED"/>
      </w:pPr>
    </w:p>
    <w:p w14:paraId="1711BE7E" w14:textId="599F0D26" w:rsidR="00760207" w:rsidRDefault="00760207" w:rsidP="000C7587">
      <w:pPr>
        <w:pStyle w:val="JUDGMENTNUMBERED"/>
        <w:numPr>
          <w:ilvl w:val="0"/>
          <w:numId w:val="6"/>
        </w:numPr>
      </w:pPr>
      <w:r>
        <w:t>The absence of a live dispute may militate against the granting of a declaratory</w:t>
      </w:r>
      <w:r w:rsidR="00526098">
        <w:t xml:space="preserve"> order</w:t>
      </w:r>
      <w:r>
        <w:t xml:space="preserve">.  This is, however, not a hard and fast rule.  In </w:t>
      </w:r>
      <w:r>
        <w:rPr>
          <w:i/>
        </w:rPr>
        <w:t>Ex Parte Nell</w:t>
      </w:r>
      <w:r w:rsidR="007309A3">
        <w:t xml:space="preserve"> the Appellate </w:t>
      </w:r>
      <w:r>
        <w:t>Division held that an existing dispute was not a prerequisite for the granting of a declaratory order</w:t>
      </w:r>
      <w:r w:rsidR="00F22D80">
        <w:t>.</w:t>
      </w:r>
      <w:r w:rsidR="007309A3" w:rsidRPr="007309A3">
        <w:rPr>
          <w:vertAlign w:val="superscript"/>
        </w:rPr>
        <w:t xml:space="preserve"> </w:t>
      </w:r>
      <w:r w:rsidR="007309A3" w:rsidRPr="00033137">
        <w:rPr>
          <w:vertAlign w:val="superscript"/>
        </w:rPr>
        <w:footnoteReference w:id="50"/>
      </w:r>
      <w:r w:rsidR="00F22D80">
        <w:t xml:space="preserve">  This however does </w:t>
      </w:r>
      <w:r>
        <w:t xml:space="preserve">not mean that the court does not retain its discretion to refuse to grant a declaratory order in the absence of a live dispute.  In </w:t>
      </w:r>
      <w:r>
        <w:rPr>
          <w:i/>
        </w:rPr>
        <w:t>Oakbay</w:t>
      </w:r>
      <w:r w:rsidR="001F798B">
        <w:t xml:space="preserve"> the High </w:t>
      </w:r>
      <w:r>
        <w:t>Court followed a similar approach and pointed out that a court is not precluded from granting a declaratory order where there exists uncertainty about a legal question and where it is more practical for a court to decide the issue “without there being an already existing dispute”.</w:t>
      </w:r>
      <w:r w:rsidR="00F8498D">
        <w:rPr>
          <w:rStyle w:val="FootnoteReference"/>
        </w:rPr>
        <w:footnoteReference w:id="51"/>
      </w:r>
    </w:p>
    <w:p w14:paraId="1EC5976E" w14:textId="77777777" w:rsidR="00760207" w:rsidRPr="00875800" w:rsidRDefault="00760207" w:rsidP="00760207">
      <w:pPr>
        <w:pStyle w:val="JUDGMENTCONTINUED"/>
      </w:pPr>
    </w:p>
    <w:p w14:paraId="1D4F1E85" w14:textId="0B2B06AE" w:rsidR="00760207" w:rsidRDefault="00760207" w:rsidP="000C7587">
      <w:pPr>
        <w:pStyle w:val="JUDGMENTNUMBERED"/>
        <w:numPr>
          <w:ilvl w:val="0"/>
          <w:numId w:val="6"/>
        </w:numPr>
      </w:pPr>
      <w:r w:rsidRPr="004A5C10">
        <w:t xml:space="preserve">The </w:t>
      </w:r>
      <w:r w:rsidR="001D1920">
        <w:t>Commission</w:t>
      </w:r>
      <w:r w:rsidR="007309A3">
        <w:t xml:space="preserve"> </w:t>
      </w:r>
      <w:r w:rsidRPr="004A5C10">
        <w:t xml:space="preserve">submitted that there was no live dispute and that an advisory opinion is merely “an opinion” </w:t>
      </w:r>
      <w:r>
        <w:t xml:space="preserve">which </w:t>
      </w:r>
      <w:r w:rsidRPr="004A5C10">
        <w:t xml:space="preserve">does not translate into a binding decision </w:t>
      </w:r>
      <w:r>
        <w:t xml:space="preserve">of </w:t>
      </w:r>
      <w:r w:rsidRPr="004A5C10">
        <w:t xml:space="preserve">the Commission.  It was further submitted that there existed only a difference of opinion between the parties which also does not translate into a live dispute. </w:t>
      </w:r>
      <w:r>
        <w:t xml:space="preserve"> </w:t>
      </w:r>
      <w:r w:rsidR="007309A3">
        <w:t>HCI</w:t>
      </w:r>
      <w:r w:rsidRPr="004A5C10">
        <w:t xml:space="preserve"> disagreed and submitted that there was a real dispute between the parties and that there was ample reason for the Tribunal to exercise its discretion in favour of </w:t>
      </w:r>
      <w:r w:rsidR="007309A3">
        <w:t>HCI</w:t>
      </w:r>
      <w:r w:rsidRPr="004A5C10">
        <w:t>.</w:t>
      </w:r>
    </w:p>
    <w:p w14:paraId="7F5299B2" w14:textId="77777777" w:rsidR="00760207" w:rsidRPr="004A5C10" w:rsidRDefault="00760207" w:rsidP="00760207">
      <w:pPr>
        <w:pStyle w:val="JUDGMENTCONTINUED"/>
      </w:pPr>
    </w:p>
    <w:p w14:paraId="1EDF4983" w14:textId="2E534CA8" w:rsidR="00760207" w:rsidRDefault="00760207" w:rsidP="000C7587">
      <w:pPr>
        <w:pStyle w:val="JUDGMENTNUMBERED"/>
        <w:numPr>
          <w:ilvl w:val="0"/>
          <w:numId w:val="6"/>
        </w:numPr>
        <w:rPr>
          <w:lang w:eastAsia="en-ZA"/>
        </w:rPr>
      </w:pPr>
      <w:r>
        <w:rPr>
          <w:lang w:eastAsia="en-ZA"/>
        </w:rPr>
        <w:t xml:space="preserve">The Court in </w:t>
      </w:r>
      <w:r w:rsidRPr="00ED7041">
        <w:rPr>
          <w:i/>
          <w:lang w:eastAsia="en-ZA"/>
        </w:rPr>
        <w:t>Oakbay</w:t>
      </w:r>
      <w:r w:rsidR="00604C5A">
        <w:rPr>
          <w:i/>
          <w:lang w:eastAsia="en-ZA"/>
        </w:rPr>
        <w:t xml:space="preserve"> </w:t>
      </w:r>
      <w:r>
        <w:rPr>
          <w:lang w:eastAsia="en-ZA"/>
        </w:rPr>
        <w:t xml:space="preserve">dealt with the existence of a live dispute in some detail and also referred to the factors that must be taken into account in exercising the discretion </w:t>
      </w:r>
      <w:r>
        <w:rPr>
          <w:lang w:eastAsia="en-ZA"/>
        </w:rPr>
        <w:lastRenderedPageBreak/>
        <w:t>whether to grant declaratory relief, including, but not limited to, the availability of other remedies.</w:t>
      </w:r>
      <w:r w:rsidR="00604C5A">
        <w:rPr>
          <w:rFonts w:eastAsia="Times New Roman"/>
          <w:vertAlign w:val="superscript"/>
          <w:lang w:eastAsia="en-ZA"/>
        </w:rPr>
        <w:footnoteReference w:id="52"/>
      </w:r>
    </w:p>
    <w:p w14:paraId="0825A997" w14:textId="2FF302DE" w:rsidR="00760207" w:rsidRPr="000A1E08" w:rsidRDefault="00760207" w:rsidP="007A49F0">
      <w:pPr>
        <w:pStyle w:val="JUDGMENTCONTINUED"/>
        <w:rPr>
          <w:lang w:eastAsia="en-ZA"/>
        </w:rPr>
      </w:pPr>
    </w:p>
    <w:p w14:paraId="02E89945" w14:textId="3983D061" w:rsidR="00C5550C" w:rsidRDefault="00760207" w:rsidP="000C7587">
      <w:pPr>
        <w:pStyle w:val="JUDGMENTNUMBERED"/>
        <w:numPr>
          <w:ilvl w:val="0"/>
          <w:numId w:val="6"/>
        </w:numPr>
      </w:pPr>
      <w:r>
        <w:t xml:space="preserve">I am persuaded that </w:t>
      </w:r>
      <w:r w:rsidR="007956B0">
        <w:t xml:space="preserve">there was a </w:t>
      </w:r>
      <w:r>
        <w:t xml:space="preserve">live dispute between the parties.  The mere fact that parties had a difference </w:t>
      </w:r>
      <w:r w:rsidR="00653267">
        <w:t xml:space="preserve">of </w:t>
      </w:r>
      <w:r>
        <w:t>opinion regarding an important jurisdictional issue suggests that there was a live dispute</w:t>
      </w:r>
      <w:r w:rsidR="00197403">
        <w:t>.</w:t>
      </w:r>
      <w:r>
        <w:t xml:space="preserve"> </w:t>
      </w:r>
      <w:r w:rsidR="00197403">
        <w:t xml:space="preserve"> This is </w:t>
      </w:r>
      <w:r>
        <w:t xml:space="preserve">particularly </w:t>
      </w:r>
      <w:r w:rsidR="0012330C">
        <w:t xml:space="preserve">so </w:t>
      </w:r>
      <w:r>
        <w:t>where the difference of opinion existed between an important statutory entity such as the Commission and parties who are involved in a proposed transaction that may trigger the far</w:t>
      </w:r>
      <w:r w:rsidR="007A49F0">
        <w:t xml:space="preserve"> </w:t>
      </w:r>
      <w:r>
        <w:t>reaching investigative powers of the</w:t>
      </w:r>
      <w:r w:rsidR="004D4C15">
        <w:t xml:space="preserve"> Commission</w:t>
      </w:r>
      <w:r>
        <w:t xml:space="preserve">.  This difference of opinion and the legal uncertainty was </w:t>
      </w:r>
      <w:r w:rsidR="00117940">
        <w:t xml:space="preserve">accentuated </w:t>
      </w:r>
      <w:r>
        <w:t xml:space="preserve">by the advisory opinion issued by the Commission declaring that the transaction amounted to a notifiable merger.  The Commission likewise had a legal interest in obtaining clarity on the question whether </w:t>
      </w:r>
      <w:r w:rsidR="00653267">
        <w:t>the</w:t>
      </w:r>
      <w:r>
        <w:t xml:space="preserve"> transaction was notifiable.</w:t>
      </w:r>
    </w:p>
    <w:p w14:paraId="088B526A" w14:textId="77777777" w:rsidR="00C5550C" w:rsidRPr="00C5550C" w:rsidRDefault="00C5550C" w:rsidP="009F2512">
      <w:pPr>
        <w:pStyle w:val="JUDGMENTCONTINUED"/>
      </w:pPr>
    </w:p>
    <w:p w14:paraId="27E7BCEE" w14:textId="17B5882D" w:rsidR="00760207" w:rsidRDefault="00072A9F" w:rsidP="000C7587">
      <w:pPr>
        <w:pStyle w:val="JUDGMENTNUMBERED"/>
        <w:numPr>
          <w:ilvl w:val="0"/>
          <w:numId w:val="6"/>
        </w:numPr>
      </w:pPr>
      <w:r w:rsidRPr="00DD4FBB">
        <w:t>The not</w:t>
      </w:r>
      <w:r w:rsidR="00973A63">
        <w:t xml:space="preserve">ification of a transaction </w:t>
      </w:r>
      <w:r w:rsidRPr="00DD4FBB">
        <w:t>has far reaching consequences for the notifying parties</w:t>
      </w:r>
      <w:r w:rsidR="00FF37CE">
        <w:t>:</w:t>
      </w:r>
      <w:r w:rsidRPr="00DD4FBB">
        <w:t xml:space="preserve"> </w:t>
      </w:r>
      <w:r>
        <w:t>n</w:t>
      </w:r>
      <w:r w:rsidRPr="00DD4FBB">
        <w:t xml:space="preserve">ot only will large fees have to be paid </w:t>
      </w:r>
      <w:r w:rsidR="004D4C15">
        <w:t>up</w:t>
      </w:r>
      <w:r w:rsidRPr="00DD4FBB">
        <w:t xml:space="preserve">on notification, the </w:t>
      </w:r>
      <w:r w:rsidR="00F22D80">
        <w:t xml:space="preserve">proposed </w:t>
      </w:r>
      <w:r w:rsidRPr="00DD4FBB">
        <w:t xml:space="preserve">merger </w:t>
      </w:r>
      <w:r w:rsidR="00F22D80">
        <w:t xml:space="preserve">transaction </w:t>
      </w:r>
      <w:r w:rsidRPr="00DD4FBB">
        <w:t>may</w:t>
      </w:r>
      <w:r w:rsidR="005C37A9">
        <w:t xml:space="preserve"> </w:t>
      </w:r>
      <w:r w:rsidR="00F22D80">
        <w:t xml:space="preserve">in turn also </w:t>
      </w:r>
      <w:r w:rsidRPr="00DD4FBB">
        <w:t>be delayed for up to 90</w:t>
      </w:r>
      <w:r w:rsidR="007309A3">
        <w:t xml:space="preserve"> </w:t>
      </w:r>
      <w:r w:rsidRPr="00DD4FBB">
        <w:t>days</w:t>
      </w:r>
      <w:r w:rsidR="007062BC">
        <w:t>.</w:t>
      </w:r>
    </w:p>
    <w:p w14:paraId="0047BD59" w14:textId="77777777" w:rsidR="00760207" w:rsidRPr="00A36386" w:rsidRDefault="00760207" w:rsidP="00760207">
      <w:pPr>
        <w:pStyle w:val="JUDGMENTCONTINUED"/>
      </w:pPr>
    </w:p>
    <w:p w14:paraId="01DC4C00" w14:textId="126C61EF" w:rsidR="00760207" w:rsidRPr="00E10D80" w:rsidRDefault="00760207" w:rsidP="00760207">
      <w:pPr>
        <w:pStyle w:val="JUDGMENTNUMBERED"/>
        <w:numPr>
          <w:ilvl w:val="0"/>
          <w:numId w:val="6"/>
        </w:numPr>
      </w:pPr>
      <w:r>
        <w:rPr>
          <w:lang w:eastAsia="en-ZA"/>
        </w:rPr>
        <w:t xml:space="preserve">I have already pointed out that the </w:t>
      </w:r>
      <w:r w:rsidR="001D1920">
        <w:rPr>
          <w:lang w:eastAsia="en-ZA"/>
        </w:rPr>
        <w:t>Commission</w:t>
      </w:r>
      <w:r w:rsidR="007309A3">
        <w:rPr>
          <w:lang w:eastAsia="en-ZA"/>
        </w:rPr>
        <w:t xml:space="preserve"> </w:t>
      </w:r>
      <w:r>
        <w:rPr>
          <w:lang w:eastAsia="en-ZA"/>
        </w:rPr>
        <w:t xml:space="preserve">contended that no special status should be attached to an advisory </w:t>
      </w:r>
      <w:r w:rsidR="00072A9F">
        <w:rPr>
          <w:lang w:eastAsia="en-ZA"/>
        </w:rPr>
        <w:t>opinion</w:t>
      </w:r>
      <w:r>
        <w:rPr>
          <w:lang w:eastAsia="en-ZA"/>
        </w:rPr>
        <w:t xml:space="preserve">. </w:t>
      </w:r>
      <w:r w:rsidR="005C37A9">
        <w:rPr>
          <w:lang w:eastAsia="en-ZA"/>
        </w:rPr>
        <w:t xml:space="preserve"> </w:t>
      </w:r>
      <w:r>
        <w:rPr>
          <w:lang w:eastAsia="en-ZA"/>
        </w:rPr>
        <w:t xml:space="preserve">Although I </w:t>
      </w:r>
      <w:r w:rsidR="00D90040">
        <w:rPr>
          <w:lang w:eastAsia="en-ZA"/>
        </w:rPr>
        <w:t>agree</w:t>
      </w:r>
      <w:r>
        <w:rPr>
          <w:lang w:eastAsia="en-ZA"/>
        </w:rPr>
        <w:t xml:space="preserve"> that an advisory opinion has no binding force on the</w:t>
      </w:r>
      <w:r w:rsidR="009F514A">
        <w:rPr>
          <w:lang w:eastAsia="en-ZA"/>
        </w:rPr>
        <w:t xml:space="preserve"> Commission</w:t>
      </w:r>
      <w:r>
        <w:rPr>
          <w:lang w:eastAsia="en-ZA"/>
        </w:rPr>
        <w:t xml:space="preserve">, it still, as the </w:t>
      </w:r>
      <w:r w:rsidR="007D1A0C" w:rsidRPr="004D46AB">
        <w:t>Competition</w:t>
      </w:r>
      <w:r w:rsidR="007309A3">
        <w:t xml:space="preserve"> </w:t>
      </w:r>
      <w:r w:rsidR="007D1A0C" w:rsidRPr="004D46AB">
        <w:t>Appeal Court</w:t>
      </w:r>
      <w:r>
        <w:rPr>
          <w:lang w:eastAsia="en-ZA"/>
        </w:rPr>
        <w:t xml:space="preserve"> pointed out with reference to </w:t>
      </w:r>
      <w:r>
        <w:rPr>
          <w:i/>
          <w:lang w:eastAsia="en-ZA"/>
        </w:rPr>
        <w:t>Seagram</w:t>
      </w:r>
      <w:r>
        <w:rPr>
          <w:lang w:eastAsia="en-ZA"/>
        </w:rPr>
        <w:t>,</w:t>
      </w:r>
      <w:r>
        <w:rPr>
          <w:vertAlign w:val="superscript"/>
          <w:lang w:eastAsia="en-ZA"/>
        </w:rPr>
        <w:footnoteReference w:id="53"/>
      </w:r>
      <w:r>
        <w:rPr>
          <w:lang w:eastAsia="en-ZA"/>
        </w:rPr>
        <w:t xml:space="preserve"> reflects the views of the Commission on whether a transaction constitutes a notifiable merger.  In </w:t>
      </w:r>
      <w:r>
        <w:rPr>
          <w:i/>
        </w:rPr>
        <w:t>Bulmer</w:t>
      </w:r>
      <w:r w:rsidR="005C37A9">
        <w:rPr>
          <w:i/>
        </w:rPr>
        <w:t>,</w:t>
      </w:r>
      <w:r>
        <w:t xml:space="preserve"> the Tribunal likewise </w:t>
      </w:r>
      <w:r w:rsidR="00755292">
        <w:t xml:space="preserve">agreed that the distinction between an advisory award and a decision </w:t>
      </w:r>
      <w:r>
        <w:t>is “highly artificial and without substance</w:t>
      </w:r>
      <w:r w:rsidR="00207E46">
        <w:t>”</w:t>
      </w:r>
      <w:r>
        <w:t>.</w:t>
      </w:r>
      <w:r w:rsidR="007309A3" w:rsidRPr="007309A3">
        <w:rPr>
          <w:vertAlign w:val="superscript"/>
        </w:rPr>
        <w:t xml:space="preserve"> </w:t>
      </w:r>
      <w:r w:rsidR="007309A3">
        <w:rPr>
          <w:vertAlign w:val="superscript"/>
        </w:rPr>
        <w:footnoteReference w:id="54"/>
      </w:r>
    </w:p>
    <w:p w14:paraId="1E0C2993" w14:textId="243AB0EA" w:rsidR="00033137" w:rsidRDefault="00760207" w:rsidP="0033447F">
      <w:pPr>
        <w:pStyle w:val="JUDGMENTNUMBERED"/>
        <w:numPr>
          <w:ilvl w:val="0"/>
          <w:numId w:val="6"/>
        </w:numPr>
        <w:rPr>
          <w:rFonts w:eastAsia="Times New Roman"/>
          <w:lang w:eastAsia="en-ZA"/>
        </w:rPr>
      </w:pPr>
      <w:r>
        <w:lastRenderedPageBreak/>
        <w:t>Once a court is satisfied that the applicant has an interest in an existing, future or contingent right or obligation, it will then proceed to the second leg and consider all relevant facts in deciding whether or not to grant a declaratory order.</w:t>
      </w:r>
      <w:r>
        <w:rPr>
          <w:rFonts w:eastAsia="Times New Roman"/>
          <w:vertAlign w:val="superscript"/>
          <w:lang w:eastAsia="en-ZA"/>
        </w:rPr>
        <w:footnoteReference w:id="55"/>
      </w:r>
    </w:p>
    <w:p w14:paraId="7AA1C198" w14:textId="77777777" w:rsidR="00BE50AD" w:rsidRPr="00BE50AD" w:rsidRDefault="00BE50AD" w:rsidP="00BE50AD">
      <w:pPr>
        <w:pStyle w:val="JUDGMENTCONTINUED"/>
        <w:rPr>
          <w:lang w:eastAsia="en-ZA"/>
        </w:rPr>
      </w:pPr>
    </w:p>
    <w:p w14:paraId="496A1C01" w14:textId="5DF513F9" w:rsidR="00BC0D1F" w:rsidRPr="00BC0D1F" w:rsidRDefault="00BC0D1F" w:rsidP="007A49F0">
      <w:pPr>
        <w:pStyle w:val="HEADING"/>
        <w:rPr>
          <w:lang w:eastAsia="en-ZA"/>
        </w:rPr>
      </w:pPr>
      <w:r w:rsidRPr="00BC0D1F">
        <w:rPr>
          <w:lang w:eastAsia="en-ZA"/>
        </w:rPr>
        <w:t>Conclusion</w:t>
      </w:r>
    </w:p>
    <w:p w14:paraId="29F6E920" w14:textId="2F0DA911" w:rsidR="00C45D70" w:rsidRPr="00C45D70" w:rsidRDefault="00C45D70" w:rsidP="000C7587">
      <w:pPr>
        <w:pStyle w:val="JUDGMENTNUMBERED"/>
        <w:numPr>
          <w:ilvl w:val="0"/>
          <w:numId w:val="6"/>
        </w:numPr>
      </w:pPr>
      <w:r>
        <w:t>The</w:t>
      </w:r>
      <w:r w:rsidR="00836E85">
        <w:t xml:space="preserve"> </w:t>
      </w:r>
      <w:r w:rsidR="007D1A0C" w:rsidRPr="004D46AB">
        <w:t>Competition</w:t>
      </w:r>
      <w:r>
        <w:t xml:space="preserve"> </w:t>
      </w:r>
      <w:r w:rsidR="007D1A0C" w:rsidRPr="004D46AB">
        <w:t>Appeal Court</w:t>
      </w:r>
      <w:r w:rsidR="00836E85">
        <w:t xml:space="preserve"> did not err in upholding the appeal against the decis</w:t>
      </w:r>
      <w:r>
        <w:t>ion of the Competition Tribunal in that HCI and Tsogo were not obliged to notify the 2017 transaction in terms of section 13A.  However, the appeal should only</w:t>
      </w:r>
      <w:r w:rsidR="00D9438D">
        <w:t xml:space="preserve"> </w:t>
      </w:r>
      <w:r w:rsidR="000D2649">
        <w:t xml:space="preserve">succeed partially </w:t>
      </w:r>
      <w:r w:rsidR="001D1920">
        <w:t>because it</w:t>
      </w:r>
      <w:r>
        <w:t xml:space="preserve"> has always been within the power of the Commission to investigate assurances</w:t>
      </w:r>
      <w:r w:rsidR="00E11324">
        <w:t xml:space="preserve"> given during the 2014 merger approval proceedings in terms of</w:t>
      </w:r>
      <w:r>
        <w:t xml:space="preserve"> sections 15 and 16(3)</w:t>
      </w:r>
      <w:r w:rsidR="00F40EF8">
        <w:t>.</w:t>
      </w:r>
    </w:p>
    <w:p w14:paraId="0EBA1166" w14:textId="24EE9E99" w:rsidR="004213A0" w:rsidRDefault="004213A0" w:rsidP="007A49F0">
      <w:pPr>
        <w:pStyle w:val="JUDGMENTCONTINUED"/>
      </w:pPr>
    </w:p>
    <w:p w14:paraId="0852CB7F" w14:textId="77777777" w:rsidR="004213A0" w:rsidRPr="004213A0" w:rsidRDefault="004213A0" w:rsidP="007A49F0">
      <w:pPr>
        <w:pStyle w:val="HEADING"/>
      </w:pPr>
      <w:r w:rsidRPr="004213A0">
        <w:t>Costs</w:t>
      </w:r>
    </w:p>
    <w:p w14:paraId="63F0B58D" w14:textId="67CD78CB" w:rsidR="004213A0" w:rsidRPr="00C13446" w:rsidRDefault="004213A0" w:rsidP="000C7587">
      <w:pPr>
        <w:pStyle w:val="JUDGMENTNUMBERED"/>
        <w:numPr>
          <w:ilvl w:val="0"/>
          <w:numId w:val="6"/>
        </w:numPr>
      </w:pPr>
      <w:r>
        <w:t>As in the Competition Appeal Court there will be no order as to costs.</w:t>
      </w:r>
    </w:p>
    <w:p w14:paraId="76988F39" w14:textId="77777777" w:rsidR="00920570" w:rsidRDefault="00920570" w:rsidP="007A49F0">
      <w:pPr>
        <w:pStyle w:val="JUDGMENTCONTINUED"/>
        <w:sectPr w:rsidR="00920570" w:rsidSect="00920570">
          <w:headerReference w:type="default" r:id="rId17"/>
          <w:type w:val="continuous"/>
          <w:pgSz w:w="11907" w:h="16839" w:code="9"/>
          <w:pgMar w:top="1440" w:right="1440" w:bottom="1440" w:left="1440" w:header="708" w:footer="708" w:gutter="0"/>
          <w:pgNumType w:start="2"/>
          <w:cols w:space="708"/>
          <w:docGrid w:linePitch="360"/>
        </w:sectPr>
      </w:pPr>
    </w:p>
    <w:p w14:paraId="50F16B5E" w14:textId="1CDA1D08" w:rsidR="00836E85" w:rsidRDefault="00836E85" w:rsidP="007A49F0">
      <w:pPr>
        <w:pStyle w:val="JUDGMENTCONTINUED"/>
      </w:pPr>
    </w:p>
    <w:p w14:paraId="00830A9A" w14:textId="73A5E3D0" w:rsidR="00836E85" w:rsidRPr="00836E85" w:rsidRDefault="00836E85" w:rsidP="007A49F0">
      <w:pPr>
        <w:pStyle w:val="HEADING"/>
      </w:pPr>
      <w:r w:rsidRPr="00836E85">
        <w:t>Order</w:t>
      </w:r>
    </w:p>
    <w:p w14:paraId="52A2E144" w14:textId="2C2E5C3D" w:rsidR="007309A3" w:rsidRPr="00E80A6F" w:rsidRDefault="00E3683D" w:rsidP="007309A3">
      <w:pPr>
        <w:pStyle w:val="ORDER"/>
        <w:ind w:left="0" w:firstLine="0"/>
        <w:rPr>
          <w:lang w:val="en-GB"/>
        </w:rPr>
      </w:pPr>
      <w:r>
        <w:rPr>
          <w:szCs w:val="26"/>
          <w:lang w:val="en-GB"/>
        </w:rPr>
        <w:t>[91]</w:t>
      </w:r>
      <w:r>
        <w:rPr>
          <w:szCs w:val="26"/>
          <w:lang w:val="en-GB"/>
        </w:rPr>
        <w:tab/>
      </w:r>
      <w:r w:rsidR="007062BC">
        <w:rPr>
          <w:szCs w:val="26"/>
          <w:lang w:val="en-GB"/>
        </w:rPr>
        <w:t>T</w:t>
      </w:r>
      <w:r w:rsidR="00836E85" w:rsidRPr="00E80A6F">
        <w:rPr>
          <w:szCs w:val="26"/>
          <w:lang w:val="en-GB"/>
        </w:rPr>
        <w:t xml:space="preserve">he </w:t>
      </w:r>
      <w:r w:rsidR="007309A3" w:rsidRPr="00E80A6F">
        <w:rPr>
          <w:lang w:val="en-GB"/>
        </w:rPr>
        <w:t>following order is made</w:t>
      </w:r>
      <w:r w:rsidR="007309A3">
        <w:rPr>
          <w:lang w:val="en-GB"/>
        </w:rPr>
        <w:t>:</w:t>
      </w:r>
    </w:p>
    <w:p w14:paraId="4DA8BF48" w14:textId="77777777" w:rsidR="007309A3" w:rsidRPr="00B56F87" w:rsidRDefault="007309A3" w:rsidP="007309A3">
      <w:pPr>
        <w:pStyle w:val="ORDER"/>
        <w:rPr>
          <w:lang w:val="en-GB"/>
        </w:rPr>
      </w:pPr>
      <w:r>
        <w:rPr>
          <w:lang w:val="en-GB"/>
        </w:rPr>
        <w:t>1.</w:t>
      </w:r>
      <w:r>
        <w:rPr>
          <w:lang w:val="en-GB"/>
        </w:rPr>
        <w:tab/>
      </w:r>
      <w:r w:rsidRPr="00B56F87">
        <w:rPr>
          <w:lang w:val="en-GB"/>
        </w:rPr>
        <w:t>Condonation is granted.</w:t>
      </w:r>
    </w:p>
    <w:p w14:paraId="5DBF0771" w14:textId="77777777" w:rsidR="007309A3" w:rsidRPr="00B56F87" w:rsidRDefault="007309A3" w:rsidP="007309A3">
      <w:pPr>
        <w:pStyle w:val="ORDER"/>
        <w:rPr>
          <w:lang w:val="en-GB"/>
        </w:rPr>
      </w:pPr>
      <w:r>
        <w:rPr>
          <w:lang w:val="en-GB"/>
        </w:rPr>
        <w:t>2.</w:t>
      </w:r>
      <w:r>
        <w:rPr>
          <w:lang w:val="en-GB"/>
        </w:rPr>
        <w:tab/>
        <w:t>Leave to appeal is granted.</w:t>
      </w:r>
    </w:p>
    <w:p w14:paraId="048D7589" w14:textId="77777777" w:rsidR="007309A3" w:rsidRDefault="007309A3" w:rsidP="007309A3">
      <w:pPr>
        <w:pStyle w:val="ORDER"/>
        <w:rPr>
          <w:lang w:val="en-GB"/>
        </w:rPr>
      </w:pPr>
      <w:r>
        <w:rPr>
          <w:lang w:val="en-GB"/>
        </w:rPr>
        <w:t>3.</w:t>
      </w:r>
      <w:r>
        <w:rPr>
          <w:lang w:val="en-GB"/>
        </w:rPr>
        <w:tab/>
        <w:t>The appeal is upheld to the limited extent set out in paragraph 4.</w:t>
      </w:r>
    </w:p>
    <w:p w14:paraId="41E2C96F" w14:textId="77777777" w:rsidR="007309A3" w:rsidRDefault="007309A3" w:rsidP="007309A3">
      <w:pPr>
        <w:pStyle w:val="ORDER"/>
        <w:rPr>
          <w:lang w:val="en-GB"/>
        </w:rPr>
      </w:pPr>
      <w:r>
        <w:rPr>
          <w:lang w:val="en-GB"/>
        </w:rPr>
        <w:t>4.</w:t>
      </w:r>
      <w:r>
        <w:rPr>
          <w:lang w:val="en-GB"/>
        </w:rPr>
        <w:tab/>
        <w:t>The order made by the Competition Appeal Court is replaced with the following:</w:t>
      </w:r>
    </w:p>
    <w:p w14:paraId="345677CC" w14:textId="77777777" w:rsidR="007309A3" w:rsidRPr="000901D2" w:rsidRDefault="007309A3" w:rsidP="007309A3">
      <w:pPr>
        <w:pStyle w:val="ORDER"/>
        <w:ind w:left="720" w:right="720" w:firstLine="720"/>
        <w:rPr>
          <w:lang w:val="en-GB"/>
        </w:rPr>
      </w:pPr>
      <w:r w:rsidRPr="000901D2">
        <w:rPr>
          <w:lang w:val="en-GB"/>
        </w:rPr>
        <w:t>“It is declared that:</w:t>
      </w:r>
    </w:p>
    <w:p w14:paraId="743EAA18" w14:textId="2F5D0197" w:rsidR="007309A3" w:rsidRPr="000901D2" w:rsidRDefault="007309A3" w:rsidP="007309A3">
      <w:pPr>
        <w:pStyle w:val="ORDER"/>
        <w:ind w:left="2160"/>
      </w:pPr>
      <w:r w:rsidRPr="000901D2">
        <w:lastRenderedPageBreak/>
        <w:t>(a)</w:t>
      </w:r>
      <w:r w:rsidRPr="000901D2">
        <w:tab/>
        <w:t>Hosken Consolidated Investment</w:t>
      </w:r>
      <w:r w:rsidR="00A8572F">
        <w:t>s</w:t>
      </w:r>
      <w:r w:rsidRPr="000901D2">
        <w:t xml:space="preserve"> Limited is not obliged to notify the 2017 transaction in terms of section 13A of the Competition Act; and</w:t>
      </w:r>
    </w:p>
    <w:p w14:paraId="23104485" w14:textId="06590609" w:rsidR="007309A3" w:rsidRPr="000901D2" w:rsidRDefault="008A4C4E" w:rsidP="007309A3">
      <w:pPr>
        <w:pStyle w:val="ORDER"/>
        <w:ind w:left="2160"/>
      </w:pPr>
      <w:r>
        <w:t>(b)</w:t>
      </w:r>
      <w:r>
        <w:tab/>
        <w:t>the order in (a</w:t>
      </w:r>
      <w:r w:rsidR="007309A3" w:rsidRPr="000901D2">
        <w:t>) does not preclude the Competition Commission from investigating assurances made in the 2014 merger in terms of sections 15 and 16(3) of the Competition Act.</w:t>
      </w:r>
    </w:p>
    <w:p w14:paraId="42216813" w14:textId="77777777" w:rsidR="007309A3" w:rsidRDefault="007309A3" w:rsidP="007309A3">
      <w:pPr>
        <w:pStyle w:val="ORDER"/>
        <w:ind w:firstLine="0"/>
      </w:pPr>
      <w:r w:rsidRPr="000901D2">
        <w:t>(c)</w:t>
      </w:r>
      <w:r w:rsidRPr="000901D2">
        <w:tab/>
        <w:t>There is no order as to costs.”</w:t>
      </w:r>
    </w:p>
    <w:p w14:paraId="0EB08D97" w14:textId="552EA24F" w:rsidR="00BB6B09" w:rsidRPr="00E3683D" w:rsidRDefault="007309A3" w:rsidP="00E3683D">
      <w:pPr>
        <w:pStyle w:val="ListParagraph"/>
        <w:spacing w:line="360" w:lineRule="auto"/>
        <w:ind w:left="0" w:firstLine="720"/>
        <w:rPr>
          <w:szCs w:val="26"/>
          <w:lang w:val="en-GB"/>
        </w:rPr>
      </w:pPr>
      <w:r>
        <w:rPr>
          <w:lang w:val="en-GB"/>
        </w:rPr>
        <w:t>5.</w:t>
      </w:r>
      <w:r>
        <w:rPr>
          <w:lang w:val="en-GB"/>
        </w:rPr>
        <w:tab/>
      </w:r>
      <w:r w:rsidRPr="002057A0">
        <w:rPr>
          <w:lang w:val="en-GB"/>
        </w:rPr>
        <w:t>There is no order as to costs</w:t>
      </w:r>
      <w:r w:rsidR="00BB6B09" w:rsidRPr="00E3683D">
        <w:rPr>
          <w:szCs w:val="26"/>
          <w:lang w:val="en-GB"/>
        </w:rPr>
        <w:t>.</w:t>
      </w:r>
    </w:p>
    <w:p w14:paraId="2074BBA1" w14:textId="77777777" w:rsidR="000D2649" w:rsidRDefault="000D2649" w:rsidP="0083254E">
      <w:pPr>
        <w:spacing w:line="360" w:lineRule="auto"/>
        <w:rPr>
          <w:szCs w:val="26"/>
          <w:lang w:val="en-GB"/>
        </w:rPr>
        <w:sectPr w:rsidR="000D2649" w:rsidSect="00920570">
          <w:headerReference w:type="default" r:id="rId18"/>
          <w:type w:val="continuous"/>
          <w:pgSz w:w="11907" w:h="16839" w:code="9"/>
          <w:pgMar w:top="1440" w:right="1440" w:bottom="1440" w:left="1440" w:header="708" w:footer="708" w:gutter="0"/>
          <w:pgNumType w:start="37"/>
          <w:cols w:space="708"/>
          <w:docGrid w:linePitch="360"/>
        </w:sectPr>
      </w:pPr>
    </w:p>
    <w:p w14:paraId="25208133" w14:textId="305A9931" w:rsidR="00BB028A" w:rsidRDefault="00BB028A" w:rsidP="00941E10">
      <w:pPr>
        <w:tabs>
          <w:tab w:val="left" w:pos="3125"/>
        </w:tabs>
        <w:spacing w:line="240" w:lineRule="auto"/>
        <w:rPr>
          <w:szCs w:val="26"/>
          <w:lang w:val="en-GB"/>
        </w:rPr>
      </w:pPr>
    </w:p>
    <w:p w14:paraId="1EB3AD51" w14:textId="77777777" w:rsidR="00E3683D" w:rsidRDefault="00E3683D" w:rsidP="00941E10">
      <w:pPr>
        <w:tabs>
          <w:tab w:val="left" w:pos="3125"/>
        </w:tabs>
        <w:spacing w:line="240" w:lineRule="auto"/>
        <w:rPr>
          <w:szCs w:val="26"/>
          <w:lang w:val="en-GB"/>
        </w:rPr>
      </w:pPr>
    </w:p>
    <w:p w14:paraId="68AE8B29" w14:textId="77777777" w:rsidR="00D40164" w:rsidRDefault="00D40164" w:rsidP="00941E10">
      <w:pPr>
        <w:spacing w:line="240" w:lineRule="auto"/>
        <w:rPr>
          <w:szCs w:val="26"/>
          <w:lang w:val="en-GB"/>
        </w:rPr>
      </w:pPr>
    </w:p>
    <w:p w14:paraId="372CB9D3" w14:textId="49E19344" w:rsidR="0081422F" w:rsidRDefault="0081422F" w:rsidP="0083254E">
      <w:pPr>
        <w:spacing w:line="360" w:lineRule="auto"/>
        <w:rPr>
          <w:szCs w:val="26"/>
          <w:lang w:val="en-GB"/>
        </w:rPr>
      </w:pPr>
      <w:r>
        <w:rPr>
          <w:szCs w:val="26"/>
          <w:lang w:val="en-GB"/>
        </w:rPr>
        <w:t>FRONEMAN J</w:t>
      </w:r>
    </w:p>
    <w:p w14:paraId="3A581534" w14:textId="77777777" w:rsidR="0083254E" w:rsidRDefault="0083254E" w:rsidP="003B70EA">
      <w:pPr>
        <w:spacing w:line="240" w:lineRule="auto"/>
        <w:rPr>
          <w:szCs w:val="26"/>
          <w:lang w:val="en-GB"/>
        </w:rPr>
      </w:pPr>
    </w:p>
    <w:p w14:paraId="002684C9" w14:textId="77777777" w:rsidR="003B70EA" w:rsidRDefault="003B70EA" w:rsidP="003B70EA">
      <w:pPr>
        <w:spacing w:line="240" w:lineRule="auto"/>
        <w:rPr>
          <w:szCs w:val="26"/>
          <w:lang w:val="en-GB"/>
        </w:rPr>
      </w:pPr>
    </w:p>
    <w:p w14:paraId="366FC34A" w14:textId="714A5857" w:rsidR="0081422F" w:rsidRDefault="0081422F" w:rsidP="0081422F">
      <w:pPr>
        <w:spacing w:line="360" w:lineRule="auto"/>
        <w:rPr>
          <w:szCs w:val="26"/>
          <w:lang w:val="en-GB"/>
        </w:rPr>
      </w:pPr>
      <w:r>
        <w:rPr>
          <w:szCs w:val="26"/>
          <w:lang w:val="en-GB"/>
        </w:rPr>
        <w:t>[92]</w:t>
      </w:r>
      <w:r>
        <w:rPr>
          <w:szCs w:val="26"/>
          <w:lang w:val="en-GB"/>
        </w:rPr>
        <w:tab/>
        <w:t>I concur in my sister Basson AJ’s reasoning that in the circumstances HCI was not obliged to give notice under the Act of a new merger and that the Commission retained its investigative power to determine whether revocation of the 2014 merger approval was justified.</w:t>
      </w:r>
    </w:p>
    <w:p w14:paraId="78A3C745" w14:textId="77777777" w:rsidR="0081422F" w:rsidRDefault="0081422F" w:rsidP="0081422F">
      <w:pPr>
        <w:spacing w:line="360" w:lineRule="auto"/>
        <w:rPr>
          <w:szCs w:val="26"/>
          <w:lang w:val="en-GB"/>
        </w:rPr>
      </w:pPr>
    </w:p>
    <w:p w14:paraId="3E2096A8" w14:textId="073CB383" w:rsidR="0081422F" w:rsidRDefault="0081422F" w:rsidP="0081422F">
      <w:pPr>
        <w:spacing w:line="360" w:lineRule="auto"/>
        <w:rPr>
          <w:szCs w:val="26"/>
          <w:lang w:val="en-GB"/>
        </w:rPr>
      </w:pPr>
      <w:r>
        <w:rPr>
          <w:szCs w:val="26"/>
          <w:lang w:val="en-GB"/>
        </w:rPr>
        <w:t>[93]</w:t>
      </w:r>
      <w:r>
        <w:rPr>
          <w:szCs w:val="26"/>
          <w:lang w:val="en-GB"/>
        </w:rPr>
        <w:tab/>
        <w:t xml:space="preserve">I also agree with the outcome and order she proposes, but with a cautionary note.  The order is necessary to clarify the legal position.  But it should not be read as an invitation to flood the Tribunal with applications for declaratory orders of this kind.  Part of the Commission’s objection to the relief sought before the Tribunal was that </w:t>
      </w:r>
      <w:r>
        <w:t>the proposed transaction entailed further lines of enquiry which the Commission needed to investigate, namely a further substantive competitive assessment and public interest issues.  It set these further lines of enquiry and their possible consequences out in some detail.  The Act’s purposes are not necessarily advanced by granting declaratory orders where the Commission explicitly states that it needs more time for investigation.  In exercising its discretion in relation to declaratory orders this is a factor that the Tribunal should also keep in mind in future.</w:t>
      </w:r>
    </w:p>
    <w:p w14:paraId="492C0D16" w14:textId="77777777" w:rsidR="00920570" w:rsidRDefault="0081422F" w:rsidP="0081422F">
      <w:pPr>
        <w:spacing w:line="240" w:lineRule="auto"/>
        <w:jc w:val="left"/>
        <w:rPr>
          <w:szCs w:val="26"/>
          <w:lang w:val="en-GB"/>
        </w:rPr>
        <w:sectPr w:rsidR="00920570" w:rsidSect="00AC2FB5">
          <w:headerReference w:type="default" r:id="rId19"/>
          <w:type w:val="continuous"/>
          <w:pgSz w:w="11907" w:h="16839" w:code="9"/>
          <w:pgMar w:top="1440" w:right="1440" w:bottom="1440" w:left="1440" w:header="708" w:footer="708" w:gutter="0"/>
          <w:pgNumType w:start="38"/>
          <w:cols w:space="708"/>
          <w:docGrid w:linePitch="360"/>
        </w:sectPr>
      </w:pPr>
      <w:r>
        <w:rPr>
          <w:szCs w:val="26"/>
          <w:lang w:val="en-GB"/>
        </w:rPr>
        <w:br w:type="page"/>
      </w:r>
    </w:p>
    <w:p w14:paraId="0550AF0A" w14:textId="0357C1EB" w:rsidR="003A2740" w:rsidRDefault="003A2740" w:rsidP="00860C4E">
      <w:pPr>
        <w:rPr>
          <w:szCs w:val="26"/>
          <w:lang w:val="en-GB"/>
        </w:rPr>
      </w:pPr>
    </w:p>
    <w:p w14:paraId="58B6F916" w14:textId="77777777" w:rsidR="003A2740" w:rsidRPr="009C3888" w:rsidRDefault="003A2740" w:rsidP="00860C4E">
      <w:pPr>
        <w:sectPr w:rsidR="003A2740" w:rsidRPr="009C3888" w:rsidSect="00920570">
          <w:headerReference w:type="default" r:id="rId20"/>
          <w:footerReference w:type="default" r:id="rId21"/>
          <w:type w:val="continuous"/>
          <w:pgSz w:w="11907" w:h="16839" w:code="9"/>
          <w:pgMar w:top="1440" w:right="1440" w:bottom="1440" w:left="1440" w:header="708" w:footer="708" w:gutter="0"/>
          <w:pgNumType w:start="2"/>
          <w:cols w:space="708"/>
          <w:docGrid w:linePitch="360"/>
        </w:sectPr>
      </w:pPr>
    </w:p>
    <w:p w14:paraId="39367CD5" w14:textId="77777777" w:rsidR="009B707C" w:rsidRPr="009C3888" w:rsidRDefault="009B707C" w:rsidP="009B707C">
      <w:pPr>
        <w:pStyle w:val="COUNSELDETAILS"/>
      </w:pPr>
      <w:r>
        <w:t>For the Applicant</w:t>
      </w:r>
      <w:r w:rsidRPr="009C3888">
        <w:t>:</w:t>
      </w:r>
    </w:p>
    <w:p w14:paraId="14AC0CDE" w14:textId="77777777" w:rsidR="009B707C" w:rsidRPr="009C3888" w:rsidRDefault="009B707C" w:rsidP="009B707C">
      <w:pPr>
        <w:pStyle w:val="COUNSELDETAILS"/>
      </w:pPr>
    </w:p>
    <w:p w14:paraId="27766223" w14:textId="77777777" w:rsidR="009B707C" w:rsidRPr="009C3888" w:rsidRDefault="009B707C" w:rsidP="009B707C">
      <w:pPr>
        <w:pStyle w:val="COUNSELDETAILS"/>
      </w:pPr>
    </w:p>
    <w:p w14:paraId="039FA91E" w14:textId="2B758BFC" w:rsidR="009B707C" w:rsidRPr="009C3888" w:rsidRDefault="009B707C" w:rsidP="009B707C">
      <w:pPr>
        <w:pStyle w:val="COUNSELDETAILS"/>
      </w:pPr>
      <w:r w:rsidRPr="009C3888">
        <w:t>For the Respondents:</w:t>
      </w:r>
    </w:p>
    <w:p w14:paraId="1F27938E" w14:textId="77777777" w:rsidR="009B707C" w:rsidRDefault="009B707C" w:rsidP="009B707C">
      <w:pPr>
        <w:pStyle w:val="COUNSELDETAILS"/>
      </w:pPr>
    </w:p>
    <w:p w14:paraId="4C547624" w14:textId="77777777" w:rsidR="009B707C" w:rsidRPr="009C3888" w:rsidRDefault="009B707C" w:rsidP="009B707C">
      <w:pPr>
        <w:pStyle w:val="COUNSELDETAILS"/>
      </w:pPr>
    </w:p>
    <w:p w14:paraId="5F452ED3" w14:textId="1EDFB200" w:rsidR="009B707C" w:rsidRPr="009C3888" w:rsidRDefault="009B707C" w:rsidP="009B707C">
      <w:pPr>
        <w:pStyle w:val="COUNSELDETAILS"/>
      </w:pPr>
      <w:r w:rsidRPr="009C3888">
        <w:br w:type="column"/>
      </w:r>
      <w:r>
        <w:t>D Mpofu SC and T Ngcukaitobi</w:t>
      </w:r>
      <w:r w:rsidRPr="009C3888">
        <w:t xml:space="preserve"> instructed by </w:t>
      </w:r>
      <w:r>
        <w:t>Ndobela Lamola Inc</w:t>
      </w:r>
    </w:p>
    <w:p w14:paraId="1F0E44A7" w14:textId="77777777" w:rsidR="009B707C" w:rsidRDefault="009B707C" w:rsidP="009B707C">
      <w:pPr>
        <w:pStyle w:val="COUNSELDETAILS"/>
      </w:pPr>
    </w:p>
    <w:p w14:paraId="016C88BF" w14:textId="57880F46" w:rsidR="009B707C" w:rsidRDefault="009B707C" w:rsidP="009B707C">
      <w:pPr>
        <w:pStyle w:val="COUNSELDETAILS"/>
      </w:pPr>
      <w:r>
        <w:t>W Trengove</w:t>
      </w:r>
      <w:r w:rsidRPr="009C3888">
        <w:t xml:space="preserve"> </w:t>
      </w:r>
      <w:r>
        <w:t xml:space="preserve">SC, J Wilson SC, </w:t>
      </w:r>
      <w:r w:rsidR="00920570">
        <w:t>S </w:t>
      </w:r>
      <w:r>
        <w:t>Pudif</w:t>
      </w:r>
      <w:r w:rsidR="001C5E82">
        <w:t>in</w:t>
      </w:r>
      <w:r>
        <w:t xml:space="preserve">-Jones and N Luthuli </w:t>
      </w:r>
      <w:r w:rsidRPr="009C3888">
        <w:t xml:space="preserve">instructed by </w:t>
      </w:r>
      <w:r>
        <w:t>Nortons Inco</w:t>
      </w:r>
      <w:r w:rsidR="00920570">
        <w:t>r</w:t>
      </w:r>
      <w:r>
        <w:t>porated</w:t>
      </w:r>
    </w:p>
    <w:p w14:paraId="7BE6BDC8" w14:textId="77777777" w:rsidR="00860C4E" w:rsidRPr="009C3888" w:rsidRDefault="00860C4E" w:rsidP="00CC158D">
      <w:pPr>
        <w:pStyle w:val="COUNSELDETAILS"/>
      </w:pPr>
    </w:p>
    <w:sectPr w:rsidR="00860C4E" w:rsidRPr="009C3888" w:rsidSect="009559B5">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57B23F9" w14:textId="77777777" w:rsidR="00977095" w:rsidRDefault="00977095" w:rsidP="00E4607C">
      <w:pPr>
        <w:spacing w:line="240" w:lineRule="auto"/>
      </w:pPr>
      <w:r>
        <w:separator/>
      </w:r>
    </w:p>
  </w:endnote>
  <w:endnote w:type="continuationSeparator" w:id="0">
    <w:p w14:paraId="3D0E0C17" w14:textId="77777777" w:rsidR="00977095" w:rsidRDefault="00977095"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Verdana-Italic">
    <w:panose1 w:val="00000000000000000000"/>
    <w:charset w:val="00"/>
    <w:family w:val="auto"/>
    <w:notTrueType/>
    <w:pitch w:val="default"/>
    <w:sig w:usb0="00000003" w:usb1="00000000" w:usb2="00000000" w:usb3="00000000" w:csb0="00000001" w:csb1="00000000"/>
  </w:font>
  <w:font w:name="Verdana-Bold">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A5769F" w14:textId="77777777" w:rsidR="0059786A" w:rsidRDefault="0059786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7312219"/>
      <w:docPartObj>
        <w:docPartGallery w:val="Page Numbers (Bottom of Page)"/>
        <w:docPartUnique/>
      </w:docPartObj>
    </w:sdtPr>
    <w:sdtEndPr>
      <w:rPr>
        <w:noProof/>
        <w:sz w:val="22"/>
      </w:rPr>
    </w:sdtEndPr>
    <w:sdtContent>
      <w:p w14:paraId="76916C60" w14:textId="3B7320D8" w:rsidR="00BD650A" w:rsidRPr="002057A0" w:rsidRDefault="00977095" w:rsidP="002057A0">
        <w:pPr>
          <w:pStyle w:val="Footer"/>
          <w:jc w:val="center"/>
          <w:rPr>
            <w:sz w:val="22"/>
          </w:rPr>
        </w:pP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3BB302" w14:textId="77777777" w:rsidR="0059786A" w:rsidRDefault="0059786A">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47611234"/>
      <w:docPartObj>
        <w:docPartGallery w:val="Page Numbers (Bottom of Page)"/>
        <w:docPartUnique/>
      </w:docPartObj>
    </w:sdtPr>
    <w:sdtEndPr>
      <w:rPr>
        <w:noProof/>
        <w:sz w:val="22"/>
      </w:rPr>
    </w:sdtEndPr>
    <w:sdtContent>
      <w:p w14:paraId="77F3EAA8" w14:textId="77777777" w:rsidR="00BD650A" w:rsidRPr="002057A0" w:rsidRDefault="00BD650A" w:rsidP="002057A0">
        <w:pPr>
          <w:pStyle w:val="Footer"/>
          <w:jc w:val="center"/>
          <w:rPr>
            <w:sz w:val="22"/>
          </w:rPr>
        </w:pPr>
        <w:r w:rsidRPr="00E60916">
          <w:rPr>
            <w:sz w:val="22"/>
          </w:rPr>
          <w:fldChar w:fldCharType="begin"/>
        </w:r>
        <w:r w:rsidRPr="00E60916">
          <w:rPr>
            <w:sz w:val="22"/>
          </w:rPr>
          <w:instrText xml:space="preserve"> PAGE   \* MERGEFORMAT </w:instrText>
        </w:r>
        <w:r w:rsidRPr="00E60916">
          <w:rPr>
            <w:sz w:val="22"/>
          </w:rPr>
          <w:fldChar w:fldCharType="separate"/>
        </w:r>
        <w:r w:rsidR="0059786A">
          <w:rPr>
            <w:noProof/>
            <w:sz w:val="22"/>
          </w:rPr>
          <w:t>3</w:t>
        </w:r>
        <w:r w:rsidRPr="00E60916">
          <w:rPr>
            <w:noProof/>
            <w:sz w:val="22"/>
          </w:rPr>
          <w:fldChar w:fldCharType="end"/>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0896D0" w14:textId="68B6E6DF" w:rsidR="00BD650A" w:rsidRPr="002057A0" w:rsidRDefault="00BD650A" w:rsidP="00BE4761">
    <w:pPr>
      <w:pStyle w:val="Footer"/>
      <w:rPr>
        <w:sz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24924F7" w14:textId="77777777" w:rsidR="00977095" w:rsidRDefault="00977095" w:rsidP="00E4607C">
      <w:pPr>
        <w:spacing w:line="240" w:lineRule="auto"/>
      </w:pPr>
      <w:r>
        <w:separator/>
      </w:r>
    </w:p>
  </w:footnote>
  <w:footnote w:type="continuationSeparator" w:id="0">
    <w:p w14:paraId="6BDB2B04" w14:textId="77777777" w:rsidR="00977095" w:rsidRDefault="00977095" w:rsidP="00E4607C">
      <w:pPr>
        <w:spacing w:line="240" w:lineRule="auto"/>
      </w:pPr>
      <w:r>
        <w:continuationSeparator/>
      </w:r>
    </w:p>
  </w:footnote>
  <w:footnote w:id="1">
    <w:p w14:paraId="6D1B2A92" w14:textId="6117A95B" w:rsidR="00BD650A" w:rsidRDefault="00BD650A">
      <w:pPr>
        <w:pStyle w:val="FootnoteText"/>
      </w:pPr>
      <w:r>
        <w:rPr>
          <w:rStyle w:val="FootnoteReference"/>
        </w:rPr>
        <w:footnoteRef/>
      </w:r>
      <w:r>
        <w:t xml:space="preserve"> </w:t>
      </w:r>
      <w:r w:rsidRPr="004A57D1">
        <w:t>89 of 1998.</w:t>
      </w:r>
    </w:p>
  </w:footnote>
  <w:footnote w:id="2">
    <w:p w14:paraId="743AF740" w14:textId="69D68D9C" w:rsidR="00BD650A" w:rsidRDefault="00BD650A" w:rsidP="00DF3842">
      <w:pPr>
        <w:pStyle w:val="FootnoteText"/>
      </w:pPr>
      <w:r>
        <w:rPr>
          <w:rStyle w:val="FootnoteReference"/>
        </w:rPr>
        <w:footnoteRef/>
      </w:r>
      <w:r>
        <w:t xml:space="preserve"> It was common cause that the merger was a large merger as defined in section 11(5)(c) of the Act.</w:t>
      </w:r>
    </w:p>
  </w:footnote>
  <w:footnote w:id="3">
    <w:p w14:paraId="7D2C5595" w14:textId="69428EF3" w:rsidR="00BD650A" w:rsidRPr="008A698A" w:rsidRDefault="00BD650A" w:rsidP="0033447F">
      <w:pPr>
        <w:pStyle w:val="FootnoteText1"/>
        <w:rPr>
          <w:rFonts w:eastAsia="Times New Roman"/>
          <w:szCs w:val="20"/>
          <w:lang w:eastAsia="en-ZA"/>
        </w:rPr>
      </w:pPr>
      <w:r w:rsidRPr="00A02E57">
        <w:rPr>
          <w:rStyle w:val="FootnoteReference"/>
          <w:szCs w:val="20"/>
        </w:rPr>
        <w:footnoteRef/>
      </w:r>
      <w:r w:rsidRPr="00A02E57">
        <w:t xml:space="preserve"> </w:t>
      </w:r>
      <w:bookmarkStart w:id="1" w:name="0-0-0-574779"/>
      <w:bookmarkStart w:id="2" w:name="0-0-0-574781"/>
      <w:bookmarkEnd w:id="1"/>
      <w:bookmarkEnd w:id="2"/>
      <w:r>
        <w:t xml:space="preserve">See para 42 </w:t>
      </w:r>
      <w:bookmarkStart w:id="3" w:name="0-0-0-574789"/>
      <w:bookmarkEnd w:id="3"/>
      <w:r>
        <w:rPr>
          <w:rFonts w:eastAsia="Times New Roman"/>
          <w:szCs w:val="20"/>
          <w:lang w:eastAsia="en-ZA"/>
        </w:rPr>
        <w:t>below.</w:t>
      </w:r>
    </w:p>
  </w:footnote>
  <w:footnote w:id="4">
    <w:p w14:paraId="4FD85583" w14:textId="55EA53C4" w:rsidR="00BD650A" w:rsidRDefault="00BD650A">
      <w:pPr>
        <w:pStyle w:val="FootnoteText"/>
      </w:pPr>
      <w:r>
        <w:rPr>
          <w:rStyle w:val="FootnoteReference"/>
        </w:rPr>
        <w:footnoteRef/>
      </w:r>
      <w:r>
        <w:t xml:space="preserve"> </w:t>
      </w:r>
      <w:r w:rsidRPr="00B15840">
        <w:t xml:space="preserve">Gen N 216 in </w:t>
      </w:r>
      <w:r w:rsidRPr="00EB6F41">
        <w:rPr>
          <w:i/>
        </w:rPr>
        <w:t>GG</w:t>
      </w:r>
      <w:r w:rsidRPr="00B15840">
        <w:t xml:space="preserve"> 31957</w:t>
      </w:r>
      <w:r>
        <w:t xml:space="preserve"> </w:t>
      </w:r>
      <w:r w:rsidRPr="00B15840">
        <w:t>of 6 March 2009</w:t>
      </w:r>
      <w:r>
        <w:t>.</w:t>
      </w:r>
    </w:p>
  </w:footnote>
  <w:footnote w:id="5">
    <w:p w14:paraId="55464346" w14:textId="0B2E0FCF" w:rsidR="00BD650A" w:rsidRDefault="00BD650A" w:rsidP="00B0001C">
      <w:pPr>
        <w:pStyle w:val="FootnoteText"/>
      </w:pPr>
      <w:r>
        <w:rPr>
          <w:rStyle w:val="FootnoteReference"/>
        </w:rPr>
        <w:footnoteRef/>
      </w:r>
      <w:r>
        <w:rPr>
          <w:i/>
        </w:rPr>
        <w:t xml:space="preserve"> </w:t>
      </w:r>
      <w:r w:rsidRPr="00CD4CE7">
        <w:rPr>
          <w:i/>
        </w:rPr>
        <w:t>Ethos Private Equity Fund IV v The Tsebo Outsourcing Group (Pty) Ltd</w:t>
      </w:r>
      <w:r>
        <w:t xml:space="preserve"> </w:t>
      </w:r>
      <w:r w:rsidRPr="00213758">
        <w:t>Case No: 30/LM/Jun03 (</w:t>
      </w:r>
      <w:r w:rsidRPr="00213758">
        <w:rPr>
          <w:i/>
        </w:rPr>
        <w:t>Ethos</w:t>
      </w:r>
      <w:r w:rsidRPr="00213758">
        <w:t>).</w:t>
      </w:r>
    </w:p>
  </w:footnote>
  <w:footnote w:id="6">
    <w:p w14:paraId="7FC6FCC6" w14:textId="56C80C47" w:rsidR="00BD650A" w:rsidRDefault="00BD650A" w:rsidP="006467E0">
      <w:pPr>
        <w:pStyle w:val="QUOTEINFOOTNOTE"/>
        <w:ind w:left="0"/>
        <w:rPr>
          <w:szCs w:val="20"/>
        </w:rPr>
      </w:pPr>
      <w:r w:rsidRPr="00A02E57">
        <w:rPr>
          <w:rStyle w:val="FootnoteReference"/>
          <w:szCs w:val="20"/>
        </w:rPr>
        <w:footnoteRef/>
      </w:r>
      <w:r w:rsidRPr="00A02E57">
        <w:rPr>
          <w:szCs w:val="20"/>
        </w:rPr>
        <w:t xml:space="preserve"> </w:t>
      </w:r>
      <w:r>
        <w:rPr>
          <w:szCs w:val="20"/>
        </w:rPr>
        <w:t xml:space="preserve">Section 27(2) titled </w:t>
      </w:r>
      <w:r w:rsidRPr="00DA27EC">
        <w:rPr>
          <w:szCs w:val="20"/>
        </w:rPr>
        <w:t>“Functions of Competition Tribunal</w:t>
      </w:r>
      <w:r>
        <w:rPr>
          <w:szCs w:val="20"/>
        </w:rPr>
        <w:t>”, reads as follows:</w:t>
      </w:r>
    </w:p>
    <w:p w14:paraId="5D8C20CA" w14:textId="7E41D45E" w:rsidR="00BD650A" w:rsidRPr="00A02E57" w:rsidRDefault="00BD650A" w:rsidP="00227C38">
      <w:pPr>
        <w:pStyle w:val="QUOTEINFOOTNOTE"/>
        <w:ind w:firstLine="720"/>
        <w:rPr>
          <w:rFonts w:eastAsia="Times New Roman"/>
          <w:szCs w:val="20"/>
          <w:lang w:eastAsia="en-ZA"/>
        </w:rPr>
      </w:pPr>
      <w:bookmarkStart w:id="4" w:name="0-0-0-575193"/>
      <w:bookmarkEnd w:id="4"/>
      <w:r>
        <w:rPr>
          <w:rFonts w:eastAsia="Times New Roman"/>
          <w:szCs w:val="20"/>
          <w:lang w:eastAsia="en-ZA"/>
        </w:rPr>
        <w:t>“</w:t>
      </w:r>
      <w:r w:rsidRPr="00A02E57">
        <w:rPr>
          <w:rFonts w:eastAsia="Times New Roman"/>
          <w:szCs w:val="20"/>
          <w:lang w:eastAsia="en-ZA"/>
        </w:rPr>
        <w:t>The Competition Tribunal may</w:t>
      </w:r>
      <w:r>
        <w:rPr>
          <w:rFonts w:eastAsia="Times New Roman"/>
          <w:szCs w:val="20"/>
          <w:lang w:eastAsia="en-ZA"/>
        </w:rPr>
        <w:t>—</w:t>
      </w:r>
    </w:p>
    <w:p w14:paraId="63D2D16E" w14:textId="6579AF00" w:rsidR="00BD650A" w:rsidRPr="00A02E57" w:rsidRDefault="00BD650A" w:rsidP="008A698A">
      <w:pPr>
        <w:pStyle w:val="QUOTEINFOOTNOTE"/>
        <w:ind w:left="2160" w:hanging="720"/>
        <w:rPr>
          <w:rFonts w:eastAsia="Times New Roman"/>
          <w:szCs w:val="20"/>
          <w:lang w:eastAsia="en-ZA"/>
        </w:rPr>
      </w:pPr>
      <w:bookmarkStart w:id="5" w:name="0-0-0-575197"/>
      <w:bookmarkEnd w:id="5"/>
      <w:r>
        <w:rPr>
          <w:rFonts w:eastAsia="Times New Roman"/>
          <w:szCs w:val="20"/>
          <w:lang w:eastAsia="en-ZA"/>
        </w:rPr>
        <w:t>(a)</w:t>
      </w:r>
      <w:r>
        <w:rPr>
          <w:rFonts w:eastAsia="Times New Roman"/>
          <w:szCs w:val="20"/>
          <w:lang w:eastAsia="en-ZA"/>
        </w:rPr>
        <w:tab/>
      </w:r>
      <w:r w:rsidRPr="00A02E57">
        <w:rPr>
          <w:rFonts w:eastAsia="Times New Roman"/>
          <w:szCs w:val="20"/>
          <w:lang w:eastAsia="en-ZA"/>
        </w:rPr>
        <w:t xml:space="preserve">adjudicate on any conduct prohibited in terms of Chapter 2, to determine whether prohibited conduct has occurred, and, if so, to impose any remedy provided for in </w:t>
      </w:r>
      <w:r w:rsidRPr="00D82FA2">
        <w:rPr>
          <w:rFonts w:eastAsia="Times New Roman"/>
          <w:szCs w:val="20"/>
          <w:lang w:eastAsia="en-ZA"/>
        </w:rPr>
        <w:t>this Act;</w:t>
      </w:r>
    </w:p>
    <w:p w14:paraId="29B956F5" w14:textId="3C52DA8A" w:rsidR="00BD650A" w:rsidRPr="00A02E57" w:rsidRDefault="00BD650A" w:rsidP="008A698A">
      <w:pPr>
        <w:pStyle w:val="QUOTEINFOOTNOTE"/>
        <w:ind w:left="2160" w:hanging="720"/>
        <w:rPr>
          <w:rFonts w:eastAsia="Times New Roman"/>
          <w:szCs w:val="20"/>
          <w:lang w:eastAsia="en-ZA"/>
        </w:rPr>
      </w:pPr>
      <w:bookmarkStart w:id="6" w:name="0-0-0-575199"/>
      <w:bookmarkEnd w:id="6"/>
      <w:r>
        <w:rPr>
          <w:rFonts w:eastAsia="Times New Roman"/>
          <w:szCs w:val="20"/>
          <w:lang w:eastAsia="en-ZA"/>
        </w:rPr>
        <w:t>(b)</w:t>
      </w:r>
      <w:r>
        <w:rPr>
          <w:rFonts w:eastAsia="Times New Roman"/>
          <w:szCs w:val="20"/>
          <w:lang w:eastAsia="en-ZA"/>
        </w:rPr>
        <w:tab/>
      </w:r>
      <w:r w:rsidRPr="00A02E57">
        <w:rPr>
          <w:rFonts w:eastAsia="Times New Roman"/>
          <w:szCs w:val="20"/>
          <w:lang w:eastAsia="en-ZA"/>
        </w:rPr>
        <w:t xml:space="preserve">adjudicate on any other matter that may, in terms of </w:t>
      </w:r>
      <w:r w:rsidRPr="00D82FA2">
        <w:rPr>
          <w:rFonts w:eastAsia="Times New Roman"/>
          <w:iCs/>
          <w:szCs w:val="20"/>
          <w:lang w:eastAsia="en-ZA"/>
        </w:rPr>
        <w:t>this Act</w:t>
      </w:r>
      <w:r w:rsidRPr="00A02E57">
        <w:rPr>
          <w:rFonts w:eastAsia="Times New Roman"/>
          <w:szCs w:val="20"/>
          <w:lang w:eastAsia="en-ZA"/>
        </w:rPr>
        <w:t xml:space="preserve">, be considered by it, and make any order provided for in </w:t>
      </w:r>
      <w:r w:rsidRPr="00D82FA2">
        <w:rPr>
          <w:rFonts w:eastAsia="Times New Roman"/>
          <w:iCs/>
          <w:szCs w:val="20"/>
          <w:lang w:eastAsia="en-ZA"/>
        </w:rPr>
        <w:t>this Act</w:t>
      </w:r>
      <w:r w:rsidRPr="00A02E57">
        <w:rPr>
          <w:rFonts w:eastAsia="Times New Roman"/>
          <w:szCs w:val="20"/>
          <w:lang w:eastAsia="en-ZA"/>
        </w:rPr>
        <w:t>;</w:t>
      </w:r>
    </w:p>
    <w:p w14:paraId="4649C15B" w14:textId="58BBFADE" w:rsidR="00BD650A" w:rsidRPr="00A02E57" w:rsidRDefault="00BD650A" w:rsidP="008A698A">
      <w:pPr>
        <w:pStyle w:val="QUOTEINFOOTNOTE"/>
        <w:ind w:left="2160" w:hanging="720"/>
        <w:rPr>
          <w:rFonts w:eastAsia="Times New Roman"/>
          <w:szCs w:val="20"/>
          <w:lang w:eastAsia="en-ZA"/>
        </w:rPr>
      </w:pPr>
      <w:bookmarkStart w:id="7" w:name="0-0-0-575201"/>
      <w:bookmarkEnd w:id="7"/>
      <w:r>
        <w:rPr>
          <w:rFonts w:eastAsia="Times New Roman"/>
          <w:szCs w:val="20"/>
          <w:lang w:eastAsia="en-ZA"/>
        </w:rPr>
        <w:t>(c)</w:t>
      </w:r>
      <w:r>
        <w:rPr>
          <w:rFonts w:eastAsia="Times New Roman"/>
          <w:szCs w:val="20"/>
          <w:lang w:eastAsia="en-ZA"/>
        </w:rPr>
        <w:tab/>
      </w:r>
      <w:r w:rsidRPr="00A02E57">
        <w:rPr>
          <w:rFonts w:eastAsia="Times New Roman"/>
          <w:szCs w:val="20"/>
          <w:lang w:eastAsia="en-ZA"/>
        </w:rPr>
        <w:t xml:space="preserve">hear appeals from, or review any decision of, the Competition Commission that may in terms of </w:t>
      </w:r>
      <w:r w:rsidRPr="00D82FA2">
        <w:rPr>
          <w:rFonts w:eastAsia="Times New Roman"/>
          <w:szCs w:val="20"/>
          <w:lang w:eastAsia="en-ZA"/>
        </w:rPr>
        <w:t>this Act</w:t>
      </w:r>
      <w:r w:rsidRPr="008A698A">
        <w:rPr>
          <w:rFonts w:eastAsia="Times New Roman"/>
          <w:i/>
          <w:szCs w:val="20"/>
          <w:lang w:eastAsia="en-ZA"/>
        </w:rPr>
        <w:t xml:space="preserve"> </w:t>
      </w:r>
      <w:r w:rsidRPr="00A02E57">
        <w:rPr>
          <w:rFonts w:eastAsia="Times New Roman"/>
          <w:szCs w:val="20"/>
          <w:lang w:eastAsia="en-ZA"/>
        </w:rPr>
        <w:t>be referred to it; and</w:t>
      </w:r>
    </w:p>
    <w:p w14:paraId="0522F827" w14:textId="0A517267" w:rsidR="00BD650A" w:rsidRPr="000D444B" w:rsidRDefault="00BD650A" w:rsidP="00DA27EC">
      <w:pPr>
        <w:pStyle w:val="QUOTEINFOOTNOTE"/>
        <w:ind w:left="2160" w:hanging="720"/>
        <w:rPr>
          <w:lang w:eastAsia="en-ZA"/>
        </w:rPr>
      </w:pPr>
      <w:bookmarkStart w:id="8" w:name="0-0-0-575205"/>
      <w:bookmarkEnd w:id="8"/>
      <w:r>
        <w:rPr>
          <w:rFonts w:eastAsia="Times New Roman"/>
          <w:szCs w:val="20"/>
          <w:lang w:eastAsia="en-ZA"/>
        </w:rPr>
        <w:t>(d)</w:t>
      </w:r>
      <w:r>
        <w:rPr>
          <w:rFonts w:eastAsia="Times New Roman"/>
          <w:szCs w:val="20"/>
          <w:lang w:eastAsia="en-ZA"/>
        </w:rPr>
        <w:tab/>
      </w:r>
      <w:r w:rsidRPr="00A02E57">
        <w:rPr>
          <w:rFonts w:eastAsia="Times New Roman"/>
          <w:szCs w:val="20"/>
          <w:lang w:eastAsia="en-ZA"/>
        </w:rPr>
        <w:t xml:space="preserve">make any ruling or order necessary or incidental to the performance of its functions in terms of </w:t>
      </w:r>
      <w:r w:rsidRPr="00D82FA2">
        <w:rPr>
          <w:rFonts w:eastAsia="Times New Roman"/>
          <w:szCs w:val="20"/>
          <w:lang w:eastAsia="en-ZA"/>
        </w:rPr>
        <w:t>this Act</w:t>
      </w:r>
      <w:r w:rsidRPr="00A02E57">
        <w:rPr>
          <w:rFonts w:eastAsia="Times New Roman"/>
          <w:szCs w:val="20"/>
          <w:lang w:eastAsia="en-ZA"/>
        </w:rPr>
        <w:t>.”</w:t>
      </w:r>
    </w:p>
  </w:footnote>
  <w:footnote w:id="7">
    <w:p w14:paraId="2996A153" w14:textId="496E736A" w:rsidR="00BD650A" w:rsidRPr="00A02E57" w:rsidRDefault="00BD650A" w:rsidP="00CD4CE7">
      <w:pPr>
        <w:pStyle w:val="FootnoteText1"/>
      </w:pPr>
      <w:r w:rsidRPr="007A49F0">
        <w:rPr>
          <w:rStyle w:val="FootnoteReference"/>
          <w:szCs w:val="20"/>
        </w:rPr>
        <w:footnoteRef/>
      </w:r>
      <w:r w:rsidRPr="007A49F0">
        <w:t xml:space="preserve"> Section 58</w:t>
      </w:r>
      <w:r>
        <w:t xml:space="preserve">, titled,  </w:t>
      </w:r>
      <w:r w:rsidRPr="0044097F">
        <w:t>“Orders of Competition Tribunal</w:t>
      </w:r>
      <w:r>
        <w:t xml:space="preserve">”, </w:t>
      </w:r>
      <w:r w:rsidRPr="007A49F0">
        <w:t>reads as</w:t>
      </w:r>
      <w:r w:rsidRPr="00A02E57">
        <w:t xml:space="preserve"> follows:</w:t>
      </w:r>
    </w:p>
    <w:p w14:paraId="2A8007D1" w14:textId="6F0CB10F" w:rsidR="00BD650A" w:rsidRPr="00A02E57" w:rsidRDefault="00BD650A" w:rsidP="008A698A">
      <w:pPr>
        <w:pStyle w:val="QUOTEINFOOTNOTE"/>
        <w:rPr>
          <w:rFonts w:eastAsia="Times New Roman"/>
          <w:szCs w:val="20"/>
          <w:lang w:eastAsia="en-ZA"/>
        </w:rPr>
      </w:pPr>
      <w:bookmarkStart w:id="9" w:name="0-0-0-575903"/>
      <w:bookmarkEnd w:id="9"/>
      <w:r>
        <w:rPr>
          <w:rFonts w:eastAsia="Times New Roman"/>
          <w:szCs w:val="20"/>
          <w:lang w:eastAsia="en-ZA"/>
        </w:rPr>
        <w:t>(1)</w:t>
      </w:r>
      <w:r>
        <w:rPr>
          <w:rFonts w:eastAsia="Times New Roman"/>
          <w:szCs w:val="20"/>
          <w:lang w:eastAsia="en-ZA"/>
        </w:rPr>
        <w:tab/>
      </w:r>
      <w:r w:rsidRPr="00A02E57">
        <w:rPr>
          <w:rFonts w:eastAsia="Times New Roman"/>
          <w:szCs w:val="20"/>
          <w:lang w:eastAsia="en-ZA"/>
        </w:rPr>
        <w:t xml:space="preserve">In addition to its other powers in terms of </w:t>
      </w:r>
      <w:r w:rsidRPr="00D82FA2">
        <w:rPr>
          <w:rFonts w:eastAsia="Times New Roman"/>
          <w:iCs/>
          <w:szCs w:val="20"/>
          <w:lang w:eastAsia="en-ZA"/>
        </w:rPr>
        <w:t>this Act</w:t>
      </w:r>
      <w:r w:rsidRPr="00A02E57">
        <w:rPr>
          <w:rFonts w:eastAsia="Times New Roman"/>
          <w:szCs w:val="20"/>
          <w:lang w:eastAsia="en-ZA"/>
        </w:rPr>
        <w:t>, the Competition Tribunal may</w:t>
      </w:r>
      <w:r>
        <w:rPr>
          <w:rFonts w:eastAsia="Times New Roman"/>
          <w:szCs w:val="20"/>
          <w:lang w:eastAsia="en-ZA"/>
        </w:rPr>
        <w:t>—</w:t>
      </w:r>
    </w:p>
    <w:p w14:paraId="0CB89F8A" w14:textId="0304F852" w:rsidR="00BD650A" w:rsidRPr="00A02E57" w:rsidRDefault="00BD650A" w:rsidP="008A698A">
      <w:pPr>
        <w:pStyle w:val="QUOTEINFOOTNOTE"/>
        <w:ind w:left="2160" w:hanging="720"/>
        <w:rPr>
          <w:rFonts w:eastAsia="Times New Roman"/>
          <w:szCs w:val="20"/>
          <w:lang w:eastAsia="en-ZA"/>
        </w:rPr>
      </w:pPr>
      <w:bookmarkStart w:id="10" w:name="0-0-0-575905"/>
      <w:bookmarkEnd w:id="10"/>
      <w:r>
        <w:rPr>
          <w:rFonts w:eastAsia="Times New Roman"/>
          <w:szCs w:val="20"/>
          <w:lang w:eastAsia="en-ZA"/>
        </w:rPr>
        <w:t>(a)</w:t>
      </w:r>
      <w:r>
        <w:rPr>
          <w:rFonts w:eastAsia="Times New Roman"/>
          <w:szCs w:val="20"/>
          <w:lang w:eastAsia="en-ZA"/>
        </w:rPr>
        <w:tab/>
      </w:r>
      <w:r w:rsidRPr="00A02E57">
        <w:rPr>
          <w:rFonts w:eastAsia="Times New Roman"/>
          <w:szCs w:val="20"/>
          <w:lang w:eastAsia="en-ZA"/>
        </w:rPr>
        <w:t xml:space="preserve">make an appropriate order in relation to a </w:t>
      </w:r>
      <w:r w:rsidRPr="00D82FA2">
        <w:rPr>
          <w:rFonts w:eastAsia="Times New Roman"/>
          <w:iCs/>
          <w:szCs w:val="20"/>
          <w:lang w:eastAsia="en-ZA"/>
        </w:rPr>
        <w:t>prohibited practice</w:t>
      </w:r>
      <w:r>
        <w:rPr>
          <w:rFonts w:eastAsia="Times New Roman"/>
          <w:szCs w:val="20"/>
          <w:lang w:eastAsia="en-ZA"/>
        </w:rPr>
        <w:t>, including—</w:t>
      </w:r>
    </w:p>
    <w:p w14:paraId="21CD36F8" w14:textId="275E174D" w:rsidR="00BD650A" w:rsidRPr="00A02E57" w:rsidRDefault="00BD650A" w:rsidP="000C7587">
      <w:pPr>
        <w:pStyle w:val="QUOTEINFOOTNOTE"/>
        <w:numPr>
          <w:ilvl w:val="2"/>
          <w:numId w:val="3"/>
        </w:numPr>
        <w:ind w:left="2880" w:hanging="720"/>
        <w:rPr>
          <w:rFonts w:eastAsia="Times New Roman"/>
          <w:szCs w:val="20"/>
          <w:lang w:eastAsia="en-ZA"/>
        </w:rPr>
      </w:pPr>
      <w:bookmarkStart w:id="11" w:name="0-0-0-575907"/>
      <w:bookmarkEnd w:id="11"/>
      <w:r w:rsidRPr="00A02E57">
        <w:rPr>
          <w:rFonts w:eastAsia="Times New Roman"/>
          <w:szCs w:val="20"/>
          <w:lang w:eastAsia="en-ZA"/>
        </w:rPr>
        <w:t xml:space="preserve">interdicting any </w:t>
      </w:r>
      <w:r w:rsidRPr="00D82FA2">
        <w:rPr>
          <w:rFonts w:eastAsia="Times New Roman"/>
          <w:iCs/>
          <w:szCs w:val="20"/>
          <w:lang w:eastAsia="en-ZA"/>
        </w:rPr>
        <w:t>prohibited practice</w:t>
      </w:r>
      <w:r w:rsidRPr="00A02E57">
        <w:rPr>
          <w:rFonts w:eastAsia="Times New Roman"/>
          <w:szCs w:val="20"/>
          <w:lang w:eastAsia="en-ZA"/>
        </w:rPr>
        <w:t>;</w:t>
      </w:r>
    </w:p>
    <w:p w14:paraId="58C286A8" w14:textId="61E39919" w:rsidR="00BD650A" w:rsidRPr="00A02E57" w:rsidRDefault="00BD650A" w:rsidP="000C7587">
      <w:pPr>
        <w:pStyle w:val="QUOTEINFOOTNOTE"/>
        <w:numPr>
          <w:ilvl w:val="2"/>
          <w:numId w:val="3"/>
        </w:numPr>
        <w:ind w:left="2880" w:hanging="720"/>
        <w:rPr>
          <w:rFonts w:eastAsia="Times New Roman"/>
          <w:szCs w:val="20"/>
          <w:lang w:eastAsia="en-ZA"/>
        </w:rPr>
      </w:pPr>
      <w:bookmarkStart w:id="12" w:name="0-0-0-575909"/>
      <w:bookmarkEnd w:id="12"/>
      <w:r w:rsidRPr="00A02E57">
        <w:rPr>
          <w:rFonts w:eastAsia="Times New Roman"/>
          <w:szCs w:val="20"/>
          <w:lang w:eastAsia="en-ZA"/>
        </w:rPr>
        <w:t xml:space="preserve">ordering a party to supply or distribute goods or services to another party on terms reasonably required to end a </w:t>
      </w:r>
      <w:r w:rsidRPr="00D82FA2">
        <w:rPr>
          <w:rFonts w:eastAsia="Times New Roman"/>
          <w:iCs/>
          <w:szCs w:val="20"/>
          <w:lang w:eastAsia="en-ZA"/>
        </w:rPr>
        <w:t>prohibited practice</w:t>
      </w:r>
      <w:r w:rsidRPr="00A02E57">
        <w:rPr>
          <w:rFonts w:eastAsia="Times New Roman"/>
          <w:szCs w:val="20"/>
          <w:lang w:eastAsia="en-ZA"/>
        </w:rPr>
        <w:t>;</w:t>
      </w:r>
    </w:p>
    <w:p w14:paraId="39B4CE92" w14:textId="737544FF" w:rsidR="00BD650A" w:rsidRPr="00A02E57" w:rsidRDefault="00BD650A" w:rsidP="000C7587">
      <w:pPr>
        <w:pStyle w:val="QUOTEINFOOTNOTE"/>
        <w:numPr>
          <w:ilvl w:val="2"/>
          <w:numId w:val="3"/>
        </w:numPr>
        <w:ind w:left="2880" w:hanging="720"/>
        <w:rPr>
          <w:rFonts w:eastAsia="Times New Roman"/>
          <w:szCs w:val="20"/>
          <w:lang w:eastAsia="en-ZA"/>
        </w:rPr>
      </w:pPr>
      <w:bookmarkStart w:id="13" w:name="0-0-0-575911"/>
      <w:bookmarkEnd w:id="13"/>
      <w:r w:rsidRPr="00A02E57">
        <w:rPr>
          <w:rFonts w:eastAsia="Times New Roman"/>
          <w:szCs w:val="20"/>
          <w:lang w:eastAsia="en-ZA"/>
        </w:rPr>
        <w:t>imposing an administrative penalty, in terms of section 59, with or without the addition of any other order in terms of this section;</w:t>
      </w:r>
    </w:p>
    <w:p w14:paraId="68659453" w14:textId="74E4E092" w:rsidR="00BD650A" w:rsidRPr="00A02E57" w:rsidRDefault="00BD650A" w:rsidP="000C7587">
      <w:pPr>
        <w:pStyle w:val="QUOTEINFOOTNOTE"/>
        <w:numPr>
          <w:ilvl w:val="2"/>
          <w:numId w:val="3"/>
        </w:numPr>
        <w:ind w:left="2880" w:hanging="720"/>
        <w:rPr>
          <w:rFonts w:eastAsia="Times New Roman"/>
          <w:szCs w:val="20"/>
          <w:lang w:eastAsia="en-ZA"/>
        </w:rPr>
      </w:pPr>
      <w:bookmarkStart w:id="14" w:name="0-0-0-575913"/>
      <w:bookmarkEnd w:id="14"/>
      <w:r w:rsidRPr="00A02E57">
        <w:rPr>
          <w:rFonts w:eastAsia="Times New Roman"/>
          <w:szCs w:val="20"/>
          <w:lang w:eastAsia="en-ZA"/>
        </w:rPr>
        <w:t>ordering divestiture, subject to section 60;</w:t>
      </w:r>
    </w:p>
    <w:p w14:paraId="1BF81377" w14:textId="3AFA5A4E" w:rsidR="00BD650A" w:rsidRPr="00A02E57" w:rsidRDefault="00BD650A" w:rsidP="000C7587">
      <w:pPr>
        <w:pStyle w:val="QUOTEINFOOTNOTE"/>
        <w:numPr>
          <w:ilvl w:val="2"/>
          <w:numId w:val="3"/>
        </w:numPr>
        <w:ind w:left="2880" w:hanging="720"/>
        <w:rPr>
          <w:rFonts w:eastAsia="Times New Roman"/>
          <w:szCs w:val="20"/>
          <w:lang w:eastAsia="en-ZA"/>
        </w:rPr>
      </w:pPr>
      <w:bookmarkStart w:id="15" w:name="0-0-0-575915"/>
      <w:bookmarkEnd w:id="15"/>
      <w:r w:rsidRPr="00A02E57">
        <w:rPr>
          <w:rFonts w:eastAsia="Times New Roman"/>
          <w:szCs w:val="20"/>
          <w:lang w:eastAsia="en-ZA"/>
        </w:rPr>
        <w:t xml:space="preserve">declaring conduct of a </w:t>
      </w:r>
      <w:r w:rsidRPr="008940E2">
        <w:rPr>
          <w:rFonts w:eastAsia="Times New Roman"/>
          <w:iCs/>
          <w:szCs w:val="20"/>
          <w:lang w:eastAsia="en-ZA"/>
        </w:rPr>
        <w:t>firm</w:t>
      </w:r>
      <w:r w:rsidRPr="00A02E57">
        <w:rPr>
          <w:rFonts w:eastAsia="Times New Roman"/>
          <w:szCs w:val="20"/>
          <w:lang w:eastAsia="en-ZA"/>
        </w:rPr>
        <w:t xml:space="preserve"> to be a </w:t>
      </w:r>
      <w:r w:rsidRPr="00D82FA2">
        <w:rPr>
          <w:rFonts w:eastAsia="Times New Roman"/>
          <w:iCs/>
          <w:szCs w:val="20"/>
          <w:lang w:eastAsia="en-ZA"/>
        </w:rPr>
        <w:t>prohibited practice</w:t>
      </w:r>
      <w:r w:rsidRPr="00A02E57">
        <w:rPr>
          <w:rFonts w:eastAsia="Times New Roman"/>
          <w:szCs w:val="20"/>
          <w:lang w:eastAsia="en-ZA"/>
        </w:rPr>
        <w:t xml:space="preserve"> in terms of </w:t>
      </w:r>
      <w:r w:rsidRPr="00D82FA2">
        <w:rPr>
          <w:rFonts w:eastAsia="Times New Roman"/>
          <w:iCs/>
          <w:szCs w:val="20"/>
          <w:lang w:eastAsia="en-ZA"/>
        </w:rPr>
        <w:t>this Act</w:t>
      </w:r>
      <w:r w:rsidRPr="00D82FA2">
        <w:rPr>
          <w:rFonts w:eastAsia="Times New Roman"/>
          <w:szCs w:val="20"/>
          <w:lang w:eastAsia="en-ZA"/>
        </w:rPr>
        <w:t xml:space="preserve">, </w:t>
      </w:r>
      <w:r w:rsidRPr="00A02E57">
        <w:rPr>
          <w:rFonts w:eastAsia="Times New Roman"/>
          <w:szCs w:val="20"/>
          <w:lang w:eastAsia="en-ZA"/>
        </w:rPr>
        <w:t>for purposes of section 65;</w:t>
      </w:r>
    </w:p>
    <w:p w14:paraId="170F7182" w14:textId="0B883DA6" w:rsidR="00BD650A" w:rsidRPr="00A02E57" w:rsidRDefault="00BD650A" w:rsidP="000C7587">
      <w:pPr>
        <w:pStyle w:val="QUOTEINFOOTNOTE"/>
        <w:numPr>
          <w:ilvl w:val="2"/>
          <w:numId w:val="3"/>
        </w:numPr>
        <w:ind w:left="2880" w:hanging="720"/>
        <w:rPr>
          <w:rFonts w:eastAsia="Times New Roman"/>
          <w:szCs w:val="20"/>
          <w:lang w:eastAsia="en-ZA"/>
        </w:rPr>
      </w:pPr>
      <w:bookmarkStart w:id="16" w:name="0-0-0-575919"/>
      <w:bookmarkEnd w:id="16"/>
      <w:r w:rsidRPr="00A02E57">
        <w:rPr>
          <w:rFonts w:eastAsia="Times New Roman"/>
          <w:szCs w:val="20"/>
          <w:lang w:eastAsia="en-ZA"/>
        </w:rPr>
        <w:t xml:space="preserve">declaring the whole or any part of an </w:t>
      </w:r>
      <w:r w:rsidRPr="00D82FA2">
        <w:rPr>
          <w:rFonts w:eastAsia="Times New Roman"/>
          <w:iCs/>
          <w:szCs w:val="20"/>
          <w:lang w:eastAsia="en-ZA"/>
        </w:rPr>
        <w:t>agreement</w:t>
      </w:r>
      <w:r w:rsidRPr="00D82FA2">
        <w:rPr>
          <w:rFonts w:eastAsia="Times New Roman"/>
          <w:szCs w:val="20"/>
          <w:lang w:eastAsia="en-ZA"/>
        </w:rPr>
        <w:t xml:space="preserve"> </w:t>
      </w:r>
      <w:r w:rsidRPr="00A02E57">
        <w:rPr>
          <w:rFonts w:eastAsia="Times New Roman"/>
          <w:szCs w:val="20"/>
          <w:lang w:eastAsia="en-ZA"/>
        </w:rPr>
        <w:t>to be void;</w:t>
      </w:r>
    </w:p>
    <w:p w14:paraId="46824152" w14:textId="04B1BF7B" w:rsidR="00BD650A" w:rsidRPr="00A02E57" w:rsidRDefault="00BD650A" w:rsidP="000C7587">
      <w:pPr>
        <w:pStyle w:val="QUOTEINFOOTNOTE"/>
        <w:numPr>
          <w:ilvl w:val="2"/>
          <w:numId w:val="3"/>
        </w:numPr>
        <w:ind w:left="2880" w:hanging="720"/>
        <w:rPr>
          <w:rFonts w:eastAsia="Times New Roman"/>
          <w:szCs w:val="20"/>
          <w:lang w:eastAsia="en-ZA"/>
        </w:rPr>
      </w:pPr>
      <w:bookmarkStart w:id="17" w:name="0-0-0-575921"/>
      <w:bookmarkEnd w:id="17"/>
      <w:r w:rsidRPr="00A02E57">
        <w:rPr>
          <w:rFonts w:eastAsia="Times New Roman"/>
          <w:szCs w:val="20"/>
          <w:lang w:eastAsia="en-ZA"/>
        </w:rPr>
        <w:t xml:space="preserve">ordering access to an </w:t>
      </w:r>
      <w:r w:rsidRPr="00D82FA2">
        <w:rPr>
          <w:rFonts w:eastAsia="Times New Roman"/>
          <w:iCs/>
          <w:szCs w:val="20"/>
          <w:lang w:eastAsia="en-ZA"/>
        </w:rPr>
        <w:t>essential facility</w:t>
      </w:r>
      <w:r w:rsidRPr="00A02E57">
        <w:rPr>
          <w:rFonts w:eastAsia="Times New Roman"/>
          <w:szCs w:val="20"/>
          <w:lang w:eastAsia="en-ZA"/>
        </w:rPr>
        <w:t xml:space="preserve"> on terms reasonably required;</w:t>
      </w:r>
    </w:p>
    <w:p w14:paraId="0E10D05E" w14:textId="44ADCDE2" w:rsidR="00BD650A" w:rsidRPr="00A02E57" w:rsidRDefault="00BD650A" w:rsidP="008A698A">
      <w:pPr>
        <w:pStyle w:val="QUOTEINFOOTNOTE"/>
        <w:ind w:left="2126" w:hanging="686"/>
        <w:rPr>
          <w:rFonts w:eastAsia="Times New Roman"/>
          <w:szCs w:val="20"/>
          <w:lang w:eastAsia="en-ZA"/>
        </w:rPr>
      </w:pPr>
      <w:bookmarkStart w:id="18" w:name="0-0-0-575925"/>
      <w:bookmarkEnd w:id="18"/>
      <w:r>
        <w:rPr>
          <w:rFonts w:eastAsia="Times New Roman"/>
          <w:szCs w:val="20"/>
          <w:lang w:eastAsia="en-ZA"/>
        </w:rPr>
        <w:t>(b)</w:t>
      </w:r>
      <w:r>
        <w:rPr>
          <w:rFonts w:eastAsia="Times New Roman"/>
          <w:szCs w:val="20"/>
          <w:lang w:eastAsia="en-ZA"/>
        </w:rPr>
        <w:tab/>
      </w:r>
      <w:r w:rsidRPr="00A02E57">
        <w:rPr>
          <w:rFonts w:eastAsia="Times New Roman"/>
          <w:szCs w:val="20"/>
          <w:lang w:eastAsia="en-ZA"/>
        </w:rPr>
        <w:t xml:space="preserve">confirm a consent </w:t>
      </w:r>
      <w:r w:rsidRPr="00D82FA2">
        <w:rPr>
          <w:rFonts w:eastAsia="Times New Roman"/>
          <w:iCs/>
          <w:szCs w:val="20"/>
          <w:lang w:eastAsia="en-ZA"/>
        </w:rPr>
        <w:t>agreement</w:t>
      </w:r>
      <w:r w:rsidRPr="00A02E57">
        <w:rPr>
          <w:rFonts w:eastAsia="Times New Roman"/>
          <w:szCs w:val="20"/>
          <w:lang w:eastAsia="en-ZA"/>
        </w:rPr>
        <w:t xml:space="preserve"> in terms of section 49D as an order of the Tribunal; or</w:t>
      </w:r>
    </w:p>
    <w:p w14:paraId="36165701" w14:textId="5D23C7B5" w:rsidR="00BD650A" w:rsidRPr="00A02E57" w:rsidRDefault="00BD650A" w:rsidP="008A698A">
      <w:pPr>
        <w:pStyle w:val="QUOTEINFOOTNOTE"/>
        <w:ind w:left="2160" w:hanging="720"/>
        <w:rPr>
          <w:rFonts w:eastAsia="Times New Roman"/>
          <w:szCs w:val="20"/>
          <w:lang w:eastAsia="en-ZA"/>
        </w:rPr>
      </w:pPr>
      <w:bookmarkStart w:id="19" w:name="0-0-0-575927"/>
      <w:bookmarkEnd w:id="19"/>
      <w:r>
        <w:rPr>
          <w:rFonts w:eastAsia="Times New Roman"/>
          <w:szCs w:val="20"/>
          <w:lang w:eastAsia="en-ZA"/>
        </w:rPr>
        <w:t>(c)</w:t>
      </w:r>
      <w:r>
        <w:rPr>
          <w:rFonts w:eastAsia="Times New Roman"/>
          <w:szCs w:val="20"/>
          <w:lang w:eastAsia="en-ZA"/>
        </w:rPr>
        <w:tab/>
      </w:r>
      <w:r w:rsidRPr="00A02E57">
        <w:rPr>
          <w:rFonts w:eastAsia="Times New Roman"/>
          <w:szCs w:val="20"/>
          <w:lang w:eastAsia="en-ZA"/>
        </w:rPr>
        <w:t>subject to sect</w:t>
      </w:r>
      <w:r>
        <w:rPr>
          <w:rFonts w:eastAsia="Times New Roman"/>
          <w:szCs w:val="20"/>
          <w:lang w:eastAsia="en-ZA"/>
        </w:rPr>
        <w:t>ions 13(6) and 14</w:t>
      </w:r>
      <w:r w:rsidRPr="00A02E57">
        <w:rPr>
          <w:rFonts w:eastAsia="Times New Roman"/>
          <w:szCs w:val="20"/>
          <w:lang w:eastAsia="en-ZA"/>
        </w:rPr>
        <w:t>(2), condone, on good cause shown, any non-compliance of</w:t>
      </w:r>
      <w:r>
        <w:rPr>
          <w:rFonts w:eastAsia="Times New Roman"/>
          <w:szCs w:val="20"/>
          <w:lang w:eastAsia="en-ZA"/>
        </w:rPr>
        <w:t>—</w:t>
      </w:r>
    </w:p>
    <w:p w14:paraId="12148554" w14:textId="7C56CF3C" w:rsidR="00BD650A" w:rsidRPr="00A02E57" w:rsidRDefault="00BD650A" w:rsidP="000C7587">
      <w:pPr>
        <w:pStyle w:val="QUOTEINFOOTNOTE"/>
        <w:numPr>
          <w:ilvl w:val="0"/>
          <w:numId w:val="10"/>
        </w:numPr>
        <w:ind w:left="2880" w:hanging="720"/>
        <w:rPr>
          <w:rFonts w:eastAsia="Times New Roman"/>
          <w:szCs w:val="20"/>
          <w:lang w:eastAsia="en-ZA"/>
        </w:rPr>
      </w:pPr>
      <w:bookmarkStart w:id="20" w:name="0-0-0-575929"/>
      <w:bookmarkEnd w:id="20"/>
      <w:r w:rsidRPr="00A02E57">
        <w:rPr>
          <w:rFonts w:eastAsia="Times New Roman"/>
          <w:szCs w:val="20"/>
          <w:lang w:eastAsia="en-ZA"/>
        </w:rPr>
        <w:t>the Competition Commission or Competition Tribunal rules; or</w:t>
      </w:r>
    </w:p>
    <w:p w14:paraId="384B9154" w14:textId="5E7E2E75" w:rsidR="00BD650A" w:rsidRPr="00A02E57" w:rsidRDefault="00BD650A" w:rsidP="000C7587">
      <w:pPr>
        <w:pStyle w:val="QUOTEINFOOTNOTE"/>
        <w:numPr>
          <w:ilvl w:val="0"/>
          <w:numId w:val="10"/>
        </w:numPr>
        <w:ind w:left="2880" w:hanging="720"/>
        <w:rPr>
          <w:rFonts w:eastAsia="Times New Roman"/>
          <w:szCs w:val="20"/>
          <w:lang w:eastAsia="en-ZA"/>
        </w:rPr>
      </w:pPr>
      <w:bookmarkStart w:id="21" w:name="0-0-0-575931"/>
      <w:bookmarkEnd w:id="21"/>
      <w:r w:rsidRPr="00A02E57">
        <w:rPr>
          <w:rFonts w:eastAsia="Times New Roman"/>
          <w:szCs w:val="20"/>
          <w:lang w:eastAsia="en-ZA"/>
        </w:rPr>
        <w:t xml:space="preserve">a time limit set out in </w:t>
      </w:r>
      <w:r w:rsidRPr="008A698A">
        <w:rPr>
          <w:rFonts w:eastAsia="Times New Roman"/>
          <w:szCs w:val="20"/>
          <w:lang w:eastAsia="en-ZA"/>
        </w:rPr>
        <w:t>this Act</w:t>
      </w:r>
      <w:r w:rsidRPr="00A02E57">
        <w:rPr>
          <w:rFonts w:eastAsia="Times New Roman"/>
          <w:szCs w:val="20"/>
          <w:lang w:eastAsia="en-ZA"/>
        </w:rPr>
        <w:t>.</w:t>
      </w:r>
    </w:p>
    <w:p w14:paraId="461304A1" w14:textId="29C916D9" w:rsidR="00BD650A" w:rsidRPr="00A02E57" w:rsidRDefault="00BD650A" w:rsidP="000C7587">
      <w:pPr>
        <w:pStyle w:val="QUOTEINFOOTNOTE"/>
        <w:numPr>
          <w:ilvl w:val="0"/>
          <w:numId w:val="11"/>
        </w:numPr>
        <w:ind w:left="1440" w:hanging="720"/>
        <w:rPr>
          <w:rFonts w:eastAsia="Times New Roman"/>
          <w:szCs w:val="20"/>
          <w:lang w:eastAsia="en-ZA"/>
        </w:rPr>
      </w:pPr>
      <w:bookmarkStart w:id="22" w:name="0-0-0-575933"/>
      <w:bookmarkEnd w:id="22"/>
      <w:r w:rsidRPr="00A02E57">
        <w:rPr>
          <w:rFonts w:eastAsia="Times New Roman"/>
          <w:szCs w:val="20"/>
          <w:lang w:eastAsia="en-ZA"/>
        </w:rPr>
        <w:t xml:space="preserve">At any time, the Competition Tribunal may adjourn a hearing for a reasonable period of time, if there is reason to believe that the hearing relates to a </w:t>
      </w:r>
      <w:r w:rsidRPr="00D82FA2">
        <w:rPr>
          <w:rFonts w:eastAsia="Times New Roman"/>
          <w:iCs/>
          <w:szCs w:val="20"/>
          <w:lang w:eastAsia="en-ZA"/>
        </w:rPr>
        <w:t>prohibited practice</w:t>
      </w:r>
      <w:r w:rsidRPr="00A02E57">
        <w:rPr>
          <w:rFonts w:eastAsia="Times New Roman"/>
          <w:szCs w:val="20"/>
          <w:lang w:eastAsia="en-ZA"/>
        </w:rPr>
        <w:t xml:space="preserve"> that might qualify for exemption in terms of section 10.</w:t>
      </w:r>
    </w:p>
    <w:p w14:paraId="7EA34867" w14:textId="227E3C3B" w:rsidR="00BD650A" w:rsidRPr="00E14A55" w:rsidRDefault="00BD650A" w:rsidP="000C7587">
      <w:pPr>
        <w:pStyle w:val="QUOTEINFOOTNOTE"/>
        <w:numPr>
          <w:ilvl w:val="0"/>
          <w:numId w:val="11"/>
        </w:numPr>
        <w:ind w:left="1440" w:hanging="720"/>
        <w:rPr>
          <w:rFonts w:eastAsia="Times New Roman"/>
          <w:szCs w:val="20"/>
          <w:lang w:eastAsia="en-ZA"/>
        </w:rPr>
      </w:pPr>
      <w:bookmarkStart w:id="23" w:name="0-0-0-575935"/>
      <w:bookmarkEnd w:id="23"/>
      <w:r w:rsidRPr="00A02E57">
        <w:rPr>
          <w:rFonts w:eastAsia="Times New Roman"/>
          <w:szCs w:val="20"/>
          <w:lang w:eastAsia="en-ZA"/>
        </w:rPr>
        <w:t xml:space="preserve">Despite any other provision of </w:t>
      </w:r>
      <w:r w:rsidRPr="008940E2">
        <w:rPr>
          <w:rFonts w:eastAsia="Times New Roman"/>
          <w:iCs/>
          <w:szCs w:val="20"/>
          <w:lang w:eastAsia="en-ZA"/>
        </w:rPr>
        <w:t>this Act</w:t>
      </w:r>
      <w:r w:rsidRPr="00A02E57">
        <w:rPr>
          <w:rFonts w:eastAsia="Times New Roman"/>
          <w:szCs w:val="20"/>
          <w:lang w:eastAsia="en-ZA"/>
        </w:rPr>
        <w:t xml:space="preserve">, if the Competition Tribunal adjourns a hearing in terms of subsection (2), the </w:t>
      </w:r>
      <w:r w:rsidRPr="008940E2">
        <w:rPr>
          <w:rFonts w:eastAsia="Times New Roman"/>
          <w:iCs/>
          <w:szCs w:val="20"/>
          <w:lang w:eastAsia="en-ZA"/>
        </w:rPr>
        <w:t>respondent</w:t>
      </w:r>
      <w:r w:rsidRPr="00A02E57">
        <w:rPr>
          <w:rFonts w:eastAsia="Times New Roman"/>
          <w:szCs w:val="20"/>
          <w:lang w:eastAsia="en-ZA"/>
        </w:rPr>
        <w:t xml:space="preserve"> may apply for an exemption during that adjournment.”</w:t>
      </w:r>
      <w:bookmarkStart w:id="24" w:name="0-0-0-574249"/>
      <w:bookmarkEnd w:id="24"/>
    </w:p>
  </w:footnote>
  <w:footnote w:id="8">
    <w:p w14:paraId="5C49435F" w14:textId="17CC3865" w:rsidR="00BD650A" w:rsidRDefault="00BD650A" w:rsidP="00241EF2">
      <w:pPr>
        <w:pStyle w:val="FootnoteText"/>
      </w:pPr>
      <w:r>
        <w:rPr>
          <w:rStyle w:val="FootnoteReference"/>
        </w:rPr>
        <w:footnoteRef/>
      </w:r>
      <w:r>
        <w:rPr>
          <w:i/>
        </w:rPr>
        <w:t xml:space="preserve"> </w:t>
      </w:r>
      <w:r w:rsidRPr="000C0CE1">
        <w:rPr>
          <w:i/>
        </w:rPr>
        <w:t>Cordiant Trading CC v Daimler Chrysler Financial Services (Pty) Ltd</w:t>
      </w:r>
      <w:r w:rsidRPr="000C0CE1">
        <w:t xml:space="preserve"> </w:t>
      </w:r>
      <w:r>
        <w:t>[2005]</w:t>
      </w:r>
      <w:r w:rsidRPr="000C0CE1">
        <w:t xml:space="preserve"> ZASCA 50;</w:t>
      </w:r>
      <w:r>
        <w:t xml:space="preserve"> (2005)</w:t>
      </w:r>
      <w:r w:rsidRPr="000C0CE1">
        <w:t xml:space="preserve"> </w:t>
      </w:r>
      <w:r>
        <w:t xml:space="preserve">(6) </w:t>
      </w:r>
      <w:r w:rsidRPr="000C0CE1">
        <w:t xml:space="preserve">SA </w:t>
      </w:r>
      <w:r>
        <w:t>205</w:t>
      </w:r>
      <w:r w:rsidRPr="000C0CE1">
        <w:t xml:space="preserve"> (SCA)</w:t>
      </w:r>
      <w:r>
        <w:t xml:space="preserve"> (</w:t>
      </w:r>
      <w:r w:rsidRPr="00213758">
        <w:rPr>
          <w:i/>
        </w:rPr>
        <w:t>Cordiant</w:t>
      </w:r>
      <w:r>
        <w:t>).</w:t>
      </w:r>
    </w:p>
  </w:footnote>
  <w:footnote w:id="9">
    <w:p w14:paraId="039EF6F2" w14:textId="3FCEAC1D" w:rsidR="00BD650A" w:rsidRDefault="00BD650A" w:rsidP="00345EFD">
      <w:pPr>
        <w:pStyle w:val="FootnoteText"/>
      </w:pPr>
      <w:r>
        <w:rPr>
          <w:rStyle w:val="FootnoteReference"/>
        </w:rPr>
        <w:footnoteRef/>
      </w:r>
      <w:r>
        <w:rPr>
          <w:i/>
        </w:rPr>
        <w:t xml:space="preserve"> </w:t>
      </w:r>
      <w:r w:rsidRPr="00123E7C">
        <w:rPr>
          <w:i/>
        </w:rPr>
        <w:t>Bulmer SA (Proprietary) Limited v Distillers Corporation (SA) Limited</w:t>
      </w:r>
      <w:r>
        <w:t xml:space="preserve"> [2001] ZACT 13 (</w:t>
      </w:r>
      <w:r w:rsidRPr="00EF48A4">
        <w:rPr>
          <w:i/>
        </w:rPr>
        <w:t>Bulmer</w:t>
      </w:r>
      <w:r>
        <w:t xml:space="preserve">); </w:t>
      </w:r>
      <w:r w:rsidRPr="00123E7C">
        <w:rPr>
          <w:i/>
        </w:rPr>
        <w:t>Distillers Corporation (South Africa) Limited v Bulmer (SA)</w:t>
      </w:r>
      <w:r>
        <w:t xml:space="preserve">[2001] ZACAC </w:t>
      </w:r>
      <w:r w:rsidRPr="00EF48A4">
        <w:t>4</w:t>
      </w:r>
      <w:r>
        <w:rPr>
          <w:i/>
        </w:rPr>
        <w:t xml:space="preserve">; </w:t>
      </w:r>
      <w:r w:rsidRPr="00EF48A4">
        <w:t>[2001-2002] CPLR 36 (CAC)</w:t>
      </w:r>
      <w:r>
        <w:t xml:space="preserve"> (</w:t>
      </w:r>
      <w:r w:rsidRPr="00EF48A4">
        <w:rPr>
          <w:i/>
        </w:rPr>
        <w:t>Distillers</w:t>
      </w:r>
      <w:r>
        <w:t>)</w:t>
      </w:r>
      <w:r w:rsidRPr="00EF48A4">
        <w:t>;</w:t>
      </w:r>
      <w:r>
        <w:t xml:space="preserve"> </w:t>
      </w:r>
      <w:r w:rsidRPr="00123E7C">
        <w:rPr>
          <w:i/>
        </w:rPr>
        <w:t xml:space="preserve">Gold Fields Limited v Harmony Gold Mining Company Limited </w:t>
      </w:r>
      <w:r>
        <w:t>[2004] ZASCA 106;</w:t>
      </w:r>
      <w:r w:rsidRPr="0014029A">
        <w:t xml:space="preserve"> </w:t>
      </w:r>
      <w:r>
        <w:t xml:space="preserve">[2005] 3 All SA 114 (SCA); </w:t>
      </w:r>
      <w:r w:rsidRPr="00C33ABA">
        <w:rPr>
          <w:i/>
        </w:rPr>
        <w:t xml:space="preserve">Johnnic Holdings Limited and Hosken Consolidated Investments Limited </w:t>
      </w:r>
      <w:r w:rsidRPr="00C33ABA">
        <w:t>[2005] ZACT 69</w:t>
      </w:r>
      <w:r>
        <w:t xml:space="preserve">; </w:t>
      </w:r>
      <w:r w:rsidRPr="007E21A8">
        <w:rPr>
          <w:i/>
        </w:rPr>
        <w:t xml:space="preserve">Cape Empowerment Trust Ltd v Sanlam Life Insurance Ltd </w:t>
      </w:r>
      <w:r>
        <w:t>(2008) 1 CPLR 410 (T).</w:t>
      </w:r>
    </w:p>
  </w:footnote>
  <w:footnote w:id="10">
    <w:p w14:paraId="047462A9" w14:textId="4DDF85AF" w:rsidR="00BD650A" w:rsidRDefault="00BD650A" w:rsidP="009D25A4">
      <w:pPr>
        <w:pStyle w:val="FootnoteText"/>
      </w:pPr>
      <w:r>
        <w:rPr>
          <w:rStyle w:val="FootnoteReference"/>
        </w:rPr>
        <w:footnoteRef/>
      </w:r>
      <w:r>
        <w:t xml:space="preserve"> See </w:t>
      </w:r>
      <w:r w:rsidRPr="0046218B">
        <w:rPr>
          <w:i/>
          <w:iCs/>
        </w:rPr>
        <w:t>Hosken Consolidated Investments Limited v The Competition Commission</w:t>
      </w:r>
      <w:r w:rsidRPr="0046218B">
        <w:t xml:space="preserve"> (154/CAC</w:t>
      </w:r>
      <w:r>
        <w:t>/Sept17) (</w:t>
      </w:r>
      <w:r w:rsidRPr="00363068">
        <w:t>Competition Appeal Court judgment</w:t>
      </w:r>
      <w:r>
        <w:t>) at para 52.</w:t>
      </w:r>
    </w:p>
  </w:footnote>
  <w:footnote w:id="11">
    <w:p w14:paraId="7FF98F19" w14:textId="78965731" w:rsidR="00BD650A" w:rsidRDefault="00BD650A" w:rsidP="009D25A4">
      <w:pPr>
        <w:pStyle w:val="FootnoteText"/>
      </w:pPr>
      <w:r>
        <w:rPr>
          <w:rStyle w:val="FootnoteReference"/>
        </w:rPr>
        <w:footnoteRef/>
      </w:r>
      <w:r>
        <w:t xml:space="preserve"> Id at para 53.</w:t>
      </w:r>
    </w:p>
  </w:footnote>
  <w:footnote w:id="12">
    <w:p w14:paraId="23F3BF5A" w14:textId="5EA54BC0" w:rsidR="00BD650A" w:rsidRDefault="00BD650A" w:rsidP="00387EF8">
      <w:pPr>
        <w:pStyle w:val="FootnoteText"/>
      </w:pPr>
      <w:r>
        <w:rPr>
          <w:rStyle w:val="FootnoteReference"/>
        </w:rPr>
        <w:footnoteRef/>
      </w:r>
      <w:r>
        <w:t xml:space="preserve"> Id at para 54.</w:t>
      </w:r>
    </w:p>
  </w:footnote>
  <w:footnote w:id="13">
    <w:p w14:paraId="1FAE0A19" w14:textId="7921DD8D" w:rsidR="00BD650A" w:rsidRDefault="00BD650A">
      <w:pPr>
        <w:pStyle w:val="FootnoteText"/>
      </w:pPr>
      <w:r>
        <w:rPr>
          <w:rStyle w:val="FootnoteReference"/>
        </w:rPr>
        <w:footnoteRef/>
      </w:r>
      <w:r>
        <w:t xml:space="preserve"> Id at para 59.</w:t>
      </w:r>
    </w:p>
  </w:footnote>
  <w:footnote w:id="14">
    <w:p w14:paraId="014B4E50" w14:textId="24B006ED" w:rsidR="00BD650A" w:rsidRDefault="00BD650A">
      <w:pPr>
        <w:pStyle w:val="FootnoteText"/>
      </w:pPr>
      <w:r>
        <w:rPr>
          <w:rStyle w:val="FootnoteReference"/>
        </w:rPr>
        <w:footnoteRef/>
      </w:r>
      <w:r>
        <w:t xml:space="preserve"> </w:t>
      </w:r>
      <w:r>
        <w:rPr>
          <w:szCs w:val="20"/>
        </w:rPr>
        <w:t xml:space="preserve">See </w:t>
      </w:r>
      <w:r w:rsidRPr="00AE6E05">
        <w:rPr>
          <w:szCs w:val="20"/>
        </w:rPr>
        <w:t xml:space="preserve">the </w:t>
      </w:r>
      <w:r>
        <w:rPr>
          <w:szCs w:val="20"/>
        </w:rPr>
        <w:t>long title</w:t>
      </w:r>
      <w:r w:rsidRPr="00AE6E05">
        <w:rPr>
          <w:szCs w:val="20"/>
        </w:rPr>
        <w:t xml:space="preserve"> to the Act.</w:t>
      </w:r>
    </w:p>
  </w:footnote>
  <w:footnote w:id="15">
    <w:p w14:paraId="59E69D53" w14:textId="100680B3" w:rsidR="00BD650A" w:rsidRDefault="00BD650A">
      <w:pPr>
        <w:pStyle w:val="FootnoteText"/>
      </w:pPr>
      <w:r>
        <w:rPr>
          <w:rStyle w:val="FootnoteReference"/>
        </w:rPr>
        <w:footnoteRef/>
      </w:r>
      <w:r>
        <w:t xml:space="preserve"> </w:t>
      </w:r>
      <w:r>
        <w:rPr>
          <w:szCs w:val="20"/>
        </w:rPr>
        <w:t xml:space="preserve">See </w:t>
      </w:r>
      <w:r w:rsidRPr="00AE6E05">
        <w:rPr>
          <w:szCs w:val="20"/>
        </w:rPr>
        <w:t>the preamble of the Act</w:t>
      </w:r>
      <w:r>
        <w:rPr>
          <w:szCs w:val="20"/>
        </w:rPr>
        <w:t>.</w:t>
      </w:r>
    </w:p>
  </w:footnote>
  <w:footnote w:id="16">
    <w:p w14:paraId="0A3F0B16" w14:textId="7A83EEF3" w:rsidR="00BD650A" w:rsidRDefault="00BD650A" w:rsidP="00C63EEE">
      <w:pPr>
        <w:pStyle w:val="FootnoteText"/>
      </w:pPr>
      <w:r>
        <w:rPr>
          <w:rStyle w:val="FootnoteReference"/>
        </w:rPr>
        <w:footnoteRef/>
      </w:r>
      <w:r>
        <w:t xml:space="preserve"> </w:t>
      </w:r>
      <w:r w:rsidRPr="00B32555">
        <w:rPr>
          <w:i/>
        </w:rPr>
        <w:t>S.O.S Support Public Broadcasting Coalition v South African Broadcasting Corporation (SOC) Limited</w:t>
      </w:r>
      <w:r>
        <w:rPr>
          <w:i/>
        </w:rPr>
        <w:t xml:space="preserve"> </w:t>
      </w:r>
      <w:r>
        <w:t>[2018] ZACC 37; 2018 JDR 1674 (CC); 2018 (12) BCLR 1533 (CC) (</w:t>
      </w:r>
      <w:r w:rsidRPr="00893186">
        <w:rPr>
          <w:i/>
        </w:rPr>
        <w:t>S.O.S</w:t>
      </w:r>
      <w:r>
        <w:t xml:space="preserve">).  See also </w:t>
      </w:r>
      <w:r w:rsidRPr="00F37CF7">
        <w:rPr>
          <w:i/>
          <w:szCs w:val="20"/>
          <w:lang w:val="en-US"/>
        </w:rPr>
        <w:t>Competition Commission</w:t>
      </w:r>
      <w:r>
        <w:rPr>
          <w:i/>
          <w:szCs w:val="20"/>
          <w:lang w:val="en-US"/>
        </w:rPr>
        <w:t xml:space="preserve"> of South Africa</w:t>
      </w:r>
      <w:r w:rsidRPr="00F37CF7">
        <w:rPr>
          <w:i/>
          <w:szCs w:val="20"/>
          <w:lang w:val="en-US"/>
        </w:rPr>
        <w:t xml:space="preserve"> v Sen</w:t>
      </w:r>
      <w:r>
        <w:rPr>
          <w:i/>
          <w:szCs w:val="20"/>
          <w:lang w:val="en-US"/>
        </w:rPr>
        <w:t>wes</w:t>
      </w:r>
      <w:r w:rsidRPr="00F37CF7">
        <w:rPr>
          <w:i/>
          <w:szCs w:val="20"/>
          <w:lang w:val="en-US"/>
        </w:rPr>
        <w:t xml:space="preserve"> Ltd </w:t>
      </w:r>
      <w:r w:rsidRPr="00441077">
        <w:rPr>
          <w:szCs w:val="20"/>
          <w:lang w:val="en-US"/>
        </w:rPr>
        <w:t>[2012] ZACC 6;</w:t>
      </w:r>
      <w:r>
        <w:rPr>
          <w:szCs w:val="20"/>
          <w:lang w:val="en-US"/>
        </w:rPr>
        <w:t xml:space="preserve"> </w:t>
      </w:r>
      <w:r w:rsidRPr="004D619F">
        <w:rPr>
          <w:bCs/>
          <w:szCs w:val="20"/>
        </w:rPr>
        <w:t>2012 JDR 0579 (CC)</w:t>
      </w:r>
      <w:r w:rsidRPr="004D619F">
        <w:rPr>
          <w:szCs w:val="20"/>
          <w:lang w:val="en-US"/>
        </w:rPr>
        <w:t>;</w:t>
      </w:r>
      <w:r w:rsidRPr="00441077">
        <w:rPr>
          <w:szCs w:val="20"/>
          <w:lang w:val="en-US"/>
        </w:rPr>
        <w:t xml:space="preserve"> 2012 (7) BCLR 667 (CC</w:t>
      </w:r>
      <w:r w:rsidRPr="003F67C2">
        <w:rPr>
          <w:szCs w:val="20"/>
          <w:lang w:val="en-US"/>
        </w:rPr>
        <w:t>)</w:t>
      </w:r>
      <w:r>
        <w:rPr>
          <w:i/>
          <w:szCs w:val="20"/>
          <w:lang w:val="en-US"/>
        </w:rPr>
        <w:t xml:space="preserve"> </w:t>
      </w:r>
      <w:r w:rsidRPr="00B06D2A">
        <w:rPr>
          <w:szCs w:val="20"/>
          <w:lang w:val="en-US"/>
        </w:rPr>
        <w:t>(</w:t>
      </w:r>
      <w:r>
        <w:rPr>
          <w:i/>
          <w:szCs w:val="20"/>
          <w:lang w:val="en-US"/>
        </w:rPr>
        <w:t>Senwes</w:t>
      </w:r>
      <w:r w:rsidRPr="00B32555">
        <w:rPr>
          <w:szCs w:val="20"/>
          <w:lang w:val="en-US"/>
        </w:rPr>
        <w:t>)</w:t>
      </w:r>
      <w:r>
        <w:rPr>
          <w:szCs w:val="20"/>
          <w:lang w:val="en-US"/>
        </w:rPr>
        <w:t xml:space="preserve"> </w:t>
      </w:r>
      <w:r w:rsidRPr="00F37CF7">
        <w:rPr>
          <w:szCs w:val="20"/>
          <w:lang w:val="en-US"/>
        </w:rPr>
        <w:t>at para 17</w:t>
      </w:r>
      <w:r>
        <w:t>.</w:t>
      </w:r>
    </w:p>
  </w:footnote>
  <w:footnote w:id="17">
    <w:p w14:paraId="1419B3D8" w14:textId="0445E24F" w:rsidR="00BD650A" w:rsidRDefault="00BD650A">
      <w:pPr>
        <w:pStyle w:val="FootnoteText"/>
      </w:pPr>
      <w:r>
        <w:rPr>
          <w:rStyle w:val="FootnoteReference"/>
        </w:rPr>
        <w:footnoteRef/>
      </w:r>
      <w:r>
        <w:t xml:space="preserve"> Section 21(e) of the Act.</w:t>
      </w:r>
    </w:p>
  </w:footnote>
  <w:footnote w:id="18">
    <w:p w14:paraId="61E28CA5" w14:textId="467E5DE5" w:rsidR="00BD650A" w:rsidRDefault="00BD650A" w:rsidP="00E3380A">
      <w:pPr>
        <w:pStyle w:val="FootnoteText"/>
      </w:pPr>
      <w:r>
        <w:rPr>
          <w:rStyle w:val="FootnoteReference"/>
        </w:rPr>
        <w:footnoteRef/>
      </w:r>
      <w:r>
        <w:t xml:space="preserve"> </w:t>
      </w:r>
      <w:r w:rsidRPr="002E6C24">
        <w:rPr>
          <w:i/>
        </w:rPr>
        <w:t>S.O.</w:t>
      </w:r>
      <w:r w:rsidRPr="008A698A">
        <w:t xml:space="preserve">S </w:t>
      </w:r>
      <w:r>
        <w:t xml:space="preserve">above </w:t>
      </w:r>
      <w:r w:rsidRPr="00E231E3">
        <w:t>n 16 at para 32.</w:t>
      </w:r>
    </w:p>
  </w:footnote>
  <w:footnote w:id="19">
    <w:p w14:paraId="6A3DF6CD" w14:textId="6BBBEC49" w:rsidR="00BD650A" w:rsidRDefault="00BD650A">
      <w:pPr>
        <w:pStyle w:val="FootnoteText"/>
      </w:pPr>
      <w:r>
        <w:rPr>
          <w:rStyle w:val="FootnoteReference"/>
        </w:rPr>
        <w:footnoteRef/>
      </w:r>
      <w:r>
        <w:t xml:space="preserve"> Section 13A(1) and (2) of the Act.</w:t>
      </w:r>
    </w:p>
  </w:footnote>
  <w:footnote w:id="20">
    <w:p w14:paraId="6C8EA192" w14:textId="1E4E1FCB" w:rsidR="00BD650A" w:rsidRDefault="00BD650A" w:rsidP="00B03DE8">
      <w:pPr>
        <w:pStyle w:val="FootnoteText"/>
        <w:rPr>
          <w:rFonts w:cs="Arial"/>
        </w:rPr>
      </w:pPr>
      <w:r>
        <w:rPr>
          <w:rStyle w:val="FootnoteReference"/>
        </w:rPr>
        <w:footnoteRef/>
      </w:r>
      <w:r>
        <w:t xml:space="preserve"> </w:t>
      </w:r>
      <w:r w:rsidRPr="00F7770D">
        <w:rPr>
          <w:rFonts w:cs="Arial"/>
        </w:rPr>
        <w:t xml:space="preserve">Section 13A(3) </w:t>
      </w:r>
      <w:r>
        <w:rPr>
          <w:rFonts w:cs="Arial"/>
        </w:rPr>
        <w:t>of the Act provides:</w:t>
      </w:r>
    </w:p>
    <w:p w14:paraId="6645BB62" w14:textId="3005CE48" w:rsidR="00BD650A" w:rsidRDefault="00BD650A" w:rsidP="0017293A">
      <w:pPr>
        <w:pStyle w:val="QUOTEINFOOTNOTE"/>
      </w:pPr>
      <w:r w:rsidRPr="00F7770D">
        <w:t>“</w:t>
      </w:r>
      <w:r w:rsidRPr="00F7770D">
        <w:rPr>
          <w:lang w:val="en-US"/>
        </w:rPr>
        <w:t>The parties to an intermediate or large merger may not implement that merger until it has been approved, with or without conditions, by the Com</w:t>
      </w:r>
      <w:r>
        <w:rPr>
          <w:lang w:val="en-US"/>
        </w:rPr>
        <w:t xml:space="preserve">petition Commission in terms of </w:t>
      </w:r>
      <w:r w:rsidRPr="00F7770D">
        <w:rPr>
          <w:lang w:val="en-US"/>
        </w:rPr>
        <w:t>section 14(1)(</w:t>
      </w:r>
      <w:r w:rsidRPr="00F7770D">
        <w:rPr>
          <w:iCs/>
          <w:lang w:val="en-US"/>
        </w:rPr>
        <w:t>b</w:t>
      </w:r>
      <w:r w:rsidRPr="00F7770D">
        <w:rPr>
          <w:lang w:val="en-US"/>
        </w:rPr>
        <w:t>), the C</w:t>
      </w:r>
      <w:r>
        <w:rPr>
          <w:lang w:val="en-US"/>
        </w:rPr>
        <w:t xml:space="preserve">ompetition Tribunal in terms of </w:t>
      </w:r>
      <w:r w:rsidRPr="00F7770D">
        <w:rPr>
          <w:lang w:val="en-US"/>
        </w:rPr>
        <w:t>section</w:t>
      </w:r>
      <w:r>
        <w:rPr>
          <w:lang w:val="en-US"/>
        </w:rPr>
        <w:t xml:space="preserve"> </w:t>
      </w:r>
      <w:r w:rsidRPr="00F7770D">
        <w:rPr>
          <w:lang w:val="en-US"/>
        </w:rPr>
        <w:t>16(2)</w:t>
      </w:r>
      <w:r>
        <w:rPr>
          <w:lang w:val="en-US"/>
        </w:rPr>
        <w:t xml:space="preserve"> </w:t>
      </w:r>
      <w:r w:rsidRPr="00F7770D">
        <w:rPr>
          <w:lang w:val="en-US"/>
        </w:rPr>
        <w:t>or the Compe</w:t>
      </w:r>
      <w:r>
        <w:rPr>
          <w:lang w:val="en-US"/>
        </w:rPr>
        <w:t xml:space="preserve">tition Appeal Court in terms of </w:t>
      </w:r>
      <w:r w:rsidRPr="00F7770D">
        <w:rPr>
          <w:lang w:val="en-US"/>
        </w:rPr>
        <w:t>section 17.”</w:t>
      </w:r>
    </w:p>
  </w:footnote>
  <w:footnote w:id="21">
    <w:p w14:paraId="4FCDDDAA" w14:textId="362661B3" w:rsidR="00BD650A" w:rsidRDefault="00BD650A" w:rsidP="003E0536">
      <w:pPr>
        <w:pStyle w:val="FootnoteText1"/>
      </w:pPr>
      <w:r w:rsidRPr="00C80032">
        <w:rPr>
          <w:rStyle w:val="FootnoteReference"/>
          <w:szCs w:val="20"/>
        </w:rPr>
        <w:footnoteRef/>
      </w:r>
      <w:r w:rsidRPr="00C80032">
        <w:t xml:space="preserve"> In terms of section 59(1)(d) of the Act an administrative penalty may be imposed in the following circumstances:</w:t>
      </w:r>
      <w:bookmarkStart w:id="25" w:name="0-0-0-575949"/>
      <w:bookmarkEnd w:id="25"/>
    </w:p>
    <w:p w14:paraId="6C956F0E" w14:textId="27BDB327" w:rsidR="00BD650A" w:rsidRPr="0017293A" w:rsidRDefault="00BD650A" w:rsidP="008577C8">
      <w:pPr>
        <w:pStyle w:val="QUOTEINFOOTNOTE"/>
        <w:rPr>
          <w:lang w:eastAsia="en-ZA"/>
        </w:rPr>
      </w:pPr>
      <w:r>
        <w:rPr>
          <w:lang w:eastAsia="en-ZA"/>
        </w:rPr>
        <w:t>“[I]</w:t>
      </w:r>
      <w:r w:rsidRPr="0017293A">
        <w:rPr>
          <w:lang w:eastAsia="en-ZA"/>
        </w:rPr>
        <w:t>f the parties to a merger have</w:t>
      </w:r>
      <w:r>
        <w:rPr>
          <w:lang w:eastAsia="en-ZA"/>
        </w:rPr>
        <w:t>—</w:t>
      </w:r>
    </w:p>
    <w:p w14:paraId="3BD25270" w14:textId="4C2DACBF" w:rsidR="00BD650A" w:rsidRPr="0017293A" w:rsidRDefault="00BD650A" w:rsidP="000C7587">
      <w:pPr>
        <w:pStyle w:val="QUOTEINFOOTNOTE"/>
        <w:numPr>
          <w:ilvl w:val="1"/>
          <w:numId w:val="2"/>
        </w:numPr>
        <w:ind w:left="2160"/>
        <w:rPr>
          <w:rFonts w:eastAsia="Times New Roman"/>
          <w:szCs w:val="20"/>
          <w:lang w:eastAsia="en-ZA"/>
        </w:rPr>
      </w:pPr>
      <w:bookmarkStart w:id="26" w:name="0-0-0-575951"/>
      <w:bookmarkEnd w:id="26"/>
      <w:r w:rsidRPr="0017293A">
        <w:rPr>
          <w:rFonts w:eastAsia="Times New Roman"/>
          <w:szCs w:val="20"/>
          <w:lang w:eastAsia="en-ZA"/>
        </w:rPr>
        <w:t>failed to give notice of the merger as required by Chapter 3;</w:t>
      </w:r>
    </w:p>
    <w:p w14:paraId="0EB17153" w14:textId="7DA0FBFB" w:rsidR="00BD650A" w:rsidRPr="0017293A" w:rsidRDefault="00BD650A" w:rsidP="000C7587">
      <w:pPr>
        <w:pStyle w:val="QUOTEINFOOTNOTE"/>
        <w:numPr>
          <w:ilvl w:val="1"/>
          <w:numId w:val="2"/>
        </w:numPr>
        <w:ind w:left="2160"/>
        <w:rPr>
          <w:rFonts w:eastAsia="Times New Roman"/>
          <w:szCs w:val="20"/>
          <w:lang w:eastAsia="en-ZA"/>
        </w:rPr>
      </w:pPr>
      <w:bookmarkStart w:id="27" w:name="0-0-0-575953"/>
      <w:bookmarkEnd w:id="27"/>
      <w:r w:rsidRPr="0017293A">
        <w:rPr>
          <w:rFonts w:eastAsia="Times New Roman"/>
          <w:szCs w:val="20"/>
          <w:lang w:eastAsia="en-ZA"/>
        </w:rPr>
        <w:t>proceeded to implement the merger in contravention of a decision by the Competition Commission or Competition Tribunal to prohibit that merger;</w:t>
      </w:r>
    </w:p>
    <w:p w14:paraId="74F4D379" w14:textId="32825406" w:rsidR="00BD650A" w:rsidRPr="00112818" w:rsidRDefault="00BD650A" w:rsidP="000C7587">
      <w:pPr>
        <w:pStyle w:val="QUOTEINFOOTNOTE"/>
        <w:numPr>
          <w:ilvl w:val="1"/>
          <w:numId w:val="2"/>
        </w:numPr>
        <w:ind w:left="2160"/>
        <w:rPr>
          <w:lang w:eastAsia="en-ZA"/>
        </w:rPr>
      </w:pPr>
      <w:bookmarkStart w:id="28" w:name="0-0-0-575955"/>
      <w:bookmarkEnd w:id="28"/>
      <w:r w:rsidRPr="0017293A">
        <w:rPr>
          <w:lang w:eastAsia="en-ZA"/>
        </w:rPr>
        <w:t>proceeded to implement the merger in a manner contrary to a condition for the approval of that merger imposed by the Competition Commission in terms of section 13 or 14, or the Competition Tribunal in terms of section 16; or</w:t>
      </w:r>
    </w:p>
    <w:p w14:paraId="0FF22B08" w14:textId="356A4537" w:rsidR="00BD650A" w:rsidRDefault="00BD650A" w:rsidP="000C7587">
      <w:pPr>
        <w:pStyle w:val="QUOTEINFOOTNOTE"/>
        <w:numPr>
          <w:ilvl w:val="1"/>
          <w:numId w:val="2"/>
        </w:numPr>
        <w:ind w:left="2160"/>
        <w:rPr>
          <w:lang w:eastAsia="en-ZA"/>
        </w:rPr>
      </w:pPr>
      <w:bookmarkStart w:id="29" w:name="0-0-0-575957"/>
      <w:bookmarkEnd w:id="29"/>
      <w:r w:rsidRPr="006D696C">
        <w:rPr>
          <w:lang w:eastAsia="en-ZA"/>
        </w:rPr>
        <w:t xml:space="preserve">proceeded to implement the merger without the approval of the Competition Commission or Competition Tribunal, as required by </w:t>
      </w:r>
      <w:r w:rsidRPr="003E0536">
        <w:rPr>
          <w:iCs/>
          <w:lang w:eastAsia="en-ZA"/>
        </w:rPr>
        <w:t>this Act</w:t>
      </w:r>
      <w:r w:rsidRPr="0017293A">
        <w:rPr>
          <w:lang w:eastAsia="en-ZA"/>
        </w:rPr>
        <w:t>.”</w:t>
      </w:r>
    </w:p>
  </w:footnote>
  <w:footnote w:id="22">
    <w:p w14:paraId="31551A41" w14:textId="1D543133" w:rsidR="00BD650A" w:rsidRDefault="00BD650A" w:rsidP="000C0061">
      <w:pPr>
        <w:pStyle w:val="FootnoteText1"/>
      </w:pPr>
      <w:r>
        <w:rPr>
          <w:rStyle w:val="FootnoteReference"/>
        </w:rPr>
        <w:footnoteRef/>
      </w:r>
      <w:r>
        <w:t xml:space="preserve"> </w:t>
      </w:r>
      <w:r w:rsidRPr="003F6DBD">
        <w:rPr>
          <w:i/>
        </w:rPr>
        <w:t>S.O.S</w:t>
      </w:r>
      <w:r>
        <w:t xml:space="preserve"> </w:t>
      </w:r>
      <w:r w:rsidRPr="00E231E3">
        <w:t>above n 16</w:t>
      </w:r>
      <w:r>
        <w:t xml:space="preserve"> at para 43.</w:t>
      </w:r>
    </w:p>
  </w:footnote>
  <w:footnote w:id="23">
    <w:p w14:paraId="70EF55B4" w14:textId="4C528D8B" w:rsidR="00BD650A" w:rsidRDefault="00BD650A" w:rsidP="00AA7A78">
      <w:pPr>
        <w:pStyle w:val="FootnoteText1"/>
      </w:pPr>
      <w:r>
        <w:rPr>
          <w:rStyle w:val="FootnoteReference"/>
        </w:rPr>
        <w:footnoteRef/>
      </w:r>
      <w:r>
        <w:t xml:space="preserve"> Id at para 33.</w:t>
      </w:r>
    </w:p>
  </w:footnote>
  <w:footnote w:id="24">
    <w:p w14:paraId="56AF6B7D" w14:textId="55EF89D8" w:rsidR="00BD650A" w:rsidRPr="006E648D" w:rsidRDefault="00BD650A" w:rsidP="006E75DE">
      <w:pPr>
        <w:pStyle w:val="FootnoteText1"/>
        <w:rPr>
          <w:lang w:eastAsia="en-ZA"/>
        </w:rPr>
      </w:pPr>
      <w:r w:rsidRPr="006E648D">
        <w:rPr>
          <w:rStyle w:val="FootnoteReference"/>
          <w:szCs w:val="20"/>
        </w:rPr>
        <w:footnoteRef/>
      </w:r>
      <w:r w:rsidRPr="006E648D">
        <w:t xml:space="preserve"> Section 1</w:t>
      </w:r>
      <w:r w:rsidRPr="006E648D">
        <w:rPr>
          <w:lang w:eastAsia="en-ZA"/>
        </w:rPr>
        <w:t>2</w:t>
      </w:r>
      <w:r w:rsidRPr="00782690">
        <w:rPr>
          <w:lang w:eastAsia="en-ZA"/>
        </w:rPr>
        <w:t>A</w:t>
      </w:r>
      <w:r>
        <w:rPr>
          <w:lang w:eastAsia="en-ZA"/>
        </w:rPr>
        <w:t xml:space="preserve">(1) </w:t>
      </w:r>
      <w:r w:rsidRPr="00782690">
        <w:rPr>
          <w:lang w:eastAsia="en-ZA"/>
        </w:rPr>
        <w:t>specifically</w:t>
      </w:r>
      <w:r w:rsidRPr="006E648D">
        <w:rPr>
          <w:lang w:eastAsia="en-ZA"/>
        </w:rPr>
        <w:t xml:space="preserve"> deals with the consideration of “mergers”:</w:t>
      </w:r>
    </w:p>
    <w:p w14:paraId="0D30C3DF" w14:textId="0860C5E7" w:rsidR="00BD650A" w:rsidRPr="00402F50" w:rsidRDefault="00BD650A" w:rsidP="00402F50">
      <w:pPr>
        <w:pStyle w:val="QUOTEINFOOTNOTE"/>
      </w:pPr>
      <w:bookmarkStart w:id="30" w:name="0-0-0-574791"/>
      <w:bookmarkEnd w:id="30"/>
      <w:r w:rsidRPr="00402F50">
        <w:t>“Whenever required to consider a merger, the Competition Commission or Competition</w:t>
      </w:r>
      <w:r>
        <w:t> </w:t>
      </w:r>
      <w:r w:rsidRPr="00402F50">
        <w:t>Tribunal must initially determine whether or not the merger is likely to substantially prevent or lessen competition, by assessing the factors set out in subsection (2).”</w:t>
      </w:r>
    </w:p>
  </w:footnote>
  <w:footnote w:id="25">
    <w:p w14:paraId="1460AF61" w14:textId="640749FB" w:rsidR="00BD650A" w:rsidRDefault="00BD650A">
      <w:pPr>
        <w:pStyle w:val="FootnoteText"/>
      </w:pPr>
      <w:r>
        <w:rPr>
          <w:rStyle w:val="FootnoteReference"/>
        </w:rPr>
        <w:footnoteRef/>
      </w:r>
      <w:r>
        <w:t xml:space="preserve"> Section 1 of the Act.</w:t>
      </w:r>
    </w:p>
  </w:footnote>
  <w:footnote w:id="26">
    <w:p w14:paraId="40CF0059" w14:textId="64A40345" w:rsidR="00BD650A" w:rsidRDefault="00BD650A" w:rsidP="00251104">
      <w:pPr>
        <w:pStyle w:val="FootnoteText1"/>
        <w:rPr>
          <w:lang w:eastAsia="en-ZA"/>
        </w:rPr>
      </w:pPr>
      <w:r w:rsidRPr="00AE6E05">
        <w:rPr>
          <w:rStyle w:val="FootnoteReference"/>
          <w:szCs w:val="20"/>
        </w:rPr>
        <w:footnoteRef/>
      </w:r>
      <w:r w:rsidRPr="00AE6E05">
        <w:t xml:space="preserve"> </w:t>
      </w:r>
      <w:r w:rsidRPr="00AE6E05">
        <w:rPr>
          <w:lang w:eastAsia="en-ZA"/>
        </w:rPr>
        <w:t xml:space="preserve">The Tribunal in </w:t>
      </w:r>
      <w:r w:rsidRPr="006C200B">
        <w:rPr>
          <w:i/>
          <w:lang w:eastAsia="en-ZA"/>
        </w:rPr>
        <w:t>Ethos</w:t>
      </w:r>
      <w:r w:rsidRPr="006C200B">
        <w:rPr>
          <w:lang w:eastAsia="en-ZA"/>
        </w:rPr>
        <w:t xml:space="preserve"> </w:t>
      </w:r>
      <w:r>
        <w:rPr>
          <w:lang w:eastAsia="en-ZA"/>
        </w:rPr>
        <w:t xml:space="preserve">above n 5 </w:t>
      </w:r>
      <w:r w:rsidRPr="006C200B">
        <w:rPr>
          <w:lang w:eastAsia="en-ZA"/>
        </w:rPr>
        <w:t xml:space="preserve">at para </w:t>
      </w:r>
      <w:r>
        <w:rPr>
          <w:lang w:eastAsia="en-ZA"/>
        </w:rPr>
        <w:t>32</w:t>
      </w:r>
      <w:r w:rsidRPr="006C200B">
        <w:rPr>
          <w:lang w:eastAsia="en-ZA"/>
        </w:rPr>
        <w:t xml:space="preserve"> stated</w:t>
      </w:r>
      <w:r>
        <w:rPr>
          <w:lang w:eastAsia="en-ZA"/>
        </w:rPr>
        <w:t>:</w:t>
      </w:r>
    </w:p>
    <w:p w14:paraId="5B9CDA71" w14:textId="23C4E0DC" w:rsidR="00BD650A" w:rsidRPr="00507452" w:rsidRDefault="00BD650A" w:rsidP="00507452">
      <w:pPr>
        <w:pStyle w:val="QUOTEINFOOTNOTE"/>
        <w:rPr>
          <w:b/>
          <w:snapToGrid w:val="0"/>
          <w:lang w:val="en-GB"/>
        </w:rPr>
      </w:pPr>
      <w:r w:rsidRPr="00AE6E05">
        <w:rPr>
          <w:rFonts w:eastAsia="Times New Roman"/>
          <w:lang w:eastAsia="en-ZA"/>
        </w:rPr>
        <w:t>“</w:t>
      </w:r>
      <w:r w:rsidRPr="00AE6E05">
        <w:rPr>
          <w:snapToGrid w:val="0"/>
          <w:lang w:val="en-GB"/>
        </w:rPr>
        <w:t xml:space="preserve">Merger policy is not confined to an assessment of control via the legal form. </w:t>
      </w:r>
      <w:r>
        <w:rPr>
          <w:snapToGrid w:val="0"/>
          <w:lang w:val="en-GB"/>
        </w:rPr>
        <w:t xml:space="preserve"> </w:t>
      </w:r>
      <w:r w:rsidRPr="00AE6E05">
        <w:rPr>
          <w:snapToGrid w:val="0"/>
          <w:lang w:val="en-GB"/>
        </w:rPr>
        <w:t xml:space="preserve">The Act recognises that control is not confined to exercise through the same legal form and that a firm can be controlled by another’s economic or commercial leverage over it. </w:t>
      </w:r>
      <w:r>
        <w:rPr>
          <w:snapToGrid w:val="0"/>
          <w:lang w:val="en-GB"/>
        </w:rPr>
        <w:t xml:space="preserve"> </w:t>
      </w:r>
      <w:r w:rsidRPr="00AE6E05">
        <w:rPr>
          <w:snapToGrid w:val="0"/>
          <w:lang w:val="en-GB"/>
        </w:rPr>
        <w:t xml:space="preserve">Because of this, the legislature recognised the possibility of the separation of the economic and </w:t>
      </w:r>
      <w:r>
        <w:rPr>
          <w:snapToGrid w:val="0"/>
          <w:lang w:val="en-GB"/>
        </w:rPr>
        <w:t>‘political’ be</w:t>
      </w:r>
      <w:r w:rsidRPr="00AE6E05">
        <w:rPr>
          <w:snapToGrid w:val="0"/>
          <w:lang w:val="en-GB"/>
        </w:rPr>
        <w:t>nefits of ownership and so provided for each in section 12(2) through subsection</w:t>
      </w:r>
      <w:r>
        <w:rPr>
          <w:snapToGrid w:val="0"/>
          <w:lang w:val="en-GB"/>
        </w:rPr>
        <w:t>s</w:t>
      </w:r>
      <w:r w:rsidRPr="00AE6E05">
        <w:rPr>
          <w:snapToGrid w:val="0"/>
          <w:lang w:val="en-GB"/>
        </w:rPr>
        <w:t xml:space="preserve"> 12(2)(a) and (d) (ownership) and 12(2)(b) and (c) (voting rights).</w:t>
      </w:r>
      <w:r>
        <w:rPr>
          <w:snapToGrid w:val="0"/>
          <w:lang w:val="en-GB"/>
        </w:rPr>
        <w:t xml:space="preserve"> </w:t>
      </w:r>
      <w:r w:rsidRPr="00AE6E05">
        <w:rPr>
          <w:snapToGrid w:val="0"/>
          <w:lang w:val="en-GB"/>
        </w:rPr>
        <w:t xml:space="preserve"> But it also had to go beyond recognising even these two traditional company law forms of control and provide for control over other entities 12(2)(e) trusts and 12(2)(f) close corporations.</w:t>
      </w:r>
      <w:r>
        <w:rPr>
          <w:snapToGrid w:val="0"/>
          <w:lang w:val="en-GB"/>
        </w:rPr>
        <w:t xml:space="preserve"> </w:t>
      </w:r>
      <w:r w:rsidRPr="00AE6E05">
        <w:rPr>
          <w:snapToGrid w:val="0"/>
          <w:lang w:val="en-GB"/>
        </w:rPr>
        <w:t xml:space="preserve"> It went further still, recognising that even these instances may be deficient in capturing all notions of control and so provided a catch-all in 12(2)(g). </w:t>
      </w:r>
      <w:r>
        <w:rPr>
          <w:snapToGrid w:val="0"/>
          <w:lang w:val="en-GB"/>
        </w:rPr>
        <w:t xml:space="preserve"> </w:t>
      </w:r>
      <w:r w:rsidRPr="00AE6E05">
        <w:rPr>
          <w:snapToGrid w:val="0"/>
          <w:lang w:val="en-GB"/>
        </w:rPr>
        <w:t xml:space="preserve">Notwithstanding sub-section (g), the Court has held that the list is non-exhaustive recognising that control is too elastic a notion to confine to a closed list. </w:t>
      </w:r>
      <w:r>
        <w:rPr>
          <w:snapToGrid w:val="0"/>
          <w:lang w:val="en-GB"/>
        </w:rPr>
        <w:t xml:space="preserve"> </w:t>
      </w:r>
      <w:r w:rsidRPr="00AE6E05">
        <w:rPr>
          <w:snapToGrid w:val="0"/>
          <w:lang w:val="en-GB"/>
        </w:rPr>
        <w:t xml:space="preserve">In so doing it held that the legislature had instanced separate notions of control. </w:t>
      </w:r>
      <w:r>
        <w:rPr>
          <w:snapToGrid w:val="0"/>
          <w:lang w:val="en-GB"/>
        </w:rPr>
        <w:t xml:space="preserve"> </w:t>
      </w:r>
      <w:r w:rsidRPr="00AE6E05">
        <w:rPr>
          <w:snapToGrid w:val="0"/>
          <w:lang w:val="en-GB"/>
        </w:rPr>
        <w:t xml:space="preserve">As the Court observed in </w:t>
      </w:r>
      <w:r w:rsidRPr="00C330A9">
        <w:rPr>
          <w:i/>
          <w:snapToGrid w:val="0"/>
          <w:lang w:val="en-GB"/>
        </w:rPr>
        <w:t>Distillers</w:t>
      </w:r>
      <w:r w:rsidRPr="00AE6E05">
        <w:rPr>
          <w:snapToGrid w:val="0"/>
          <w:lang w:val="en-GB"/>
        </w:rPr>
        <w:t xml:space="preserve">, there is nothing in the language of section 12(2) to suggest that its specified instances operate exclusively at any one time. </w:t>
      </w:r>
      <w:r>
        <w:rPr>
          <w:snapToGrid w:val="0"/>
          <w:lang w:val="en-GB"/>
        </w:rPr>
        <w:t xml:space="preserve"> </w:t>
      </w:r>
      <w:r w:rsidRPr="00AE6E05">
        <w:rPr>
          <w:snapToGrid w:val="0"/>
          <w:lang w:val="en-GB"/>
        </w:rPr>
        <w:t>Indeed</w:t>
      </w:r>
      <w:r>
        <w:rPr>
          <w:snapToGrid w:val="0"/>
          <w:lang w:val="en-GB"/>
        </w:rPr>
        <w:t>,</w:t>
      </w:r>
      <w:r w:rsidRPr="00AE6E05">
        <w:rPr>
          <w:snapToGrid w:val="0"/>
          <w:lang w:val="en-GB"/>
        </w:rPr>
        <w:t xml:space="preserve"> given the range of possibilities section 12(2) canvasses, it is likely that more than one controller subsists at any given time in any complex commercial structure.”</w:t>
      </w:r>
    </w:p>
  </w:footnote>
  <w:footnote w:id="27">
    <w:p w14:paraId="098379A1" w14:textId="0C200EB5" w:rsidR="00BD650A" w:rsidRDefault="00BD650A">
      <w:pPr>
        <w:pStyle w:val="FootnoteText"/>
      </w:pPr>
      <w:r>
        <w:rPr>
          <w:rStyle w:val="FootnoteReference"/>
        </w:rPr>
        <w:footnoteRef/>
      </w:r>
      <w:r>
        <w:t xml:space="preserve"> </w:t>
      </w:r>
      <w:r w:rsidRPr="00A64B8B">
        <w:t>Id</w:t>
      </w:r>
      <w:r>
        <w:t xml:space="preserve"> at para 42-3.</w:t>
      </w:r>
    </w:p>
  </w:footnote>
  <w:footnote w:id="28">
    <w:p w14:paraId="50487425" w14:textId="5AD0FA9F" w:rsidR="00BD650A" w:rsidRDefault="00BD650A">
      <w:pPr>
        <w:pStyle w:val="FootnoteText"/>
      </w:pPr>
      <w:r>
        <w:rPr>
          <w:rStyle w:val="FootnoteReference"/>
        </w:rPr>
        <w:footnoteRef/>
      </w:r>
      <w:r>
        <w:t xml:space="preserve"> </w:t>
      </w:r>
      <w:r w:rsidRPr="008A698A">
        <w:rPr>
          <w:i/>
        </w:rPr>
        <w:t>S.O.S</w:t>
      </w:r>
      <w:r>
        <w:t xml:space="preserve"> above n 16.</w:t>
      </w:r>
    </w:p>
  </w:footnote>
  <w:footnote w:id="29">
    <w:p w14:paraId="76ADA701" w14:textId="5B63CFD3" w:rsidR="00BD650A" w:rsidRPr="00537190" w:rsidRDefault="00BD650A">
      <w:pPr>
        <w:pStyle w:val="FootnoteText"/>
      </w:pPr>
      <w:r>
        <w:rPr>
          <w:rStyle w:val="FootnoteReference"/>
        </w:rPr>
        <w:footnoteRef/>
      </w:r>
      <w:r>
        <w:t xml:space="preserve"> </w:t>
      </w:r>
      <w:r w:rsidRPr="000963B4">
        <w:rPr>
          <w:i/>
        </w:rPr>
        <w:t>Etho</w:t>
      </w:r>
      <w:r>
        <w:rPr>
          <w:i/>
        </w:rPr>
        <w:t xml:space="preserve">s </w:t>
      </w:r>
      <w:r w:rsidRPr="00537190">
        <w:t>above n 5 at paras 35</w:t>
      </w:r>
      <w:r>
        <w:noBreakHyphen/>
      </w:r>
      <w:r w:rsidRPr="00537190">
        <w:t>7.</w:t>
      </w:r>
    </w:p>
  </w:footnote>
  <w:footnote w:id="30">
    <w:p w14:paraId="7C400AE2" w14:textId="053B4F16" w:rsidR="00BD650A" w:rsidRDefault="00BD650A">
      <w:pPr>
        <w:pStyle w:val="FootnoteText"/>
      </w:pPr>
      <w:r>
        <w:rPr>
          <w:rStyle w:val="FootnoteReference"/>
        </w:rPr>
        <w:footnoteRef/>
      </w:r>
      <w:r>
        <w:t xml:space="preserve"> </w:t>
      </w:r>
      <w:r w:rsidRPr="004D13B0">
        <w:rPr>
          <w:i/>
        </w:rPr>
        <w:t>S.O.S</w:t>
      </w:r>
      <w:r>
        <w:t xml:space="preserve"> above n 16 at para 33.</w:t>
      </w:r>
    </w:p>
  </w:footnote>
  <w:footnote w:id="31">
    <w:p w14:paraId="4BF91086" w14:textId="24646CD5" w:rsidR="00BD650A" w:rsidRDefault="00BD650A">
      <w:pPr>
        <w:pStyle w:val="FootnoteText"/>
      </w:pPr>
      <w:r>
        <w:rPr>
          <w:rStyle w:val="FootnoteReference"/>
        </w:rPr>
        <w:footnoteRef/>
      </w:r>
      <w:r>
        <w:t xml:space="preserve"> </w:t>
      </w:r>
      <w:r w:rsidRPr="00AE50C8">
        <w:rPr>
          <w:bCs/>
          <w:i/>
          <w:szCs w:val="20"/>
        </w:rPr>
        <w:t xml:space="preserve">Netcare Hospital Group (Pty) Ltd </w:t>
      </w:r>
      <w:r>
        <w:rPr>
          <w:bCs/>
          <w:i/>
          <w:szCs w:val="20"/>
        </w:rPr>
        <w:t>v</w:t>
      </w:r>
      <w:r w:rsidRPr="00AE50C8">
        <w:rPr>
          <w:bCs/>
          <w:i/>
          <w:szCs w:val="20"/>
        </w:rPr>
        <w:t xml:space="preserve"> Community Hospital Group (Pty) Ltd</w:t>
      </w:r>
      <w:r w:rsidRPr="00AE50C8">
        <w:rPr>
          <w:bCs/>
          <w:szCs w:val="20"/>
        </w:rPr>
        <w:t xml:space="preserve"> [2007] 2 CPLR 386 (CT)</w:t>
      </w:r>
      <w:r>
        <w:rPr>
          <w:bCs/>
          <w:szCs w:val="20"/>
        </w:rPr>
        <w:t xml:space="preserve"> (</w:t>
      </w:r>
      <w:r w:rsidRPr="00AE50C8">
        <w:rPr>
          <w:bCs/>
          <w:i/>
          <w:szCs w:val="20"/>
        </w:rPr>
        <w:t>Netcare Hospital Group</w:t>
      </w:r>
      <w:r>
        <w:rPr>
          <w:bCs/>
          <w:i/>
          <w:szCs w:val="20"/>
        </w:rPr>
        <w:t>).</w:t>
      </w:r>
    </w:p>
  </w:footnote>
  <w:footnote w:id="32">
    <w:p w14:paraId="6F1DD219" w14:textId="020B5667" w:rsidR="00BD650A" w:rsidRPr="000070DE" w:rsidRDefault="00BD650A" w:rsidP="00D16F91">
      <w:pPr>
        <w:pStyle w:val="FootnoteText1"/>
        <w:rPr>
          <w:rFonts w:ascii="Verdana-Bold" w:hAnsi="Verdana-Bold" w:cs="Verdana-Bold"/>
          <w:b/>
          <w:bCs/>
          <w:sz w:val="17"/>
          <w:szCs w:val="17"/>
        </w:rPr>
      </w:pPr>
      <w:r>
        <w:rPr>
          <w:rStyle w:val="FootnoteReference"/>
        </w:rPr>
        <w:footnoteRef/>
      </w:r>
      <w:r>
        <w:rPr>
          <w:bCs/>
          <w:i/>
          <w:szCs w:val="20"/>
        </w:rPr>
        <w:t xml:space="preserve"> </w:t>
      </w:r>
      <w:r>
        <w:rPr>
          <w:bCs/>
          <w:szCs w:val="20"/>
        </w:rPr>
        <w:t xml:space="preserve">Id at para </w:t>
      </w:r>
      <w:r w:rsidRPr="00AE50C8">
        <w:rPr>
          <w:bCs/>
          <w:szCs w:val="20"/>
        </w:rPr>
        <w:t>7.</w:t>
      </w:r>
    </w:p>
  </w:footnote>
  <w:footnote w:id="33">
    <w:p w14:paraId="47C18BB2" w14:textId="0F54FF9B" w:rsidR="00BD650A" w:rsidRDefault="00BD650A">
      <w:pPr>
        <w:pStyle w:val="FootnoteText"/>
      </w:pPr>
      <w:r>
        <w:rPr>
          <w:rStyle w:val="FootnoteReference"/>
        </w:rPr>
        <w:footnoteRef/>
      </w:r>
      <w:r>
        <w:t xml:space="preserve"> </w:t>
      </w:r>
      <w:r w:rsidRPr="00625F4B">
        <w:t>See the discussion in paras [92]</w:t>
      </w:r>
      <w:r>
        <w:noBreakHyphen/>
      </w:r>
      <w:r w:rsidRPr="00625F4B">
        <w:t>[93] hereunder.</w:t>
      </w:r>
    </w:p>
  </w:footnote>
  <w:footnote w:id="34">
    <w:p w14:paraId="003F6D40" w14:textId="66954B9F" w:rsidR="00BD650A" w:rsidRDefault="00BD650A">
      <w:pPr>
        <w:pStyle w:val="FootnoteText"/>
      </w:pPr>
      <w:r>
        <w:rPr>
          <w:rStyle w:val="FootnoteReference"/>
        </w:rPr>
        <w:footnoteRef/>
      </w:r>
      <w:r>
        <w:t xml:space="preserve"> </w:t>
      </w:r>
      <w:r w:rsidRPr="00837DFE">
        <w:t xml:space="preserve">Competition Appeal Court judgment </w:t>
      </w:r>
      <w:r>
        <w:t>above n 10 at para 58.</w:t>
      </w:r>
    </w:p>
  </w:footnote>
  <w:footnote w:id="35">
    <w:p w14:paraId="7DA84B76" w14:textId="025474B1" w:rsidR="00BD650A" w:rsidRDefault="00BD650A" w:rsidP="00BD3C14">
      <w:pPr>
        <w:pStyle w:val="FootnoteText"/>
      </w:pPr>
      <w:r>
        <w:rPr>
          <w:rStyle w:val="FootnoteReference"/>
        </w:rPr>
        <w:footnoteRef/>
      </w:r>
      <w:r>
        <w:t xml:space="preserve"> </w:t>
      </w:r>
      <w:r w:rsidRPr="00BD3C14">
        <w:t>Section 15 of the Act applies to small or intermediate mergers.  Section 16(3) incorporates the provisions of section 15.  For a large merger, upon application by the Commission, the Tribunal can revoke merger approval.</w:t>
      </w:r>
      <w:r>
        <w:t xml:space="preserve">  Section 15, titled “R</w:t>
      </w:r>
      <w:r w:rsidRPr="00643F3A">
        <w:rPr>
          <w:lang w:eastAsia="en-ZA"/>
        </w:rPr>
        <w:t>evocation</w:t>
      </w:r>
      <w:r w:rsidRPr="00C0132C">
        <w:rPr>
          <w:lang w:eastAsia="en-ZA"/>
        </w:rPr>
        <w:t xml:space="preserve"> of merger approval</w:t>
      </w:r>
      <w:r>
        <w:rPr>
          <w:lang w:eastAsia="en-ZA"/>
        </w:rPr>
        <w:t>”, reads</w:t>
      </w:r>
      <w:r>
        <w:t>:</w:t>
      </w:r>
    </w:p>
    <w:p w14:paraId="55EE86D6" w14:textId="4F0ACAB3" w:rsidR="00BD650A" w:rsidRPr="00713B56" w:rsidRDefault="00BD650A" w:rsidP="001129D5">
      <w:pPr>
        <w:pStyle w:val="QUOTEINFOOTNOTE"/>
        <w:ind w:left="1440" w:hanging="720"/>
      </w:pPr>
      <w:bookmarkStart w:id="31" w:name="0-0-0-572517"/>
      <w:bookmarkEnd w:id="31"/>
      <w:r w:rsidRPr="00713B56">
        <w:t>“(1)</w:t>
      </w:r>
      <w:r>
        <w:tab/>
      </w:r>
      <w:r w:rsidRPr="00713B56">
        <w:t>The Competition Commission may revoke its own decision to approve or conditionally approve a small or intermediate merger if</w:t>
      </w:r>
      <w:r>
        <w:t>—</w:t>
      </w:r>
    </w:p>
    <w:p w14:paraId="3AB7B288" w14:textId="1B4C09D6" w:rsidR="00BD650A" w:rsidRPr="00713B56" w:rsidRDefault="00BD650A" w:rsidP="001129D5">
      <w:pPr>
        <w:pStyle w:val="QUOTEINFOOTNOTE"/>
        <w:ind w:left="2160" w:hanging="720"/>
      </w:pPr>
      <w:bookmarkStart w:id="32" w:name="0-0-0-572519"/>
      <w:bookmarkEnd w:id="32"/>
      <w:r w:rsidRPr="00713B56">
        <w:rPr>
          <w:iCs/>
        </w:rPr>
        <w:t>(a)</w:t>
      </w:r>
      <w:r>
        <w:rPr>
          <w:iCs/>
        </w:rPr>
        <w:tab/>
      </w:r>
      <w:r w:rsidRPr="00713B56">
        <w:t>the decision was based on incorrect information for which a party to the merger is responsible;</w:t>
      </w:r>
    </w:p>
    <w:p w14:paraId="3448EFBC" w14:textId="785CA85A" w:rsidR="00BD650A" w:rsidRPr="00713B56" w:rsidRDefault="00BD650A" w:rsidP="001129D5">
      <w:pPr>
        <w:pStyle w:val="QUOTEINFOOTNOTE"/>
        <w:ind w:firstLine="720"/>
      </w:pPr>
      <w:bookmarkStart w:id="33" w:name="0-0-0-572521"/>
      <w:bookmarkEnd w:id="33"/>
      <w:r w:rsidRPr="00713B56">
        <w:rPr>
          <w:iCs/>
        </w:rPr>
        <w:t>(b)</w:t>
      </w:r>
      <w:r>
        <w:rPr>
          <w:iCs/>
        </w:rPr>
        <w:tab/>
      </w:r>
      <w:r w:rsidRPr="00713B56">
        <w:t>the approval was obtained by deceit; or</w:t>
      </w:r>
    </w:p>
    <w:p w14:paraId="6D21E173" w14:textId="55E53185" w:rsidR="00BD650A" w:rsidRPr="00713B56" w:rsidRDefault="00BD650A" w:rsidP="001129D5">
      <w:pPr>
        <w:pStyle w:val="QUOTEINFOOTNOTE"/>
        <w:ind w:firstLine="720"/>
      </w:pPr>
      <w:bookmarkStart w:id="34" w:name="0-0-0-572523"/>
      <w:bookmarkEnd w:id="34"/>
      <w:r w:rsidRPr="00713B56">
        <w:rPr>
          <w:iCs/>
        </w:rPr>
        <w:t>(c)</w:t>
      </w:r>
      <w:r>
        <w:rPr>
          <w:iCs/>
        </w:rPr>
        <w:tab/>
      </w:r>
      <w:r w:rsidRPr="00713B56">
        <w:t xml:space="preserve">a </w:t>
      </w:r>
      <w:r w:rsidRPr="00713B56">
        <w:rPr>
          <w:iCs/>
        </w:rPr>
        <w:t>firm</w:t>
      </w:r>
      <w:r w:rsidRPr="00713B56">
        <w:t xml:space="preserve"> concerned has breached an obligation attached to the decision.</w:t>
      </w:r>
    </w:p>
    <w:p w14:paraId="47D2F708" w14:textId="54A9A770" w:rsidR="00BD650A" w:rsidRDefault="00BD650A" w:rsidP="001129D5">
      <w:pPr>
        <w:pStyle w:val="QUOTEINFOOTNOTE"/>
        <w:ind w:left="1440" w:hanging="720"/>
      </w:pPr>
      <w:bookmarkStart w:id="35" w:name="0-0-0-572525"/>
      <w:bookmarkEnd w:id="35"/>
      <w:r w:rsidRPr="004A57D1">
        <w:t>(2)</w:t>
      </w:r>
      <w:r>
        <w:tab/>
      </w:r>
      <w:r w:rsidRPr="004A57D1">
        <w:t>If the Competition Commission revokes a decision to approve a merger under subsection (1), it may prohibit that merger e</w:t>
      </w:r>
      <w:r w:rsidRPr="00713B56">
        <w:t>ven though any time limit set out in this Chapter may have elapsed</w:t>
      </w:r>
      <w:r w:rsidRPr="00AD04B8">
        <w:t>.</w:t>
      </w:r>
      <w:r>
        <w:t>”</w:t>
      </w:r>
    </w:p>
    <w:p w14:paraId="496A47A2" w14:textId="0D1043C7" w:rsidR="00BD650A" w:rsidRDefault="00BD650A" w:rsidP="00BD3C14">
      <w:pPr>
        <w:pStyle w:val="QUOTEINFOOTNOTE"/>
        <w:ind w:left="0"/>
      </w:pPr>
      <w:r>
        <w:t>Section 16(3) of the Act reads:</w:t>
      </w:r>
    </w:p>
    <w:p w14:paraId="3CA59E77" w14:textId="04EC4FFC" w:rsidR="00BD650A" w:rsidRPr="0077451C" w:rsidRDefault="00BD650A" w:rsidP="0077451C">
      <w:pPr>
        <w:pStyle w:val="QUOTEINFOOTNOTE"/>
      </w:pPr>
      <w:r>
        <w:t>“</w:t>
      </w:r>
      <w:r w:rsidRPr="00C509F8">
        <w:t>Upon application by the Competition Commission, the Competition Tribunal may revoke its own decision to approve or conditionally approve a merger, and section 15, read with the changes required by the context, applies to a revocation in terms of this subsection.</w:t>
      </w:r>
      <w:r>
        <w:t>”</w:t>
      </w:r>
    </w:p>
  </w:footnote>
  <w:footnote w:id="36">
    <w:p w14:paraId="6CBC511F" w14:textId="148956EA" w:rsidR="00BD650A" w:rsidRDefault="00BD650A">
      <w:pPr>
        <w:pStyle w:val="FootnoteText"/>
      </w:pPr>
      <w:r>
        <w:rPr>
          <w:rStyle w:val="FootnoteReference"/>
        </w:rPr>
        <w:footnoteRef/>
      </w:r>
      <w:r>
        <w:t xml:space="preserve"> </w:t>
      </w:r>
      <w:r w:rsidRPr="00A93267">
        <w:t>Id at section 12(1)(b)(i)</w:t>
      </w:r>
      <w:r>
        <w:t xml:space="preserve"> of the Act</w:t>
      </w:r>
      <w:r w:rsidRPr="00A93267">
        <w:t>.</w:t>
      </w:r>
    </w:p>
  </w:footnote>
  <w:footnote w:id="37">
    <w:p w14:paraId="0A31BFA0" w14:textId="10EAA359" w:rsidR="00BD650A" w:rsidRDefault="00BD650A">
      <w:pPr>
        <w:pStyle w:val="FootnoteText"/>
      </w:pPr>
      <w:r>
        <w:rPr>
          <w:rStyle w:val="FootnoteReference"/>
        </w:rPr>
        <w:footnoteRef/>
      </w:r>
      <w:r>
        <w:t xml:space="preserve"> Id at section 12(1)(b)(ii) of the Act.</w:t>
      </w:r>
    </w:p>
  </w:footnote>
  <w:footnote w:id="38">
    <w:p w14:paraId="3587882A" w14:textId="3CE94985" w:rsidR="00BD650A" w:rsidRDefault="00BD650A" w:rsidP="005A464D">
      <w:pPr>
        <w:pStyle w:val="FootnoteText1"/>
        <w:rPr>
          <w:lang w:eastAsia="en-ZA"/>
        </w:rPr>
      </w:pPr>
      <w:r>
        <w:rPr>
          <w:rStyle w:val="FootnoteReference"/>
        </w:rPr>
        <w:footnoteRef/>
      </w:r>
      <w:r>
        <w:t xml:space="preserve"> See above n 35.</w:t>
      </w:r>
    </w:p>
  </w:footnote>
  <w:footnote w:id="39">
    <w:p w14:paraId="34FEBD23" w14:textId="77777777" w:rsidR="00BD650A" w:rsidRPr="00E00FF3" w:rsidRDefault="00BD650A" w:rsidP="00B63D63">
      <w:pPr>
        <w:pStyle w:val="FootnoteText1"/>
        <w:rPr>
          <w:rFonts w:eastAsia="Times New Roman"/>
          <w:szCs w:val="20"/>
          <w:lang w:eastAsia="en-ZA"/>
        </w:rPr>
      </w:pPr>
      <w:r>
        <w:rPr>
          <w:rStyle w:val="FootnoteReference"/>
        </w:rPr>
        <w:footnoteRef/>
      </w:r>
      <w:r>
        <w:t xml:space="preserve"> </w:t>
      </w:r>
      <w:r>
        <w:rPr>
          <w:szCs w:val="20"/>
        </w:rPr>
        <w:t xml:space="preserve">Section 27(1)(d) of the Act, which is headed </w:t>
      </w:r>
      <w:r w:rsidRPr="00E00FF3">
        <w:rPr>
          <w:szCs w:val="20"/>
        </w:rPr>
        <w:t>“</w:t>
      </w:r>
      <w:r w:rsidRPr="00E00FF3">
        <w:rPr>
          <w:rFonts w:eastAsia="Times New Roman"/>
          <w:szCs w:val="20"/>
          <w:lang w:eastAsia="en-ZA"/>
        </w:rPr>
        <w:t>Functions of Competition Tribunal</w:t>
      </w:r>
      <w:r>
        <w:rPr>
          <w:rFonts w:eastAsia="Times New Roman"/>
          <w:szCs w:val="20"/>
          <w:lang w:eastAsia="en-ZA"/>
        </w:rPr>
        <w:t>” provides:</w:t>
      </w:r>
    </w:p>
    <w:p w14:paraId="2BAAB8D4" w14:textId="77777777" w:rsidR="00BD650A" w:rsidRPr="00E00FF3" w:rsidRDefault="00BD650A" w:rsidP="00B63D63">
      <w:pPr>
        <w:pStyle w:val="QUOTEINFOOTNOTE"/>
        <w:ind w:right="96"/>
        <w:rPr>
          <w:rFonts w:eastAsia="Times New Roman"/>
          <w:szCs w:val="20"/>
          <w:lang w:eastAsia="en-ZA"/>
        </w:rPr>
      </w:pPr>
      <w:r>
        <w:rPr>
          <w:rFonts w:eastAsia="Times New Roman"/>
          <w:szCs w:val="20"/>
          <w:lang w:eastAsia="en-ZA"/>
        </w:rPr>
        <w:t>“</w:t>
      </w:r>
      <w:r w:rsidRPr="00E00FF3">
        <w:rPr>
          <w:rFonts w:eastAsia="Times New Roman"/>
          <w:szCs w:val="20"/>
          <w:lang w:eastAsia="en-ZA"/>
        </w:rPr>
        <w:t>The Competition Tribunal may</w:t>
      </w:r>
      <w:r>
        <w:rPr>
          <w:rFonts w:eastAsia="Times New Roman"/>
          <w:szCs w:val="20"/>
          <w:lang w:eastAsia="en-ZA"/>
        </w:rPr>
        <w:t>—</w:t>
      </w:r>
    </w:p>
    <w:p w14:paraId="4F815553" w14:textId="77777777" w:rsidR="00BD650A" w:rsidRPr="001129D5" w:rsidRDefault="00BD650A" w:rsidP="00B63D63">
      <w:pPr>
        <w:pStyle w:val="QUOTEINFOOTNOTE"/>
        <w:ind w:left="1440" w:hanging="720"/>
        <w:rPr>
          <w:lang w:eastAsia="en-ZA"/>
        </w:rPr>
      </w:pPr>
      <w:r w:rsidRPr="001129D5">
        <w:rPr>
          <w:lang w:eastAsia="en-ZA"/>
        </w:rPr>
        <w:t>(a)</w:t>
      </w:r>
      <w:r w:rsidRPr="001129D5">
        <w:rPr>
          <w:lang w:eastAsia="en-ZA"/>
        </w:rPr>
        <w:tab/>
        <w:t>adjudicate on any conduct prohibited in terms of Chapter 2, to determine whether prohibited conduct has occurred, and, if so, to impose any remedy provided for in this Act;</w:t>
      </w:r>
    </w:p>
    <w:p w14:paraId="2FB32B1B" w14:textId="77777777" w:rsidR="00BD650A" w:rsidRPr="001129D5" w:rsidRDefault="00BD650A" w:rsidP="00B63D63">
      <w:pPr>
        <w:pStyle w:val="QUOTEINFOOTNOTE"/>
        <w:ind w:left="1440" w:hanging="720"/>
        <w:rPr>
          <w:lang w:eastAsia="en-ZA"/>
        </w:rPr>
      </w:pPr>
      <w:r w:rsidRPr="001129D5">
        <w:rPr>
          <w:lang w:eastAsia="en-ZA"/>
        </w:rPr>
        <w:t>(b)</w:t>
      </w:r>
      <w:r w:rsidRPr="001129D5">
        <w:rPr>
          <w:lang w:eastAsia="en-ZA"/>
        </w:rPr>
        <w:tab/>
        <w:t>adjudicate on any other matter that may, in terms of this Act, be considered by it, and make any order provided for in this Act;</w:t>
      </w:r>
    </w:p>
    <w:p w14:paraId="078973CB" w14:textId="77777777" w:rsidR="00BD650A" w:rsidRPr="001129D5" w:rsidRDefault="00BD650A" w:rsidP="00B63D63">
      <w:pPr>
        <w:pStyle w:val="QUOTEINFOOTNOTE"/>
        <w:ind w:left="1440" w:hanging="720"/>
        <w:rPr>
          <w:lang w:eastAsia="en-ZA"/>
        </w:rPr>
      </w:pPr>
      <w:r w:rsidRPr="001129D5">
        <w:rPr>
          <w:lang w:eastAsia="en-ZA"/>
        </w:rPr>
        <w:t>(c)</w:t>
      </w:r>
      <w:r w:rsidRPr="001129D5">
        <w:rPr>
          <w:lang w:eastAsia="en-ZA"/>
        </w:rPr>
        <w:tab/>
        <w:t>hear appeals from, or review any decision of, the Competition Commission that may in terms of this Act be referred to it; and</w:t>
      </w:r>
    </w:p>
    <w:p w14:paraId="76D0C89C" w14:textId="11B32FD0" w:rsidR="00BD650A" w:rsidRDefault="00BD650A" w:rsidP="00B63D63">
      <w:pPr>
        <w:pStyle w:val="QUOTEINFOOTNOTE"/>
        <w:ind w:left="1440" w:hanging="720"/>
        <w:rPr>
          <w:lang w:eastAsia="en-ZA"/>
        </w:rPr>
      </w:pPr>
      <w:r w:rsidRPr="001129D5">
        <w:rPr>
          <w:lang w:eastAsia="en-ZA"/>
        </w:rPr>
        <w:t>(d)</w:t>
      </w:r>
      <w:r w:rsidRPr="001129D5">
        <w:rPr>
          <w:lang w:eastAsia="en-ZA"/>
        </w:rPr>
        <w:tab/>
        <w:t>make any ruling or order necessary or incidental to the performance of its functions in terms of this Act.”</w:t>
      </w:r>
    </w:p>
  </w:footnote>
  <w:footnote w:id="40">
    <w:p w14:paraId="47D47A9F" w14:textId="55432F97" w:rsidR="00BD650A" w:rsidRPr="00E00FF3" w:rsidRDefault="00BD650A" w:rsidP="00E079AB">
      <w:pPr>
        <w:pStyle w:val="FootnoteText1"/>
        <w:rPr>
          <w:lang w:eastAsia="en-ZA"/>
        </w:rPr>
      </w:pPr>
      <w:r w:rsidRPr="00E00FF3">
        <w:rPr>
          <w:rStyle w:val="FootnoteReference"/>
          <w:szCs w:val="20"/>
        </w:rPr>
        <w:footnoteRef/>
      </w:r>
      <w:r>
        <w:t xml:space="preserve"> Section 58(1) of the Act, which is headed,</w:t>
      </w:r>
      <w:r w:rsidRPr="00E00FF3">
        <w:t xml:space="preserve"> “</w:t>
      </w:r>
      <w:r w:rsidRPr="00E00FF3">
        <w:rPr>
          <w:lang w:eastAsia="en-ZA"/>
        </w:rPr>
        <w:t>Orders of Competition Tribunal</w:t>
      </w:r>
      <w:r>
        <w:rPr>
          <w:lang w:eastAsia="en-ZA"/>
        </w:rPr>
        <w:t>”, provides:</w:t>
      </w:r>
    </w:p>
    <w:p w14:paraId="3D710B4A" w14:textId="020BD765" w:rsidR="00BD650A" w:rsidRPr="00B63D63" w:rsidRDefault="00BD650A" w:rsidP="001129D5">
      <w:pPr>
        <w:pStyle w:val="QUOTEINFOOTNOTE"/>
        <w:ind w:right="96"/>
        <w:rPr>
          <w:lang w:eastAsia="en-ZA"/>
        </w:rPr>
      </w:pPr>
      <w:r>
        <w:rPr>
          <w:lang w:eastAsia="en-ZA"/>
        </w:rPr>
        <w:t>“</w:t>
      </w:r>
      <w:r w:rsidRPr="00E00FF3">
        <w:rPr>
          <w:lang w:eastAsia="en-ZA"/>
        </w:rPr>
        <w:t xml:space="preserve">In addition to its other powers in terms of </w:t>
      </w:r>
      <w:r w:rsidRPr="00B63D63">
        <w:rPr>
          <w:iCs/>
          <w:lang w:eastAsia="en-ZA"/>
        </w:rPr>
        <w:t>this Act</w:t>
      </w:r>
      <w:r w:rsidRPr="00B63D63">
        <w:rPr>
          <w:lang w:eastAsia="en-ZA"/>
        </w:rPr>
        <w:t>, the Competition Tribunal may—</w:t>
      </w:r>
    </w:p>
    <w:p w14:paraId="52B47796" w14:textId="77777777" w:rsidR="00BD650A" w:rsidRPr="00B63D63" w:rsidRDefault="00BD650A" w:rsidP="001129D5">
      <w:pPr>
        <w:pStyle w:val="QUOTEINFOOTNOTE"/>
        <w:ind w:right="96" w:firstLine="720"/>
        <w:rPr>
          <w:rFonts w:eastAsia="Times New Roman"/>
          <w:szCs w:val="20"/>
          <w:lang w:eastAsia="en-ZA"/>
        </w:rPr>
      </w:pPr>
      <w:r w:rsidRPr="00B63D63">
        <w:rPr>
          <w:lang w:eastAsia="en-ZA"/>
        </w:rPr>
        <w:t>(a)</w:t>
      </w:r>
      <w:r w:rsidRPr="00B63D63">
        <w:rPr>
          <w:lang w:eastAsia="en-ZA"/>
        </w:rPr>
        <w:tab/>
        <w:t xml:space="preserve">make an appropriate order in relation to a </w:t>
      </w:r>
      <w:r w:rsidRPr="00B63D63">
        <w:rPr>
          <w:iCs/>
          <w:lang w:eastAsia="en-ZA"/>
        </w:rPr>
        <w:t>prohibited practice</w:t>
      </w:r>
      <w:r w:rsidRPr="00B63D63">
        <w:rPr>
          <w:lang w:eastAsia="en-ZA"/>
        </w:rPr>
        <w:t>, including</w:t>
      </w:r>
      <w:r w:rsidRPr="00B63D63">
        <w:rPr>
          <w:rFonts w:eastAsia="Times New Roman"/>
          <w:szCs w:val="20"/>
          <w:lang w:eastAsia="en-ZA"/>
        </w:rPr>
        <w:t>—</w:t>
      </w:r>
    </w:p>
    <w:p w14:paraId="691075BB" w14:textId="3F1DCFD7" w:rsidR="00BD650A" w:rsidRPr="001129D5" w:rsidRDefault="00BD650A" w:rsidP="000C7587">
      <w:pPr>
        <w:pStyle w:val="QUOTEINFOOTNOTE"/>
        <w:numPr>
          <w:ilvl w:val="0"/>
          <w:numId w:val="20"/>
        </w:numPr>
        <w:ind w:left="2880" w:hanging="720"/>
        <w:rPr>
          <w:rFonts w:eastAsia="Times New Roman"/>
          <w:szCs w:val="20"/>
          <w:lang w:eastAsia="en-ZA"/>
        </w:rPr>
      </w:pPr>
      <w:r w:rsidRPr="00B63D63">
        <w:rPr>
          <w:rFonts w:eastAsia="Times New Roman"/>
          <w:szCs w:val="20"/>
          <w:lang w:eastAsia="en-ZA"/>
        </w:rPr>
        <w:t>interdicting any prohibited practice</w:t>
      </w:r>
      <w:r w:rsidRPr="001129D5">
        <w:rPr>
          <w:rFonts w:eastAsia="Times New Roman"/>
          <w:szCs w:val="20"/>
          <w:lang w:eastAsia="en-ZA"/>
        </w:rPr>
        <w:t>;</w:t>
      </w:r>
    </w:p>
    <w:p w14:paraId="3781693E" w14:textId="2AEFA036" w:rsidR="00BD650A" w:rsidRPr="00B63D63" w:rsidRDefault="00BD650A" w:rsidP="000C7587">
      <w:pPr>
        <w:pStyle w:val="QUOTEINFOOTNOTE"/>
        <w:numPr>
          <w:ilvl w:val="0"/>
          <w:numId w:val="20"/>
        </w:numPr>
        <w:ind w:left="2880" w:hanging="720"/>
        <w:rPr>
          <w:rFonts w:eastAsia="Times New Roman"/>
          <w:szCs w:val="20"/>
          <w:lang w:eastAsia="en-ZA"/>
        </w:rPr>
      </w:pPr>
      <w:r w:rsidRPr="00B63D63">
        <w:rPr>
          <w:rFonts w:eastAsia="Times New Roman"/>
          <w:szCs w:val="20"/>
          <w:lang w:eastAsia="en-ZA"/>
        </w:rPr>
        <w:t>ordering a party to supply or distribute goods or services to another party on terms reasonably required to end a prohibited practice;</w:t>
      </w:r>
    </w:p>
    <w:p w14:paraId="7AAF2EFC" w14:textId="3F947CE5" w:rsidR="00BD650A" w:rsidRPr="00B63D63" w:rsidRDefault="00BD650A" w:rsidP="000C7587">
      <w:pPr>
        <w:pStyle w:val="QUOTEINFOOTNOTE"/>
        <w:numPr>
          <w:ilvl w:val="0"/>
          <w:numId w:val="20"/>
        </w:numPr>
        <w:ind w:left="2880" w:hanging="720"/>
        <w:rPr>
          <w:rFonts w:eastAsia="Times New Roman"/>
          <w:szCs w:val="20"/>
          <w:lang w:eastAsia="en-ZA"/>
        </w:rPr>
      </w:pPr>
      <w:r w:rsidRPr="00B63D63">
        <w:rPr>
          <w:rFonts w:eastAsia="Times New Roman"/>
          <w:szCs w:val="20"/>
          <w:lang w:eastAsia="en-ZA"/>
        </w:rPr>
        <w:t>imposing an administrative penalty, in terms of section 59, with or without the addition of any other order in terms of this section;</w:t>
      </w:r>
    </w:p>
    <w:p w14:paraId="2DAA73FB" w14:textId="3838AA68" w:rsidR="00BD650A" w:rsidRPr="00B63D63" w:rsidRDefault="00BD650A" w:rsidP="000C7587">
      <w:pPr>
        <w:pStyle w:val="QUOTEINFOOTNOTE"/>
        <w:numPr>
          <w:ilvl w:val="0"/>
          <w:numId w:val="20"/>
        </w:numPr>
        <w:ind w:left="2880" w:hanging="720"/>
        <w:rPr>
          <w:rFonts w:eastAsia="Times New Roman"/>
          <w:szCs w:val="20"/>
          <w:lang w:eastAsia="en-ZA"/>
        </w:rPr>
      </w:pPr>
      <w:r w:rsidRPr="00B63D63">
        <w:rPr>
          <w:rFonts w:eastAsia="Times New Roman"/>
          <w:szCs w:val="20"/>
          <w:lang w:eastAsia="en-ZA"/>
        </w:rPr>
        <w:t>ordering divestiture, subject to section 60;</w:t>
      </w:r>
    </w:p>
    <w:p w14:paraId="7F303687" w14:textId="254B16D4" w:rsidR="00BD650A" w:rsidRPr="00B63D63" w:rsidRDefault="00BD650A" w:rsidP="000C7587">
      <w:pPr>
        <w:pStyle w:val="QUOTEINFOOTNOTE"/>
        <w:numPr>
          <w:ilvl w:val="0"/>
          <w:numId w:val="20"/>
        </w:numPr>
        <w:ind w:left="2880" w:hanging="720"/>
        <w:rPr>
          <w:lang w:eastAsia="en-ZA"/>
        </w:rPr>
      </w:pPr>
      <w:r w:rsidRPr="00B63D63">
        <w:rPr>
          <w:lang w:eastAsia="en-ZA"/>
        </w:rPr>
        <w:t xml:space="preserve">declaring conduct of a </w:t>
      </w:r>
      <w:r w:rsidRPr="00B63D63">
        <w:rPr>
          <w:iCs/>
          <w:lang w:eastAsia="en-ZA"/>
        </w:rPr>
        <w:t>firm</w:t>
      </w:r>
      <w:r w:rsidRPr="00B63D63">
        <w:rPr>
          <w:lang w:eastAsia="en-ZA"/>
        </w:rPr>
        <w:t xml:space="preserve"> to be a </w:t>
      </w:r>
      <w:r w:rsidRPr="00B63D63">
        <w:rPr>
          <w:iCs/>
          <w:lang w:eastAsia="en-ZA"/>
        </w:rPr>
        <w:t>prohibited practice</w:t>
      </w:r>
      <w:r w:rsidRPr="00B63D63">
        <w:rPr>
          <w:lang w:eastAsia="en-ZA"/>
        </w:rPr>
        <w:t xml:space="preserve"> in terms of </w:t>
      </w:r>
      <w:r w:rsidRPr="00B63D63">
        <w:rPr>
          <w:iCs/>
          <w:lang w:eastAsia="en-ZA"/>
        </w:rPr>
        <w:t>this Act</w:t>
      </w:r>
      <w:r w:rsidRPr="00B63D63">
        <w:rPr>
          <w:lang w:eastAsia="en-ZA"/>
        </w:rPr>
        <w:t>, for purposes of section 65;</w:t>
      </w:r>
    </w:p>
    <w:p w14:paraId="77A8CAC8" w14:textId="2DB8306D" w:rsidR="00BD650A" w:rsidRPr="00B63D63" w:rsidRDefault="00BD650A" w:rsidP="000C7587">
      <w:pPr>
        <w:pStyle w:val="QUOTEINFOOTNOTE"/>
        <w:numPr>
          <w:ilvl w:val="0"/>
          <w:numId w:val="20"/>
        </w:numPr>
        <w:ind w:left="2880" w:hanging="720"/>
        <w:rPr>
          <w:lang w:eastAsia="en-ZA"/>
        </w:rPr>
      </w:pPr>
      <w:r w:rsidRPr="00B63D63">
        <w:rPr>
          <w:lang w:eastAsia="en-ZA"/>
        </w:rPr>
        <w:t xml:space="preserve">declaring the whole or any part of an </w:t>
      </w:r>
      <w:r w:rsidRPr="00B63D63">
        <w:rPr>
          <w:iCs/>
          <w:lang w:eastAsia="en-ZA"/>
        </w:rPr>
        <w:t>agreement</w:t>
      </w:r>
      <w:r w:rsidRPr="00B63D63">
        <w:rPr>
          <w:lang w:eastAsia="en-ZA"/>
        </w:rPr>
        <w:t xml:space="preserve"> to be void;</w:t>
      </w:r>
    </w:p>
    <w:p w14:paraId="217850AC" w14:textId="0E2685AA" w:rsidR="00BD650A" w:rsidRPr="00B63D63" w:rsidRDefault="00BD650A" w:rsidP="000C7587">
      <w:pPr>
        <w:pStyle w:val="QUOTEINFOOTNOTE"/>
        <w:numPr>
          <w:ilvl w:val="0"/>
          <w:numId w:val="20"/>
        </w:numPr>
        <w:ind w:left="2880" w:hanging="720"/>
        <w:rPr>
          <w:lang w:eastAsia="en-ZA"/>
        </w:rPr>
      </w:pPr>
      <w:r w:rsidRPr="00B63D63">
        <w:rPr>
          <w:lang w:eastAsia="en-ZA"/>
        </w:rPr>
        <w:t xml:space="preserve">ordering access to an </w:t>
      </w:r>
      <w:r w:rsidRPr="00B63D63">
        <w:rPr>
          <w:iCs/>
          <w:lang w:eastAsia="en-ZA"/>
        </w:rPr>
        <w:t>essential facility</w:t>
      </w:r>
      <w:r w:rsidRPr="00B63D63">
        <w:rPr>
          <w:lang w:eastAsia="en-ZA"/>
        </w:rPr>
        <w:t xml:space="preserve"> on terms reasonably required;</w:t>
      </w:r>
    </w:p>
    <w:p w14:paraId="1FBB8D42" w14:textId="04987FA7" w:rsidR="00BD650A" w:rsidRPr="00B63D63" w:rsidRDefault="00BD650A" w:rsidP="001129D5">
      <w:pPr>
        <w:pStyle w:val="QUOTEINFOOTNOTE"/>
        <w:ind w:left="1440" w:right="96"/>
        <w:rPr>
          <w:lang w:eastAsia="en-ZA"/>
        </w:rPr>
      </w:pPr>
      <w:r w:rsidRPr="00B63D63">
        <w:rPr>
          <w:lang w:eastAsia="en-ZA"/>
        </w:rPr>
        <w:t>(b)</w:t>
      </w:r>
      <w:r w:rsidRPr="00B63D63">
        <w:rPr>
          <w:lang w:eastAsia="en-ZA"/>
        </w:rPr>
        <w:tab/>
        <w:t xml:space="preserve">confirm a consent </w:t>
      </w:r>
      <w:r w:rsidRPr="00B63D63">
        <w:rPr>
          <w:iCs/>
          <w:lang w:eastAsia="en-ZA"/>
        </w:rPr>
        <w:t>agreement</w:t>
      </w:r>
      <w:r w:rsidRPr="00B63D63">
        <w:rPr>
          <w:lang w:eastAsia="en-ZA"/>
        </w:rPr>
        <w:t xml:space="preserve"> in terms of section 49D as an order of the Tribunal; or</w:t>
      </w:r>
    </w:p>
    <w:p w14:paraId="7926EE58" w14:textId="375D1300" w:rsidR="00BD650A" w:rsidRPr="00B63D63" w:rsidRDefault="00BD650A" w:rsidP="001129D5">
      <w:pPr>
        <w:pStyle w:val="QUOTEINFOOTNOTE"/>
        <w:ind w:left="2160" w:hanging="720"/>
        <w:rPr>
          <w:lang w:eastAsia="en-ZA"/>
        </w:rPr>
      </w:pPr>
      <w:r w:rsidRPr="00B63D63">
        <w:rPr>
          <w:lang w:eastAsia="en-ZA"/>
        </w:rPr>
        <w:t>(c)</w:t>
      </w:r>
      <w:r w:rsidRPr="00B63D63">
        <w:rPr>
          <w:lang w:eastAsia="en-ZA"/>
        </w:rPr>
        <w:tab/>
        <w:t>subject to sections 13(6) and 14(2), condone, on good cause shown, any non-compliance of—</w:t>
      </w:r>
    </w:p>
    <w:p w14:paraId="6592B036" w14:textId="4D61EBFE" w:rsidR="00BD650A" w:rsidRPr="00B63D63" w:rsidRDefault="00BD650A" w:rsidP="000C7587">
      <w:pPr>
        <w:pStyle w:val="QUOTEINFOOTNOTE"/>
        <w:numPr>
          <w:ilvl w:val="0"/>
          <w:numId w:val="21"/>
        </w:numPr>
        <w:ind w:left="2880" w:hanging="720"/>
        <w:rPr>
          <w:rFonts w:eastAsia="Times New Roman"/>
          <w:szCs w:val="20"/>
          <w:lang w:eastAsia="en-ZA"/>
        </w:rPr>
      </w:pPr>
      <w:r w:rsidRPr="00B63D63">
        <w:rPr>
          <w:rFonts w:eastAsia="Times New Roman"/>
          <w:szCs w:val="20"/>
          <w:lang w:eastAsia="en-ZA"/>
        </w:rPr>
        <w:t>the Competition Commission or Competition Tribunal rules; or</w:t>
      </w:r>
    </w:p>
    <w:p w14:paraId="6A59CEA3" w14:textId="40A75FF7" w:rsidR="00BD650A" w:rsidRPr="00B63D63" w:rsidRDefault="00BD650A" w:rsidP="000C7587">
      <w:pPr>
        <w:pStyle w:val="QUOTEINFOOTNOTE"/>
        <w:numPr>
          <w:ilvl w:val="0"/>
          <w:numId w:val="21"/>
        </w:numPr>
        <w:ind w:left="2880" w:hanging="720"/>
        <w:rPr>
          <w:rFonts w:eastAsia="Times New Roman"/>
          <w:szCs w:val="20"/>
          <w:lang w:eastAsia="en-ZA"/>
        </w:rPr>
      </w:pPr>
      <w:r w:rsidRPr="00B63D63">
        <w:rPr>
          <w:rFonts w:eastAsia="Times New Roman"/>
          <w:szCs w:val="20"/>
          <w:lang w:eastAsia="en-ZA"/>
        </w:rPr>
        <w:t xml:space="preserve">a time limit set out in this Act.” </w:t>
      </w:r>
    </w:p>
  </w:footnote>
  <w:footnote w:id="41">
    <w:p w14:paraId="68ED6D60" w14:textId="43F80B59" w:rsidR="00BD650A" w:rsidRDefault="00BD650A">
      <w:pPr>
        <w:pStyle w:val="FootnoteText"/>
      </w:pPr>
      <w:r>
        <w:rPr>
          <w:rStyle w:val="FootnoteReference"/>
        </w:rPr>
        <w:footnoteRef/>
      </w:r>
      <w:r>
        <w:t xml:space="preserve"> See </w:t>
      </w:r>
      <w:r w:rsidRPr="00A52A43">
        <w:rPr>
          <w:rFonts w:eastAsia="Times New Roman"/>
          <w:i/>
          <w:lang w:eastAsia="en-ZA"/>
        </w:rPr>
        <w:t xml:space="preserve">Distillers </w:t>
      </w:r>
      <w:r w:rsidRPr="00A52A43">
        <w:rPr>
          <w:rFonts w:eastAsia="Times New Roman"/>
          <w:lang w:eastAsia="en-ZA"/>
        </w:rPr>
        <w:t>n 9</w:t>
      </w:r>
      <w:r w:rsidRPr="00957E78">
        <w:rPr>
          <w:rFonts w:eastAsia="Times New Roman"/>
          <w:lang w:eastAsia="en-ZA"/>
        </w:rPr>
        <w:t xml:space="preserve"> above.</w:t>
      </w:r>
    </w:p>
  </w:footnote>
  <w:footnote w:id="42">
    <w:p w14:paraId="35281480" w14:textId="067AFFF9" w:rsidR="00BD650A" w:rsidRDefault="00BD650A" w:rsidP="00221B10">
      <w:pPr>
        <w:pStyle w:val="FootnoteText1"/>
      </w:pPr>
      <w:r>
        <w:rPr>
          <w:rStyle w:val="FootnoteReference"/>
        </w:rPr>
        <w:footnoteRef/>
      </w:r>
      <w:r>
        <w:t xml:space="preserve"> Section 65(2) of the Act titled, </w:t>
      </w:r>
      <w:r w:rsidRPr="00962EE2">
        <w:t>“Civil actions and jurisdiction</w:t>
      </w:r>
      <w:r>
        <w:t>”, provides:</w:t>
      </w:r>
    </w:p>
    <w:p w14:paraId="5DA73197" w14:textId="77777777" w:rsidR="00BD650A" w:rsidRPr="00962EE2" w:rsidRDefault="00BD650A" w:rsidP="00221B10">
      <w:pPr>
        <w:pStyle w:val="QUOTEINFOOTNOTE"/>
      </w:pPr>
      <w:r>
        <w:rPr>
          <w:lang w:eastAsia="en-ZA"/>
        </w:rPr>
        <w:t>“</w:t>
      </w:r>
      <w:r w:rsidRPr="00962EE2">
        <w:t>If, in any action in a civil court, a party raises an issue concerning conduct that is prohibited in terms of this Act, that court must not consider that issue on its merits, and—</w:t>
      </w:r>
    </w:p>
    <w:p w14:paraId="5565BC18" w14:textId="1DD833AB" w:rsidR="00BD650A" w:rsidRDefault="00BD650A" w:rsidP="00A52A43">
      <w:pPr>
        <w:pStyle w:val="QUOTEINFOOTNOTE"/>
        <w:ind w:left="2160"/>
      </w:pPr>
      <w:r w:rsidRPr="00962EE2">
        <w:t>(a)</w:t>
      </w:r>
      <w:r w:rsidRPr="00962EE2">
        <w:tab/>
        <w:t>if the issue raised is one in respect of which the Competition Tribunal or Competition Appeal Court has made an order, the court must apply the determination of the Tribunal or the Competition Appeal Court to the issue.</w:t>
      </w:r>
      <w:r>
        <w:t>”</w:t>
      </w:r>
    </w:p>
  </w:footnote>
  <w:footnote w:id="43">
    <w:p w14:paraId="47B185AA" w14:textId="6CBB613F" w:rsidR="00BD650A" w:rsidRDefault="00BD650A" w:rsidP="00760207">
      <w:pPr>
        <w:pStyle w:val="FootnoteText"/>
        <w:rPr>
          <w:szCs w:val="20"/>
        </w:rPr>
      </w:pPr>
      <w:r>
        <w:rPr>
          <w:rStyle w:val="FootnoteReference"/>
        </w:rPr>
        <w:footnoteRef/>
      </w:r>
      <w:r>
        <w:t xml:space="preserve"> See the preamble to the Act and section 65 of the Act.</w:t>
      </w:r>
    </w:p>
  </w:footnote>
  <w:footnote w:id="44">
    <w:p w14:paraId="00619A30" w14:textId="37BAAC8E" w:rsidR="00BD650A" w:rsidRDefault="00BD650A" w:rsidP="00760207">
      <w:pPr>
        <w:pStyle w:val="FootnoteText"/>
      </w:pPr>
      <w:r>
        <w:rPr>
          <w:rStyle w:val="FootnoteReference"/>
        </w:rPr>
        <w:footnoteRef/>
      </w:r>
      <w:r>
        <w:t xml:space="preserve"> </w:t>
      </w:r>
      <w:r w:rsidRPr="000E7F03">
        <w:rPr>
          <w:i/>
        </w:rPr>
        <w:t>Seagram Africa (Pty) Ltd v Stellenbo</w:t>
      </w:r>
      <w:r>
        <w:rPr>
          <w:i/>
        </w:rPr>
        <w:t xml:space="preserve">sch Farmers’ Winery Group Ltd </w:t>
      </w:r>
      <w:r w:rsidRPr="00FE565A">
        <w:t>2001 (2) SA 1129 (C)</w:t>
      </w:r>
      <w:r>
        <w:t xml:space="preserve"> (</w:t>
      </w:r>
      <w:r w:rsidRPr="00D10846">
        <w:rPr>
          <w:i/>
        </w:rPr>
        <w:t>Seagram</w:t>
      </w:r>
      <w:r>
        <w:t>).</w:t>
      </w:r>
    </w:p>
  </w:footnote>
  <w:footnote w:id="45">
    <w:p w14:paraId="3B64C53B" w14:textId="4AC71114" w:rsidR="00BD650A" w:rsidRDefault="00BD650A" w:rsidP="00760207">
      <w:pPr>
        <w:pStyle w:val="FootnoteText"/>
      </w:pPr>
      <w:r>
        <w:rPr>
          <w:rStyle w:val="FootnoteReference"/>
        </w:rPr>
        <w:footnoteRef/>
      </w:r>
      <w:r>
        <w:t xml:space="preserve"> Id at 1137F-G.</w:t>
      </w:r>
    </w:p>
  </w:footnote>
  <w:footnote w:id="46">
    <w:p w14:paraId="23EF3F34" w14:textId="11814ED7" w:rsidR="00BD650A" w:rsidRPr="00D50835" w:rsidRDefault="00BD650A" w:rsidP="00760207">
      <w:pPr>
        <w:pStyle w:val="FootnoteText"/>
        <w:rPr>
          <w:rFonts w:eastAsiaTheme="minorEastAsia"/>
          <w:szCs w:val="20"/>
        </w:rPr>
      </w:pPr>
      <w:r>
        <w:rPr>
          <w:rStyle w:val="FootnoteReference"/>
        </w:rPr>
        <w:footnoteRef/>
      </w:r>
      <w:r>
        <w:t xml:space="preserve"> </w:t>
      </w:r>
      <w:r>
        <w:rPr>
          <w:rFonts w:eastAsia="Times New Roman"/>
          <w:i/>
          <w:lang w:eastAsia="en-ZA"/>
        </w:rPr>
        <w:t>President of the Republic</w:t>
      </w:r>
      <w:r>
        <w:rPr>
          <w:rFonts w:eastAsia="Times New Roman"/>
          <w:lang w:eastAsia="en-ZA"/>
        </w:rPr>
        <w:t xml:space="preserve"> </w:t>
      </w:r>
      <w:r>
        <w:rPr>
          <w:rFonts w:eastAsia="Times New Roman"/>
          <w:i/>
          <w:lang w:eastAsia="en-ZA"/>
        </w:rPr>
        <w:t xml:space="preserve">of South Africa v Modderklip Boerdery (Pty) Ltd </w:t>
      </w:r>
      <w:r>
        <w:rPr>
          <w:rFonts w:eastAsia="Times New Roman"/>
          <w:lang w:eastAsia="en-ZA"/>
        </w:rPr>
        <w:t>[</w:t>
      </w:r>
      <w:r w:rsidRPr="00A67124">
        <w:rPr>
          <w:rFonts w:eastAsia="Times New Roman"/>
          <w:lang w:eastAsia="en-ZA"/>
        </w:rPr>
        <w:t>2005] ZACC 5</w:t>
      </w:r>
      <w:r>
        <w:rPr>
          <w:rFonts w:eastAsia="Times New Roman"/>
          <w:lang w:eastAsia="en-ZA"/>
        </w:rPr>
        <w:t>;</w:t>
      </w:r>
      <w:r w:rsidDel="007270D9">
        <w:rPr>
          <w:rFonts w:eastAsia="Times New Roman"/>
          <w:i/>
          <w:lang w:eastAsia="en-ZA"/>
        </w:rPr>
        <w:t xml:space="preserve"> </w:t>
      </w:r>
      <w:r>
        <w:rPr>
          <w:rFonts w:eastAsia="Times New Roman"/>
          <w:lang w:eastAsia="en-ZA"/>
        </w:rPr>
        <w:t xml:space="preserve">2005 (5) SA 3 (CC); </w:t>
      </w:r>
      <w:r w:rsidRPr="00B80734">
        <w:rPr>
          <w:rFonts w:eastAsia="Times New Roman"/>
          <w:lang w:eastAsia="en-ZA"/>
        </w:rPr>
        <w:t>2005 (8) BCLR 786 (CC)</w:t>
      </w:r>
      <w:r>
        <w:rPr>
          <w:rFonts w:eastAsia="Times New Roman"/>
          <w:lang w:eastAsia="en-ZA"/>
        </w:rPr>
        <w:t>. (</w:t>
      </w:r>
      <w:r w:rsidRPr="00FA11F1">
        <w:rPr>
          <w:rFonts w:eastAsia="Times New Roman"/>
          <w:i/>
          <w:lang w:eastAsia="en-ZA"/>
        </w:rPr>
        <w:t>Modderklip</w:t>
      </w:r>
      <w:r>
        <w:rPr>
          <w:rFonts w:eastAsia="Times New Roman"/>
          <w:lang w:eastAsia="en-ZA"/>
        </w:rPr>
        <w:t xml:space="preserve">) at para 39.  See also </w:t>
      </w:r>
      <w:r>
        <w:rPr>
          <w:i/>
          <w:iCs/>
          <w:lang w:eastAsia="en-ZA"/>
        </w:rPr>
        <w:t xml:space="preserve">Chief Lesapo v North West Agricultural Bank </w:t>
      </w:r>
      <w:r w:rsidRPr="00206EA5">
        <w:rPr>
          <w:iCs/>
          <w:lang w:eastAsia="en-ZA"/>
        </w:rPr>
        <w:t>[1999]</w:t>
      </w:r>
      <w:r>
        <w:rPr>
          <w:i/>
          <w:iCs/>
          <w:lang w:eastAsia="en-ZA"/>
        </w:rPr>
        <w:t xml:space="preserve"> </w:t>
      </w:r>
      <w:r w:rsidRPr="001129D5">
        <w:rPr>
          <w:iCs/>
          <w:lang w:eastAsia="en-ZA"/>
        </w:rPr>
        <w:t>ZACC 16; 2000 (1) SA 409</w:t>
      </w:r>
      <w:r>
        <w:rPr>
          <w:iCs/>
          <w:lang w:eastAsia="en-ZA"/>
        </w:rPr>
        <w:t xml:space="preserve"> </w:t>
      </w:r>
      <w:r w:rsidRPr="00435A25">
        <w:rPr>
          <w:iCs/>
          <w:lang w:eastAsia="en-ZA"/>
        </w:rPr>
        <w:t>(CC)</w:t>
      </w:r>
      <w:r>
        <w:rPr>
          <w:i/>
          <w:iCs/>
          <w:lang w:eastAsia="en-ZA"/>
        </w:rPr>
        <w:t xml:space="preserve">; </w:t>
      </w:r>
      <w:r w:rsidRPr="00022F6A">
        <w:rPr>
          <w:iCs/>
          <w:lang w:eastAsia="en-ZA"/>
        </w:rPr>
        <w:t>1999 (12) BCLR 1420</w:t>
      </w:r>
      <w:r>
        <w:rPr>
          <w:iCs/>
          <w:lang w:eastAsia="en-ZA"/>
        </w:rPr>
        <w:t xml:space="preserve"> (CC)</w:t>
      </w:r>
      <w:r>
        <w:rPr>
          <w:i/>
          <w:iCs/>
          <w:lang w:eastAsia="en-ZA"/>
        </w:rPr>
        <w:t xml:space="preserve"> </w:t>
      </w:r>
      <w:r w:rsidRPr="00D50835">
        <w:rPr>
          <w:iCs/>
          <w:lang w:eastAsia="en-ZA"/>
        </w:rPr>
        <w:t>at para 22</w:t>
      </w:r>
      <w:r>
        <w:rPr>
          <w:iCs/>
          <w:lang w:eastAsia="en-ZA"/>
        </w:rPr>
        <w:t>.</w:t>
      </w:r>
    </w:p>
  </w:footnote>
  <w:footnote w:id="47">
    <w:p w14:paraId="0AE8C9AA" w14:textId="3FA9C5DD" w:rsidR="00BD650A" w:rsidRDefault="00BD650A" w:rsidP="00760207">
      <w:pPr>
        <w:pStyle w:val="FootnoteText"/>
        <w:rPr>
          <w:rFonts w:eastAsiaTheme="minorEastAsia"/>
        </w:rPr>
      </w:pPr>
      <w:r>
        <w:rPr>
          <w:rStyle w:val="FootnoteReference"/>
        </w:rPr>
        <w:footnoteRef/>
      </w:r>
      <w:r>
        <w:t xml:space="preserve"> See above n 10 at para 18.</w:t>
      </w:r>
    </w:p>
  </w:footnote>
  <w:footnote w:id="48">
    <w:p w14:paraId="085C877F" w14:textId="17BB501A" w:rsidR="00BD650A" w:rsidRDefault="00BD650A" w:rsidP="00760207">
      <w:pPr>
        <w:pStyle w:val="FootnoteText1"/>
        <w:rPr>
          <w:szCs w:val="20"/>
        </w:rPr>
      </w:pPr>
      <w:r>
        <w:rPr>
          <w:rStyle w:val="FootnoteReference"/>
          <w:szCs w:val="20"/>
        </w:rPr>
        <w:footnoteRef/>
      </w:r>
      <w:r>
        <w:rPr>
          <w:szCs w:val="20"/>
        </w:rPr>
        <w:t xml:space="preserve"> </w:t>
      </w:r>
      <w:bookmarkStart w:id="42" w:name="0-0-0-14465"/>
      <w:bookmarkEnd w:id="42"/>
      <w:r>
        <w:rPr>
          <w:rFonts w:eastAsia="Times New Roman"/>
          <w:i/>
          <w:szCs w:val="20"/>
          <w:lang w:eastAsia="en-ZA"/>
        </w:rPr>
        <w:t xml:space="preserve">J T Publishing (Pty) Ltd v Minister of Safety and Security </w:t>
      </w:r>
      <w:r w:rsidRPr="00EE3294">
        <w:rPr>
          <w:rFonts w:eastAsia="Times New Roman"/>
          <w:szCs w:val="20"/>
          <w:lang w:eastAsia="en-ZA"/>
        </w:rPr>
        <w:t>[1996] ZACC 23</w:t>
      </w:r>
      <w:r>
        <w:rPr>
          <w:rFonts w:eastAsia="Times New Roman"/>
          <w:szCs w:val="20"/>
          <w:lang w:eastAsia="en-ZA"/>
        </w:rPr>
        <w:t>;</w:t>
      </w:r>
      <w:r w:rsidRPr="00EE3294">
        <w:rPr>
          <w:rFonts w:eastAsia="Times New Roman"/>
          <w:szCs w:val="20"/>
          <w:lang w:eastAsia="en-ZA"/>
        </w:rPr>
        <w:t xml:space="preserve"> </w:t>
      </w:r>
      <w:r>
        <w:rPr>
          <w:rFonts w:eastAsia="Times New Roman"/>
          <w:szCs w:val="20"/>
          <w:lang w:eastAsia="en-ZA"/>
        </w:rPr>
        <w:t xml:space="preserve">1997 (3) SA 514 (CC); </w:t>
      </w:r>
      <w:r w:rsidRPr="00EE3294">
        <w:rPr>
          <w:rFonts w:eastAsia="Times New Roman"/>
          <w:szCs w:val="20"/>
          <w:lang w:eastAsia="en-ZA"/>
        </w:rPr>
        <w:t>1996 (12) BCLR 1599</w:t>
      </w:r>
      <w:r>
        <w:rPr>
          <w:rFonts w:eastAsia="Times New Roman"/>
          <w:szCs w:val="20"/>
          <w:lang w:eastAsia="en-ZA"/>
        </w:rPr>
        <w:t xml:space="preserve"> (CC) (</w:t>
      </w:r>
      <w:r>
        <w:rPr>
          <w:rFonts w:eastAsia="Times New Roman"/>
          <w:i/>
          <w:szCs w:val="20"/>
          <w:lang w:eastAsia="en-ZA"/>
        </w:rPr>
        <w:t>J T Publishing</w:t>
      </w:r>
      <w:r>
        <w:rPr>
          <w:rFonts w:eastAsia="Times New Roman"/>
          <w:szCs w:val="20"/>
          <w:lang w:eastAsia="en-ZA"/>
        </w:rPr>
        <w:t>) at 525A.</w:t>
      </w:r>
    </w:p>
  </w:footnote>
  <w:footnote w:id="49">
    <w:p w14:paraId="061992AE" w14:textId="3D13B585" w:rsidR="00BD650A" w:rsidRDefault="00BD650A">
      <w:pPr>
        <w:pStyle w:val="FootnoteText"/>
      </w:pPr>
      <w:r>
        <w:rPr>
          <w:rStyle w:val="FootnoteReference"/>
        </w:rPr>
        <w:footnoteRef/>
      </w:r>
      <w:r>
        <w:t xml:space="preserve"> </w:t>
      </w:r>
      <w:r w:rsidRPr="00DE5BBA">
        <w:rPr>
          <w:i/>
          <w:szCs w:val="20"/>
        </w:rPr>
        <w:t>Rail Commuters</w:t>
      </w:r>
      <w:r>
        <w:rPr>
          <w:szCs w:val="20"/>
        </w:rPr>
        <w:t xml:space="preserve"> </w:t>
      </w:r>
      <w:r w:rsidRPr="00B03D00">
        <w:rPr>
          <w:rFonts w:eastAsia="Times New Roman"/>
          <w:i/>
          <w:szCs w:val="20"/>
          <w:lang w:eastAsia="en-ZA"/>
        </w:rPr>
        <w:t xml:space="preserve">Action Group v Transnet Ltd </w:t>
      </w:r>
      <w:r>
        <w:rPr>
          <w:rFonts w:eastAsia="Times New Roman"/>
          <w:i/>
          <w:szCs w:val="20"/>
          <w:lang w:eastAsia="en-ZA"/>
        </w:rPr>
        <w:t xml:space="preserve">t/a </w:t>
      </w:r>
      <w:r w:rsidRPr="00B03D00">
        <w:rPr>
          <w:rFonts w:eastAsia="Times New Roman"/>
          <w:i/>
          <w:szCs w:val="20"/>
          <w:lang w:eastAsia="en-ZA"/>
        </w:rPr>
        <w:t xml:space="preserve">Metrorail </w:t>
      </w:r>
      <w:r>
        <w:rPr>
          <w:rFonts w:eastAsia="Times New Roman"/>
          <w:szCs w:val="20"/>
          <w:lang w:eastAsia="en-ZA"/>
        </w:rPr>
        <w:t>[2004] ZACC 20; 2005 (2) SA 359 (CC); 2005 (4) BCLR 301 (CC) (</w:t>
      </w:r>
      <w:r w:rsidRPr="001129D5">
        <w:rPr>
          <w:rFonts w:eastAsia="Times New Roman"/>
          <w:i/>
          <w:szCs w:val="20"/>
          <w:lang w:eastAsia="en-ZA"/>
        </w:rPr>
        <w:t>Rail Commuters</w:t>
      </w:r>
      <w:r>
        <w:rPr>
          <w:rFonts w:eastAsia="Times New Roman"/>
          <w:szCs w:val="20"/>
          <w:lang w:eastAsia="en-ZA"/>
        </w:rPr>
        <w:t>) at para 107.</w:t>
      </w:r>
    </w:p>
  </w:footnote>
  <w:footnote w:id="50">
    <w:p w14:paraId="02F3C2E1" w14:textId="77777777" w:rsidR="00BD650A" w:rsidRDefault="00BD650A" w:rsidP="007309A3">
      <w:pPr>
        <w:pStyle w:val="FootnoteText1"/>
        <w:rPr>
          <w:rFonts w:eastAsiaTheme="minorHAnsi"/>
          <w:szCs w:val="20"/>
          <w:u w:val="single"/>
        </w:rPr>
      </w:pPr>
      <w:r>
        <w:rPr>
          <w:rStyle w:val="FootnoteReference"/>
          <w:szCs w:val="20"/>
        </w:rPr>
        <w:footnoteRef/>
      </w:r>
      <w:r>
        <w:rPr>
          <w:szCs w:val="20"/>
        </w:rPr>
        <w:t xml:space="preserve"> </w:t>
      </w:r>
      <w:r>
        <w:rPr>
          <w:i/>
        </w:rPr>
        <w:t xml:space="preserve">Ex Parte Nell </w:t>
      </w:r>
      <w:hyperlink r:id="rId1" w:tgtFrame="main" w:history="1">
        <w:r w:rsidRPr="00BC0D1F">
          <w:rPr>
            <w:rStyle w:val="Hyperlink"/>
            <w:color w:val="auto"/>
            <w:szCs w:val="20"/>
            <w:u w:val="none"/>
          </w:rPr>
          <w:t>1963 (1) SA 754 (A)</w:t>
        </w:r>
      </w:hyperlink>
      <w:r w:rsidRPr="00BC0D1F">
        <w:rPr>
          <w:szCs w:val="20"/>
        </w:rPr>
        <w:t xml:space="preserve"> </w:t>
      </w:r>
      <w:r>
        <w:rPr>
          <w:szCs w:val="20"/>
        </w:rPr>
        <w:t>at 759H–760B.</w:t>
      </w:r>
    </w:p>
  </w:footnote>
  <w:footnote w:id="51">
    <w:p w14:paraId="53F77448" w14:textId="66317B2A" w:rsidR="00BD650A" w:rsidRDefault="00BD650A">
      <w:pPr>
        <w:pStyle w:val="FootnoteText"/>
      </w:pPr>
      <w:r>
        <w:rPr>
          <w:rStyle w:val="FootnoteReference"/>
        </w:rPr>
        <w:footnoteRef/>
      </w:r>
      <w:r>
        <w:t xml:space="preserve"> </w:t>
      </w:r>
      <w:r w:rsidRPr="00F8498D">
        <w:rPr>
          <w:i/>
        </w:rPr>
        <w:t xml:space="preserve">Oakbay Investments (Pty) Ltd v Director of the Financial Intelligence Centre </w:t>
      </w:r>
      <w:r w:rsidRPr="00F8498D">
        <w:t>[2017] 4 All SA 150 (GP); 2018 (3) SA 515 (GP) (</w:t>
      </w:r>
      <w:r w:rsidRPr="00F8498D">
        <w:rPr>
          <w:i/>
        </w:rPr>
        <w:t>Oakbay</w:t>
      </w:r>
      <w:r w:rsidRPr="00F8498D">
        <w:t>) at para 61.</w:t>
      </w:r>
    </w:p>
  </w:footnote>
  <w:footnote w:id="52">
    <w:p w14:paraId="1E69BDC5" w14:textId="579AECC3" w:rsidR="00BD650A" w:rsidRDefault="00BD650A" w:rsidP="00604C5A">
      <w:pPr>
        <w:pStyle w:val="FootnoteText1"/>
        <w:rPr>
          <w:rFonts w:eastAsia="Times New Roman"/>
          <w:szCs w:val="20"/>
          <w:lang w:eastAsia="en-ZA"/>
        </w:rPr>
      </w:pPr>
      <w:r>
        <w:rPr>
          <w:rStyle w:val="FootnoteReference"/>
          <w:szCs w:val="20"/>
        </w:rPr>
        <w:footnoteRef/>
      </w:r>
      <w:r>
        <w:rPr>
          <w:szCs w:val="20"/>
        </w:rPr>
        <w:t xml:space="preserve"> </w:t>
      </w:r>
      <w:r>
        <w:rPr>
          <w:rFonts w:eastAsia="Times New Roman"/>
          <w:szCs w:val="20"/>
          <w:lang w:eastAsia="en-ZA"/>
        </w:rPr>
        <w:t>Id at para 59 states:</w:t>
      </w:r>
    </w:p>
    <w:p w14:paraId="2BC71544" w14:textId="067BE5F5" w:rsidR="00BD650A" w:rsidRPr="00B03D00" w:rsidRDefault="00BD650A" w:rsidP="007A49F0">
      <w:pPr>
        <w:pStyle w:val="QUOTEINFOOTNOTE"/>
        <w:rPr>
          <w:rFonts w:eastAsia="Times New Roman"/>
          <w:szCs w:val="20"/>
          <w:lang w:eastAsia="en-ZA"/>
        </w:rPr>
      </w:pPr>
      <w:r>
        <w:rPr>
          <w:rFonts w:eastAsia="Times New Roman"/>
          <w:szCs w:val="20"/>
          <w:lang w:eastAsia="en-ZA"/>
        </w:rPr>
        <w:t>“</w:t>
      </w:r>
      <w:r w:rsidRPr="00B03D00">
        <w:t>These include (i) the existence or absence of a dispute; (ii) the utility of the declaratory relief and whether, if granted, it will settle the question in issue between the parties; (iii) whether a tangible and justifiable advantage in relation to the applicant's position appears to flow from the grant of the order sought; (iv) considerations of public policy, justice and convenience; (v) the practical significance of the order; and (vi) the availability of other remedies.</w:t>
      </w:r>
      <w:r>
        <w:t>”</w:t>
      </w:r>
    </w:p>
  </w:footnote>
  <w:footnote w:id="53">
    <w:p w14:paraId="7E88B4A3" w14:textId="4AB6AE4D" w:rsidR="00BD650A" w:rsidRDefault="00BD650A" w:rsidP="00C45D70">
      <w:pPr>
        <w:pStyle w:val="FootnoteText"/>
        <w:rPr>
          <w:rFonts w:asciiTheme="minorHAnsi" w:hAnsiTheme="minorHAnsi" w:cstheme="minorBidi"/>
        </w:rPr>
      </w:pPr>
      <w:r>
        <w:rPr>
          <w:rStyle w:val="FootnoteReference"/>
        </w:rPr>
        <w:footnoteRef/>
      </w:r>
      <w:r>
        <w:t xml:space="preserve"> </w:t>
      </w:r>
      <w:r w:rsidRPr="00EA670E">
        <w:rPr>
          <w:i/>
        </w:rPr>
        <w:t>Seagram</w:t>
      </w:r>
      <w:r w:rsidRPr="00FE565A">
        <w:t xml:space="preserve"> </w:t>
      </w:r>
      <w:r>
        <w:t>above n 44 above at 31.  See also Competition Appeal Court judgment at para 31.</w:t>
      </w:r>
    </w:p>
  </w:footnote>
  <w:footnote w:id="54">
    <w:p w14:paraId="530D3F6A" w14:textId="00F795BF" w:rsidR="00BD650A" w:rsidRDefault="00BD650A" w:rsidP="007309A3">
      <w:pPr>
        <w:pStyle w:val="FootnoteText1"/>
      </w:pPr>
      <w:r w:rsidRPr="00643F3A">
        <w:rPr>
          <w:rStyle w:val="FootnoteReference"/>
          <w:szCs w:val="20"/>
        </w:rPr>
        <w:footnoteRef/>
      </w:r>
      <w:r w:rsidRPr="00643F3A">
        <w:t xml:space="preserve"> </w:t>
      </w:r>
      <w:r w:rsidRPr="007A49F0">
        <w:rPr>
          <w:i/>
        </w:rPr>
        <w:t xml:space="preserve">Bulmer </w:t>
      </w:r>
      <w:r>
        <w:t>above n 9</w:t>
      </w:r>
      <w:r w:rsidRPr="00643F3A">
        <w:t xml:space="preserve"> at 458B</w:t>
      </w:r>
      <w:r>
        <w:t>-</w:t>
      </w:r>
      <w:r w:rsidRPr="00643F3A">
        <w:t>D:</w:t>
      </w:r>
    </w:p>
    <w:p w14:paraId="3E46990E" w14:textId="0D42F92B" w:rsidR="00BD650A" w:rsidRPr="00643F3A" w:rsidRDefault="00BD650A" w:rsidP="007309A3">
      <w:pPr>
        <w:pStyle w:val="QUOTEINFOOTNOTE"/>
      </w:pPr>
      <w:r>
        <w:t>“</w:t>
      </w:r>
      <w:r w:rsidRPr="00643F3A">
        <w:t>The applicants also argued that an alternative procedural basis for them to bring the application could also be found in rule 42(3</w:t>
      </w:r>
      <w:r w:rsidRPr="007309A3">
        <w:t>)(</w:t>
      </w:r>
      <w:r w:rsidRPr="007309A3">
        <w:rPr>
          <w:iCs/>
        </w:rPr>
        <w:t>a</w:t>
      </w:r>
      <w:r w:rsidRPr="007309A3">
        <w:t>)(</w:t>
      </w:r>
      <w:r w:rsidRPr="00643F3A">
        <w:t xml:space="preserve">i) which provides for Commission decisions to be reviewed or appealed. </w:t>
      </w:r>
      <w:r>
        <w:t xml:space="preserve"> </w:t>
      </w:r>
      <w:r w:rsidRPr="00643F3A">
        <w:t xml:space="preserve">The respondents attempted to counter this point by suggesting that the Commission had not made a decision but had merely furnished an advisory opinion. </w:t>
      </w:r>
      <w:r>
        <w:t xml:space="preserve"> </w:t>
      </w:r>
      <w:r w:rsidRPr="00643F3A">
        <w:t xml:space="preserve">This distinction is highly artificial and without substance. </w:t>
      </w:r>
      <w:r>
        <w:t xml:space="preserve"> </w:t>
      </w:r>
      <w:r w:rsidRPr="00643F3A">
        <w:t>It is quite clear that the Commission has decided that it has no jurisdiction and has abided by that decision; if not, it would have contended otherwise in these proceedings as it had the opportunity to do so since it is cited by bo</w:t>
      </w:r>
      <w:r>
        <w:t>th applicants as a respondent.”</w:t>
      </w:r>
    </w:p>
  </w:footnote>
  <w:footnote w:id="55">
    <w:p w14:paraId="54C2ED0A" w14:textId="50C7A235" w:rsidR="00BD650A" w:rsidRDefault="00BD650A" w:rsidP="00C45D70">
      <w:pPr>
        <w:pStyle w:val="FootnoteText"/>
        <w:rPr>
          <w:rFonts w:eastAsiaTheme="minorEastAsia"/>
          <w:szCs w:val="20"/>
        </w:rPr>
      </w:pPr>
      <w:r>
        <w:rPr>
          <w:rStyle w:val="FootnoteReference"/>
        </w:rPr>
        <w:footnoteRef/>
      </w:r>
      <w:r>
        <w:t xml:space="preserve"> </w:t>
      </w:r>
      <w:r>
        <w:rPr>
          <w:rFonts w:eastAsia="Times New Roman"/>
          <w:i/>
          <w:lang w:eastAsia="en-ZA"/>
        </w:rPr>
        <w:t xml:space="preserve">J T Publishing </w:t>
      </w:r>
      <w:r>
        <w:rPr>
          <w:rFonts w:eastAsia="Times New Roman"/>
          <w:lang w:eastAsia="en-ZA"/>
        </w:rPr>
        <w:t>above n 48 at para 15.</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4A55D7" w14:textId="77777777" w:rsidR="0059786A" w:rsidRDefault="0059786A">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280FCC" w14:textId="679250E3" w:rsidR="00BD650A" w:rsidRDefault="00BD650A" w:rsidP="002057A0">
    <w:pPr>
      <w:pStyle w:val="Header"/>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CD31DE" w14:textId="77777777" w:rsidR="0059786A" w:rsidRDefault="0059786A">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FFE7B52" w14:textId="078ADDA7" w:rsidR="00BD650A" w:rsidRDefault="00BD650A" w:rsidP="002057A0">
    <w:pPr>
      <w:pStyle w:val="Header"/>
      <w:jc w:val="right"/>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4CA8A9" w14:textId="77777777" w:rsidR="00BD650A" w:rsidRDefault="00BD650A" w:rsidP="002057A0">
    <w:pPr>
      <w:pStyle w:val="Header"/>
      <w:jc w:val="right"/>
    </w:pPr>
    <w:r>
      <w:t>BASSON AJ</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3FBF3C" w14:textId="45983E3C" w:rsidR="00BD650A" w:rsidRDefault="00BD650A" w:rsidP="002057A0">
    <w:pPr>
      <w:pStyle w:val="Header"/>
      <w:jc w:val="right"/>
    </w:pPr>
    <w:r>
      <w:t>BASSON AJ / FRONEMAN J</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765437" w14:textId="5DB8F527" w:rsidR="00BD650A" w:rsidRDefault="00BD650A" w:rsidP="002057A0">
    <w:pPr>
      <w:pStyle w:val="Header"/>
      <w:jc w:val="right"/>
    </w:pPr>
    <w:r>
      <w:t>FRONEMAN J</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3EA79F" w14:textId="29575700" w:rsidR="00BD650A" w:rsidRDefault="00BD650A" w:rsidP="002057A0">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singleLevel"/>
    <w:tmpl w:val="00000001"/>
    <w:name w:val="WW8Num5"/>
    <w:lvl w:ilvl="0">
      <w:start w:val="1"/>
      <w:numFmt w:val="decimal"/>
      <w:lvlText w:val="[%1]"/>
      <w:lvlJc w:val="left"/>
      <w:pPr>
        <w:ind w:left="624" w:hanging="624"/>
      </w:pPr>
      <w:rPr>
        <w:rFonts w:cs="Times New Roman"/>
      </w:rPr>
    </w:lvl>
  </w:abstractNum>
  <w:abstractNum w:abstractNumId="1" w15:restartNumberingAfterBreak="0">
    <w:nsid w:val="00D40214"/>
    <w:multiLevelType w:val="hybridMultilevel"/>
    <w:tmpl w:val="A1DCE11E"/>
    <w:lvl w:ilvl="0" w:tplc="1C090019">
      <w:start w:val="1"/>
      <w:numFmt w:val="lowerLetter"/>
      <w:lvlText w:val="%1."/>
      <w:lvlJc w:val="left"/>
      <w:pPr>
        <w:ind w:left="1440" w:hanging="360"/>
      </w:pPr>
    </w:lvl>
    <w:lvl w:ilvl="1" w:tplc="08D8AEB2">
      <w:start w:val="1"/>
      <w:numFmt w:val="lowerRoman"/>
      <w:lvlText w:val="(%2)"/>
      <w:lvlJc w:val="left"/>
      <w:pPr>
        <w:ind w:left="2138" w:hanging="720"/>
      </w:pPr>
      <w:rPr>
        <w:rFonts w:hint="default"/>
      </w:rPr>
    </w:lvl>
    <w:lvl w:ilvl="2" w:tplc="1C09001B">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2" w15:restartNumberingAfterBreak="0">
    <w:nsid w:val="076C5C69"/>
    <w:multiLevelType w:val="hybridMultilevel"/>
    <w:tmpl w:val="327E5C64"/>
    <w:lvl w:ilvl="0" w:tplc="08D8AEB2">
      <w:start w:val="1"/>
      <w:numFmt w:val="lowerRoman"/>
      <w:lvlText w:val="(%1)"/>
      <w:lvlJc w:val="left"/>
      <w:pPr>
        <w:ind w:left="2160" w:hanging="360"/>
      </w:pPr>
      <w:rPr>
        <w:rFonts w:hint="default"/>
      </w:rPr>
    </w:lvl>
    <w:lvl w:ilvl="1" w:tplc="1C090019" w:tentative="1">
      <w:start w:val="1"/>
      <w:numFmt w:val="lowerLetter"/>
      <w:lvlText w:val="%2."/>
      <w:lvlJc w:val="left"/>
      <w:pPr>
        <w:ind w:left="2880" w:hanging="360"/>
      </w:pPr>
    </w:lvl>
    <w:lvl w:ilvl="2" w:tplc="1C09001B" w:tentative="1">
      <w:start w:val="1"/>
      <w:numFmt w:val="lowerRoman"/>
      <w:lvlText w:val="%3."/>
      <w:lvlJc w:val="right"/>
      <w:pPr>
        <w:ind w:left="3600" w:hanging="180"/>
      </w:pPr>
    </w:lvl>
    <w:lvl w:ilvl="3" w:tplc="1C09000F" w:tentative="1">
      <w:start w:val="1"/>
      <w:numFmt w:val="decimal"/>
      <w:lvlText w:val="%4."/>
      <w:lvlJc w:val="left"/>
      <w:pPr>
        <w:ind w:left="4320" w:hanging="360"/>
      </w:pPr>
    </w:lvl>
    <w:lvl w:ilvl="4" w:tplc="1C090019" w:tentative="1">
      <w:start w:val="1"/>
      <w:numFmt w:val="lowerLetter"/>
      <w:lvlText w:val="%5."/>
      <w:lvlJc w:val="left"/>
      <w:pPr>
        <w:ind w:left="5040" w:hanging="360"/>
      </w:pPr>
    </w:lvl>
    <w:lvl w:ilvl="5" w:tplc="1C09001B" w:tentative="1">
      <w:start w:val="1"/>
      <w:numFmt w:val="lowerRoman"/>
      <w:lvlText w:val="%6."/>
      <w:lvlJc w:val="right"/>
      <w:pPr>
        <w:ind w:left="5760" w:hanging="180"/>
      </w:pPr>
    </w:lvl>
    <w:lvl w:ilvl="6" w:tplc="1C09000F" w:tentative="1">
      <w:start w:val="1"/>
      <w:numFmt w:val="decimal"/>
      <w:lvlText w:val="%7."/>
      <w:lvlJc w:val="left"/>
      <w:pPr>
        <w:ind w:left="6480" w:hanging="360"/>
      </w:pPr>
    </w:lvl>
    <w:lvl w:ilvl="7" w:tplc="1C090019" w:tentative="1">
      <w:start w:val="1"/>
      <w:numFmt w:val="lowerLetter"/>
      <w:lvlText w:val="%8."/>
      <w:lvlJc w:val="left"/>
      <w:pPr>
        <w:ind w:left="7200" w:hanging="360"/>
      </w:pPr>
    </w:lvl>
    <w:lvl w:ilvl="8" w:tplc="1C09001B" w:tentative="1">
      <w:start w:val="1"/>
      <w:numFmt w:val="lowerRoman"/>
      <w:lvlText w:val="%9."/>
      <w:lvlJc w:val="right"/>
      <w:pPr>
        <w:ind w:left="7920" w:hanging="180"/>
      </w:pPr>
    </w:lvl>
  </w:abstractNum>
  <w:abstractNum w:abstractNumId="3" w15:restartNumberingAfterBreak="0">
    <w:nsid w:val="095A7A26"/>
    <w:multiLevelType w:val="hybridMultilevel"/>
    <w:tmpl w:val="944CB568"/>
    <w:lvl w:ilvl="0" w:tplc="03C88080">
      <w:start w:val="1"/>
      <w:numFmt w:val="decimal"/>
      <w:pStyle w:val="JUDGMENTNUMBERED"/>
      <w:lvlText w:val="[%1]"/>
      <w:lvlJc w:val="left"/>
      <w:pPr>
        <w:ind w:left="392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4" w15:restartNumberingAfterBreak="0">
    <w:nsid w:val="0B130A1B"/>
    <w:multiLevelType w:val="hybridMultilevel"/>
    <w:tmpl w:val="455A1B64"/>
    <w:lvl w:ilvl="0" w:tplc="D638E4E8">
      <w:start w:val="1"/>
      <w:numFmt w:val="lowerLetter"/>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5" w15:restartNumberingAfterBreak="0">
    <w:nsid w:val="0C751727"/>
    <w:multiLevelType w:val="hybridMultilevel"/>
    <w:tmpl w:val="455A1B64"/>
    <w:lvl w:ilvl="0" w:tplc="D638E4E8">
      <w:start w:val="1"/>
      <w:numFmt w:val="lowerLetter"/>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6" w15:restartNumberingAfterBreak="0">
    <w:nsid w:val="0E7552C2"/>
    <w:multiLevelType w:val="hybridMultilevel"/>
    <w:tmpl w:val="327E5C64"/>
    <w:lvl w:ilvl="0" w:tplc="08D8AEB2">
      <w:start w:val="1"/>
      <w:numFmt w:val="lowerRoman"/>
      <w:lvlText w:val="(%1)"/>
      <w:lvlJc w:val="left"/>
      <w:pPr>
        <w:ind w:left="2160" w:hanging="360"/>
      </w:pPr>
      <w:rPr>
        <w:rFonts w:hint="default"/>
      </w:rPr>
    </w:lvl>
    <w:lvl w:ilvl="1" w:tplc="1C090019">
      <w:start w:val="1"/>
      <w:numFmt w:val="lowerLetter"/>
      <w:lvlText w:val="%2."/>
      <w:lvlJc w:val="left"/>
      <w:pPr>
        <w:ind w:left="2880" w:hanging="360"/>
      </w:pPr>
    </w:lvl>
    <w:lvl w:ilvl="2" w:tplc="1C09001B" w:tentative="1">
      <w:start w:val="1"/>
      <w:numFmt w:val="lowerRoman"/>
      <w:lvlText w:val="%3."/>
      <w:lvlJc w:val="right"/>
      <w:pPr>
        <w:ind w:left="3600" w:hanging="180"/>
      </w:pPr>
    </w:lvl>
    <w:lvl w:ilvl="3" w:tplc="1C09000F" w:tentative="1">
      <w:start w:val="1"/>
      <w:numFmt w:val="decimal"/>
      <w:lvlText w:val="%4."/>
      <w:lvlJc w:val="left"/>
      <w:pPr>
        <w:ind w:left="4320" w:hanging="360"/>
      </w:pPr>
    </w:lvl>
    <w:lvl w:ilvl="4" w:tplc="1C090019" w:tentative="1">
      <w:start w:val="1"/>
      <w:numFmt w:val="lowerLetter"/>
      <w:lvlText w:val="%5."/>
      <w:lvlJc w:val="left"/>
      <w:pPr>
        <w:ind w:left="5040" w:hanging="360"/>
      </w:pPr>
    </w:lvl>
    <w:lvl w:ilvl="5" w:tplc="1C09001B" w:tentative="1">
      <w:start w:val="1"/>
      <w:numFmt w:val="lowerRoman"/>
      <w:lvlText w:val="%6."/>
      <w:lvlJc w:val="right"/>
      <w:pPr>
        <w:ind w:left="5760" w:hanging="180"/>
      </w:pPr>
    </w:lvl>
    <w:lvl w:ilvl="6" w:tplc="1C09000F" w:tentative="1">
      <w:start w:val="1"/>
      <w:numFmt w:val="decimal"/>
      <w:lvlText w:val="%7."/>
      <w:lvlJc w:val="left"/>
      <w:pPr>
        <w:ind w:left="6480" w:hanging="360"/>
      </w:pPr>
    </w:lvl>
    <w:lvl w:ilvl="7" w:tplc="1C090019" w:tentative="1">
      <w:start w:val="1"/>
      <w:numFmt w:val="lowerLetter"/>
      <w:lvlText w:val="%8."/>
      <w:lvlJc w:val="left"/>
      <w:pPr>
        <w:ind w:left="7200" w:hanging="360"/>
      </w:pPr>
    </w:lvl>
    <w:lvl w:ilvl="8" w:tplc="1C09001B" w:tentative="1">
      <w:start w:val="1"/>
      <w:numFmt w:val="lowerRoman"/>
      <w:lvlText w:val="%9."/>
      <w:lvlJc w:val="right"/>
      <w:pPr>
        <w:ind w:left="7920" w:hanging="180"/>
      </w:pPr>
    </w:lvl>
  </w:abstractNum>
  <w:abstractNum w:abstractNumId="7" w15:restartNumberingAfterBreak="0">
    <w:nsid w:val="16501EB7"/>
    <w:multiLevelType w:val="hybridMultilevel"/>
    <w:tmpl w:val="37C4EB7C"/>
    <w:lvl w:ilvl="0" w:tplc="700E3438">
      <w:start w:val="1"/>
      <w:numFmt w:val="decimal"/>
      <w:lvlText w:val="[%1]"/>
      <w:lvlJc w:val="left"/>
      <w:pPr>
        <w:tabs>
          <w:tab w:val="num" w:pos="0"/>
        </w:tabs>
        <w:ind w:left="0" w:firstLine="0"/>
      </w:pPr>
      <w:rPr>
        <w:rFonts w:hint="default"/>
        <w:i w:val="0"/>
        <w:sz w:val="26"/>
        <w:szCs w:val="26"/>
        <w:vertAlign w:val="baseline"/>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15:restartNumberingAfterBreak="0">
    <w:nsid w:val="16D935FF"/>
    <w:multiLevelType w:val="hybridMultilevel"/>
    <w:tmpl w:val="3582277E"/>
    <w:lvl w:ilvl="0" w:tplc="F6B2CE34">
      <w:start w:val="2"/>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15:restartNumberingAfterBreak="0">
    <w:nsid w:val="18A65CE6"/>
    <w:multiLevelType w:val="hybridMultilevel"/>
    <w:tmpl w:val="FC609020"/>
    <w:lvl w:ilvl="0" w:tplc="A19EC83C">
      <w:start w:val="1"/>
      <w:numFmt w:val="lowerLetter"/>
      <w:lvlText w:val="(%1)"/>
      <w:lvlJc w:val="left"/>
      <w:pPr>
        <w:ind w:left="4952" w:hanging="360"/>
      </w:pPr>
      <w:rPr>
        <w:rFonts w:hint="default"/>
      </w:rPr>
    </w:lvl>
    <w:lvl w:ilvl="1" w:tplc="1C090019">
      <w:start w:val="1"/>
      <w:numFmt w:val="lowerLetter"/>
      <w:lvlText w:val="%2."/>
      <w:lvlJc w:val="left"/>
      <w:pPr>
        <w:ind w:left="6185" w:hanging="360"/>
      </w:pPr>
    </w:lvl>
    <w:lvl w:ilvl="2" w:tplc="1C09001B" w:tentative="1">
      <w:start w:val="1"/>
      <w:numFmt w:val="lowerRoman"/>
      <w:lvlText w:val="%3."/>
      <w:lvlJc w:val="right"/>
      <w:pPr>
        <w:ind w:left="6905" w:hanging="180"/>
      </w:pPr>
    </w:lvl>
    <w:lvl w:ilvl="3" w:tplc="1C09000F" w:tentative="1">
      <w:start w:val="1"/>
      <w:numFmt w:val="decimal"/>
      <w:lvlText w:val="%4."/>
      <w:lvlJc w:val="left"/>
      <w:pPr>
        <w:ind w:left="7625" w:hanging="360"/>
      </w:pPr>
    </w:lvl>
    <w:lvl w:ilvl="4" w:tplc="1C090019" w:tentative="1">
      <w:start w:val="1"/>
      <w:numFmt w:val="lowerLetter"/>
      <w:lvlText w:val="%5."/>
      <w:lvlJc w:val="left"/>
      <w:pPr>
        <w:ind w:left="8345" w:hanging="360"/>
      </w:pPr>
    </w:lvl>
    <w:lvl w:ilvl="5" w:tplc="1C09001B" w:tentative="1">
      <w:start w:val="1"/>
      <w:numFmt w:val="lowerRoman"/>
      <w:lvlText w:val="%6."/>
      <w:lvlJc w:val="right"/>
      <w:pPr>
        <w:ind w:left="9065" w:hanging="180"/>
      </w:pPr>
    </w:lvl>
    <w:lvl w:ilvl="6" w:tplc="1C09000F" w:tentative="1">
      <w:start w:val="1"/>
      <w:numFmt w:val="decimal"/>
      <w:lvlText w:val="%7."/>
      <w:lvlJc w:val="left"/>
      <w:pPr>
        <w:ind w:left="9785" w:hanging="360"/>
      </w:pPr>
    </w:lvl>
    <w:lvl w:ilvl="7" w:tplc="1C090019" w:tentative="1">
      <w:start w:val="1"/>
      <w:numFmt w:val="lowerLetter"/>
      <w:lvlText w:val="%8."/>
      <w:lvlJc w:val="left"/>
      <w:pPr>
        <w:ind w:left="10505" w:hanging="360"/>
      </w:pPr>
    </w:lvl>
    <w:lvl w:ilvl="8" w:tplc="1C09001B" w:tentative="1">
      <w:start w:val="1"/>
      <w:numFmt w:val="lowerRoman"/>
      <w:lvlText w:val="%9."/>
      <w:lvlJc w:val="right"/>
      <w:pPr>
        <w:ind w:left="11225" w:hanging="180"/>
      </w:pPr>
    </w:lvl>
  </w:abstractNum>
  <w:abstractNum w:abstractNumId="10" w15:restartNumberingAfterBreak="0">
    <w:nsid w:val="2C050287"/>
    <w:multiLevelType w:val="hybridMultilevel"/>
    <w:tmpl w:val="AFA615D2"/>
    <w:lvl w:ilvl="0" w:tplc="747AEB4E">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1" w15:restartNumberingAfterBreak="0">
    <w:nsid w:val="2EB462B3"/>
    <w:multiLevelType w:val="hybridMultilevel"/>
    <w:tmpl w:val="455A1B64"/>
    <w:lvl w:ilvl="0" w:tplc="D638E4E8">
      <w:start w:val="1"/>
      <w:numFmt w:val="lowerLetter"/>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12" w15:restartNumberingAfterBreak="0">
    <w:nsid w:val="322458CB"/>
    <w:multiLevelType w:val="multilevel"/>
    <w:tmpl w:val="579EAC5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15:restartNumberingAfterBreak="0">
    <w:nsid w:val="35331214"/>
    <w:multiLevelType w:val="hybridMultilevel"/>
    <w:tmpl w:val="455A1B64"/>
    <w:lvl w:ilvl="0" w:tplc="D638E4E8">
      <w:start w:val="1"/>
      <w:numFmt w:val="lowerLetter"/>
      <w:lvlText w:val="(%1)"/>
      <w:lvlJc w:val="left"/>
      <w:pPr>
        <w:ind w:left="1919"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14" w15:restartNumberingAfterBreak="0">
    <w:nsid w:val="3C46147E"/>
    <w:multiLevelType w:val="hybridMultilevel"/>
    <w:tmpl w:val="AFA615D2"/>
    <w:lvl w:ilvl="0" w:tplc="747AEB4E">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5" w15:restartNumberingAfterBreak="0">
    <w:nsid w:val="3DF76BB0"/>
    <w:multiLevelType w:val="hybridMultilevel"/>
    <w:tmpl w:val="FF4A5FE2"/>
    <w:lvl w:ilvl="0" w:tplc="08D8AEB2">
      <w:start w:val="1"/>
      <w:numFmt w:val="lowerRoman"/>
      <w:lvlText w:val="(%1)"/>
      <w:lvlJc w:val="left"/>
      <w:pPr>
        <w:ind w:left="2628" w:hanging="360"/>
      </w:pPr>
      <w:rPr>
        <w:rFonts w:hint="default"/>
      </w:rPr>
    </w:lvl>
    <w:lvl w:ilvl="1" w:tplc="1C090019" w:tentative="1">
      <w:start w:val="1"/>
      <w:numFmt w:val="lowerLetter"/>
      <w:lvlText w:val="%2."/>
      <w:lvlJc w:val="left"/>
      <w:pPr>
        <w:ind w:left="3348" w:hanging="360"/>
      </w:pPr>
    </w:lvl>
    <w:lvl w:ilvl="2" w:tplc="1C09001B" w:tentative="1">
      <w:start w:val="1"/>
      <w:numFmt w:val="lowerRoman"/>
      <w:lvlText w:val="%3."/>
      <w:lvlJc w:val="right"/>
      <w:pPr>
        <w:ind w:left="4068" w:hanging="180"/>
      </w:pPr>
    </w:lvl>
    <w:lvl w:ilvl="3" w:tplc="1C09000F" w:tentative="1">
      <w:start w:val="1"/>
      <w:numFmt w:val="decimal"/>
      <w:lvlText w:val="%4."/>
      <w:lvlJc w:val="left"/>
      <w:pPr>
        <w:ind w:left="4788" w:hanging="360"/>
      </w:pPr>
    </w:lvl>
    <w:lvl w:ilvl="4" w:tplc="1C090019" w:tentative="1">
      <w:start w:val="1"/>
      <w:numFmt w:val="lowerLetter"/>
      <w:lvlText w:val="%5."/>
      <w:lvlJc w:val="left"/>
      <w:pPr>
        <w:ind w:left="5508" w:hanging="360"/>
      </w:pPr>
    </w:lvl>
    <w:lvl w:ilvl="5" w:tplc="1C09001B" w:tentative="1">
      <w:start w:val="1"/>
      <w:numFmt w:val="lowerRoman"/>
      <w:lvlText w:val="%6."/>
      <w:lvlJc w:val="right"/>
      <w:pPr>
        <w:ind w:left="6228" w:hanging="180"/>
      </w:pPr>
    </w:lvl>
    <w:lvl w:ilvl="6" w:tplc="1C09000F" w:tentative="1">
      <w:start w:val="1"/>
      <w:numFmt w:val="decimal"/>
      <w:lvlText w:val="%7."/>
      <w:lvlJc w:val="left"/>
      <w:pPr>
        <w:ind w:left="6948" w:hanging="360"/>
      </w:pPr>
    </w:lvl>
    <w:lvl w:ilvl="7" w:tplc="1C090019" w:tentative="1">
      <w:start w:val="1"/>
      <w:numFmt w:val="lowerLetter"/>
      <w:lvlText w:val="%8."/>
      <w:lvlJc w:val="left"/>
      <w:pPr>
        <w:ind w:left="7668" w:hanging="360"/>
      </w:pPr>
    </w:lvl>
    <w:lvl w:ilvl="8" w:tplc="1C09001B" w:tentative="1">
      <w:start w:val="1"/>
      <w:numFmt w:val="lowerRoman"/>
      <w:lvlText w:val="%9."/>
      <w:lvlJc w:val="right"/>
      <w:pPr>
        <w:ind w:left="8388" w:hanging="180"/>
      </w:pPr>
    </w:lvl>
  </w:abstractNum>
  <w:abstractNum w:abstractNumId="16" w15:restartNumberingAfterBreak="0">
    <w:nsid w:val="3E870BC2"/>
    <w:multiLevelType w:val="hybridMultilevel"/>
    <w:tmpl w:val="327E5C64"/>
    <w:lvl w:ilvl="0" w:tplc="08D8AEB2">
      <w:start w:val="1"/>
      <w:numFmt w:val="lowerRoman"/>
      <w:lvlText w:val="(%1)"/>
      <w:lvlJc w:val="left"/>
      <w:pPr>
        <w:ind w:left="2345" w:hanging="360"/>
      </w:pPr>
      <w:rPr>
        <w:rFonts w:hint="default"/>
      </w:rPr>
    </w:lvl>
    <w:lvl w:ilvl="1" w:tplc="1C090019" w:tentative="1">
      <w:start w:val="1"/>
      <w:numFmt w:val="lowerLetter"/>
      <w:lvlText w:val="%2."/>
      <w:lvlJc w:val="left"/>
      <w:pPr>
        <w:ind w:left="2880" w:hanging="360"/>
      </w:pPr>
    </w:lvl>
    <w:lvl w:ilvl="2" w:tplc="1C09001B">
      <w:start w:val="1"/>
      <w:numFmt w:val="lowerRoman"/>
      <w:lvlText w:val="%3."/>
      <w:lvlJc w:val="right"/>
      <w:pPr>
        <w:ind w:left="3600" w:hanging="180"/>
      </w:pPr>
    </w:lvl>
    <w:lvl w:ilvl="3" w:tplc="1C09000F" w:tentative="1">
      <w:start w:val="1"/>
      <w:numFmt w:val="decimal"/>
      <w:lvlText w:val="%4."/>
      <w:lvlJc w:val="left"/>
      <w:pPr>
        <w:ind w:left="4320" w:hanging="360"/>
      </w:pPr>
    </w:lvl>
    <w:lvl w:ilvl="4" w:tplc="1C090019" w:tentative="1">
      <w:start w:val="1"/>
      <w:numFmt w:val="lowerLetter"/>
      <w:lvlText w:val="%5."/>
      <w:lvlJc w:val="left"/>
      <w:pPr>
        <w:ind w:left="5040" w:hanging="360"/>
      </w:pPr>
    </w:lvl>
    <w:lvl w:ilvl="5" w:tplc="1C09001B" w:tentative="1">
      <w:start w:val="1"/>
      <w:numFmt w:val="lowerRoman"/>
      <w:lvlText w:val="%6."/>
      <w:lvlJc w:val="right"/>
      <w:pPr>
        <w:ind w:left="5760" w:hanging="180"/>
      </w:pPr>
    </w:lvl>
    <w:lvl w:ilvl="6" w:tplc="1C09000F" w:tentative="1">
      <w:start w:val="1"/>
      <w:numFmt w:val="decimal"/>
      <w:lvlText w:val="%7."/>
      <w:lvlJc w:val="left"/>
      <w:pPr>
        <w:ind w:left="6480" w:hanging="360"/>
      </w:pPr>
    </w:lvl>
    <w:lvl w:ilvl="7" w:tplc="1C090019" w:tentative="1">
      <w:start w:val="1"/>
      <w:numFmt w:val="lowerLetter"/>
      <w:lvlText w:val="%8."/>
      <w:lvlJc w:val="left"/>
      <w:pPr>
        <w:ind w:left="7200" w:hanging="360"/>
      </w:pPr>
    </w:lvl>
    <w:lvl w:ilvl="8" w:tplc="1C09001B" w:tentative="1">
      <w:start w:val="1"/>
      <w:numFmt w:val="lowerRoman"/>
      <w:lvlText w:val="%9."/>
      <w:lvlJc w:val="right"/>
      <w:pPr>
        <w:ind w:left="7920" w:hanging="180"/>
      </w:pPr>
    </w:lvl>
  </w:abstractNum>
  <w:abstractNum w:abstractNumId="17" w15:restartNumberingAfterBreak="0">
    <w:nsid w:val="42090234"/>
    <w:multiLevelType w:val="hybridMultilevel"/>
    <w:tmpl w:val="455A1B64"/>
    <w:lvl w:ilvl="0" w:tplc="D638E4E8">
      <w:start w:val="1"/>
      <w:numFmt w:val="lowerLetter"/>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18" w15:restartNumberingAfterBreak="0">
    <w:nsid w:val="45D66D7A"/>
    <w:multiLevelType w:val="hybridMultilevel"/>
    <w:tmpl w:val="455A1B64"/>
    <w:lvl w:ilvl="0" w:tplc="D638E4E8">
      <w:start w:val="1"/>
      <w:numFmt w:val="lowerLetter"/>
      <w:lvlText w:val="(%1)"/>
      <w:lvlJc w:val="left"/>
      <w:pPr>
        <w:ind w:left="1919"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19" w15:restartNumberingAfterBreak="0">
    <w:nsid w:val="50563FD4"/>
    <w:multiLevelType w:val="hybridMultilevel"/>
    <w:tmpl w:val="455A1B64"/>
    <w:lvl w:ilvl="0" w:tplc="D638E4E8">
      <w:start w:val="1"/>
      <w:numFmt w:val="lowerLetter"/>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20" w15:restartNumberingAfterBreak="0">
    <w:nsid w:val="653F5BA9"/>
    <w:multiLevelType w:val="hybridMultilevel"/>
    <w:tmpl w:val="B85E6278"/>
    <w:lvl w:ilvl="0" w:tplc="1C09001B">
      <w:start w:val="1"/>
      <w:numFmt w:val="lowerRoman"/>
      <w:lvlText w:val="%1."/>
      <w:lvlJc w:val="righ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21" w15:restartNumberingAfterBreak="0">
    <w:nsid w:val="68920766"/>
    <w:multiLevelType w:val="hybridMultilevel"/>
    <w:tmpl w:val="327E5C64"/>
    <w:lvl w:ilvl="0" w:tplc="08D8AEB2">
      <w:start w:val="1"/>
      <w:numFmt w:val="lowerRoman"/>
      <w:lvlText w:val="(%1)"/>
      <w:lvlJc w:val="left"/>
      <w:pPr>
        <w:ind w:left="2345" w:hanging="360"/>
      </w:pPr>
      <w:rPr>
        <w:rFonts w:hint="default"/>
      </w:rPr>
    </w:lvl>
    <w:lvl w:ilvl="1" w:tplc="1C090019" w:tentative="1">
      <w:start w:val="1"/>
      <w:numFmt w:val="lowerLetter"/>
      <w:lvlText w:val="%2."/>
      <w:lvlJc w:val="left"/>
      <w:pPr>
        <w:ind w:left="2880" w:hanging="360"/>
      </w:pPr>
    </w:lvl>
    <w:lvl w:ilvl="2" w:tplc="1C09001B" w:tentative="1">
      <w:start w:val="1"/>
      <w:numFmt w:val="lowerRoman"/>
      <w:lvlText w:val="%3."/>
      <w:lvlJc w:val="right"/>
      <w:pPr>
        <w:ind w:left="3600" w:hanging="180"/>
      </w:pPr>
    </w:lvl>
    <w:lvl w:ilvl="3" w:tplc="1C09000F" w:tentative="1">
      <w:start w:val="1"/>
      <w:numFmt w:val="decimal"/>
      <w:lvlText w:val="%4."/>
      <w:lvlJc w:val="left"/>
      <w:pPr>
        <w:ind w:left="4320" w:hanging="360"/>
      </w:pPr>
    </w:lvl>
    <w:lvl w:ilvl="4" w:tplc="1C090019" w:tentative="1">
      <w:start w:val="1"/>
      <w:numFmt w:val="lowerLetter"/>
      <w:lvlText w:val="%5."/>
      <w:lvlJc w:val="left"/>
      <w:pPr>
        <w:ind w:left="5040" w:hanging="360"/>
      </w:pPr>
    </w:lvl>
    <w:lvl w:ilvl="5" w:tplc="1C09001B" w:tentative="1">
      <w:start w:val="1"/>
      <w:numFmt w:val="lowerRoman"/>
      <w:lvlText w:val="%6."/>
      <w:lvlJc w:val="right"/>
      <w:pPr>
        <w:ind w:left="5760" w:hanging="180"/>
      </w:pPr>
    </w:lvl>
    <w:lvl w:ilvl="6" w:tplc="1C09000F" w:tentative="1">
      <w:start w:val="1"/>
      <w:numFmt w:val="decimal"/>
      <w:lvlText w:val="%7."/>
      <w:lvlJc w:val="left"/>
      <w:pPr>
        <w:ind w:left="6480" w:hanging="360"/>
      </w:pPr>
    </w:lvl>
    <w:lvl w:ilvl="7" w:tplc="1C090019" w:tentative="1">
      <w:start w:val="1"/>
      <w:numFmt w:val="lowerLetter"/>
      <w:lvlText w:val="%8."/>
      <w:lvlJc w:val="left"/>
      <w:pPr>
        <w:ind w:left="7200" w:hanging="360"/>
      </w:pPr>
    </w:lvl>
    <w:lvl w:ilvl="8" w:tplc="1C09001B" w:tentative="1">
      <w:start w:val="1"/>
      <w:numFmt w:val="lowerRoman"/>
      <w:lvlText w:val="%9."/>
      <w:lvlJc w:val="right"/>
      <w:pPr>
        <w:ind w:left="7920" w:hanging="180"/>
      </w:pPr>
    </w:lvl>
  </w:abstractNum>
  <w:abstractNum w:abstractNumId="22" w15:restartNumberingAfterBreak="0">
    <w:nsid w:val="74E376D1"/>
    <w:multiLevelType w:val="hybridMultilevel"/>
    <w:tmpl w:val="3B766CBA"/>
    <w:lvl w:ilvl="0" w:tplc="AB4AE372">
      <w:start w:val="2"/>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3" w15:restartNumberingAfterBreak="0">
    <w:nsid w:val="76804F5E"/>
    <w:multiLevelType w:val="hybridMultilevel"/>
    <w:tmpl w:val="37203C76"/>
    <w:lvl w:ilvl="0" w:tplc="1C09001B">
      <w:start w:val="1"/>
      <w:numFmt w:val="lowerRoman"/>
      <w:lvlText w:val="%1."/>
      <w:lvlJc w:val="right"/>
      <w:pPr>
        <w:ind w:left="1440" w:hanging="360"/>
      </w:pPr>
    </w:lvl>
    <w:lvl w:ilvl="1" w:tplc="1C09001B">
      <w:start w:val="1"/>
      <w:numFmt w:val="lowerRoman"/>
      <w:lvlText w:val="%2."/>
      <w:lvlJc w:val="right"/>
      <w:pPr>
        <w:ind w:left="2160" w:hanging="360"/>
      </w:pPr>
    </w:lvl>
    <w:lvl w:ilvl="2" w:tplc="08D8AEB2">
      <w:start w:val="1"/>
      <w:numFmt w:val="lowerRoman"/>
      <w:lvlText w:val="(%3)"/>
      <w:lvlJc w:val="left"/>
      <w:pPr>
        <w:ind w:left="2306" w:hanging="180"/>
      </w:pPr>
      <w:rPr>
        <w:rFonts w:hint="default"/>
      </w:r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num w:numId="1">
    <w:abstractNumId w:val="3"/>
  </w:num>
  <w:num w:numId="2">
    <w:abstractNumId w:val="1"/>
  </w:num>
  <w:num w:numId="3">
    <w:abstractNumId w:val="23"/>
  </w:num>
  <w:num w:numId="4">
    <w:abstractNumId w:val="9"/>
  </w:num>
  <w:num w:numId="5">
    <w:abstractNumId w:val="20"/>
  </w:num>
  <w:num w:numId="6">
    <w:abstractNumId w:val="7"/>
  </w:num>
  <w:num w:numId="7">
    <w:abstractNumId w:val="2"/>
  </w:num>
  <w:num w:numId="8">
    <w:abstractNumId w:val="14"/>
  </w:num>
  <w:num w:numId="9">
    <w:abstractNumId w:val="10"/>
  </w:num>
  <w:num w:numId="10">
    <w:abstractNumId w:val="15"/>
  </w:num>
  <w:num w:numId="11">
    <w:abstractNumId w:val="22"/>
  </w:num>
  <w:num w:numId="12">
    <w:abstractNumId w:val="5"/>
  </w:num>
  <w:num w:numId="13">
    <w:abstractNumId w:val="8"/>
  </w:num>
  <w:num w:numId="14">
    <w:abstractNumId w:val="4"/>
  </w:num>
  <w:num w:numId="15">
    <w:abstractNumId w:val="17"/>
  </w:num>
  <w:num w:numId="16">
    <w:abstractNumId w:val="11"/>
  </w:num>
  <w:num w:numId="17">
    <w:abstractNumId w:val="18"/>
  </w:num>
  <w:num w:numId="18">
    <w:abstractNumId w:val="13"/>
  </w:num>
  <w:num w:numId="19">
    <w:abstractNumId w:val="6"/>
  </w:num>
  <w:num w:numId="20">
    <w:abstractNumId w:val="16"/>
  </w:num>
  <w:num w:numId="21">
    <w:abstractNumId w:val="21"/>
  </w:num>
  <w:num w:numId="22">
    <w:abstractNumId w:val="12"/>
  </w:num>
  <w:num w:numId="2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9"/>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removePersonalInformation/>
  <w:removeDateAndTime/>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0183"/>
    <w:rsid w:val="00000EE4"/>
    <w:rsid w:val="00003278"/>
    <w:rsid w:val="00005702"/>
    <w:rsid w:val="00006F4B"/>
    <w:rsid w:val="00007C86"/>
    <w:rsid w:val="00014AC2"/>
    <w:rsid w:val="00016AA5"/>
    <w:rsid w:val="00020C1E"/>
    <w:rsid w:val="00021B45"/>
    <w:rsid w:val="00022F0C"/>
    <w:rsid w:val="00022F6A"/>
    <w:rsid w:val="00024949"/>
    <w:rsid w:val="00025AA2"/>
    <w:rsid w:val="00025F9F"/>
    <w:rsid w:val="000273E7"/>
    <w:rsid w:val="000313EF"/>
    <w:rsid w:val="0003222E"/>
    <w:rsid w:val="00032EB4"/>
    <w:rsid w:val="00033137"/>
    <w:rsid w:val="0003332C"/>
    <w:rsid w:val="0003374F"/>
    <w:rsid w:val="00034EDE"/>
    <w:rsid w:val="00035933"/>
    <w:rsid w:val="00036E88"/>
    <w:rsid w:val="0003714B"/>
    <w:rsid w:val="00041267"/>
    <w:rsid w:val="00043191"/>
    <w:rsid w:val="00043646"/>
    <w:rsid w:val="00043765"/>
    <w:rsid w:val="00043864"/>
    <w:rsid w:val="0004520D"/>
    <w:rsid w:val="00046E9A"/>
    <w:rsid w:val="00052D98"/>
    <w:rsid w:val="00053592"/>
    <w:rsid w:val="000565A5"/>
    <w:rsid w:val="000570BC"/>
    <w:rsid w:val="00057AC0"/>
    <w:rsid w:val="000603A7"/>
    <w:rsid w:val="00063ED5"/>
    <w:rsid w:val="00064F3B"/>
    <w:rsid w:val="00067177"/>
    <w:rsid w:val="000677D3"/>
    <w:rsid w:val="00070076"/>
    <w:rsid w:val="00070413"/>
    <w:rsid w:val="000704F2"/>
    <w:rsid w:val="00070B1A"/>
    <w:rsid w:val="00070F2C"/>
    <w:rsid w:val="00072A9F"/>
    <w:rsid w:val="000772F9"/>
    <w:rsid w:val="000774E2"/>
    <w:rsid w:val="000776B6"/>
    <w:rsid w:val="0008371B"/>
    <w:rsid w:val="000847E1"/>
    <w:rsid w:val="000856D0"/>
    <w:rsid w:val="00085FF5"/>
    <w:rsid w:val="0008678D"/>
    <w:rsid w:val="00087EDB"/>
    <w:rsid w:val="000901D2"/>
    <w:rsid w:val="0009114E"/>
    <w:rsid w:val="000916E1"/>
    <w:rsid w:val="00092EDA"/>
    <w:rsid w:val="00093E60"/>
    <w:rsid w:val="0009528A"/>
    <w:rsid w:val="00095A15"/>
    <w:rsid w:val="000963B4"/>
    <w:rsid w:val="000A14FF"/>
    <w:rsid w:val="000A176A"/>
    <w:rsid w:val="000A28D8"/>
    <w:rsid w:val="000A4CB5"/>
    <w:rsid w:val="000A52C9"/>
    <w:rsid w:val="000A5EC8"/>
    <w:rsid w:val="000A7F43"/>
    <w:rsid w:val="000B0C92"/>
    <w:rsid w:val="000B22E6"/>
    <w:rsid w:val="000B28CB"/>
    <w:rsid w:val="000C0061"/>
    <w:rsid w:val="000C08D5"/>
    <w:rsid w:val="000C0CE1"/>
    <w:rsid w:val="000C38CF"/>
    <w:rsid w:val="000C3D20"/>
    <w:rsid w:val="000C3E08"/>
    <w:rsid w:val="000C69FF"/>
    <w:rsid w:val="000C6C21"/>
    <w:rsid w:val="000C6FA8"/>
    <w:rsid w:val="000C7587"/>
    <w:rsid w:val="000D0067"/>
    <w:rsid w:val="000D1098"/>
    <w:rsid w:val="000D2649"/>
    <w:rsid w:val="000D33AB"/>
    <w:rsid w:val="000D3761"/>
    <w:rsid w:val="000D444B"/>
    <w:rsid w:val="000D4836"/>
    <w:rsid w:val="000D576D"/>
    <w:rsid w:val="000D78A4"/>
    <w:rsid w:val="000D7F7C"/>
    <w:rsid w:val="000E0E10"/>
    <w:rsid w:val="000E1726"/>
    <w:rsid w:val="000E37E6"/>
    <w:rsid w:val="000E4872"/>
    <w:rsid w:val="000E6CD8"/>
    <w:rsid w:val="000E7F03"/>
    <w:rsid w:val="000F1508"/>
    <w:rsid w:val="000F24A7"/>
    <w:rsid w:val="000F2DD5"/>
    <w:rsid w:val="000F37F0"/>
    <w:rsid w:val="000F5233"/>
    <w:rsid w:val="000F5758"/>
    <w:rsid w:val="000F7521"/>
    <w:rsid w:val="000F7591"/>
    <w:rsid w:val="000F7803"/>
    <w:rsid w:val="001016AC"/>
    <w:rsid w:val="00103F4C"/>
    <w:rsid w:val="0010409E"/>
    <w:rsid w:val="00104311"/>
    <w:rsid w:val="00105AEE"/>
    <w:rsid w:val="00107232"/>
    <w:rsid w:val="00112818"/>
    <w:rsid w:val="001129D5"/>
    <w:rsid w:val="001147D2"/>
    <w:rsid w:val="00117940"/>
    <w:rsid w:val="0012121B"/>
    <w:rsid w:val="00121BC1"/>
    <w:rsid w:val="0012330C"/>
    <w:rsid w:val="00123E7C"/>
    <w:rsid w:val="001266D2"/>
    <w:rsid w:val="00126AE5"/>
    <w:rsid w:val="00126FE4"/>
    <w:rsid w:val="00130011"/>
    <w:rsid w:val="00130040"/>
    <w:rsid w:val="00130934"/>
    <w:rsid w:val="001334C7"/>
    <w:rsid w:val="0014148F"/>
    <w:rsid w:val="001441C9"/>
    <w:rsid w:val="00144FC5"/>
    <w:rsid w:val="00146E62"/>
    <w:rsid w:val="00147325"/>
    <w:rsid w:val="00151BAF"/>
    <w:rsid w:val="0015227C"/>
    <w:rsid w:val="00154186"/>
    <w:rsid w:val="00156480"/>
    <w:rsid w:val="001579C8"/>
    <w:rsid w:val="001611B1"/>
    <w:rsid w:val="00161AB5"/>
    <w:rsid w:val="00165C28"/>
    <w:rsid w:val="001672F6"/>
    <w:rsid w:val="0016789C"/>
    <w:rsid w:val="00171105"/>
    <w:rsid w:val="0017293A"/>
    <w:rsid w:val="00174981"/>
    <w:rsid w:val="00174B1C"/>
    <w:rsid w:val="00175F8F"/>
    <w:rsid w:val="001763AB"/>
    <w:rsid w:val="00176A1F"/>
    <w:rsid w:val="00180C57"/>
    <w:rsid w:val="001814A3"/>
    <w:rsid w:val="00182C63"/>
    <w:rsid w:val="0018372B"/>
    <w:rsid w:val="00183FC9"/>
    <w:rsid w:val="001842D3"/>
    <w:rsid w:val="001869E0"/>
    <w:rsid w:val="00190938"/>
    <w:rsid w:val="00191173"/>
    <w:rsid w:val="001911E5"/>
    <w:rsid w:val="00191C56"/>
    <w:rsid w:val="00191E23"/>
    <w:rsid w:val="001927E9"/>
    <w:rsid w:val="00193702"/>
    <w:rsid w:val="00194B9C"/>
    <w:rsid w:val="00196539"/>
    <w:rsid w:val="00197171"/>
    <w:rsid w:val="00197403"/>
    <w:rsid w:val="001A25AF"/>
    <w:rsid w:val="001A5C60"/>
    <w:rsid w:val="001A6D8B"/>
    <w:rsid w:val="001A6F9F"/>
    <w:rsid w:val="001A789D"/>
    <w:rsid w:val="001B14C9"/>
    <w:rsid w:val="001B4043"/>
    <w:rsid w:val="001B49B5"/>
    <w:rsid w:val="001B4C29"/>
    <w:rsid w:val="001B4DBF"/>
    <w:rsid w:val="001C0096"/>
    <w:rsid w:val="001C050A"/>
    <w:rsid w:val="001C33E5"/>
    <w:rsid w:val="001C3720"/>
    <w:rsid w:val="001C5E82"/>
    <w:rsid w:val="001C5E8E"/>
    <w:rsid w:val="001D1920"/>
    <w:rsid w:val="001D31D7"/>
    <w:rsid w:val="001D36E5"/>
    <w:rsid w:val="001D5503"/>
    <w:rsid w:val="001D7935"/>
    <w:rsid w:val="001D7A2C"/>
    <w:rsid w:val="001E13F4"/>
    <w:rsid w:val="001E4463"/>
    <w:rsid w:val="001E4464"/>
    <w:rsid w:val="001E744F"/>
    <w:rsid w:val="001E7600"/>
    <w:rsid w:val="001F0BD3"/>
    <w:rsid w:val="001F290C"/>
    <w:rsid w:val="001F30AF"/>
    <w:rsid w:val="001F4C65"/>
    <w:rsid w:val="001F5A95"/>
    <w:rsid w:val="001F798B"/>
    <w:rsid w:val="00201D7A"/>
    <w:rsid w:val="00202F3B"/>
    <w:rsid w:val="00204FEB"/>
    <w:rsid w:val="002057A0"/>
    <w:rsid w:val="002079E7"/>
    <w:rsid w:val="00207E46"/>
    <w:rsid w:val="00210BAE"/>
    <w:rsid w:val="0021108D"/>
    <w:rsid w:val="002121C1"/>
    <w:rsid w:val="00213758"/>
    <w:rsid w:val="002138B6"/>
    <w:rsid w:val="00215903"/>
    <w:rsid w:val="002170F6"/>
    <w:rsid w:val="00217340"/>
    <w:rsid w:val="0022064E"/>
    <w:rsid w:val="002207B5"/>
    <w:rsid w:val="002208F2"/>
    <w:rsid w:val="00221975"/>
    <w:rsid w:val="00221B10"/>
    <w:rsid w:val="002224A7"/>
    <w:rsid w:val="002229C3"/>
    <w:rsid w:val="002234A4"/>
    <w:rsid w:val="002242B4"/>
    <w:rsid w:val="00225307"/>
    <w:rsid w:val="00225715"/>
    <w:rsid w:val="00225F7A"/>
    <w:rsid w:val="002266A8"/>
    <w:rsid w:val="00227C38"/>
    <w:rsid w:val="00230DE9"/>
    <w:rsid w:val="00232B8F"/>
    <w:rsid w:val="002338B9"/>
    <w:rsid w:val="00235B4C"/>
    <w:rsid w:val="00236C7B"/>
    <w:rsid w:val="00236F9A"/>
    <w:rsid w:val="00237342"/>
    <w:rsid w:val="00237E23"/>
    <w:rsid w:val="00241EF2"/>
    <w:rsid w:val="00242346"/>
    <w:rsid w:val="00243A0F"/>
    <w:rsid w:val="00244620"/>
    <w:rsid w:val="00244847"/>
    <w:rsid w:val="0024725F"/>
    <w:rsid w:val="00247F40"/>
    <w:rsid w:val="00251104"/>
    <w:rsid w:val="00251501"/>
    <w:rsid w:val="002515F0"/>
    <w:rsid w:val="0025276F"/>
    <w:rsid w:val="00252DE8"/>
    <w:rsid w:val="002565EE"/>
    <w:rsid w:val="002571D9"/>
    <w:rsid w:val="00257F71"/>
    <w:rsid w:val="002603D6"/>
    <w:rsid w:val="002629E8"/>
    <w:rsid w:val="00263DB8"/>
    <w:rsid w:val="00263F38"/>
    <w:rsid w:val="00266296"/>
    <w:rsid w:val="0027065D"/>
    <w:rsid w:val="00271551"/>
    <w:rsid w:val="00273399"/>
    <w:rsid w:val="0027580A"/>
    <w:rsid w:val="002761DA"/>
    <w:rsid w:val="00276588"/>
    <w:rsid w:val="00280363"/>
    <w:rsid w:val="00281789"/>
    <w:rsid w:val="002823FB"/>
    <w:rsid w:val="00285660"/>
    <w:rsid w:val="00286471"/>
    <w:rsid w:val="00287753"/>
    <w:rsid w:val="002932CA"/>
    <w:rsid w:val="002936BF"/>
    <w:rsid w:val="00295C91"/>
    <w:rsid w:val="002963FD"/>
    <w:rsid w:val="00296F06"/>
    <w:rsid w:val="002A05D5"/>
    <w:rsid w:val="002A09A7"/>
    <w:rsid w:val="002A1336"/>
    <w:rsid w:val="002A37E5"/>
    <w:rsid w:val="002A4754"/>
    <w:rsid w:val="002B1803"/>
    <w:rsid w:val="002B3642"/>
    <w:rsid w:val="002B3BED"/>
    <w:rsid w:val="002B42E3"/>
    <w:rsid w:val="002C3209"/>
    <w:rsid w:val="002C4D06"/>
    <w:rsid w:val="002C5F97"/>
    <w:rsid w:val="002C7AC5"/>
    <w:rsid w:val="002D1FD9"/>
    <w:rsid w:val="002D4B2E"/>
    <w:rsid w:val="002D57D8"/>
    <w:rsid w:val="002D6321"/>
    <w:rsid w:val="002D6E04"/>
    <w:rsid w:val="002E1405"/>
    <w:rsid w:val="002E185E"/>
    <w:rsid w:val="002E1AA1"/>
    <w:rsid w:val="002E238C"/>
    <w:rsid w:val="002E2739"/>
    <w:rsid w:val="002E4326"/>
    <w:rsid w:val="002E4857"/>
    <w:rsid w:val="002E4CF5"/>
    <w:rsid w:val="002E5E30"/>
    <w:rsid w:val="002E6740"/>
    <w:rsid w:val="002E68C9"/>
    <w:rsid w:val="002E6C24"/>
    <w:rsid w:val="002F3F12"/>
    <w:rsid w:val="002F6599"/>
    <w:rsid w:val="002F6DC7"/>
    <w:rsid w:val="002F76BE"/>
    <w:rsid w:val="0030112B"/>
    <w:rsid w:val="003014C7"/>
    <w:rsid w:val="00301B7F"/>
    <w:rsid w:val="0030201A"/>
    <w:rsid w:val="00304A50"/>
    <w:rsid w:val="00304AB1"/>
    <w:rsid w:val="003056AA"/>
    <w:rsid w:val="00305C72"/>
    <w:rsid w:val="00307FFC"/>
    <w:rsid w:val="00310951"/>
    <w:rsid w:val="00312E30"/>
    <w:rsid w:val="00314818"/>
    <w:rsid w:val="0031523C"/>
    <w:rsid w:val="00315F31"/>
    <w:rsid w:val="00317D2B"/>
    <w:rsid w:val="003204A8"/>
    <w:rsid w:val="003218B9"/>
    <w:rsid w:val="00322A24"/>
    <w:rsid w:val="003276EA"/>
    <w:rsid w:val="00327A4D"/>
    <w:rsid w:val="0033078E"/>
    <w:rsid w:val="00330B94"/>
    <w:rsid w:val="0033447F"/>
    <w:rsid w:val="00336E25"/>
    <w:rsid w:val="00341131"/>
    <w:rsid w:val="00344988"/>
    <w:rsid w:val="00344B37"/>
    <w:rsid w:val="00344B97"/>
    <w:rsid w:val="00344D6B"/>
    <w:rsid w:val="00345EFD"/>
    <w:rsid w:val="00346927"/>
    <w:rsid w:val="00356078"/>
    <w:rsid w:val="00357775"/>
    <w:rsid w:val="00360656"/>
    <w:rsid w:val="0036123D"/>
    <w:rsid w:val="003624A7"/>
    <w:rsid w:val="003629E0"/>
    <w:rsid w:val="00363068"/>
    <w:rsid w:val="00363369"/>
    <w:rsid w:val="0036397F"/>
    <w:rsid w:val="003644DF"/>
    <w:rsid w:val="00364E4D"/>
    <w:rsid w:val="00366563"/>
    <w:rsid w:val="00367A3C"/>
    <w:rsid w:val="0037029B"/>
    <w:rsid w:val="0037084A"/>
    <w:rsid w:val="00371FE0"/>
    <w:rsid w:val="00373370"/>
    <w:rsid w:val="00373CE5"/>
    <w:rsid w:val="00377F6E"/>
    <w:rsid w:val="00380168"/>
    <w:rsid w:val="00381813"/>
    <w:rsid w:val="0038197E"/>
    <w:rsid w:val="00381C8B"/>
    <w:rsid w:val="00381E96"/>
    <w:rsid w:val="0038251E"/>
    <w:rsid w:val="003837F4"/>
    <w:rsid w:val="0038558B"/>
    <w:rsid w:val="003859AF"/>
    <w:rsid w:val="00385EB2"/>
    <w:rsid w:val="00386799"/>
    <w:rsid w:val="00386F56"/>
    <w:rsid w:val="00386F58"/>
    <w:rsid w:val="00386FCB"/>
    <w:rsid w:val="00387EF8"/>
    <w:rsid w:val="00392AA7"/>
    <w:rsid w:val="00395788"/>
    <w:rsid w:val="00396C9E"/>
    <w:rsid w:val="00396E42"/>
    <w:rsid w:val="003974A6"/>
    <w:rsid w:val="00397FA8"/>
    <w:rsid w:val="003A17D3"/>
    <w:rsid w:val="003A18CF"/>
    <w:rsid w:val="003A2740"/>
    <w:rsid w:val="003A2DBA"/>
    <w:rsid w:val="003A3AA9"/>
    <w:rsid w:val="003A3C4A"/>
    <w:rsid w:val="003A58F6"/>
    <w:rsid w:val="003A6973"/>
    <w:rsid w:val="003B0586"/>
    <w:rsid w:val="003B09AA"/>
    <w:rsid w:val="003B12C2"/>
    <w:rsid w:val="003B28CB"/>
    <w:rsid w:val="003B2D8F"/>
    <w:rsid w:val="003B4A84"/>
    <w:rsid w:val="003B70EA"/>
    <w:rsid w:val="003C03A2"/>
    <w:rsid w:val="003C3078"/>
    <w:rsid w:val="003C4572"/>
    <w:rsid w:val="003C5CF6"/>
    <w:rsid w:val="003C7B6C"/>
    <w:rsid w:val="003D14AA"/>
    <w:rsid w:val="003D1901"/>
    <w:rsid w:val="003D6ACF"/>
    <w:rsid w:val="003D6DF8"/>
    <w:rsid w:val="003D6E5A"/>
    <w:rsid w:val="003E0536"/>
    <w:rsid w:val="003E1EC6"/>
    <w:rsid w:val="003E27CF"/>
    <w:rsid w:val="003E6BA4"/>
    <w:rsid w:val="003E6EB5"/>
    <w:rsid w:val="003F086B"/>
    <w:rsid w:val="003F142D"/>
    <w:rsid w:val="003F60C1"/>
    <w:rsid w:val="003F659B"/>
    <w:rsid w:val="003F6DBD"/>
    <w:rsid w:val="004012BB"/>
    <w:rsid w:val="00402F50"/>
    <w:rsid w:val="00404FA6"/>
    <w:rsid w:val="00405D1C"/>
    <w:rsid w:val="00405EC9"/>
    <w:rsid w:val="00405FF2"/>
    <w:rsid w:val="00407EA9"/>
    <w:rsid w:val="004109A3"/>
    <w:rsid w:val="004110F6"/>
    <w:rsid w:val="00411C90"/>
    <w:rsid w:val="00415A1C"/>
    <w:rsid w:val="00416E3D"/>
    <w:rsid w:val="004213A0"/>
    <w:rsid w:val="004214D6"/>
    <w:rsid w:val="00424A19"/>
    <w:rsid w:val="0043090F"/>
    <w:rsid w:val="004318BB"/>
    <w:rsid w:val="00432ABF"/>
    <w:rsid w:val="00432FED"/>
    <w:rsid w:val="004357F9"/>
    <w:rsid w:val="00436123"/>
    <w:rsid w:val="0043786B"/>
    <w:rsid w:val="0044097F"/>
    <w:rsid w:val="0044313C"/>
    <w:rsid w:val="0044754D"/>
    <w:rsid w:val="00447D1E"/>
    <w:rsid w:val="004525AC"/>
    <w:rsid w:val="00452A31"/>
    <w:rsid w:val="00453D14"/>
    <w:rsid w:val="004540C0"/>
    <w:rsid w:val="00457316"/>
    <w:rsid w:val="00460268"/>
    <w:rsid w:val="0046182E"/>
    <w:rsid w:val="004620BF"/>
    <w:rsid w:val="0046218B"/>
    <w:rsid w:val="00465865"/>
    <w:rsid w:val="004669C0"/>
    <w:rsid w:val="00472082"/>
    <w:rsid w:val="00473B9E"/>
    <w:rsid w:val="00474256"/>
    <w:rsid w:val="00474413"/>
    <w:rsid w:val="00475383"/>
    <w:rsid w:val="00477823"/>
    <w:rsid w:val="0048016E"/>
    <w:rsid w:val="00480DEF"/>
    <w:rsid w:val="00485EC5"/>
    <w:rsid w:val="0048637C"/>
    <w:rsid w:val="00492779"/>
    <w:rsid w:val="004928E2"/>
    <w:rsid w:val="00492988"/>
    <w:rsid w:val="004953E4"/>
    <w:rsid w:val="0049631D"/>
    <w:rsid w:val="004A0109"/>
    <w:rsid w:val="004A0745"/>
    <w:rsid w:val="004A14DE"/>
    <w:rsid w:val="004A25EF"/>
    <w:rsid w:val="004A48AA"/>
    <w:rsid w:val="004A513C"/>
    <w:rsid w:val="004A56BA"/>
    <w:rsid w:val="004A57D1"/>
    <w:rsid w:val="004A6512"/>
    <w:rsid w:val="004A6565"/>
    <w:rsid w:val="004A7925"/>
    <w:rsid w:val="004B31B2"/>
    <w:rsid w:val="004B5A34"/>
    <w:rsid w:val="004B5BEE"/>
    <w:rsid w:val="004C2AAE"/>
    <w:rsid w:val="004C3EFA"/>
    <w:rsid w:val="004C4847"/>
    <w:rsid w:val="004C577D"/>
    <w:rsid w:val="004C57CE"/>
    <w:rsid w:val="004C5E77"/>
    <w:rsid w:val="004C6B94"/>
    <w:rsid w:val="004C7588"/>
    <w:rsid w:val="004D02BA"/>
    <w:rsid w:val="004D13B0"/>
    <w:rsid w:val="004D2D0C"/>
    <w:rsid w:val="004D46AB"/>
    <w:rsid w:val="004D4C15"/>
    <w:rsid w:val="004D4CCB"/>
    <w:rsid w:val="004D56DA"/>
    <w:rsid w:val="004D619F"/>
    <w:rsid w:val="004D63D9"/>
    <w:rsid w:val="004E00EA"/>
    <w:rsid w:val="004E172E"/>
    <w:rsid w:val="004E2DA8"/>
    <w:rsid w:val="004E3677"/>
    <w:rsid w:val="004E3C49"/>
    <w:rsid w:val="004E4A47"/>
    <w:rsid w:val="004E4E00"/>
    <w:rsid w:val="004E665F"/>
    <w:rsid w:val="004E70D4"/>
    <w:rsid w:val="004E7B30"/>
    <w:rsid w:val="004F0591"/>
    <w:rsid w:val="004F27CE"/>
    <w:rsid w:val="004F3092"/>
    <w:rsid w:val="00502246"/>
    <w:rsid w:val="00503030"/>
    <w:rsid w:val="00504DB1"/>
    <w:rsid w:val="0050622E"/>
    <w:rsid w:val="00507025"/>
    <w:rsid w:val="00507418"/>
    <w:rsid w:val="00507429"/>
    <w:rsid w:val="00507452"/>
    <w:rsid w:val="0051384C"/>
    <w:rsid w:val="00513E5D"/>
    <w:rsid w:val="0051434F"/>
    <w:rsid w:val="00516DE7"/>
    <w:rsid w:val="0052015A"/>
    <w:rsid w:val="005247F5"/>
    <w:rsid w:val="00525878"/>
    <w:rsid w:val="00526098"/>
    <w:rsid w:val="00526CE6"/>
    <w:rsid w:val="005305E2"/>
    <w:rsid w:val="005314E0"/>
    <w:rsid w:val="00533037"/>
    <w:rsid w:val="00533AE1"/>
    <w:rsid w:val="00534022"/>
    <w:rsid w:val="00535E74"/>
    <w:rsid w:val="00536EB7"/>
    <w:rsid w:val="00537190"/>
    <w:rsid w:val="00537415"/>
    <w:rsid w:val="005414D7"/>
    <w:rsid w:val="00542F53"/>
    <w:rsid w:val="005437D4"/>
    <w:rsid w:val="00543CA5"/>
    <w:rsid w:val="00544FAD"/>
    <w:rsid w:val="0054699A"/>
    <w:rsid w:val="00546B72"/>
    <w:rsid w:val="00551766"/>
    <w:rsid w:val="00551E72"/>
    <w:rsid w:val="00552487"/>
    <w:rsid w:val="005527EE"/>
    <w:rsid w:val="00554E36"/>
    <w:rsid w:val="00554FA6"/>
    <w:rsid w:val="00556267"/>
    <w:rsid w:val="00556A46"/>
    <w:rsid w:val="00560387"/>
    <w:rsid w:val="005613CF"/>
    <w:rsid w:val="005615C3"/>
    <w:rsid w:val="005627D3"/>
    <w:rsid w:val="005631B0"/>
    <w:rsid w:val="0056521F"/>
    <w:rsid w:val="00566893"/>
    <w:rsid w:val="0056742C"/>
    <w:rsid w:val="005676B4"/>
    <w:rsid w:val="00567827"/>
    <w:rsid w:val="0057465A"/>
    <w:rsid w:val="00577A1C"/>
    <w:rsid w:val="00580A1F"/>
    <w:rsid w:val="00583490"/>
    <w:rsid w:val="005846BF"/>
    <w:rsid w:val="0058510A"/>
    <w:rsid w:val="005870D8"/>
    <w:rsid w:val="00590B22"/>
    <w:rsid w:val="00590C08"/>
    <w:rsid w:val="0059450D"/>
    <w:rsid w:val="00596502"/>
    <w:rsid w:val="005971F9"/>
    <w:rsid w:val="0059786A"/>
    <w:rsid w:val="005A1A06"/>
    <w:rsid w:val="005A2886"/>
    <w:rsid w:val="005A4526"/>
    <w:rsid w:val="005A464D"/>
    <w:rsid w:val="005A5801"/>
    <w:rsid w:val="005A650E"/>
    <w:rsid w:val="005B400C"/>
    <w:rsid w:val="005B44B1"/>
    <w:rsid w:val="005C01C8"/>
    <w:rsid w:val="005C04D9"/>
    <w:rsid w:val="005C2937"/>
    <w:rsid w:val="005C37A9"/>
    <w:rsid w:val="005C38E5"/>
    <w:rsid w:val="005C650D"/>
    <w:rsid w:val="005D0214"/>
    <w:rsid w:val="005D0531"/>
    <w:rsid w:val="005D4ABB"/>
    <w:rsid w:val="005D4D9C"/>
    <w:rsid w:val="005D731B"/>
    <w:rsid w:val="005E07C7"/>
    <w:rsid w:val="005E144E"/>
    <w:rsid w:val="005E21D2"/>
    <w:rsid w:val="005E5315"/>
    <w:rsid w:val="005E66FC"/>
    <w:rsid w:val="005E70A9"/>
    <w:rsid w:val="005F25A8"/>
    <w:rsid w:val="005F2EE3"/>
    <w:rsid w:val="005F7088"/>
    <w:rsid w:val="005F7F4B"/>
    <w:rsid w:val="0060171E"/>
    <w:rsid w:val="00601A88"/>
    <w:rsid w:val="00601E02"/>
    <w:rsid w:val="00604140"/>
    <w:rsid w:val="006042AF"/>
    <w:rsid w:val="00604C5A"/>
    <w:rsid w:val="00604C70"/>
    <w:rsid w:val="00605E97"/>
    <w:rsid w:val="006063B5"/>
    <w:rsid w:val="00610834"/>
    <w:rsid w:val="00611E98"/>
    <w:rsid w:val="00614C13"/>
    <w:rsid w:val="00616D5E"/>
    <w:rsid w:val="00617F45"/>
    <w:rsid w:val="00622393"/>
    <w:rsid w:val="00622EA6"/>
    <w:rsid w:val="00622F01"/>
    <w:rsid w:val="00623132"/>
    <w:rsid w:val="00623343"/>
    <w:rsid w:val="00623434"/>
    <w:rsid w:val="00624125"/>
    <w:rsid w:val="00624A20"/>
    <w:rsid w:val="00625F4B"/>
    <w:rsid w:val="006267E2"/>
    <w:rsid w:val="0063024F"/>
    <w:rsid w:val="00631616"/>
    <w:rsid w:val="00631C7C"/>
    <w:rsid w:val="00633609"/>
    <w:rsid w:val="00636B7F"/>
    <w:rsid w:val="0064118D"/>
    <w:rsid w:val="006415A3"/>
    <w:rsid w:val="00641C73"/>
    <w:rsid w:val="0064239B"/>
    <w:rsid w:val="00643F3A"/>
    <w:rsid w:val="006463CA"/>
    <w:rsid w:val="006467E0"/>
    <w:rsid w:val="00647532"/>
    <w:rsid w:val="00650BF9"/>
    <w:rsid w:val="00653076"/>
    <w:rsid w:val="00653267"/>
    <w:rsid w:val="00657622"/>
    <w:rsid w:val="00657B43"/>
    <w:rsid w:val="0066005D"/>
    <w:rsid w:val="006612CB"/>
    <w:rsid w:val="00662ABD"/>
    <w:rsid w:val="00662B3D"/>
    <w:rsid w:val="00663E90"/>
    <w:rsid w:val="00664CB7"/>
    <w:rsid w:val="00664F67"/>
    <w:rsid w:val="006709ED"/>
    <w:rsid w:val="0067159E"/>
    <w:rsid w:val="00672061"/>
    <w:rsid w:val="006724E0"/>
    <w:rsid w:val="0067644D"/>
    <w:rsid w:val="00676857"/>
    <w:rsid w:val="00682906"/>
    <w:rsid w:val="0068319F"/>
    <w:rsid w:val="00683B24"/>
    <w:rsid w:val="0068692D"/>
    <w:rsid w:val="0069128C"/>
    <w:rsid w:val="006915A6"/>
    <w:rsid w:val="00693320"/>
    <w:rsid w:val="0069600F"/>
    <w:rsid w:val="0069696B"/>
    <w:rsid w:val="0069706C"/>
    <w:rsid w:val="006A0D9A"/>
    <w:rsid w:val="006A0DFF"/>
    <w:rsid w:val="006A213A"/>
    <w:rsid w:val="006A4481"/>
    <w:rsid w:val="006A6304"/>
    <w:rsid w:val="006B3716"/>
    <w:rsid w:val="006B5D7C"/>
    <w:rsid w:val="006B5E71"/>
    <w:rsid w:val="006C200B"/>
    <w:rsid w:val="006D012B"/>
    <w:rsid w:val="006D1E8E"/>
    <w:rsid w:val="006D21A9"/>
    <w:rsid w:val="006D281B"/>
    <w:rsid w:val="006D4B29"/>
    <w:rsid w:val="006D696C"/>
    <w:rsid w:val="006D7F16"/>
    <w:rsid w:val="006E0C10"/>
    <w:rsid w:val="006E11E6"/>
    <w:rsid w:val="006E2AE9"/>
    <w:rsid w:val="006E3649"/>
    <w:rsid w:val="006E3711"/>
    <w:rsid w:val="006E75DE"/>
    <w:rsid w:val="006F0792"/>
    <w:rsid w:val="006F2802"/>
    <w:rsid w:val="006F2900"/>
    <w:rsid w:val="006F42FD"/>
    <w:rsid w:val="006F5BD8"/>
    <w:rsid w:val="006F60F3"/>
    <w:rsid w:val="006F7109"/>
    <w:rsid w:val="0070094F"/>
    <w:rsid w:val="007025E4"/>
    <w:rsid w:val="007038B4"/>
    <w:rsid w:val="00703C74"/>
    <w:rsid w:val="00704654"/>
    <w:rsid w:val="00705FFE"/>
    <w:rsid w:val="007062BC"/>
    <w:rsid w:val="00706D3D"/>
    <w:rsid w:val="00707F8C"/>
    <w:rsid w:val="00711C46"/>
    <w:rsid w:val="007129D3"/>
    <w:rsid w:val="00713B56"/>
    <w:rsid w:val="00713E94"/>
    <w:rsid w:val="0071491F"/>
    <w:rsid w:val="00717A05"/>
    <w:rsid w:val="00720152"/>
    <w:rsid w:val="007203C1"/>
    <w:rsid w:val="007209DC"/>
    <w:rsid w:val="00721745"/>
    <w:rsid w:val="007229D6"/>
    <w:rsid w:val="00726B86"/>
    <w:rsid w:val="007270D9"/>
    <w:rsid w:val="00730113"/>
    <w:rsid w:val="007309A3"/>
    <w:rsid w:val="00733641"/>
    <w:rsid w:val="007357F6"/>
    <w:rsid w:val="00736990"/>
    <w:rsid w:val="00741206"/>
    <w:rsid w:val="0074196D"/>
    <w:rsid w:val="00741A4D"/>
    <w:rsid w:val="007446C9"/>
    <w:rsid w:val="00744A6A"/>
    <w:rsid w:val="007459C4"/>
    <w:rsid w:val="007521FF"/>
    <w:rsid w:val="00752641"/>
    <w:rsid w:val="007533E1"/>
    <w:rsid w:val="00753E2B"/>
    <w:rsid w:val="00753EC1"/>
    <w:rsid w:val="00755292"/>
    <w:rsid w:val="00755568"/>
    <w:rsid w:val="00760207"/>
    <w:rsid w:val="00760792"/>
    <w:rsid w:val="00760A75"/>
    <w:rsid w:val="00763B01"/>
    <w:rsid w:val="00764B50"/>
    <w:rsid w:val="007650BA"/>
    <w:rsid w:val="007671A3"/>
    <w:rsid w:val="00770779"/>
    <w:rsid w:val="007716D6"/>
    <w:rsid w:val="00772C06"/>
    <w:rsid w:val="00773F49"/>
    <w:rsid w:val="00774025"/>
    <w:rsid w:val="0077451C"/>
    <w:rsid w:val="007756FA"/>
    <w:rsid w:val="007765F9"/>
    <w:rsid w:val="00777D18"/>
    <w:rsid w:val="00782690"/>
    <w:rsid w:val="00785CE9"/>
    <w:rsid w:val="007920CE"/>
    <w:rsid w:val="007929D0"/>
    <w:rsid w:val="007947C8"/>
    <w:rsid w:val="007956B0"/>
    <w:rsid w:val="00795D7F"/>
    <w:rsid w:val="00796261"/>
    <w:rsid w:val="00796566"/>
    <w:rsid w:val="007A0102"/>
    <w:rsid w:val="007A0744"/>
    <w:rsid w:val="007A0AD5"/>
    <w:rsid w:val="007A25C4"/>
    <w:rsid w:val="007A3A2C"/>
    <w:rsid w:val="007A49F0"/>
    <w:rsid w:val="007A5275"/>
    <w:rsid w:val="007A5F89"/>
    <w:rsid w:val="007A7650"/>
    <w:rsid w:val="007A788C"/>
    <w:rsid w:val="007B0F3D"/>
    <w:rsid w:val="007B29BD"/>
    <w:rsid w:val="007B4DBF"/>
    <w:rsid w:val="007B68EA"/>
    <w:rsid w:val="007B7B21"/>
    <w:rsid w:val="007C1393"/>
    <w:rsid w:val="007C17BE"/>
    <w:rsid w:val="007C18B9"/>
    <w:rsid w:val="007C1E25"/>
    <w:rsid w:val="007C2FC8"/>
    <w:rsid w:val="007C4840"/>
    <w:rsid w:val="007C49FD"/>
    <w:rsid w:val="007C547F"/>
    <w:rsid w:val="007D0C23"/>
    <w:rsid w:val="007D1629"/>
    <w:rsid w:val="007D1A0C"/>
    <w:rsid w:val="007D23CC"/>
    <w:rsid w:val="007D2A93"/>
    <w:rsid w:val="007D6503"/>
    <w:rsid w:val="007D791A"/>
    <w:rsid w:val="007E21A8"/>
    <w:rsid w:val="007E2283"/>
    <w:rsid w:val="007E403C"/>
    <w:rsid w:val="007E68A0"/>
    <w:rsid w:val="007E6C26"/>
    <w:rsid w:val="007F00BB"/>
    <w:rsid w:val="007F5207"/>
    <w:rsid w:val="008036CF"/>
    <w:rsid w:val="00806958"/>
    <w:rsid w:val="0080725C"/>
    <w:rsid w:val="00807338"/>
    <w:rsid w:val="00807A5D"/>
    <w:rsid w:val="0081242B"/>
    <w:rsid w:val="0081422F"/>
    <w:rsid w:val="00815C02"/>
    <w:rsid w:val="0082173B"/>
    <w:rsid w:val="00821E5A"/>
    <w:rsid w:val="00822565"/>
    <w:rsid w:val="00825D56"/>
    <w:rsid w:val="00827164"/>
    <w:rsid w:val="0083254E"/>
    <w:rsid w:val="008326BB"/>
    <w:rsid w:val="0083299A"/>
    <w:rsid w:val="00832A1E"/>
    <w:rsid w:val="00833C96"/>
    <w:rsid w:val="00834270"/>
    <w:rsid w:val="0083427B"/>
    <w:rsid w:val="00834803"/>
    <w:rsid w:val="00835B57"/>
    <w:rsid w:val="00835C96"/>
    <w:rsid w:val="00836E85"/>
    <w:rsid w:val="00837452"/>
    <w:rsid w:val="00837DFE"/>
    <w:rsid w:val="00840C1C"/>
    <w:rsid w:val="00842678"/>
    <w:rsid w:val="00842BCA"/>
    <w:rsid w:val="00843583"/>
    <w:rsid w:val="008471BB"/>
    <w:rsid w:val="00850CED"/>
    <w:rsid w:val="00851C3F"/>
    <w:rsid w:val="00851C76"/>
    <w:rsid w:val="00851D8D"/>
    <w:rsid w:val="00853D86"/>
    <w:rsid w:val="0085536E"/>
    <w:rsid w:val="008577C8"/>
    <w:rsid w:val="00860C4E"/>
    <w:rsid w:val="0086371B"/>
    <w:rsid w:val="0086373B"/>
    <w:rsid w:val="00866DD9"/>
    <w:rsid w:val="008672D8"/>
    <w:rsid w:val="00867999"/>
    <w:rsid w:val="0087001A"/>
    <w:rsid w:val="00871B53"/>
    <w:rsid w:val="0087217E"/>
    <w:rsid w:val="0087404A"/>
    <w:rsid w:val="00874BFD"/>
    <w:rsid w:val="0087653E"/>
    <w:rsid w:val="008771AB"/>
    <w:rsid w:val="00880192"/>
    <w:rsid w:val="00880218"/>
    <w:rsid w:val="00880F2E"/>
    <w:rsid w:val="00882192"/>
    <w:rsid w:val="00882773"/>
    <w:rsid w:val="00883B01"/>
    <w:rsid w:val="00884F4B"/>
    <w:rsid w:val="00885C4A"/>
    <w:rsid w:val="00886429"/>
    <w:rsid w:val="0089042E"/>
    <w:rsid w:val="008920E2"/>
    <w:rsid w:val="00892BD6"/>
    <w:rsid w:val="00893186"/>
    <w:rsid w:val="00893F46"/>
    <w:rsid w:val="00893F87"/>
    <w:rsid w:val="008940E2"/>
    <w:rsid w:val="0089410D"/>
    <w:rsid w:val="00894FF3"/>
    <w:rsid w:val="008967B0"/>
    <w:rsid w:val="008973F6"/>
    <w:rsid w:val="00897B62"/>
    <w:rsid w:val="008A0676"/>
    <w:rsid w:val="008A117D"/>
    <w:rsid w:val="008A3B70"/>
    <w:rsid w:val="008A3D92"/>
    <w:rsid w:val="008A4C4E"/>
    <w:rsid w:val="008A643D"/>
    <w:rsid w:val="008A698A"/>
    <w:rsid w:val="008B1882"/>
    <w:rsid w:val="008B3242"/>
    <w:rsid w:val="008B42F1"/>
    <w:rsid w:val="008B7172"/>
    <w:rsid w:val="008C67BC"/>
    <w:rsid w:val="008C6DFC"/>
    <w:rsid w:val="008C727F"/>
    <w:rsid w:val="008C7A65"/>
    <w:rsid w:val="008D0BBA"/>
    <w:rsid w:val="008D1C4E"/>
    <w:rsid w:val="008D3A17"/>
    <w:rsid w:val="008D4262"/>
    <w:rsid w:val="008D4526"/>
    <w:rsid w:val="008D4A17"/>
    <w:rsid w:val="008D4C4E"/>
    <w:rsid w:val="008D788C"/>
    <w:rsid w:val="008E2CED"/>
    <w:rsid w:val="008E31EF"/>
    <w:rsid w:val="008E3552"/>
    <w:rsid w:val="008E4D22"/>
    <w:rsid w:val="008E562C"/>
    <w:rsid w:val="008E5D9C"/>
    <w:rsid w:val="008E6725"/>
    <w:rsid w:val="008E7D69"/>
    <w:rsid w:val="008F0D2B"/>
    <w:rsid w:val="008F1AED"/>
    <w:rsid w:val="008F31D1"/>
    <w:rsid w:val="008F7248"/>
    <w:rsid w:val="009035F7"/>
    <w:rsid w:val="00903B1F"/>
    <w:rsid w:val="00904104"/>
    <w:rsid w:val="00905F45"/>
    <w:rsid w:val="00906433"/>
    <w:rsid w:val="009071D3"/>
    <w:rsid w:val="00911782"/>
    <w:rsid w:val="009127D0"/>
    <w:rsid w:val="009132D2"/>
    <w:rsid w:val="009167EA"/>
    <w:rsid w:val="00920570"/>
    <w:rsid w:val="0092079A"/>
    <w:rsid w:val="009211CF"/>
    <w:rsid w:val="0092197D"/>
    <w:rsid w:val="009224CB"/>
    <w:rsid w:val="00922C74"/>
    <w:rsid w:val="00923A7B"/>
    <w:rsid w:val="00924AF5"/>
    <w:rsid w:val="009251DA"/>
    <w:rsid w:val="00931C9F"/>
    <w:rsid w:val="009321A5"/>
    <w:rsid w:val="00934DC6"/>
    <w:rsid w:val="00937742"/>
    <w:rsid w:val="00937823"/>
    <w:rsid w:val="00940A0D"/>
    <w:rsid w:val="00941E10"/>
    <w:rsid w:val="00942CE2"/>
    <w:rsid w:val="0094352A"/>
    <w:rsid w:val="00943CE1"/>
    <w:rsid w:val="009474C8"/>
    <w:rsid w:val="0095155F"/>
    <w:rsid w:val="00953A5B"/>
    <w:rsid w:val="00954AB8"/>
    <w:rsid w:val="009550C8"/>
    <w:rsid w:val="0095573D"/>
    <w:rsid w:val="0095588E"/>
    <w:rsid w:val="009559B5"/>
    <w:rsid w:val="009568CD"/>
    <w:rsid w:val="00957E78"/>
    <w:rsid w:val="00962EE2"/>
    <w:rsid w:val="00973A63"/>
    <w:rsid w:val="00974B31"/>
    <w:rsid w:val="00976CEC"/>
    <w:rsid w:val="00977095"/>
    <w:rsid w:val="00977150"/>
    <w:rsid w:val="00977FB2"/>
    <w:rsid w:val="0098125F"/>
    <w:rsid w:val="0098219B"/>
    <w:rsid w:val="00985B82"/>
    <w:rsid w:val="00986919"/>
    <w:rsid w:val="00987555"/>
    <w:rsid w:val="00987B57"/>
    <w:rsid w:val="0099572E"/>
    <w:rsid w:val="00996CCA"/>
    <w:rsid w:val="0099780A"/>
    <w:rsid w:val="00997B8A"/>
    <w:rsid w:val="009A033E"/>
    <w:rsid w:val="009A50AE"/>
    <w:rsid w:val="009A5207"/>
    <w:rsid w:val="009A6234"/>
    <w:rsid w:val="009B2004"/>
    <w:rsid w:val="009B707C"/>
    <w:rsid w:val="009C0A58"/>
    <w:rsid w:val="009C1DC2"/>
    <w:rsid w:val="009C3649"/>
    <w:rsid w:val="009C3888"/>
    <w:rsid w:val="009D1076"/>
    <w:rsid w:val="009D23A6"/>
    <w:rsid w:val="009D25A4"/>
    <w:rsid w:val="009D34E1"/>
    <w:rsid w:val="009D7469"/>
    <w:rsid w:val="009D7749"/>
    <w:rsid w:val="009D7B4B"/>
    <w:rsid w:val="009E0287"/>
    <w:rsid w:val="009E08B9"/>
    <w:rsid w:val="009E12A3"/>
    <w:rsid w:val="009E179F"/>
    <w:rsid w:val="009E7305"/>
    <w:rsid w:val="009F0535"/>
    <w:rsid w:val="009F111D"/>
    <w:rsid w:val="009F17CC"/>
    <w:rsid w:val="009F2512"/>
    <w:rsid w:val="009F2553"/>
    <w:rsid w:val="009F38BC"/>
    <w:rsid w:val="009F514A"/>
    <w:rsid w:val="00A00022"/>
    <w:rsid w:val="00A004E2"/>
    <w:rsid w:val="00A02734"/>
    <w:rsid w:val="00A05D7F"/>
    <w:rsid w:val="00A06918"/>
    <w:rsid w:val="00A12ECB"/>
    <w:rsid w:val="00A16AFB"/>
    <w:rsid w:val="00A203C4"/>
    <w:rsid w:val="00A22E7F"/>
    <w:rsid w:val="00A23484"/>
    <w:rsid w:val="00A23869"/>
    <w:rsid w:val="00A252D7"/>
    <w:rsid w:val="00A2685D"/>
    <w:rsid w:val="00A279E4"/>
    <w:rsid w:val="00A30157"/>
    <w:rsid w:val="00A318CC"/>
    <w:rsid w:val="00A3213E"/>
    <w:rsid w:val="00A321A5"/>
    <w:rsid w:val="00A33F49"/>
    <w:rsid w:val="00A35CE0"/>
    <w:rsid w:val="00A35CF4"/>
    <w:rsid w:val="00A37B3A"/>
    <w:rsid w:val="00A37D63"/>
    <w:rsid w:val="00A37EB7"/>
    <w:rsid w:val="00A433B5"/>
    <w:rsid w:val="00A47835"/>
    <w:rsid w:val="00A52A43"/>
    <w:rsid w:val="00A53EC0"/>
    <w:rsid w:val="00A563FD"/>
    <w:rsid w:val="00A60404"/>
    <w:rsid w:val="00A62FBC"/>
    <w:rsid w:val="00A64B8B"/>
    <w:rsid w:val="00A64C0A"/>
    <w:rsid w:val="00A66132"/>
    <w:rsid w:val="00A675EC"/>
    <w:rsid w:val="00A7370C"/>
    <w:rsid w:val="00A7423F"/>
    <w:rsid w:val="00A752C1"/>
    <w:rsid w:val="00A80B95"/>
    <w:rsid w:val="00A81C1D"/>
    <w:rsid w:val="00A827EC"/>
    <w:rsid w:val="00A84563"/>
    <w:rsid w:val="00A8572F"/>
    <w:rsid w:val="00A857B7"/>
    <w:rsid w:val="00A870BA"/>
    <w:rsid w:val="00A93267"/>
    <w:rsid w:val="00A9329F"/>
    <w:rsid w:val="00A93C46"/>
    <w:rsid w:val="00A95FE1"/>
    <w:rsid w:val="00A96240"/>
    <w:rsid w:val="00A97332"/>
    <w:rsid w:val="00A97427"/>
    <w:rsid w:val="00A974DC"/>
    <w:rsid w:val="00AA0CE2"/>
    <w:rsid w:val="00AA460F"/>
    <w:rsid w:val="00AA490D"/>
    <w:rsid w:val="00AA6755"/>
    <w:rsid w:val="00AA6A61"/>
    <w:rsid w:val="00AA7A78"/>
    <w:rsid w:val="00AB3AB2"/>
    <w:rsid w:val="00AB4283"/>
    <w:rsid w:val="00AC010A"/>
    <w:rsid w:val="00AC1FA7"/>
    <w:rsid w:val="00AC2111"/>
    <w:rsid w:val="00AC2659"/>
    <w:rsid w:val="00AC2FB5"/>
    <w:rsid w:val="00AC2FD8"/>
    <w:rsid w:val="00AC3E46"/>
    <w:rsid w:val="00AC44EF"/>
    <w:rsid w:val="00AC46C1"/>
    <w:rsid w:val="00AC50F2"/>
    <w:rsid w:val="00AC57A0"/>
    <w:rsid w:val="00AD04B8"/>
    <w:rsid w:val="00AD04C9"/>
    <w:rsid w:val="00AD0DA9"/>
    <w:rsid w:val="00AD0E7D"/>
    <w:rsid w:val="00AD26D3"/>
    <w:rsid w:val="00AD2D1A"/>
    <w:rsid w:val="00AD35F4"/>
    <w:rsid w:val="00AD66EC"/>
    <w:rsid w:val="00AD7D86"/>
    <w:rsid w:val="00AE08B5"/>
    <w:rsid w:val="00AE1728"/>
    <w:rsid w:val="00AE50C8"/>
    <w:rsid w:val="00AE53F1"/>
    <w:rsid w:val="00AE7143"/>
    <w:rsid w:val="00AE7602"/>
    <w:rsid w:val="00AE7C01"/>
    <w:rsid w:val="00AF0FA0"/>
    <w:rsid w:val="00AF2E50"/>
    <w:rsid w:val="00AF35DD"/>
    <w:rsid w:val="00AF4CCB"/>
    <w:rsid w:val="00AF796A"/>
    <w:rsid w:val="00B0001C"/>
    <w:rsid w:val="00B00A80"/>
    <w:rsid w:val="00B014FB"/>
    <w:rsid w:val="00B01D9C"/>
    <w:rsid w:val="00B03DE8"/>
    <w:rsid w:val="00B057C7"/>
    <w:rsid w:val="00B10CA1"/>
    <w:rsid w:val="00B10CE1"/>
    <w:rsid w:val="00B11744"/>
    <w:rsid w:val="00B135AF"/>
    <w:rsid w:val="00B144AB"/>
    <w:rsid w:val="00B157C8"/>
    <w:rsid w:val="00B15840"/>
    <w:rsid w:val="00B16BB5"/>
    <w:rsid w:val="00B16E1E"/>
    <w:rsid w:val="00B23B6A"/>
    <w:rsid w:val="00B23E47"/>
    <w:rsid w:val="00B27526"/>
    <w:rsid w:val="00B3007A"/>
    <w:rsid w:val="00B30183"/>
    <w:rsid w:val="00B31BFB"/>
    <w:rsid w:val="00B31ED3"/>
    <w:rsid w:val="00B32011"/>
    <w:rsid w:val="00B32AB4"/>
    <w:rsid w:val="00B358F6"/>
    <w:rsid w:val="00B4409F"/>
    <w:rsid w:val="00B4489D"/>
    <w:rsid w:val="00B51330"/>
    <w:rsid w:val="00B51BD2"/>
    <w:rsid w:val="00B52589"/>
    <w:rsid w:val="00B53261"/>
    <w:rsid w:val="00B54B40"/>
    <w:rsid w:val="00B56F87"/>
    <w:rsid w:val="00B5773E"/>
    <w:rsid w:val="00B61BAB"/>
    <w:rsid w:val="00B63D63"/>
    <w:rsid w:val="00B64ADD"/>
    <w:rsid w:val="00B64C26"/>
    <w:rsid w:val="00B7017B"/>
    <w:rsid w:val="00B703F4"/>
    <w:rsid w:val="00B75573"/>
    <w:rsid w:val="00B8048E"/>
    <w:rsid w:val="00B81F77"/>
    <w:rsid w:val="00B82156"/>
    <w:rsid w:val="00B82200"/>
    <w:rsid w:val="00B838FE"/>
    <w:rsid w:val="00B84825"/>
    <w:rsid w:val="00B850E2"/>
    <w:rsid w:val="00B85541"/>
    <w:rsid w:val="00B8590B"/>
    <w:rsid w:val="00B87AC5"/>
    <w:rsid w:val="00B9630A"/>
    <w:rsid w:val="00B96FAD"/>
    <w:rsid w:val="00B97ED9"/>
    <w:rsid w:val="00BA0BB5"/>
    <w:rsid w:val="00BA1DE6"/>
    <w:rsid w:val="00BA2A99"/>
    <w:rsid w:val="00BA2F42"/>
    <w:rsid w:val="00BA3BEF"/>
    <w:rsid w:val="00BB028A"/>
    <w:rsid w:val="00BB0654"/>
    <w:rsid w:val="00BB312F"/>
    <w:rsid w:val="00BB36C9"/>
    <w:rsid w:val="00BB4E24"/>
    <w:rsid w:val="00BB509E"/>
    <w:rsid w:val="00BB59EB"/>
    <w:rsid w:val="00BB60CC"/>
    <w:rsid w:val="00BB661B"/>
    <w:rsid w:val="00BB6B09"/>
    <w:rsid w:val="00BC0D1F"/>
    <w:rsid w:val="00BC231D"/>
    <w:rsid w:val="00BC2F4C"/>
    <w:rsid w:val="00BC4679"/>
    <w:rsid w:val="00BD0174"/>
    <w:rsid w:val="00BD0195"/>
    <w:rsid w:val="00BD1207"/>
    <w:rsid w:val="00BD227E"/>
    <w:rsid w:val="00BD3C14"/>
    <w:rsid w:val="00BD3FA6"/>
    <w:rsid w:val="00BD48CE"/>
    <w:rsid w:val="00BD650A"/>
    <w:rsid w:val="00BE4761"/>
    <w:rsid w:val="00BE4C90"/>
    <w:rsid w:val="00BE50AD"/>
    <w:rsid w:val="00BE6CE8"/>
    <w:rsid w:val="00BE700A"/>
    <w:rsid w:val="00BE795E"/>
    <w:rsid w:val="00BF3824"/>
    <w:rsid w:val="00C0132C"/>
    <w:rsid w:val="00C0156F"/>
    <w:rsid w:val="00C02C07"/>
    <w:rsid w:val="00C034FE"/>
    <w:rsid w:val="00C04415"/>
    <w:rsid w:val="00C060FA"/>
    <w:rsid w:val="00C06228"/>
    <w:rsid w:val="00C066B6"/>
    <w:rsid w:val="00C079D2"/>
    <w:rsid w:val="00C07F8E"/>
    <w:rsid w:val="00C16A24"/>
    <w:rsid w:val="00C16E33"/>
    <w:rsid w:val="00C21F23"/>
    <w:rsid w:val="00C22F46"/>
    <w:rsid w:val="00C2361A"/>
    <w:rsid w:val="00C23AFF"/>
    <w:rsid w:val="00C261E4"/>
    <w:rsid w:val="00C311EC"/>
    <w:rsid w:val="00C3158F"/>
    <w:rsid w:val="00C32733"/>
    <w:rsid w:val="00C330A9"/>
    <w:rsid w:val="00C337BF"/>
    <w:rsid w:val="00C33ABA"/>
    <w:rsid w:val="00C3440D"/>
    <w:rsid w:val="00C3518A"/>
    <w:rsid w:val="00C37E55"/>
    <w:rsid w:val="00C37EF2"/>
    <w:rsid w:val="00C40300"/>
    <w:rsid w:val="00C422A3"/>
    <w:rsid w:val="00C439E4"/>
    <w:rsid w:val="00C44207"/>
    <w:rsid w:val="00C4460A"/>
    <w:rsid w:val="00C4481B"/>
    <w:rsid w:val="00C457D7"/>
    <w:rsid w:val="00C45D70"/>
    <w:rsid w:val="00C5026C"/>
    <w:rsid w:val="00C509F8"/>
    <w:rsid w:val="00C51413"/>
    <w:rsid w:val="00C5210C"/>
    <w:rsid w:val="00C55177"/>
    <w:rsid w:val="00C5550C"/>
    <w:rsid w:val="00C57FD2"/>
    <w:rsid w:val="00C6034D"/>
    <w:rsid w:val="00C61C6A"/>
    <w:rsid w:val="00C62878"/>
    <w:rsid w:val="00C63EEE"/>
    <w:rsid w:val="00C6428D"/>
    <w:rsid w:val="00C64926"/>
    <w:rsid w:val="00C64EC0"/>
    <w:rsid w:val="00C662AE"/>
    <w:rsid w:val="00C66567"/>
    <w:rsid w:val="00C67D73"/>
    <w:rsid w:val="00C70E45"/>
    <w:rsid w:val="00C72E94"/>
    <w:rsid w:val="00C73400"/>
    <w:rsid w:val="00C737C3"/>
    <w:rsid w:val="00C73A58"/>
    <w:rsid w:val="00C74761"/>
    <w:rsid w:val="00C74876"/>
    <w:rsid w:val="00C76723"/>
    <w:rsid w:val="00C80032"/>
    <w:rsid w:val="00C81E43"/>
    <w:rsid w:val="00C8555B"/>
    <w:rsid w:val="00C85635"/>
    <w:rsid w:val="00C85805"/>
    <w:rsid w:val="00C93268"/>
    <w:rsid w:val="00C93B11"/>
    <w:rsid w:val="00C95D7C"/>
    <w:rsid w:val="00C96538"/>
    <w:rsid w:val="00C97D18"/>
    <w:rsid w:val="00C97EBA"/>
    <w:rsid w:val="00CA158F"/>
    <w:rsid w:val="00CA3BF8"/>
    <w:rsid w:val="00CA3D25"/>
    <w:rsid w:val="00CA6ACC"/>
    <w:rsid w:val="00CB0191"/>
    <w:rsid w:val="00CB080B"/>
    <w:rsid w:val="00CB0CB2"/>
    <w:rsid w:val="00CB38B2"/>
    <w:rsid w:val="00CB6399"/>
    <w:rsid w:val="00CB63EA"/>
    <w:rsid w:val="00CB74B6"/>
    <w:rsid w:val="00CC0980"/>
    <w:rsid w:val="00CC158D"/>
    <w:rsid w:val="00CC2240"/>
    <w:rsid w:val="00CC28A4"/>
    <w:rsid w:val="00CC38E6"/>
    <w:rsid w:val="00CC6413"/>
    <w:rsid w:val="00CC6FCA"/>
    <w:rsid w:val="00CC77DA"/>
    <w:rsid w:val="00CC7E91"/>
    <w:rsid w:val="00CD1275"/>
    <w:rsid w:val="00CD2347"/>
    <w:rsid w:val="00CD2370"/>
    <w:rsid w:val="00CD2549"/>
    <w:rsid w:val="00CD4CE7"/>
    <w:rsid w:val="00CE1651"/>
    <w:rsid w:val="00CE59EA"/>
    <w:rsid w:val="00CE5F9F"/>
    <w:rsid w:val="00CE6586"/>
    <w:rsid w:val="00CF0044"/>
    <w:rsid w:val="00CF0775"/>
    <w:rsid w:val="00CF108B"/>
    <w:rsid w:val="00CF1685"/>
    <w:rsid w:val="00CF1F34"/>
    <w:rsid w:val="00CF3905"/>
    <w:rsid w:val="00CF45B9"/>
    <w:rsid w:val="00CF4624"/>
    <w:rsid w:val="00CF6447"/>
    <w:rsid w:val="00CF7541"/>
    <w:rsid w:val="00CF7690"/>
    <w:rsid w:val="00CF76ED"/>
    <w:rsid w:val="00D033C4"/>
    <w:rsid w:val="00D04440"/>
    <w:rsid w:val="00D04A9B"/>
    <w:rsid w:val="00D10846"/>
    <w:rsid w:val="00D120DA"/>
    <w:rsid w:val="00D16F91"/>
    <w:rsid w:val="00D20578"/>
    <w:rsid w:val="00D240F5"/>
    <w:rsid w:val="00D24B04"/>
    <w:rsid w:val="00D25D3A"/>
    <w:rsid w:val="00D27BF6"/>
    <w:rsid w:val="00D307E1"/>
    <w:rsid w:val="00D31730"/>
    <w:rsid w:val="00D40164"/>
    <w:rsid w:val="00D402B5"/>
    <w:rsid w:val="00D40DF8"/>
    <w:rsid w:val="00D41808"/>
    <w:rsid w:val="00D44430"/>
    <w:rsid w:val="00D4481B"/>
    <w:rsid w:val="00D50835"/>
    <w:rsid w:val="00D515CB"/>
    <w:rsid w:val="00D51991"/>
    <w:rsid w:val="00D54C48"/>
    <w:rsid w:val="00D54D9E"/>
    <w:rsid w:val="00D5593C"/>
    <w:rsid w:val="00D609A5"/>
    <w:rsid w:val="00D6225C"/>
    <w:rsid w:val="00D63959"/>
    <w:rsid w:val="00D63D62"/>
    <w:rsid w:val="00D65736"/>
    <w:rsid w:val="00D66499"/>
    <w:rsid w:val="00D713A2"/>
    <w:rsid w:val="00D7207D"/>
    <w:rsid w:val="00D73E73"/>
    <w:rsid w:val="00D76301"/>
    <w:rsid w:val="00D76A1F"/>
    <w:rsid w:val="00D81771"/>
    <w:rsid w:val="00D82104"/>
    <w:rsid w:val="00D82FA2"/>
    <w:rsid w:val="00D86763"/>
    <w:rsid w:val="00D87367"/>
    <w:rsid w:val="00D90040"/>
    <w:rsid w:val="00D9210E"/>
    <w:rsid w:val="00D9438D"/>
    <w:rsid w:val="00D944B0"/>
    <w:rsid w:val="00D96EB3"/>
    <w:rsid w:val="00D96FD2"/>
    <w:rsid w:val="00DA27EC"/>
    <w:rsid w:val="00DA32CC"/>
    <w:rsid w:val="00DA3954"/>
    <w:rsid w:val="00DA504D"/>
    <w:rsid w:val="00DA5AAD"/>
    <w:rsid w:val="00DA6145"/>
    <w:rsid w:val="00DA6657"/>
    <w:rsid w:val="00DA7CDD"/>
    <w:rsid w:val="00DB3839"/>
    <w:rsid w:val="00DB3ACD"/>
    <w:rsid w:val="00DB3FC8"/>
    <w:rsid w:val="00DB4070"/>
    <w:rsid w:val="00DB5ED3"/>
    <w:rsid w:val="00DB6EAA"/>
    <w:rsid w:val="00DC2211"/>
    <w:rsid w:val="00DC3163"/>
    <w:rsid w:val="00DC4F65"/>
    <w:rsid w:val="00DD173C"/>
    <w:rsid w:val="00DD29B2"/>
    <w:rsid w:val="00DD2C36"/>
    <w:rsid w:val="00DD477D"/>
    <w:rsid w:val="00DD49DC"/>
    <w:rsid w:val="00DD774D"/>
    <w:rsid w:val="00DE3C70"/>
    <w:rsid w:val="00DE47B6"/>
    <w:rsid w:val="00DE5821"/>
    <w:rsid w:val="00DE5BBA"/>
    <w:rsid w:val="00DE7926"/>
    <w:rsid w:val="00DE7E61"/>
    <w:rsid w:val="00DF3842"/>
    <w:rsid w:val="00DF42BC"/>
    <w:rsid w:val="00E00FF3"/>
    <w:rsid w:val="00E02C6F"/>
    <w:rsid w:val="00E0324D"/>
    <w:rsid w:val="00E065CC"/>
    <w:rsid w:val="00E06C6D"/>
    <w:rsid w:val="00E079AB"/>
    <w:rsid w:val="00E10416"/>
    <w:rsid w:val="00E11324"/>
    <w:rsid w:val="00E11895"/>
    <w:rsid w:val="00E11A40"/>
    <w:rsid w:val="00E12B0B"/>
    <w:rsid w:val="00E12D4B"/>
    <w:rsid w:val="00E14A55"/>
    <w:rsid w:val="00E210D3"/>
    <w:rsid w:val="00E230D7"/>
    <w:rsid w:val="00E231E3"/>
    <w:rsid w:val="00E25E75"/>
    <w:rsid w:val="00E270EC"/>
    <w:rsid w:val="00E27C7B"/>
    <w:rsid w:val="00E31AD9"/>
    <w:rsid w:val="00E329C7"/>
    <w:rsid w:val="00E3380A"/>
    <w:rsid w:val="00E3456B"/>
    <w:rsid w:val="00E356FF"/>
    <w:rsid w:val="00E3683D"/>
    <w:rsid w:val="00E41B79"/>
    <w:rsid w:val="00E430EE"/>
    <w:rsid w:val="00E45515"/>
    <w:rsid w:val="00E4607C"/>
    <w:rsid w:val="00E4636A"/>
    <w:rsid w:val="00E51050"/>
    <w:rsid w:val="00E51128"/>
    <w:rsid w:val="00E5275A"/>
    <w:rsid w:val="00E54CF2"/>
    <w:rsid w:val="00E56266"/>
    <w:rsid w:val="00E56560"/>
    <w:rsid w:val="00E56A35"/>
    <w:rsid w:val="00E60916"/>
    <w:rsid w:val="00E6328A"/>
    <w:rsid w:val="00E63C65"/>
    <w:rsid w:val="00E63F29"/>
    <w:rsid w:val="00E6438B"/>
    <w:rsid w:val="00E6756F"/>
    <w:rsid w:val="00E70761"/>
    <w:rsid w:val="00E72F97"/>
    <w:rsid w:val="00E77257"/>
    <w:rsid w:val="00E77A28"/>
    <w:rsid w:val="00E80A6F"/>
    <w:rsid w:val="00E82167"/>
    <w:rsid w:val="00E8304B"/>
    <w:rsid w:val="00E83799"/>
    <w:rsid w:val="00E840BB"/>
    <w:rsid w:val="00E84428"/>
    <w:rsid w:val="00E8514C"/>
    <w:rsid w:val="00E85C02"/>
    <w:rsid w:val="00E91D12"/>
    <w:rsid w:val="00E93A1B"/>
    <w:rsid w:val="00E9714A"/>
    <w:rsid w:val="00EA3F23"/>
    <w:rsid w:val="00EA42D0"/>
    <w:rsid w:val="00EA4324"/>
    <w:rsid w:val="00EA670E"/>
    <w:rsid w:val="00EB3843"/>
    <w:rsid w:val="00EB55F8"/>
    <w:rsid w:val="00EB6F41"/>
    <w:rsid w:val="00EB774A"/>
    <w:rsid w:val="00EC7680"/>
    <w:rsid w:val="00EC7734"/>
    <w:rsid w:val="00ED0FE3"/>
    <w:rsid w:val="00ED2543"/>
    <w:rsid w:val="00ED3257"/>
    <w:rsid w:val="00ED3ACA"/>
    <w:rsid w:val="00ED7919"/>
    <w:rsid w:val="00EE0046"/>
    <w:rsid w:val="00EE3251"/>
    <w:rsid w:val="00EE38F2"/>
    <w:rsid w:val="00EE6107"/>
    <w:rsid w:val="00EE6444"/>
    <w:rsid w:val="00EE660A"/>
    <w:rsid w:val="00EF1160"/>
    <w:rsid w:val="00EF3DBF"/>
    <w:rsid w:val="00EF48A4"/>
    <w:rsid w:val="00EF6B67"/>
    <w:rsid w:val="00EF6C7E"/>
    <w:rsid w:val="00EF7ABA"/>
    <w:rsid w:val="00F008DA"/>
    <w:rsid w:val="00F00FB4"/>
    <w:rsid w:val="00F013A0"/>
    <w:rsid w:val="00F05077"/>
    <w:rsid w:val="00F06BD8"/>
    <w:rsid w:val="00F0734F"/>
    <w:rsid w:val="00F122EF"/>
    <w:rsid w:val="00F12F57"/>
    <w:rsid w:val="00F17400"/>
    <w:rsid w:val="00F202E5"/>
    <w:rsid w:val="00F22D80"/>
    <w:rsid w:val="00F23578"/>
    <w:rsid w:val="00F245CE"/>
    <w:rsid w:val="00F24721"/>
    <w:rsid w:val="00F24D1F"/>
    <w:rsid w:val="00F26265"/>
    <w:rsid w:val="00F32857"/>
    <w:rsid w:val="00F35723"/>
    <w:rsid w:val="00F35D97"/>
    <w:rsid w:val="00F364F8"/>
    <w:rsid w:val="00F40D09"/>
    <w:rsid w:val="00F40EF8"/>
    <w:rsid w:val="00F42961"/>
    <w:rsid w:val="00F44521"/>
    <w:rsid w:val="00F44F8F"/>
    <w:rsid w:val="00F453E4"/>
    <w:rsid w:val="00F45DC4"/>
    <w:rsid w:val="00F45EBE"/>
    <w:rsid w:val="00F50C68"/>
    <w:rsid w:val="00F51663"/>
    <w:rsid w:val="00F5216E"/>
    <w:rsid w:val="00F52311"/>
    <w:rsid w:val="00F54969"/>
    <w:rsid w:val="00F549F8"/>
    <w:rsid w:val="00F56177"/>
    <w:rsid w:val="00F57BEF"/>
    <w:rsid w:val="00F60AB3"/>
    <w:rsid w:val="00F60D06"/>
    <w:rsid w:val="00F61880"/>
    <w:rsid w:val="00F708F3"/>
    <w:rsid w:val="00F70C89"/>
    <w:rsid w:val="00F733C4"/>
    <w:rsid w:val="00F74A05"/>
    <w:rsid w:val="00F7585D"/>
    <w:rsid w:val="00F76D30"/>
    <w:rsid w:val="00F81374"/>
    <w:rsid w:val="00F8213B"/>
    <w:rsid w:val="00F82D4F"/>
    <w:rsid w:val="00F8498D"/>
    <w:rsid w:val="00F86701"/>
    <w:rsid w:val="00F90CCB"/>
    <w:rsid w:val="00F910E8"/>
    <w:rsid w:val="00F9269B"/>
    <w:rsid w:val="00F950D9"/>
    <w:rsid w:val="00F96062"/>
    <w:rsid w:val="00F96253"/>
    <w:rsid w:val="00F97AD7"/>
    <w:rsid w:val="00FA11F1"/>
    <w:rsid w:val="00FA12EA"/>
    <w:rsid w:val="00FA431F"/>
    <w:rsid w:val="00FB1E98"/>
    <w:rsid w:val="00FB223A"/>
    <w:rsid w:val="00FB5EFB"/>
    <w:rsid w:val="00FB7B72"/>
    <w:rsid w:val="00FC015A"/>
    <w:rsid w:val="00FC18A2"/>
    <w:rsid w:val="00FC19B0"/>
    <w:rsid w:val="00FC1C4E"/>
    <w:rsid w:val="00FC1C75"/>
    <w:rsid w:val="00FC4686"/>
    <w:rsid w:val="00FC5141"/>
    <w:rsid w:val="00FC584C"/>
    <w:rsid w:val="00FC69E5"/>
    <w:rsid w:val="00FD7A42"/>
    <w:rsid w:val="00FE05EA"/>
    <w:rsid w:val="00FE1123"/>
    <w:rsid w:val="00FE565A"/>
    <w:rsid w:val="00FE6B1B"/>
    <w:rsid w:val="00FE76D3"/>
    <w:rsid w:val="00FF23A3"/>
    <w:rsid w:val="00FF2AF7"/>
    <w:rsid w:val="00FF37CE"/>
    <w:rsid w:val="00FF40F2"/>
    <w:rsid w:val="00FF6522"/>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1A0BE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B63EA"/>
    <w:pPr>
      <w:spacing w:line="480" w:lineRule="auto"/>
      <w:jc w:val="both"/>
    </w:pPr>
    <w:rPr>
      <w:rFonts w:ascii="Times New Roman" w:hAnsi="Times New Roman"/>
      <w:sz w:val="26"/>
      <w:szCs w:val="22"/>
      <w:lang w:val="en-ZA"/>
    </w:rPr>
  </w:style>
  <w:style w:type="paragraph" w:styleId="Heading1">
    <w:name w:val="heading 1"/>
    <w:basedOn w:val="Normal"/>
    <w:next w:val="Normal"/>
    <w:link w:val="Heading1Char"/>
    <w:uiPriority w:val="9"/>
    <w:qFormat/>
    <w:rsid w:val="0050622E"/>
    <w:pPr>
      <w:keepNext/>
      <w:keepLines/>
      <w:spacing w:before="240" w:line="259" w:lineRule="auto"/>
      <w:jc w:val="left"/>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qFormat/>
    <w:rsid w:val="007E21A8"/>
    <w:pPr>
      <w:keepNext/>
      <w:keepLines/>
      <w:spacing w:before="200"/>
      <w:outlineLvl w:val="1"/>
    </w:pPr>
    <w:rPr>
      <w:rFonts w:asciiTheme="majorHAnsi" w:eastAsiaTheme="majorEastAsia" w:hAnsiTheme="majorHAnsi" w:cstheme="majorBidi"/>
      <w:b/>
      <w:bCs/>
      <w:color w:val="4F81BD" w:themeColor="accent1"/>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0C38CF"/>
    <w:pPr>
      <w:numPr>
        <w:numId w:val="1"/>
      </w:numPr>
      <w:spacing w:line="360" w:lineRule="auto"/>
    </w:pPr>
  </w:style>
  <w:style w:type="paragraph" w:customStyle="1" w:styleId="JUDGMENTCONTINUED">
    <w:name w:val="JUDGMENT CONTINUED"/>
    <w:basedOn w:val="JUDGMENTNUMBERED"/>
    <w:next w:val="JUDGMENTNUMBERED"/>
    <w:qFormat/>
    <w:rsid w:val="000C38CF"/>
    <w:pPr>
      <w:numPr>
        <w:numId w:val="0"/>
      </w:numPr>
    </w:pPr>
  </w:style>
  <w:style w:type="paragraph" w:customStyle="1" w:styleId="QUOTATION">
    <w:name w:val="QUOTATION"/>
    <w:basedOn w:val="Normal"/>
    <w:next w:val="JUDGMENTCONTINUED"/>
    <w:qFormat/>
    <w:rsid w:val="00CF0044"/>
    <w:pPr>
      <w:spacing w:line="360" w:lineRule="auto"/>
      <w:ind w:left="720" w:right="720"/>
    </w:pPr>
    <w:rPr>
      <w:sz w:val="22"/>
    </w:rPr>
  </w:style>
  <w:style w:type="paragraph" w:customStyle="1" w:styleId="QUOTEINQUOTE">
    <w:name w:val="QUOTE IN QUOTE"/>
    <w:basedOn w:val="QUOTATION"/>
    <w:next w:val="QUOTATION"/>
    <w:qFormat/>
    <w:rsid w:val="00E45515"/>
    <w:pPr>
      <w:ind w:left="1440" w:right="1440"/>
    </w:pPr>
  </w:style>
  <w:style w:type="paragraph" w:customStyle="1" w:styleId="FootnoteText1">
    <w:name w:val="Footnote Text1"/>
    <w:basedOn w:val="Normal"/>
    <w:qFormat/>
    <w:rsid w:val="00E4607C"/>
    <w:pPr>
      <w:spacing w:after="120" w:line="240" w:lineRule="auto"/>
    </w:pPr>
    <w:rPr>
      <w:sz w:val="20"/>
    </w:rPr>
  </w:style>
  <w:style w:type="paragraph" w:styleId="ListParagraph">
    <w:name w:val="List Paragraph"/>
    <w:basedOn w:val="Normal"/>
    <w:uiPriority w:val="99"/>
    <w:qFormat/>
    <w:rsid w:val="00E4607C"/>
    <w:pPr>
      <w:ind w:left="720"/>
      <w:contextualSpacing/>
    </w:pPr>
  </w:style>
  <w:style w:type="paragraph" w:styleId="FootnoteText">
    <w:name w:val="footnote text"/>
    <w:aliases w:val="Footnote Text Char1,Footnote Text Char Char,Footnote Text Char1 Char Char,Footnote Text Char Char Char Char Char,Footnote Text Char Char1 Char Char,(NECG) Footnote Text,ALTS FOOTNOTE,AR Footnote Text,Footnote text Char,Char Char Char,Car"/>
    <w:basedOn w:val="FootnoteText1"/>
    <w:link w:val="FootnoteTextChar"/>
    <w:uiPriority w:val="99"/>
    <w:unhideWhenUsed/>
    <w:qFormat/>
    <w:rsid w:val="00CB63EA"/>
  </w:style>
  <w:style w:type="character" w:customStyle="1" w:styleId="FootnoteTextChar">
    <w:name w:val="Footnote Text Char"/>
    <w:aliases w:val="Footnote Text Char1 Char,Footnote Text Char Char Char,Footnote Text Char1 Char Char Char,Footnote Text Char Char Char Char Char Char,Footnote Text Char Char1 Char Char Char,(NECG) Footnote Text Char,ALTS FOOTNOTE Char,Car Char"/>
    <w:basedOn w:val="DefaultParagraphFont"/>
    <w:link w:val="FootnoteText"/>
    <w:uiPriority w:val="99"/>
    <w:rsid w:val="00CB63EA"/>
    <w:rPr>
      <w:rFonts w:ascii="Times New Roman" w:hAnsi="Times New Roman"/>
      <w:szCs w:val="22"/>
      <w:lang w:val="en-ZA"/>
    </w:rPr>
  </w:style>
  <w:style w:type="character" w:styleId="FootnoteReference">
    <w:name w:val="footnote reference"/>
    <w:aliases w:val="(NECG) Footnote Reference,Ref,de nota al pie,註腳內容,Footnotes refss,Footnote Reference + Superscript,fr,Appel note de bas de page,Footnote symbol,Footnote,Style 4,-E Fußnotenzeichen,16 Point,Superscript 6 Point,Style 12,Heading 6 Char1"/>
    <w:basedOn w:val="DefaultParagraphFont"/>
    <w:uiPriority w:val="99"/>
    <w:unhideWhenUsed/>
    <w:qFormat/>
    <w:rsid w:val="00E4607C"/>
    <w:rPr>
      <w:vertAlign w:val="superscript"/>
    </w:rPr>
  </w:style>
  <w:style w:type="paragraph" w:customStyle="1" w:styleId="QUOTEINFOOTNOTE">
    <w:name w:val="QUOTE IN FOOTNOTE"/>
    <w:basedOn w:val="FootnoteText1"/>
    <w:next w:val="FootnoteText1"/>
    <w:qFormat/>
    <w:rsid w:val="00E4607C"/>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0C38CF"/>
    <w:pPr>
      <w:numPr>
        <w:numId w:val="0"/>
      </w:numPr>
      <w:ind w:left="1440" w:hanging="720"/>
    </w:pPr>
  </w:style>
  <w:style w:type="paragraph" w:customStyle="1" w:styleId="HEADING">
    <w:name w:val="HEADING"/>
    <w:basedOn w:val="JUDGMENTNUMBERED"/>
    <w:next w:val="JUDGMENTNUMBERED"/>
    <w:link w:val="HEADINGChar"/>
    <w:qFormat/>
    <w:rsid w:val="00937742"/>
    <w:pPr>
      <w:keepNext/>
      <w:numPr>
        <w:numId w:val="0"/>
      </w:numPr>
      <w:spacing w:after="120"/>
    </w:pPr>
    <w:rPr>
      <w:i/>
    </w:rPr>
  </w:style>
  <w:style w:type="character" w:customStyle="1" w:styleId="JUDGMENTNUMBEREDChar">
    <w:name w:val="JUDGMENT NUMBERED Char"/>
    <w:basedOn w:val="DefaultParagraphFont"/>
    <w:link w:val="JUDGMENTNUMBERED"/>
    <w:rsid w:val="000C38CF"/>
    <w:rPr>
      <w:rFonts w:ascii="Times New Roman" w:hAnsi="Times New Roman"/>
      <w:sz w:val="26"/>
      <w:szCs w:val="22"/>
      <w:lang w:val="en-ZA"/>
    </w:rPr>
  </w:style>
  <w:style w:type="character" w:customStyle="1" w:styleId="LISTChar">
    <w:name w:val="LIST Char"/>
    <w:basedOn w:val="JUDGMENTNUMBEREDChar"/>
    <w:link w:val="List1"/>
    <w:rsid w:val="000C38CF"/>
    <w:rPr>
      <w:rFonts w:ascii="Times New Roman" w:hAnsi="Times New Roman"/>
      <w:sz w:val="26"/>
      <w:szCs w:val="22"/>
      <w:lang w:val="en-ZA"/>
    </w:rPr>
  </w:style>
  <w:style w:type="character" w:customStyle="1" w:styleId="HEADINGChar">
    <w:name w:val="HEADING Char"/>
    <w:basedOn w:val="JUDGMENTNUMBEREDChar"/>
    <w:link w:val="HEADING"/>
    <w:rsid w:val="00937742"/>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0C38CF"/>
    <w:pPr>
      <w:numPr>
        <w:numId w:val="0"/>
      </w:numPr>
      <w:ind w:left="1440" w:hanging="720"/>
    </w:pPr>
  </w:style>
  <w:style w:type="character" w:customStyle="1" w:styleId="ORDERChar">
    <w:name w:val="ORDER Char"/>
    <w:basedOn w:val="JUDGMENTNUMBEREDChar"/>
    <w:link w:val="ORDER"/>
    <w:rsid w:val="000C38CF"/>
    <w:rPr>
      <w:rFonts w:ascii="Times New Roman" w:hAnsi="Times New Roman"/>
      <w:sz w:val="26"/>
      <w:szCs w:val="22"/>
      <w:lang w:val="en-ZA"/>
    </w:rPr>
  </w:style>
  <w:style w:type="character" w:styleId="CommentReference">
    <w:name w:val="annotation reference"/>
    <w:basedOn w:val="DefaultParagraphFont"/>
    <w:uiPriority w:val="99"/>
    <w:semiHidden/>
    <w:unhideWhenUsed/>
    <w:rsid w:val="00F35723"/>
    <w:rPr>
      <w:sz w:val="16"/>
      <w:szCs w:val="16"/>
    </w:rPr>
  </w:style>
  <w:style w:type="paragraph" w:styleId="CommentText">
    <w:name w:val="annotation text"/>
    <w:basedOn w:val="Normal"/>
    <w:link w:val="CommentTextChar"/>
    <w:uiPriority w:val="99"/>
    <w:semiHidden/>
    <w:unhideWhenUsed/>
    <w:rsid w:val="00F35723"/>
    <w:pPr>
      <w:spacing w:line="240" w:lineRule="auto"/>
    </w:pPr>
    <w:rPr>
      <w:sz w:val="20"/>
      <w:szCs w:val="20"/>
    </w:rPr>
  </w:style>
  <w:style w:type="character" w:customStyle="1" w:styleId="CommentTextChar">
    <w:name w:val="Comment Text Char"/>
    <w:basedOn w:val="DefaultParagraphFont"/>
    <w:link w:val="CommentText"/>
    <w:uiPriority w:val="99"/>
    <w:semiHidden/>
    <w:rsid w:val="00F35723"/>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F35723"/>
    <w:rPr>
      <w:b/>
      <w:bCs/>
    </w:rPr>
  </w:style>
  <w:style w:type="character" w:customStyle="1" w:styleId="CommentSubjectChar">
    <w:name w:val="Comment Subject Char"/>
    <w:basedOn w:val="CommentTextChar"/>
    <w:link w:val="CommentSubject"/>
    <w:uiPriority w:val="99"/>
    <w:semiHidden/>
    <w:rsid w:val="00F35723"/>
    <w:rPr>
      <w:rFonts w:ascii="Times New Roman" w:hAnsi="Times New Roman"/>
      <w:b/>
      <w:bCs/>
      <w:lang w:val="en-ZA"/>
    </w:rPr>
  </w:style>
  <w:style w:type="character" w:customStyle="1" w:styleId="Heading1Char">
    <w:name w:val="Heading 1 Char"/>
    <w:basedOn w:val="DefaultParagraphFont"/>
    <w:link w:val="Heading1"/>
    <w:uiPriority w:val="9"/>
    <w:rsid w:val="0050622E"/>
    <w:rPr>
      <w:rFonts w:asciiTheme="majorHAnsi" w:eastAsiaTheme="majorEastAsia" w:hAnsiTheme="majorHAnsi" w:cstheme="majorBidi"/>
      <w:color w:val="365F91" w:themeColor="accent1" w:themeShade="BF"/>
      <w:sz w:val="32"/>
      <w:szCs w:val="32"/>
      <w:lang w:val="en-ZA"/>
    </w:rPr>
  </w:style>
  <w:style w:type="character" w:styleId="Hyperlink">
    <w:name w:val="Hyperlink"/>
    <w:basedOn w:val="DefaultParagraphFont"/>
    <w:uiPriority w:val="99"/>
    <w:semiHidden/>
    <w:unhideWhenUsed/>
    <w:rsid w:val="0050622E"/>
    <w:rPr>
      <w:color w:val="0000FF"/>
      <w:u w:val="single"/>
    </w:rPr>
  </w:style>
  <w:style w:type="character" w:customStyle="1" w:styleId="Heading2Char">
    <w:name w:val="Heading 2 Char"/>
    <w:basedOn w:val="DefaultParagraphFont"/>
    <w:link w:val="Heading2"/>
    <w:uiPriority w:val="9"/>
    <w:semiHidden/>
    <w:rsid w:val="007E21A8"/>
    <w:rPr>
      <w:rFonts w:asciiTheme="majorHAnsi" w:eastAsiaTheme="majorEastAsia" w:hAnsiTheme="majorHAnsi" w:cstheme="majorBidi"/>
      <w:b/>
      <w:bCs/>
      <w:color w:val="4F81BD" w:themeColor="accent1"/>
      <w:sz w:val="26"/>
      <w:szCs w:val="26"/>
      <w:lang w:val="en-ZA"/>
    </w:rPr>
  </w:style>
  <w:style w:type="paragraph" w:styleId="Revision">
    <w:name w:val="Revision"/>
    <w:hidden/>
    <w:uiPriority w:val="99"/>
    <w:semiHidden/>
    <w:rsid w:val="00EF6C7E"/>
    <w:rPr>
      <w:rFonts w:ascii="Times New Roman" w:hAnsi="Times New Roman"/>
      <w:sz w:val="26"/>
      <w:szCs w:val="22"/>
      <w:lang w:val="en-ZA"/>
    </w:rPr>
  </w:style>
  <w:style w:type="character" w:styleId="FollowedHyperlink">
    <w:name w:val="FollowedHyperlink"/>
    <w:basedOn w:val="DefaultParagraphFont"/>
    <w:uiPriority w:val="99"/>
    <w:semiHidden/>
    <w:unhideWhenUsed/>
    <w:rsid w:val="00C80032"/>
    <w:rPr>
      <w:color w:val="800080"/>
      <w:u w:val="single"/>
    </w:rPr>
  </w:style>
  <w:style w:type="paragraph" w:customStyle="1" w:styleId="q-normal-1">
    <w:name w:val="q-normal-1"/>
    <w:basedOn w:val="Normal"/>
    <w:uiPriority w:val="99"/>
    <w:rsid w:val="008326BB"/>
    <w:pPr>
      <w:widowControl w:val="0"/>
      <w:autoSpaceDE w:val="0"/>
      <w:autoSpaceDN w:val="0"/>
      <w:adjustRightInd w:val="0"/>
      <w:spacing w:before="40" w:line="240" w:lineRule="auto"/>
      <w:ind w:left="1134"/>
    </w:pPr>
    <w:rPr>
      <w:rFonts w:ascii="Verdana" w:eastAsiaTheme="minorEastAsia" w:hAnsi="Verdana" w:cs="Calibri"/>
      <w:color w:val="000000"/>
      <w:sz w:val="16"/>
      <w:szCs w:val="16"/>
    </w:rPr>
  </w:style>
  <w:style w:type="paragraph" w:styleId="NormalWeb">
    <w:name w:val="Normal (Web)"/>
    <w:basedOn w:val="Normal"/>
    <w:uiPriority w:val="99"/>
    <w:semiHidden/>
    <w:unhideWhenUsed/>
    <w:rsid w:val="00F35D9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32560">
      <w:bodyDiv w:val="1"/>
      <w:marLeft w:val="0"/>
      <w:marRight w:val="0"/>
      <w:marTop w:val="0"/>
      <w:marBottom w:val="0"/>
      <w:divBdr>
        <w:top w:val="none" w:sz="0" w:space="0" w:color="auto"/>
        <w:left w:val="none" w:sz="0" w:space="0" w:color="auto"/>
        <w:bottom w:val="none" w:sz="0" w:space="0" w:color="auto"/>
        <w:right w:val="none" w:sz="0" w:space="0" w:color="auto"/>
      </w:divBdr>
    </w:div>
    <w:div w:id="53043204">
      <w:bodyDiv w:val="1"/>
      <w:marLeft w:val="0"/>
      <w:marRight w:val="0"/>
      <w:marTop w:val="0"/>
      <w:marBottom w:val="0"/>
      <w:divBdr>
        <w:top w:val="none" w:sz="0" w:space="0" w:color="auto"/>
        <w:left w:val="none" w:sz="0" w:space="0" w:color="auto"/>
        <w:bottom w:val="none" w:sz="0" w:space="0" w:color="auto"/>
        <w:right w:val="none" w:sz="0" w:space="0" w:color="auto"/>
      </w:divBdr>
    </w:div>
    <w:div w:id="173345292">
      <w:bodyDiv w:val="1"/>
      <w:marLeft w:val="0"/>
      <w:marRight w:val="0"/>
      <w:marTop w:val="0"/>
      <w:marBottom w:val="0"/>
      <w:divBdr>
        <w:top w:val="none" w:sz="0" w:space="0" w:color="auto"/>
        <w:left w:val="none" w:sz="0" w:space="0" w:color="auto"/>
        <w:bottom w:val="none" w:sz="0" w:space="0" w:color="auto"/>
        <w:right w:val="none" w:sz="0" w:space="0" w:color="auto"/>
      </w:divBdr>
      <w:divsChild>
        <w:div w:id="827282612">
          <w:marLeft w:val="0"/>
          <w:marRight w:val="0"/>
          <w:marTop w:val="240"/>
          <w:marBottom w:val="0"/>
          <w:divBdr>
            <w:top w:val="none" w:sz="0" w:space="0" w:color="auto"/>
            <w:left w:val="none" w:sz="0" w:space="0" w:color="auto"/>
            <w:bottom w:val="none" w:sz="0" w:space="0" w:color="auto"/>
            <w:right w:val="none" w:sz="0" w:space="0" w:color="auto"/>
          </w:divBdr>
        </w:div>
        <w:div w:id="267005571">
          <w:marLeft w:val="0"/>
          <w:marRight w:val="0"/>
          <w:marTop w:val="120"/>
          <w:marBottom w:val="0"/>
          <w:divBdr>
            <w:top w:val="none" w:sz="0" w:space="0" w:color="auto"/>
            <w:left w:val="none" w:sz="0" w:space="0" w:color="auto"/>
            <w:bottom w:val="none" w:sz="0" w:space="0" w:color="auto"/>
            <w:right w:val="none" w:sz="0" w:space="0" w:color="auto"/>
          </w:divBdr>
        </w:div>
        <w:div w:id="1852791371">
          <w:marLeft w:val="1134"/>
          <w:marRight w:val="0"/>
          <w:marTop w:val="60"/>
          <w:marBottom w:val="0"/>
          <w:divBdr>
            <w:top w:val="none" w:sz="0" w:space="0" w:color="auto"/>
            <w:left w:val="none" w:sz="0" w:space="0" w:color="auto"/>
            <w:bottom w:val="none" w:sz="0" w:space="0" w:color="auto"/>
            <w:right w:val="none" w:sz="0" w:space="0" w:color="auto"/>
          </w:divBdr>
        </w:div>
        <w:div w:id="580675107">
          <w:marLeft w:val="1134"/>
          <w:marRight w:val="0"/>
          <w:marTop w:val="60"/>
          <w:marBottom w:val="0"/>
          <w:divBdr>
            <w:top w:val="none" w:sz="0" w:space="0" w:color="auto"/>
            <w:left w:val="none" w:sz="0" w:space="0" w:color="auto"/>
            <w:bottom w:val="none" w:sz="0" w:space="0" w:color="auto"/>
            <w:right w:val="none" w:sz="0" w:space="0" w:color="auto"/>
          </w:divBdr>
        </w:div>
        <w:div w:id="95027962">
          <w:marLeft w:val="1134"/>
          <w:marRight w:val="0"/>
          <w:marTop w:val="60"/>
          <w:marBottom w:val="0"/>
          <w:divBdr>
            <w:top w:val="none" w:sz="0" w:space="0" w:color="auto"/>
            <w:left w:val="none" w:sz="0" w:space="0" w:color="auto"/>
            <w:bottom w:val="none" w:sz="0" w:space="0" w:color="auto"/>
            <w:right w:val="none" w:sz="0" w:space="0" w:color="auto"/>
          </w:divBdr>
        </w:div>
        <w:div w:id="1132865429">
          <w:marLeft w:val="0"/>
          <w:marRight w:val="0"/>
          <w:marTop w:val="120"/>
          <w:marBottom w:val="0"/>
          <w:divBdr>
            <w:top w:val="none" w:sz="0" w:space="0" w:color="auto"/>
            <w:left w:val="none" w:sz="0" w:space="0" w:color="auto"/>
            <w:bottom w:val="none" w:sz="0" w:space="0" w:color="auto"/>
            <w:right w:val="none" w:sz="0" w:space="0" w:color="auto"/>
          </w:divBdr>
        </w:div>
      </w:divsChild>
    </w:div>
    <w:div w:id="412628371">
      <w:bodyDiv w:val="1"/>
      <w:marLeft w:val="0"/>
      <w:marRight w:val="0"/>
      <w:marTop w:val="0"/>
      <w:marBottom w:val="0"/>
      <w:divBdr>
        <w:top w:val="none" w:sz="0" w:space="0" w:color="auto"/>
        <w:left w:val="none" w:sz="0" w:space="0" w:color="auto"/>
        <w:bottom w:val="none" w:sz="0" w:space="0" w:color="auto"/>
        <w:right w:val="none" w:sz="0" w:space="0" w:color="auto"/>
      </w:divBdr>
    </w:div>
    <w:div w:id="582450457">
      <w:bodyDiv w:val="1"/>
      <w:marLeft w:val="0"/>
      <w:marRight w:val="0"/>
      <w:marTop w:val="0"/>
      <w:marBottom w:val="0"/>
      <w:divBdr>
        <w:top w:val="none" w:sz="0" w:space="0" w:color="auto"/>
        <w:left w:val="none" w:sz="0" w:space="0" w:color="auto"/>
        <w:bottom w:val="none" w:sz="0" w:space="0" w:color="auto"/>
        <w:right w:val="none" w:sz="0" w:space="0" w:color="auto"/>
      </w:divBdr>
    </w:div>
    <w:div w:id="739406919">
      <w:bodyDiv w:val="1"/>
      <w:marLeft w:val="0"/>
      <w:marRight w:val="0"/>
      <w:marTop w:val="0"/>
      <w:marBottom w:val="0"/>
      <w:divBdr>
        <w:top w:val="none" w:sz="0" w:space="0" w:color="auto"/>
        <w:left w:val="none" w:sz="0" w:space="0" w:color="auto"/>
        <w:bottom w:val="none" w:sz="0" w:space="0" w:color="auto"/>
        <w:right w:val="none" w:sz="0" w:space="0" w:color="auto"/>
      </w:divBdr>
    </w:div>
    <w:div w:id="1044062483">
      <w:bodyDiv w:val="1"/>
      <w:marLeft w:val="0"/>
      <w:marRight w:val="0"/>
      <w:marTop w:val="0"/>
      <w:marBottom w:val="0"/>
      <w:divBdr>
        <w:top w:val="none" w:sz="0" w:space="0" w:color="auto"/>
        <w:left w:val="none" w:sz="0" w:space="0" w:color="auto"/>
        <w:bottom w:val="none" w:sz="0" w:space="0" w:color="auto"/>
        <w:right w:val="none" w:sz="0" w:space="0" w:color="auto"/>
      </w:divBdr>
    </w:div>
    <w:div w:id="1166744825">
      <w:bodyDiv w:val="1"/>
      <w:marLeft w:val="0"/>
      <w:marRight w:val="0"/>
      <w:marTop w:val="0"/>
      <w:marBottom w:val="0"/>
      <w:divBdr>
        <w:top w:val="none" w:sz="0" w:space="0" w:color="auto"/>
        <w:left w:val="none" w:sz="0" w:space="0" w:color="auto"/>
        <w:bottom w:val="none" w:sz="0" w:space="0" w:color="auto"/>
        <w:right w:val="none" w:sz="0" w:space="0" w:color="auto"/>
      </w:divBdr>
    </w:div>
    <w:div w:id="1324120805">
      <w:bodyDiv w:val="1"/>
      <w:marLeft w:val="0"/>
      <w:marRight w:val="0"/>
      <w:marTop w:val="0"/>
      <w:marBottom w:val="0"/>
      <w:divBdr>
        <w:top w:val="none" w:sz="0" w:space="0" w:color="auto"/>
        <w:left w:val="none" w:sz="0" w:space="0" w:color="auto"/>
        <w:bottom w:val="none" w:sz="0" w:space="0" w:color="auto"/>
        <w:right w:val="none" w:sz="0" w:space="0" w:color="auto"/>
      </w:divBdr>
    </w:div>
    <w:div w:id="1567688552">
      <w:bodyDiv w:val="1"/>
      <w:marLeft w:val="0"/>
      <w:marRight w:val="0"/>
      <w:marTop w:val="0"/>
      <w:marBottom w:val="0"/>
      <w:divBdr>
        <w:top w:val="none" w:sz="0" w:space="0" w:color="auto"/>
        <w:left w:val="none" w:sz="0" w:space="0" w:color="auto"/>
        <w:bottom w:val="none" w:sz="0" w:space="0" w:color="auto"/>
        <w:right w:val="none" w:sz="0" w:space="0" w:color="auto"/>
      </w:divBdr>
    </w:div>
    <w:div w:id="1624389283">
      <w:bodyDiv w:val="1"/>
      <w:marLeft w:val="0"/>
      <w:marRight w:val="0"/>
      <w:marTop w:val="0"/>
      <w:marBottom w:val="0"/>
      <w:divBdr>
        <w:top w:val="none" w:sz="0" w:space="0" w:color="auto"/>
        <w:left w:val="none" w:sz="0" w:space="0" w:color="auto"/>
        <w:bottom w:val="none" w:sz="0" w:space="0" w:color="auto"/>
        <w:right w:val="none" w:sz="0" w:space="0" w:color="auto"/>
      </w:divBdr>
    </w:div>
    <w:div w:id="1995647748">
      <w:bodyDiv w:val="1"/>
      <w:marLeft w:val="0"/>
      <w:marRight w:val="0"/>
      <w:marTop w:val="0"/>
      <w:marBottom w:val="0"/>
      <w:divBdr>
        <w:top w:val="none" w:sz="0" w:space="0" w:color="auto"/>
        <w:left w:val="none" w:sz="0" w:space="0" w:color="auto"/>
        <w:bottom w:val="none" w:sz="0" w:space="0" w:color="auto"/>
        <w:right w:val="none" w:sz="0" w:space="0" w:color="auto"/>
      </w:divBdr>
    </w:div>
    <w:div w:id="21018745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eader" Target="header6.xml"/><Relationship Id="rId3" Type="http://schemas.openxmlformats.org/officeDocument/2006/relationships/settings" Target="settings.xml"/><Relationship Id="rId21" Type="http://schemas.openxmlformats.org/officeDocument/2006/relationships/footer" Target="footer5.xml"/><Relationship Id="rId7" Type="http://schemas.openxmlformats.org/officeDocument/2006/relationships/image" Target="media/image1.png"/><Relationship Id="rId12" Type="http://schemas.openxmlformats.org/officeDocument/2006/relationships/header" Target="header3.xml"/><Relationship Id="rId17" Type="http://schemas.openxmlformats.org/officeDocument/2006/relationships/header" Target="header5.xml"/><Relationship Id="rId2" Type="http://schemas.openxmlformats.org/officeDocument/2006/relationships/styles" Target="styles.xml"/><Relationship Id="rId16" Type="http://schemas.openxmlformats.org/officeDocument/2006/relationships/hyperlink" Target="http://ipproducts.jutalaw.co.za/nxt/foliolinks.asp?f=xhitlist&amp;xhitlist_x=Advanced&amp;xhitlist_vpc=first&amp;xhitlist_xsl=querylink.xsl&amp;xhitlist_sel=title;path;content-type;home-title&amp;xhitlist_d=%7bstatreg%7d&amp;xhitlist_q=%5bfield%20folio-destination-name:'a61y1973'%5d&amp;xhitlist_md=target-id=0-0-0-9189" TargetMode="External"/><Relationship Id="rId20" Type="http://schemas.openxmlformats.org/officeDocument/2006/relationships/header" Target="header8.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footer" Target="footer4.xml"/><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eader" Target="header7.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eader" Target="header4.xml"/><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ipproducts.jutalaw.co.za/nxt/foliolinks.asp?f=xhitlist&amp;xhitlist_x=Advanced&amp;xhitlist_vpc=first&amp;xhitlist_xsl=querylink.xsl&amp;xhitlist_sel=title;path;content-type;home-title&amp;xhitlist_d=%7bsalr%7d&amp;xhitlist_q=%5bfield%20folio-destination-name:'631754'%5d&amp;xhitlist_md=target-id=0-0-0-4258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37</Pages>
  <Words>8648</Words>
  <Characters>49296</Characters>
  <Application>Microsoft Office Word</Application>
  <DocSecurity>0</DocSecurity>
  <Lines>410</Lines>
  <Paragraphs>115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57829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2019-02-01T09:54:00Z</dcterms:created>
  <dcterms:modified xsi:type="dcterms:W3CDTF">2019-02-01T09:57:00Z</dcterms:modified>
</cp:coreProperties>
</file>