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3A18CF" w:rsidRPr="00961263" w:rsidRDefault="003A18CF" w:rsidP="003A18CF">
      <w:pPr>
        <w:tabs>
          <w:tab w:val="right" w:pos="9029"/>
        </w:tabs>
        <w:spacing w:line="240" w:lineRule="auto"/>
      </w:pPr>
      <w:r w:rsidRPr="00961263">
        <w:tab/>
        <w:t xml:space="preserve">Case CCT </w:t>
      </w:r>
      <w:r w:rsidR="00C93484">
        <w:t>100/17</w:t>
      </w:r>
    </w:p>
    <w:p w:rsidR="003A18CF" w:rsidRDefault="003A18CF" w:rsidP="003A18CF">
      <w:pPr>
        <w:tabs>
          <w:tab w:val="left" w:pos="8998"/>
        </w:tabs>
        <w:spacing w:line="240" w:lineRule="auto"/>
      </w:pPr>
    </w:p>
    <w:p w:rsidR="003A18CF" w:rsidRPr="00E6071A" w:rsidRDefault="003A18CF" w:rsidP="003A18CF">
      <w:pPr>
        <w:tabs>
          <w:tab w:val="left" w:pos="8998"/>
        </w:tabs>
        <w:spacing w:line="240" w:lineRule="auto"/>
      </w:pPr>
      <w:r w:rsidRPr="00E6071A">
        <w:t>In the matter between:</w:t>
      </w:r>
    </w:p>
    <w:p w:rsidR="003A18CF" w:rsidRDefault="003A18CF" w:rsidP="003A18CF">
      <w:pPr>
        <w:tabs>
          <w:tab w:val="left" w:pos="8998"/>
        </w:tabs>
        <w:spacing w:line="240" w:lineRule="auto"/>
      </w:pPr>
    </w:p>
    <w:p w:rsidR="003A18CF" w:rsidRPr="009C3888" w:rsidRDefault="003A18CF" w:rsidP="003A18CF">
      <w:pPr>
        <w:tabs>
          <w:tab w:val="left" w:pos="8998"/>
        </w:tabs>
        <w:spacing w:line="240" w:lineRule="auto"/>
      </w:pPr>
    </w:p>
    <w:p w:rsidR="003A18CF" w:rsidRPr="00EE02D5" w:rsidRDefault="00C93484" w:rsidP="003A18CF">
      <w:pPr>
        <w:tabs>
          <w:tab w:val="right" w:pos="9029"/>
        </w:tabs>
        <w:spacing w:line="240" w:lineRule="auto"/>
        <w:rPr>
          <w:szCs w:val="26"/>
        </w:rPr>
      </w:pPr>
      <w:r>
        <w:rPr>
          <w:b/>
          <w:szCs w:val="26"/>
        </w:rPr>
        <w:t>NIEKARA HARRIELALL</w:t>
      </w:r>
      <w:r w:rsidR="003A18CF" w:rsidRPr="00EE02D5">
        <w:rPr>
          <w:szCs w:val="26"/>
        </w:rPr>
        <w:tab/>
        <w:t>Applicant</w:t>
      </w:r>
    </w:p>
    <w:p w:rsidR="003A18CF" w:rsidRPr="00EE02D5" w:rsidRDefault="003A18CF" w:rsidP="003A18CF">
      <w:pPr>
        <w:spacing w:line="240" w:lineRule="auto"/>
        <w:rPr>
          <w:szCs w:val="26"/>
        </w:rPr>
      </w:pPr>
    </w:p>
    <w:p w:rsidR="003A18CF" w:rsidRPr="00EE02D5" w:rsidRDefault="00C160FF" w:rsidP="003A18CF">
      <w:pPr>
        <w:spacing w:line="240" w:lineRule="auto"/>
        <w:rPr>
          <w:szCs w:val="26"/>
        </w:rPr>
      </w:pPr>
      <w:proofErr w:type="gramStart"/>
      <w:r>
        <w:rPr>
          <w:szCs w:val="26"/>
        </w:rPr>
        <w:t>and</w:t>
      </w:r>
      <w:proofErr w:type="gramEnd"/>
    </w:p>
    <w:p w:rsidR="00F91EA5" w:rsidRPr="00EE02D5" w:rsidRDefault="00F91EA5" w:rsidP="003A18CF">
      <w:pPr>
        <w:spacing w:line="240" w:lineRule="auto"/>
        <w:rPr>
          <w:szCs w:val="26"/>
        </w:rPr>
      </w:pPr>
    </w:p>
    <w:p w:rsidR="003A18CF" w:rsidRPr="00EE02D5" w:rsidRDefault="00C93484" w:rsidP="003A18CF">
      <w:pPr>
        <w:tabs>
          <w:tab w:val="right" w:pos="9029"/>
        </w:tabs>
        <w:spacing w:line="240" w:lineRule="auto"/>
        <w:rPr>
          <w:szCs w:val="26"/>
        </w:rPr>
      </w:pPr>
      <w:r>
        <w:rPr>
          <w:b/>
          <w:szCs w:val="26"/>
        </w:rPr>
        <w:t>UNIVERSITY OF KWAZULU-NATAL</w:t>
      </w:r>
      <w:r w:rsidR="003A18CF" w:rsidRPr="00EE02D5">
        <w:rPr>
          <w:szCs w:val="26"/>
        </w:rPr>
        <w:tab/>
        <w:t>Respondent</w:t>
      </w:r>
    </w:p>
    <w:p w:rsidR="003A18CF" w:rsidRPr="00EE02D5" w:rsidRDefault="003A18CF" w:rsidP="003A18CF">
      <w:pPr>
        <w:tabs>
          <w:tab w:val="right" w:pos="9029"/>
        </w:tabs>
        <w:spacing w:line="240" w:lineRule="auto"/>
        <w:rPr>
          <w:szCs w:val="26"/>
        </w:rPr>
      </w:pPr>
    </w:p>
    <w:p w:rsidR="003A18CF" w:rsidRPr="009C3888" w:rsidRDefault="003A18CF" w:rsidP="003A18CF">
      <w:pPr>
        <w:spacing w:line="240" w:lineRule="auto"/>
      </w:pPr>
    </w:p>
    <w:p w:rsidR="003A18CF" w:rsidRPr="009C3888" w:rsidRDefault="003A18CF" w:rsidP="003A18CF">
      <w:pPr>
        <w:spacing w:line="240" w:lineRule="auto"/>
      </w:pPr>
    </w:p>
    <w:p w:rsidR="003A18CF" w:rsidRPr="007F485E" w:rsidRDefault="003A18CF" w:rsidP="007F485E">
      <w:pPr>
        <w:spacing w:line="240" w:lineRule="auto"/>
        <w:ind w:left="2160" w:hanging="2160"/>
        <w:rPr>
          <w:i/>
        </w:rPr>
      </w:pPr>
      <w:r w:rsidRPr="008B40EE">
        <w:rPr>
          <w:b/>
        </w:rPr>
        <w:t>Neutral citation:</w:t>
      </w:r>
      <w:r>
        <w:tab/>
      </w:r>
      <w:proofErr w:type="spellStart"/>
      <w:r w:rsidR="00C93484">
        <w:rPr>
          <w:i/>
        </w:rPr>
        <w:t>Niekara</w:t>
      </w:r>
      <w:proofErr w:type="spellEnd"/>
      <w:r w:rsidR="00C93484">
        <w:rPr>
          <w:i/>
        </w:rPr>
        <w:t xml:space="preserve"> </w:t>
      </w:r>
      <w:proofErr w:type="spellStart"/>
      <w:r w:rsidR="00C93484">
        <w:rPr>
          <w:i/>
        </w:rPr>
        <w:t>Harrielall</w:t>
      </w:r>
      <w:proofErr w:type="spellEnd"/>
      <w:r w:rsidR="00C93484">
        <w:rPr>
          <w:i/>
        </w:rPr>
        <w:t xml:space="preserve"> v University of KwaZulu-Natal</w:t>
      </w:r>
      <w:r>
        <w:rPr>
          <w:i/>
        </w:rPr>
        <w:t xml:space="preserve"> </w:t>
      </w:r>
      <w:r>
        <w:t>[</w:t>
      </w:r>
      <w:r w:rsidR="007F485E">
        <w:t>2017</w:t>
      </w:r>
      <w:r>
        <w:t xml:space="preserve">] ZACC </w:t>
      </w:r>
      <w:r w:rsidR="00432D21" w:rsidRPr="00432D21">
        <w:t>38</w:t>
      </w:r>
    </w:p>
    <w:p w:rsidR="003A18CF" w:rsidRDefault="003A18CF" w:rsidP="003A18CF">
      <w:pPr>
        <w:spacing w:line="240" w:lineRule="auto"/>
      </w:pPr>
    </w:p>
    <w:p w:rsidR="003A18CF" w:rsidRDefault="003A18CF" w:rsidP="003A18CF">
      <w:pPr>
        <w:spacing w:line="240" w:lineRule="auto"/>
        <w:ind w:left="2160" w:hanging="2160"/>
      </w:pPr>
      <w:r w:rsidRPr="008B40EE">
        <w:rPr>
          <w:b/>
        </w:rPr>
        <w:t>Coram:</w:t>
      </w:r>
      <w:r>
        <w:tab/>
      </w:r>
      <w:proofErr w:type="spellStart"/>
      <w:r w:rsidR="00526D0E">
        <w:rPr>
          <w:szCs w:val="26"/>
        </w:rPr>
        <w:t>Nkabinde</w:t>
      </w:r>
      <w:proofErr w:type="spellEnd"/>
      <w:r w:rsidR="00526D0E" w:rsidRPr="00366550">
        <w:rPr>
          <w:szCs w:val="26"/>
        </w:rPr>
        <w:t xml:space="preserve"> </w:t>
      </w:r>
      <w:r w:rsidR="00526D0E">
        <w:rPr>
          <w:szCs w:val="26"/>
        </w:rPr>
        <w:t>A</w:t>
      </w:r>
      <w:r w:rsidR="00526D0E" w:rsidRPr="00366550">
        <w:rPr>
          <w:szCs w:val="26"/>
        </w:rPr>
        <w:t xml:space="preserve">DCJ, Cameron J, </w:t>
      </w:r>
      <w:proofErr w:type="spellStart"/>
      <w:r w:rsidR="00526D0E" w:rsidRPr="00366550">
        <w:rPr>
          <w:szCs w:val="26"/>
        </w:rPr>
        <w:t>Froneman</w:t>
      </w:r>
      <w:proofErr w:type="spellEnd"/>
      <w:r w:rsidR="00526D0E" w:rsidRPr="00366550">
        <w:rPr>
          <w:szCs w:val="26"/>
        </w:rPr>
        <w:t xml:space="preserve"> J, </w:t>
      </w:r>
      <w:r w:rsidR="00526D0E">
        <w:rPr>
          <w:szCs w:val="26"/>
        </w:rPr>
        <w:t xml:space="preserve">Jafta J, </w:t>
      </w:r>
      <w:proofErr w:type="spellStart"/>
      <w:r w:rsidR="00526D0E" w:rsidRPr="00366550">
        <w:rPr>
          <w:szCs w:val="26"/>
        </w:rPr>
        <w:t>Khampepe</w:t>
      </w:r>
      <w:proofErr w:type="spellEnd"/>
      <w:r w:rsidR="00526D0E" w:rsidRPr="00366550">
        <w:rPr>
          <w:szCs w:val="26"/>
        </w:rPr>
        <w:t xml:space="preserve"> J, </w:t>
      </w:r>
      <w:proofErr w:type="spellStart"/>
      <w:r w:rsidR="00526D0E" w:rsidRPr="00366550">
        <w:rPr>
          <w:szCs w:val="26"/>
        </w:rPr>
        <w:t>Madlanga</w:t>
      </w:r>
      <w:proofErr w:type="spellEnd"/>
      <w:r w:rsidR="00526D0E" w:rsidRPr="00366550">
        <w:rPr>
          <w:szCs w:val="26"/>
        </w:rPr>
        <w:t xml:space="preserve"> J, </w:t>
      </w:r>
      <w:proofErr w:type="spellStart"/>
      <w:r w:rsidR="00526D0E">
        <w:rPr>
          <w:szCs w:val="26"/>
        </w:rPr>
        <w:t>Mhlantla</w:t>
      </w:r>
      <w:proofErr w:type="spellEnd"/>
      <w:r w:rsidR="00526D0E" w:rsidRPr="00366550">
        <w:rPr>
          <w:szCs w:val="26"/>
        </w:rPr>
        <w:t xml:space="preserve"> J, </w:t>
      </w:r>
      <w:proofErr w:type="spellStart"/>
      <w:r w:rsidR="00526D0E">
        <w:rPr>
          <w:szCs w:val="26"/>
        </w:rPr>
        <w:t>Mojapelo</w:t>
      </w:r>
      <w:proofErr w:type="spellEnd"/>
      <w:r w:rsidR="00526D0E">
        <w:rPr>
          <w:szCs w:val="26"/>
        </w:rPr>
        <w:t xml:space="preserve"> AJ, Pretorius AJ</w:t>
      </w:r>
      <w:r w:rsidR="00526D0E" w:rsidRPr="00366550">
        <w:rPr>
          <w:szCs w:val="26"/>
        </w:rPr>
        <w:t xml:space="preserve"> and </w:t>
      </w:r>
      <w:proofErr w:type="spellStart"/>
      <w:r w:rsidR="00526D0E" w:rsidRPr="00366550">
        <w:rPr>
          <w:szCs w:val="26"/>
        </w:rPr>
        <w:t>Zondo</w:t>
      </w:r>
      <w:proofErr w:type="spellEnd"/>
      <w:r w:rsidR="00526D0E" w:rsidRPr="00366550">
        <w:rPr>
          <w:szCs w:val="26"/>
        </w:rPr>
        <w:t xml:space="preserve"> J</w:t>
      </w:r>
    </w:p>
    <w:p w:rsidR="003A18CF" w:rsidRDefault="003A18CF" w:rsidP="003A18CF">
      <w:pPr>
        <w:spacing w:line="240" w:lineRule="auto"/>
      </w:pPr>
    </w:p>
    <w:p w:rsidR="00AE7143" w:rsidRDefault="00AE7143" w:rsidP="00F91EA5">
      <w:pPr>
        <w:spacing w:line="240" w:lineRule="auto"/>
        <w:ind w:left="2160" w:hanging="2160"/>
      </w:pPr>
      <w:r>
        <w:rPr>
          <w:b/>
        </w:rPr>
        <w:t>Judgment</w:t>
      </w:r>
      <w:r w:rsidRPr="008B40EE">
        <w:rPr>
          <w:b/>
        </w:rPr>
        <w:t>:</w:t>
      </w:r>
      <w:r>
        <w:tab/>
      </w:r>
      <w:r w:rsidR="00C93484">
        <w:t>Jafta</w:t>
      </w:r>
      <w:r w:rsidR="00526D0E">
        <w:t xml:space="preserve"> J</w:t>
      </w:r>
      <w:r w:rsidR="00003031">
        <w:t xml:space="preserve"> </w:t>
      </w:r>
      <w:r>
        <w:t>(</w:t>
      </w:r>
      <w:r w:rsidRPr="000539B3">
        <w:t>unanimous</w:t>
      </w:r>
      <w:r w:rsidR="00F91EA5" w:rsidRPr="000539B3">
        <w:t>)</w:t>
      </w:r>
    </w:p>
    <w:p w:rsidR="003A18CF" w:rsidRPr="009C3888" w:rsidRDefault="003A18CF" w:rsidP="00C93484">
      <w:pPr>
        <w:spacing w:line="240" w:lineRule="auto"/>
      </w:pPr>
    </w:p>
    <w:p w:rsidR="003A18CF" w:rsidRDefault="003A18CF" w:rsidP="0044313C">
      <w:pPr>
        <w:spacing w:line="240" w:lineRule="auto"/>
        <w:ind w:left="2160" w:hanging="2160"/>
      </w:pPr>
      <w:r w:rsidRPr="008B40EE">
        <w:rPr>
          <w:b/>
        </w:rPr>
        <w:t>Decided on:</w:t>
      </w:r>
      <w:r>
        <w:tab/>
      </w:r>
      <w:r w:rsidR="000825EF">
        <w:t>31 October 2017</w:t>
      </w:r>
    </w:p>
    <w:p w:rsidR="004110F6" w:rsidRDefault="004110F6" w:rsidP="003A18CF">
      <w:pPr>
        <w:spacing w:line="240" w:lineRule="auto"/>
      </w:pPr>
    </w:p>
    <w:p w:rsidR="004D02BA" w:rsidRDefault="004D02BA" w:rsidP="004D02BA">
      <w:pPr>
        <w:spacing w:line="240" w:lineRule="auto"/>
        <w:ind w:left="2160" w:hanging="2160"/>
      </w:pPr>
      <w:r>
        <w:rPr>
          <w:b/>
        </w:rPr>
        <w:t>Summary:</w:t>
      </w:r>
      <w:r>
        <w:rPr>
          <w:b/>
        </w:rPr>
        <w:tab/>
      </w:r>
      <w:r w:rsidR="00C160FF">
        <w:t>R</w:t>
      </w:r>
      <w:r w:rsidR="000539B3" w:rsidRPr="00BA090C">
        <w:t>eview application</w:t>
      </w:r>
      <w:r w:rsidRPr="00BA090C">
        <w:t xml:space="preserve"> </w:t>
      </w:r>
      <w:r w:rsidR="006724E0" w:rsidRPr="00BA090C">
        <w:t>—</w:t>
      </w:r>
      <w:r w:rsidR="00C160FF">
        <w:t xml:space="preserve"> </w:t>
      </w:r>
      <w:r w:rsidR="000539B3" w:rsidRPr="00BA090C">
        <w:t>admission policy</w:t>
      </w:r>
      <w:r w:rsidRPr="00BA090C">
        <w:t xml:space="preserve"> </w:t>
      </w:r>
      <w:r w:rsidR="006724E0" w:rsidRPr="00BA090C">
        <w:t>—</w:t>
      </w:r>
      <w:r w:rsidR="00C160FF">
        <w:t xml:space="preserve"> </w:t>
      </w:r>
      <w:r w:rsidR="008D0F14">
        <w:t>r</w:t>
      </w:r>
      <w:r w:rsidR="000539B3" w:rsidRPr="00BA090C">
        <w:t>ight to education</w:t>
      </w:r>
      <w:r w:rsidRPr="00BA090C">
        <w:t xml:space="preserve"> </w:t>
      </w:r>
      <w:r w:rsidR="006724E0" w:rsidRPr="00BA090C">
        <w:t>—</w:t>
      </w:r>
      <w:r w:rsidR="00C160FF">
        <w:t xml:space="preserve"> </w:t>
      </w:r>
      <w:r w:rsidR="000539B3" w:rsidRPr="00BA090C">
        <w:t>access to further education</w:t>
      </w:r>
    </w:p>
    <w:p w:rsidR="00316A68" w:rsidRPr="00BA090C" w:rsidRDefault="00316A68" w:rsidP="004D02BA">
      <w:pPr>
        <w:spacing w:line="240" w:lineRule="auto"/>
        <w:ind w:left="2160" w:hanging="2160"/>
      </w:pPr>
    </w:p>
    <w:p w:rsidR="004D02BA" w:rsidRPr="00BA090C" w:rsidRDefault="000539B3" w:rsidP="004D02BA">
      <w:pPr>
        <w:spacing w:line="240" w:lineRule="auto"/>
        <w:ind w:left="2160"/>
      </w:pPr>
      <w:proofErr w:type="spellStart"/>
      <w:r w:rsidRPr="008D0F14">
        <w:rPr>
          <w:i/>
        </w:rPr>
        <w:t>Biowatch</w:t>
      </w:r>
      <w:proofErr w:type="spellEnd"/>
      <w:r w:rsidRPr="00BA090C">
        <w:t xml:space="preserve"> principle</w:t>
      </w:r>
      <w:r w:rsidR="004D02BA" w:rsidRPr="00BA090C">
        <w:t xml:space="preserve"> </w:t>
      </w:r>
      <w:r w:rsidR="006724E0" w:rsidRPr="00BA090C">
        <w:t>—</w:t>
      </w:r>
      <w:r w:rsidR="00C160FF">
        <w:t xml:space="preserve"> </w:t>
      </w:r>
      <w:r w:rsidR="008D0F14">
        <w:t>c</w:t>
      </w:r>
      <w:r w:rsidRPr="00BA090C">
        <w:t>osts</w:t>
      </w:r>
      <w:r w:rsidR="004D02BA" w:rsidRPr="00BA090C">
        <w:t xml:space="preserve"> </w:t>
      </w:r>
      <w:r w:rsidR="006724E0" w:rsidRPr="00BA090C">
        <w:t>—</w:t>
      </w:r>
      <w:r w:rsidR="00C160FF">
        <w:t xml:space="preserve"> </w:t>
      </w:r>
      <w:r w:rsidRPr="00BA090C">
        <w:t>constitutional litigation</w:t>
      </w:r>
      <w:r w:rsidR="004D02BA" w:rsidRPr="00BA090C">
        <w:t xml:space="preserve"> </w:t>
      </w:r>
      <w:r w:rsidR="006724E0" w:rsidRPr="00BA090C">
        <w:t>—</w:t>
      </w:r>
      <w:r w:rsidR="00C160FF">
        <w:t xml:space="preserve"> </w:t>
      </w:r>
      <w:r w:rsidR="00316A68">
        <w:t>State obligation</w:t>
      </w:r>
    </w:p>
    <w:p w:rsidR="004D02BA" w:rsidRPr="00BA090C" w:rsidRDefault="004D02BA" w:rsidP="004D02BA">
      <w:pPr>
        <w:spacing w:line="240" w:lineRule="auto"/>
      </w:pPr>
    </w:p>
    <w:p w:rsidR="004D02BA" w:rsidRPr="00BA090C" w:rsidRDefault="004D02BA" w:rsidP="004D02BA">
      <w:pPr>
        <w:spacing w:line="240" w:lineRule="auto"/>
      </w:pPr>
    </w:p>
    <w:p w:rsidR="004D02BA" w:rsidRPr="00BA090C" w:rsidRDefault="004D02BA" w:rsidP="004D02BA">
      <w:pPr>
        <w:spacing w:line="240" w:lineRule="auto"/>
      </w:pPr>
    </w:p>
    <w:p w:rsidR="003A18CF" w:rsidRPr="00BA090C" w:rsidRDefault="003A18CF" w:rsidP="003A18CF">
      <w:pPr>
        <w:keepNext/>
        <w:pBdr>
          <w:top w:val="single" w:sz="4" w:space="1" w:color="auto"/>
          <w:bottom w:val="single" w:sz="4" w:space="1" w:color="auto"/>
        </w:pBdr>
        <w:spacing w:line="240" w:lineRule="auto"/>
        <w:jc w:val="center"/>
      </w:pPr>
    </w:p>
    <w:p w:rsidR="003A18CF" w:rsidRPr="00BA090C" w:rsidRDefault="003A18CF" w:rsidP="003A18CF">
      <w:pPr>
        <w:keepNext/>
        <w:pBdr>
          <w:top w:val="single" w:sz="4" w:space="1" w:color="auto"/>
          <w:bottom w:val="single" w:sz="4" w:space="1" w:color="auto"/>
        </w:pBdr>
        <w:spacing w:line="240" w:lineRule="auto"/>
        <w:jc w:val="center"/>
        <w:outlineLvl w:val="0"/>
        <w:rPr>
          <w:b/>
        </w:rPr>
      </w:pPr>
      <w:r w:rsidRPr="00BA090C">
        <w:rPr>
          <w:b/>
        </w:rPr>
        <w:t>ORDER</w:t>
      </w:r>
    </w:p>
    <w:p w:rsidR="003A18CF" w:rsidRPr="00BA090C" w:rsidRDefault="003A18CF" w:rsidP="003A18CF">
      <w:pPr>
        <w:pBdr>
          <w:top w:val="single" w:sz="4" w:space="1" w:color="auto"/>
          <w:bottom w:val="single" w:sz="4" w:space="1" w:color="auto"/>
        </w:pBdr>
        <w:spacing w:line="240" w:lineRule="auto"/>
        <w:jc w:val="center"/>
      </w:pPr>
    </w:p>
    <w:p w:rsidR="003A18CF" w:rsidRPr="00BA090C" w:rsidRDefault="003A18CF" w:rsidP="003A18CF">
      <w:pPr>
        <w:spacing w:line="240" w:lineRule="auto"/>
      </w:pPr>
    </w:p>
    <w:p w:rsidR="003A18CF" w:rsidRPr="00BA090C" w:rsidRDefault="003A18CF" w:rsidP="003A18CF">
      <w:pPr>
        <w:spacing w:line="240" w:lineRule="auto"/>
      </w:pPr>
    </w:p>
    <w:p w:rsidR="003A18CF" w:rsidRDefault="003A18CF" w:rsidP="000C38CF">
      <w:pPr>
        <w:pStyle w:val="JUDGMENTCONTINUED"/>
      </w:pPr>
      <w:r w:rsidRPr="00BA090C">
        <w:t>On appeal</w:t>
      </w:r>
      <w:r w:rsidR="00F45DC4" w:rsidRPr="00BA090C">
        <w:t xml:space="preserve"> from </w:t>
      </w:r>
      <w:r w:rsidR="008B3916" w:rsidRPr="00BA090C">
        <w:t>the Supreme Court of Appeal</w:t>
      </w:r>
      <w:r w:rsidR="008D0F14">
        <w:t xml:space="preserve"> t</w:t>
      </w:r>
      <w:r w:rsidR="005800AD" w:rsidRPr="00BA090C">
        <w:t>he following order is made:</w:t>
      </w:r>
    </w:p>
    <w:p w:rsidR="00A97F8B" w:rsidRPr="005800AD" w:rsidRDefault="00A97F8B" w:rsidP="005800AD">
      <w:pPr>
        <w:pStyle w:val="ORDER"/>
      </w:pPr>
    </w:p>
    <w:p w:rsidR="00A97F8B" w:rsidRDefault="00A97F8B" w:rsidP="004112D2">
      <w:pPr>
        <w:pStyle w:val="ORDER"/>
        <w:numPr>
          <w:ilvl w:val="0"/>
          <w:numId w:val="19"/>
        </w:numPr>
      </w:pPr>
      <w:r>
        <w:t>Leave to appeal against the merits is refused.</w:t>
      </w:r>
    </w:p>
    <w:p w:rsidR="00A97F8B" w:rsidRDefault="00A97F8B" w:rsidP="004112D2">
      <w:pPr>
        <w:pStyle w:val="ORDER"/>
        <w:numPr>
          <w:ilvl w:val="0"/>
          <w:numId w:val="19"/>
        </w:numPr>
      </w:pPr>
      <w:r>
        <w:t>Leave to appeal is granted against the orders of the High Court and the Supreme Court of Appeal on costs.</w:t>
      </w:r>
    </w:p>
    <w:p w:rsidR="00A97F8B" w:rsidRDefault="00A97F8B" w:rsidP="004112D2">
      <w:pPr>
        <w:pStyle w:val="ORDER"/>
        <w:numPr>
          <w:ilvl w:val="0"/>
          <w:numId w:val="19"/>
        </w:numPr>
      </w:pPr>
      <w:r>
        <w:t>The appeal on costs is upheld.</w:t>
      </w:r>
    </w:p>
    <w:p w:rsidR="00A97F8B" w:rsidRDefault="00A97F8B" w:rsidP="004112D2">
      <w:pPr>
        <w:pStyle w:val="ORDER"/>
        <w:numPr>
          <w:ilvl w:val="0"/>
          <w:numId w:val="19"/>
        </w:numPr>
      </w:pPr>
      <w:r>
        <w:t>The costs orders granted by the High Court and the Supreme Court of Appeal are set aside.</w:t>
      </w:r>
    </w:p>
    <w:p w:rsidR="00A97F8B" w:rsidRDefault="00A97F8B" w:rsidP="004112D2">
      <w:pPr>
        <w:pStyle w:val="ORDER"/>
        <w:numPr>
          <w:ilvl w:val="0"/>
          <w:numId w:val="19"/>
        </w:numPr>
      </w:pPr>
      <w:r>
        <w:t>No order as to costs is made in relatio</w:t>
      </w:r>
      <w:r w:rsidR="005D33A3">
        <w:t>n to proceedings in this Court.</w:t>
      </w:r>
    </w:p>
    <w:p w:rsidR="00186132" w:rsidRDefault="00186132" w:rsidP="005D33A3">
      <w:pPr>
        <w:pStyle w:val="ORDER"/>
        <w:spacing w:line="240" w:lineRule="auto"/>
        <w:ind w:left="0" w:firstLine="0"/>
        <w:sectPr w:rsidR="00186132" w:rsidSect="005D33A3">
          <w:headerReference w:type="even" r:id="rId9"/>
          <w:headerReference w:type="default" r:id="rId10"/>
          <w:footerReference w:type="even" r:id="rId11"/>
          <w:footerReference w:type="default" r:id="rId12"/>
          <w:headerReference w:type="first" r:id="rId13"/>
          <w:footerReference w:type="first" r:id="rId14"/>
          <w:pgSz w:w="11907" w:h="16839" w:code="9"/>
          <w:pgMar w:top="1440" w:right="1440" w:bottom="1440" w:left="1440" w:header="708" w:footer="708" w:gutter="0"/>
          <w:pgNumType w:start="1"/>
          <w:cols w:space="708"/>
          <w:titlePg/>
          <w:docGrid w:linePitch="360"/>
        </w:sectPr>
      </w:pPr>
    </w:p>
    <w:p w:rsidR="005D33A3" w:rsidRDefault="005D33A3" w:rsidP="005D33A3">
      <w:pPr>
        <w:pStyle w:val="ORDER"/>
        <w:spacing w:line="240" w:lineRule="auto"/>
        <w:ind w:left="0" w:firstLine="0"/>
      </w:pPr>
    </w:p>
    <w:p w:rsidR="005D33A3" w:rsidRPr="00E9742A" w:rsidRDefault="005D33A3" w:rsidP="005D33A3">
      <w:pPr>
        <w:pStyle w:val="ORDER"/>
        <w:spacing w:line="240" w:lineRule="auto"/>
        <w:ind w:left="0" w:firstLine="0"/>
      </w:pPr>
    </w:p>
    <w:p w:rsidR="000704F2" w:rsidRPr="009C3888" w:rsidRDefault="000704F2" w:rsidP="00F245CE">
      <w:pPr>
        <w:keepNext/>
        <w:pBdr>
          <w:top w:val="single" w:sz="4" w:space="1" w:color="auto"/>
          <w:bottom w:val="single" w:sz="4" w:space="1" w:color="auto"/>
        </w:pBdr>
        <w:spacing w:line="240" w:lineRule="auto"/>
        <w:jc w:val="center"/>
      </w:pPr>
    </w:p>
    <w:p w:rsidR="00E4607C" w:rsidRPr="003A18CF" w:rsidRDefault="00C93484" w:rsidP="00F245CE">
      <w:pPr>
        <w:keepNext/>
        <w:pBdr>
          <w:top w:val="single" w:sz="4" w:space="1" w:color="auto"/>
          <w:bottom w:val="single" w:sz="4" w:space="1" w:color="auto"/>
        </w:pBdr>
        <w:spacing w:line="240" w:lineRule="auto"/>
        <w:jc w:val="center"/>
        <w:outlineLvl w:val="0"/>
        <w:rPr>
          <w:b/>
        </w:rPr>
      </w:pPr>
      <w:r>
        <w:rPr>
          <w:b/>
        </w:rPr>
        <w:t>JUDGMENT</w:t>
      </w:r>
    </w:p>
    <w:p w:rsidR="000704F2" w:rsidRPr="009C3888" w:rsidRDefault="000704F2" w:rsidP="000704F2">
      <w:pPr>
        <w:pBdr>
          <w:top w:val="single" w:sz="4" w:space="1" w:color="auto"/>
          <w:bottom w:val="single" w:sz="4" w:space="1" w:color="auto"/>
        </w:pBdr>
        <w:spacing w:line="240" w:lineRule="auto"/>
        <w:jc w:val="center"/>
      </w:pPr>
    </w:p>
    <w:p w:rsidR="000704F2" w:rsidRPr="009C3888" w:rsidRDefault="000704F2" w:rsidP="000704F2">
      <w:pPr>
        <w:spacing w:line="240" w:lineRule="auto"/>
      </w:pPr>
    </w:p>
    <w:p w:rsidR="00F12F57" w:rsidRDefault="00F12F57" w:rsidP="000704F2">
      <w:pPr>
        <w:spacing w:line="240" w:lineRule="auto"/>
      </w:pPr>
    </w:p>
    <w:p w:rsidR="006E3711" w:rsidRPr="009C3888" w:rsidRDefault="006E3711" w:rsidP="000704F2">
      <w:pPr>
        <w:spacing w:line="240" w:lineRule="auto"/>
      </w:pPr>
    </w:p>
    <w:p w:rsidR="007F485E" w:rsidRPr="00C95D7C" w:rsidRDefault="007F485E" w:rsidP="007F485E">
      <w:pPr>
        <w:spacing w:line="240" w:lineRule="auto"/>
        <w:outlineLvl w:val="0"/>
      </w:pPr>
      <w:r>
        <w:t>JAFTA J</w:t>
      </w:r>
      <w:r w:rsidR="00C160FF">
        <w:t xml:space="preserve"> (</w:t>
      </w:r>
      <w:proofErr w:type="spellStart"/>
      <w:r w:rsidR="00C160FF" w:rsidRPr="00C160FF">
        <w:t>Nkabinde</w:t>
      </w:r>
      <w:proofErr w:type="spellEnd"/>
      <w:r w:rsidR="00C160FF" w:rsidRPr="00C160FF">
        <w:t xml:space="preserve"> ADCJ,</w:t>
      </w:r>
      <w:r w:rsidR="00C160FF">
        <w:t xml:space="preserve"> Cameron J, </w:t>
      </w:r>
      <w:proofErr w:type="spellStart"/>
      <w:r w:rsidR="00C160FF">
        <w:t>Froneman</w:t>
      </w:r>
      <w:proofErr w:type="spellEnd"/>
      <w:r w:rsidR="00C160FF">
        <w:t xml:space="preserve"> J,</w:t>
      </w:r>
      <w:r w:rsidR="00C160FF" w:rsidRPr="00C160FF">
        <w:t xml:space="preserve"> </w:t>
      </w:r>
      <w:proofErr w:type="spellStart"/>
      <w:r w:rsidR="00C160FF" w:rsidRPr="00C160FF">
        <w:t>Khampepe</w:t>
      </w:r>
      <w:proofErr w:type="spellEnd"/>
      <w:r w:rsidR="00C160FF" w:rsidRPr="00C160FF">
        <w:t xml:space="preserve"> J, </w:t>
      </w:r>
      <w:proofErr w:type="spellStart"/>
      <w:r w:rsidR="00C160FF" w:rsidRPr="00C160FF">
        <w:t>Madlanga</w:t>
      </w:r>
      <w:proofErr w:type="spellEnd"/>
      <w:r w:rsidR="00C160FF" w:rsidRPr="00C160FF">
        <w:t xml:space="preserve"> J, </w:t>
      </w:r>
      <w:proofErr w:type="spellStart"/>
      <w:r w:rsidR="00C160FF" w:rsidRPr="00C160FF">
        <w:t>Mhlantla</w:t>
      </w:r>
      <w:proofErr w:type="spellEnd"/>
      <w:r w:rsidR="00C160FF" w:rsidRPr="00C160FF">
        <w:t xml:space="preserve"> J, </w:t>
      </w:r>
      <w:proofErr w:type="spellStart"/>
      <w:r w:rsidR="00C160FF" w:rsidRPr="00C160FF">
        <w:t>Mojapelo</w:t>
      </w:r>
      <w:proofErr w:type="spellEnd"/>
      <w:r w:rsidR="00C160FF" w:rsidRPr="00C160FF">
        <w:t xml:space="preserve"> AJ, Pretorius AJ and </w:t>
      </w:r>
      <w:proofErr w:type="spellStart"/>
      <w:r w:rsidR="00C160FF" w:rsidRPr="00C160FF">
        <w:t>Zondo</w:t>
      </w:r>
      <w:proofErr w:type="spellEnd"/>
      <w:r w:rsidR="00C160FF" w:rsidRPr="00C160FF">
        <w:t xml:space="preserve"> J</w:t>
      </w:r>
      <w:r w:rsidR="00C160FF">
        <w:t xml:space="preserve"> concurring):</w:t>
      </w:r>
    </w:p>
    <w:p w:rsidR="00860C4E" w:rsidRPr="000C38CF" w:rsidRDefault="00860C4E" w:rsidP="000C38CF">
      <w:pPr>
        <w:pStyle w:val="JUDGMENTCONTINUED"/>
      </w:pPr>
    </w:p>
    <w:p w:rsidR="007F485E" w:rsidRDefault="00043B6B" w:rsidP="00043B6B">
      <w:pPr>
        <w:pStyle w:val="JUDGMENTNUMBERED"/>
      </w:pPr>
      <w:r>
        <w:t>This is an application for leave to appeal against the order of the Supreme</w:t>
      </w:r>
      <w:r w:rsidR="008D0F14">
        <w:t> Court</w:t>
      </w:r>
      <w:r>
        <w:t xml:space="preserve"> of Appeal in terms of which the applicant’s appeal was dismissed with costs.  The applicant is Ms </w:t>
      </w:r>
      <w:proofErr w:type="spellStart"/>
      <w:r>
        <w:t>Niekara</w:t>
      </w:r>
      <w:proofErr w:type="spellEnd"/>
      <w:r>
        <w:t xml:space="preserve"> </w:t>
      </w:r>
      <w:proofErr w:type="spellStart"/>
      <w:r>
        <w:t>Harrielall</w:t>
      </w:r>
      <w:proofErr w:type="spellEnd"/>
      <w:r>
        <w:t xml:space="preserve">, a student </w:t>
      </w:r>
      <w:r w:rsidR="00433099">
        <w:t>at</w:t>
      </w:r>
      <w:r w:rsidR="004D0CC5">
        <w:t xml:space="preserve"> the University of KwaZulu</w:t>
      </w:r>
      <w:r w:rsidR="004D0CC5">
        <w:noBreakHyphen/>
      </w:r>
      <w:r>
        <w:t>Natal</w:t>
      </w:r>
      <w:r w:rsidR="007F416F">
        <w:t xml:space="preserve"> (University)</w:t>
      </w:r>
      <w:r>
        <w:t>.  She has c</w:t>
      </w:r>
      <w:r w:rsidR="007F416F">
        <w:t>ited the U</w:t>
      </w:r>
      <w:r>
        <w:t>niversity as a respondent.</w:t>
      </w:r>
    </w:p>
    <w:p w:rsidR="00043B6B" w:rsidRDefault="00043B6B" w:rsidP="00043B6B">
      <w:pPr>
        <w:pStyle w:val="JUDGMENTCONTINUED"/>
      </w:pPr>
    </w:p>
    <w:p w:rsidR="00043B6B" w:rsidRDefault="00043B6B" w:rsidP="00043B6B">
      <w:pPr>
        <w:pStyle w:val="JUDGMENTNUMBERED"/>
      </w:pPr>
      <w:r>
        <w:t xml:space="preserve">In 2015 the applicant applied for admission at the </w:t>
      </w:r>
      <w:r w:rsidR="007F416F">
        <w:t>U</w:t>
      </w:r>
      <w:r>
        <w:t xml:space="preserve">niversity to study for an </w:t>
      </w:r>
      <w:proofErr w:type="spellStart"/>
      <w:r>
        <w:t>MBChB</w:t>
      </w:r>
      <w:proofErr w:type="spellEnd"/>
      <w:r>
        <w:t xml:space="preserve"> degree, as she aspires to be a medical doctor.  </w:t>
      </w:r>
      <w:r w:rsidR="00A97F8B">
        <w:t xml:space="preserve">However </w:t>
      </w:r>
      <w:r>
        <w:t>her application was unsuccessful.  In order to improve her prospects for admission</w:t>
      </w:r>
      <w:r w:rsidR="00A97F8B">
        <w:t>,</w:t>
      </w:r>
      <w:r>
        <w:t xml:space="preserve"> the following year, the applicant registered for the degree of Bachelor of Medical Science (Anatomy) in 2015.  When applications for the 2016 intake were open, she applied again under the policy described as “mature students” which is defined in these terms: </w:t>
      </w:r>
    </w:p>
    <w:p w:rsidR="00043B6B" w:rsidRPr="00A97F8B" w:rsidRDefault="00043B6B" w:rsidP="00A97F8B">
      <w:pPr>
        <w:pStyle w:val="QUOTATION"/>
      </w:pPr>
    </w:p>
    <w:p w:rsidR="00BB0CD7" w:rsidRPr="00BB0CD7" w:rsidRDefault="00433099" w:rsidP="00BB0CD7">
      <w:pPr>
        <w:pStyle w:val="QUOTATION"/>
      </w:pPr>
      <w:r>
        <w:t>“</w:t>
      </w:r>
      <w:r w:rsidR="00BB0CD7" w:rsidRPr="00BB0CD7">
        <w:t xml:space="preserve">3. MATURE STUDENTS </w:t>
      </w:r>
    </w:p>
    <w:p w:rsidR="00BB0CD7" w:rsidRPr="00BB0CD7" w:rsidRDefault="00BB0CD7" w:rsidP="00BB0CD7">
      <w:pPr>
        <w:pStyle w:val="QUOTATION"/>
      </w:pPr>
      <w:r w:rsidRPr="00BB0CD7">
        <w:t xml:space="preserve">Mature students will comprise 20% (40 students) of the class. </w:t>
      </w:r>
      <w:r>
        <w:t xml:space="preserve"> </w:t>
      </w:r>
      <w:r w:rsidRPr="00BB0CD7">
        <w:t xml:space="preserve">Mature students are categorized as follows: </w:t>
      </w:r>
    </w:p>
    <w:p w:rsidR="00BB0CD7" w:rsidRPr="00BB0CD7" w:rsidRDefault="00BB0CD7" w:rsidP="00BB0CD7">
      <w:pPr>
        <w:pStyle w:val="QUOTATION"/>
      </w:pPr>
      <w:r w:rsidRPr="00BB0CD7">
        <w:lastRenderedPageBreak/>
        <w:t>a</w:t>
      </w:r>
      <w:r>
        <w:t>)</w:t>
      </w:r>
      <w:r w:rsidRPr="00BB0CD7">
        <w:t xml:space="preserve">. Candidates who have completed the Matriculation/Grade 12 examination and exceeding the minimum standards for entry into the </w:t>
      </w:r>
      <w:proofErr w:type="spellStart"/>
      <w:r w:rsidRPr="00BB0CD7">
        <w:t>MBChB</w:t>
      </w:r>
      <w:proofErr w:type="spellEnd"/>
      <w:r w:rsidRPr="00BB0CD7">
        <w:t xml:space="preserve"> programme as defined above; and have done a year or more of a degree course at a recognised university in South Africa; and achieved outstanding results (Open). </w:t>
      </w:r>
      <w:r>
        <w:t xml:space="preserve"> </w:t>
      </w:r>
      <w:r w:rsidRPr="00BB0CD7">
        <w:t>Twenty five percent (10</w:t>
      </w:r>
      <w:r>
        <w:t> </w:t>
      </w:r>
      <w:r w:rsidRPr="00BB0CD7">
        <w:t xml:space="preserve">students) will be from this open competitive category. </w:t>
      </w:r>
    </w:p>
    <w:p w:rsidR="00BB0CD7" w:rsidRPr="00BB0CD7" w:rsidRDefault="00BB0CD7" w:rsidP="00BB0CD7">
      <w:pPr>
        <w:pStyle w:val="QUOTATION"/>
      </w:pPr>
      <w:r w:rsidRPr="00BB0CD7">
        <w:t>b</w:t>
      </w:r>
      <w:r>
        <w:t>)</w:t>
      </w:r>
      <w:r w:rsidRPr="00BB0CD7">
        <w:t xml:space="preserve">. BSc and </w:t>
      </w:r>
      <w:proofErr w:type="spellStart"/>
      <w:r w:rsidRPr="00BB0CD7">
        <w:t>BMedSc</w:t>
      </w:r>
      <w:proofErr w:type="spellEnd"/>
      <w:r w:rsidRPr="00BB0CD7">
        <w:t xml:space="preserve"> access programmes (reflecting Quintile 1 and 2 students) - racial groups do not apply for the selection of Quintile 1 and 2 students (BSc/</w:t>
      </w:r>
      <w:proofErr w:type="spellStart"/>
      <w:r w:rsidRPr="00BB0CD7">
        <w:t>BMedSc</w:t>
      </w:r>
      <w:proofErr w:type="spellEnd"/>
      <w:r w:rsidRPr="00BB0CD7">
        <w:t xml:space="preserve"> Access). </w:t>
      </w:r>
      <w:r>
        <w:t xml:space="preserve"> </w:t>
      </w:r>
      <w:r w:rsidRPr="00BB0CD7">
        <w:t xml:space="preserve">Fifty percent of the mature students (20 students) will be from the BSc and </w:t>
      </w:r>
      <w:proofErr w:type="spellStart"/>
      <w:r w:rsidRPr="00BB0CD7">
        <w:t>BMedSc</w:t>
      </w:r>
      <w:proofErr w:type="spellEnd"/>
      <w:r w:rsidRPr="00BB0CD7">
        <w:t xml:space="preserve"> access programmes (reflecting Quintile 1 and 2 students). </w:t>
      </w:r>
    </w:p>
    <w:p w:rsidR="00BB0CD7" w:rsidRPr="00BB0CD7" w:rsidRDefault="00BB0CD7" w:rsidP="00BB0CD7">
      <w:pPr>
        <w:pStyle w:val="QUOTATION"/>
      </w:pPr>
      <w:r w:rsidRPr="00BB0CD7">
        <w:t>c</w:t>
      </w:r>
      <w:r>
        <w:t>)</w:t>
      </w:r>
      <w:r w:rsidRPr="00BB0CD7">
        <w:t>. Twenty-five percent (10 students) will be from BSc/</w:t>
      </w:r>
      <w:proofErr w:type="spellStart"/>
      <w:r w:rsidRPr="00BB0CD7">
        <w:t>BMedSc</w:t>
      </w:r>
      <w:proofErr w:type="spellEnd"/>
      <w:r w:rsidRPr="00BB0CD7">
        <w:t xml:space="preserve"> graduates from Health Science related degrees, (Health Scienc</w:t>
      </w:r>
      <w:r>
        <w:t>es Open).</w:t>
      </w:r>
      <w:r w:rsidR="00433099">
        <w:t>”</w:t>
      </w:r>
    </w:p>
    <w:p w:rsidR="00D42A0F" w:rsidRPr="00D42A0F" w:rsidRDefault="00D42A0F" w:rsidP="00D42A0F">
      <w:pPr>
        <w:pStyle w:val="JUDGMENTCONTINUED"/>
      </w:pPr>
    </w:p>
    <w:p w:rsidR="00D42A0F" w:rsidRDefault="00D42A0F" w:rsidP="00D42A0F">
      <w:pPr>
        <w:pStyle w:val="JUDGMENTNUMBERED"/>
      </w:pPr>
      <w:r>
        <w:t xml:space="preserve">Of the three categories of mature students, the applicant’s application qualified to be assessed in terms of category (a) which applies to candidates who have completed matric and have also done a year or more of a degree course at a university in South Africa.  In addition to her matric qualification, the applicant had done </w:t>
      </w:r>
      <w:r w:rsidR="00433099">
        <w:t xml:space="preserve">a </w:t>
      </w:r>
      <w:r>
        <w:t xml:space="preserve">one year course in the Bachelor of Medical Science </w:t>
      </w:r>
      <w:r w:rsidR="007F416F">
        <w:t xml:space="preserve">(Anatomy) </w:t>
      </w:r>
      <w:r>
        <w:t xml:space="preserve">at the same </w:t>
      </w:r>
      <w:r w:rsidR="007F416F">
        <w:t>U</w:t>
      </w:r>
      <w:r>
        <w:t xml:space="preserve">niversity.  But this category comprises </w:t>
      </w:r>
      <w:r w:rsidR="00A97F8B">
        <w:t xml:space="preserve">only of </w:t>
      </w:r>
      <w:r>
        <w:t>10 students within the broader category of mature students consisting of 40 students in all.</w:t>
      </w:r>
    </w:p>
    <w:p w:rsidR="00D42A0F" w:rsidRDefault="00D42A0F" w:rsidP="00D42A0F">
      <w:pPr>
        <w:pStyle w:val="JUDGMENTCONTINUED"/>
      </w:pPr>
    </w:p>
    <w:p w:rsidR="00D42A0F" w:rsidRDefault="00D42A0F" w:rsidP="00D42A0F">
      <w:pPr>
        <w:pStyle w:val="JUDGMENTNUMBERED"/>
      </w:pPr>
      <w:r>
        <w:t xml:space="preserve">As places in the first year course of the </w:t>
      </w:r>
      <w:proofErr w:type="spellStart"/>
      <w:r>
        <w:t>MBChB</w:t>
      </w:r>
      <w:proofErr w:type="spellEnd"/>
      <w:r>
        <w:t xml:space="preserve"> programme are limited, competition for admission is </w:t>
      </w:r>
      <w:r w:rsidRPr="00DC01DE">
        <w:t>fierce</w:t>
      </w:r>
      <w:r>
        <w:t xml:space="preserve">.  For example, in category (a) for the 2016 intake, there </w:t>
      </w:r>
      <w:r w:rsidR="00433099">
        <w:t xml:space="preserve">were </w:t>
      </w:r>
      <w:r>
        <w:t>161 candidates, including the applicant.  Some of them had completed their degree courses and yet all of them were competing for 10 places</w:t>
      </w:r>
      <w:r w:rsidR="00BB7153">
        <w:t>.  When the selection in that category was made the applicant was again unsuccessful.</w:t>
      </w:r>
    </w:p>
    <w:p w:rsidR="00BB7153" w:rsidRDefault="00BB7153" w:rsidP="00BB7153">
      <w:pPr>
        <w:pStyle w:val="JUDGMENTCONTINUED"/>
      </w:pPr>
    </w:p>
    <w:p w:rsidR="00BB7153" w:rsidRDefault="00BB7153" w:rsidP="00BB7153">
      <w:pPr>
        <w:pStyle w:val="JUDGMENTNUMBERED"/>
      </w:pPr>
      <w:r>
        <w:t>Aggrieved by this decision the applicant launched a review application in the KwaZulu</w:t>
      </w:r>
      <w:r w:rsidR="0087408E">
        <w:t>-</w:t>
      </w:r>
      <w:r>
        <w:t>Natal Division of the High Court</w:t>
      </w:r>
      <w:r w:rsidR="00B25FBE">
        <w:t xml:space="preserve"> (High Court)</w:t>
      </w:r>
      <w:r>
        <w:t xml:space="preserve">, asking that Court to set aside the decision of the university.  She contended that the </w:t>
      </w:r>
      <w:r w:rsidR="00B25FBE">
        <w:t>U</w:t>
      </w:r>
      <w:r>
        <w:t>niversity had failed to consider and apply its own admission policy in declining to admit her</w:t>
      </w:r>
      <w:r w:rsidR="00186E34">
        <w:t xml:space="preserve"> to the relevant programme</w:t>
      </w:r>
      <w:r>
        <w:t xml:space="preserve">.  The matter was opposed by the </w:t>
      </w:r>
      <w:r w:rsidR="00B25FBE">
        <w:t>U</w:t>
      </w:r>
      <w:r>
        <w:t xml:space="preserve">niversity which averred that her application was considered together with 160 other applications.  These applications were merited in accordance with academic qualifications achieved by each applicant.  </w:t>
      </w:r>
      <w:r>
        <w:lastRenderedPageBreak/>
        <w:t xml:space="preserve">Those with completed degree qualifications scored higher points and as a result they took up all </w:t>
      </w:r>
      <w:r w:rsidR="00B25FBE">
        <w:t>10</w:t>
      </w:r>
      <w:r w:rsidR="00C3200C">
        <w:t xml:space="preserve"> </w:t>
      </w:r>
      <w:r>
        <w:t>available places.  All undergraduates</w:t>
      </w:r>
      <w:r w:rsidR="00DC2469">
        <w:t>,</w:t>
      </w:r>
      <w:r>
        <w:t xml:space="preserve"> including the applicant</w:t>
      </w:r>
      <w:r w:rsidR="00DC2469">
        <w:t>,</w:t>
      </w:r>
      <w:r>
        <w:t xml:space="preserve"> were no</w:t>
      </w:r>
      <w:r w:rsidR="00774591">
        <w:t>t</w:t>
      </w:r>
      <w:r>
        <w:t xml:space="preserve"> successful.</w:t>
      </w:r>
    </w:p>
    <w:p w:rsidR="00BB7153" w:rsidRDefault="00BB7153" w:rsidP="00BB7153">
      <w:pPr>
        <w:pStyle w:val="JUDGMENTCONTINUED"/>
      </w:pPr>
    </w:p>
    <w:p w:rsidR="00BB7153" w:rsidRDefault="00BB7153" w:rsidP="00BB7153">
      <w:pPr>
        <w:pStyle w:val="JUDGMENTNUMBERED"/>
      </w:pPr>
      <w:r>
        <w:t>The High Court dismissed the application with costs on the ground that the applicant had failed to show that the relevant policy was not applied in determining her application for admission.  However, leave to appeal to the Supreme Court of Appeal was granted in</w:t>
      </w:r>
      <w:r w:rsidR="00774591">
        <w:t xml:space="preserve"> her</w:t>
      </w:r>
      <w:r>
        <w:t xml:space="preserve"> favour.  But her appeal was dismissed with costs.</w:t>
      </w:r>
    </w:p>
    <w:p w:rsidR="00BB7153" w:rsidRDefault="00BB7153" w:rsidP="00BB7153">
      <w:pPr>
        <w:pStyle w:val="JUDGMENTCONTINUED"/>
      </w:pPr>
    </w:p>
    <w:p w:rsidR="00BB7153" w:rsidRDefault="00BB7153" w:rsidP="00BB7153">
      <w:pPr>
        <w:pStyle w:val="JUDGMENTNUMBERED"/>
        <w:rPr>
          <w:i/>
        </w:rPr>
      </w:pPr>
      <w:r>
        <w:t>Unde</w:t>
      </w:r>
      <w:r w:rsidR="00774591">
        <w:t>t</w:t>
      </w:r>
      <w:r>
        <w:t xml:space="preserve">erred by the failures in those </w:t>
      </w:r>
      <w:r w:rsidR="004D67C5">
        <w:t>C</w:t>
      </w:r>
      <w:r>
        <w:t xml:space="preserve">ourts the applicant </w:t>
      </w:r>
      <w:r w:rsidR="00774591">
        <w:t xml:space="preserve">lodged </w:t>
      </w:r>
      <w:r>
        <w:t xml:space="preserve">an application for leave to appeal in this </w:t>
      </w:r>
      <w:r w:rsidR="00774591">
        <w:t>C</w:t>
      </w:r>
      <w:r>
        <w:t>ourt.  On 24 July 2017, the Chief Justice issued directions</w:t>
      </w:r>
      <w:r w:rsidR="00182CA3">
        <w:rPr>
          <w:rStyle w:val="FootnoteReference"/>
        </w:rPr>
        <w:footnoteReference w:id="1"/>
      </w:r>
      <w:r>
        <w:t xml:space="preserve">, calling on the parties to file written </w:t>
      </w:r>
      <w:r w:rsidR="00182CA3">
        <w:t xml:space="preserve">submissions on whether in determining the costs orders, the High Court and the Supreme Court of Appeal should have followed </w:t>
      </w:r>
      <w:proofErr w:type="spellStart"/>
      <w:r w:rsidR="00182CA3">
        <w:rPr>
          <w:i/>
        </w:rPr>
        <w:t>Biowatch</w:t>
      </w:r>
      <w:proofErr w:type="spellEnd"/>
      <w:r w:rsidR="00182CA3" w:rsidRPr="004D67C5">
        <w:t>.</w:t>
      </w:r>
      <w:r w:rsidR="00182CA3" w:rsidRPr="004D67C5">
        <w:rPr>
          <w:rStyle w:val="FootnoteReference"/>
        </w:rPr>
        <w:footnoteReference w:id="2"/>
      </w:r>
    </w:p>
    <w:p w:rsidR="00182CA3" w:rsidRDefault="00182CA3" w:rsidP="00182CA3">
      <w:pPr>
        <w:pStyle w:val="JUDGMENTCONTINUED"/>
      </w:pPr>
    </w:p>
    <w:p w:rsidR="00182CA3" w:rsidRDefault="00182CA3" w:rsidP="00182CA3">
      <w:pPr>
        <w:pStyle w:val="JUDGMENTNUMBERED"/>
      </w:pPr>
      <w:r>
        <w:t>The parties have file</w:t>
      </w:r>
      <w:r w:rsidR="00774591">
        <w:t>d</w:t>
      </w:r>
      <w:r>
        <w:t xml:space="preserve"> written submissions and the matter was determined without oral argument.</w:t>
      </w:r>
    </w:p>
    <w:p w:rsidR="00182CA3" w:rsidRDefault="00182CA3" w:rsidP="00182CA3">
      <w:pPr>
        <w:pStyle w:val="JUDGMENTCONTINUED"/>
      </w:pPr>
    </w:p>
    <w:p w:rsidR="00182CA3" w:rsidRDefault="00182CA3" w:rsidP="00182CA3">
      <w:pPr>
        <w:pStyle w:val="JUDGMENTNUMBERED"/>
      </w:pPr>
      <w:r>
        <w:t xml:space="preserve">With regard to </w:t>
      </w:r>
      <w:r w:rsidR="00186E34">
        <w:t xml:space="preserve">the </w:t>
      </w:r>
      <w:r>
        <w:t xml:space="preserve">merits, we are satisfied that the application must fail as it bears no prospects </w:t>
      </w:r>
      <w:r w:rsidR="00774591">
        <w:t>o</w:t>
      </w:r>
      <w:r>
        <w:t xml:space="preserve">f success.  It is quite apparent that the relevant policy was applied in determining the applicant’s request for admission.  She was not successful because </w:t>
      </w:r>
      <w:r w:rsidR="00B25FBE">
        <w:t xml:space="preserve">she was competing against </w:t>
      </w:r>
      <w:r>
        <w:t xml:space="preserve">candidates </w:t>
      </w:r>
      <w:r w:rsidR="00B25FBE">
        <w:t>who were more qualified than she was.</w:t>
      </w:r>
      <w:r>
        <w:t xml:space="preserve">  Those who ended up being selected </w:t>
      </w:r>
      <w:r w:rsidR="00B25FBE">
        <w:t>for the limited number of places had scored more</w:t>
      </w:r>
      <w:r>
        <w:t xml:space="preserve"> points </w:t>
      </w:r>
      <w:r w:rsidR="00B25FBE">
        <w:lastRenderedPageBreak/>
        <w:t xml:space="preserve">due to their better </w:t>
      </w:r>
      <w:r>
        <w:t>qualifications.  This illustrates a proper and fair application of the admission policy, the validity of which was not questioned in these proceedings.</w:t>
      </w:r>
    </w:p>
    <w:p w:rsidR="00182CA3" w:rsidRDefault="00182CA3" w:rsidP="00182CA3">
      <w:pPr>
        <w:pStyle w:val="JUDGMENTCONTINUED"/>
      </w:pPr>
    </w:p>
    <w:p w:rsidR="00182CA3" w:rsidRDefault="00182CA3" w:rsidP="00182CA3">
      <w:pPr>
        <w:pStyle w:val="JUDGMENTNUMBERED"/>
      </w:pPr>
      <w:r>
        <w:t xml:space="preserve">But we are not persuaded that the High Court and the Supreme Court of Appeal </w:t>
      </w:r>
      <w:r w:rsidR="009D4EE9">
        <w:t xml:space="preserve">were entitled to depart from the </w:t>
      </w:r>
      <w:r w:rsidR="009D4EE9">
        <w:rPr>
          <w:i/>
        </w:rPr>
        <w:t xml:space="preserve">Biowatch </w:t>
      </w:r>
      <w:r w:rsidR="009D4EE9">
        <w:t xml:space="preserve">principle which requires that an unsuccessful party in proceedings against the </w:t>
      </w:r>
      <w:r w:rsidR="00974865">
        <w:t>S</w:t>
      </w:r>
      <w:r w:rsidR="009D4EE9">
        <w:t xml:space="preserve">tate be spared from paying the </w:t>
      </w:r>
      <w:r w:rsidR="00974865">
        <w:t>S</w:t>
      </w:r>
      <w:r w:rsidR="009D4EE9">
        <w:t xml:space="preserve">tate’s costs in constitutional matters.  The High Court’s judgment does not refer at all to this principle.  It appears that that Court applied the ordinary rule that says costs follow the result and the unsuccessful party must pay costs of the successful one.  In </w:t>
      </w:r>
      <w:proofErr w:type="spellStart"/>
      <w:r w:rsidR="009D4EE9">
        <w:rPr>
          <w:i/>
        </w:rPr>
        <w:t>Biowatch</w:t>
      </w:r>
      <w:proofErr w:type="spellEnd"/>
      <w:r w:rsidR="009D4EE9">
        <w:rPr>
          <w:i/>
        </w:rPr>
        <w:t xml:space="preserve"> </w:t>
      </w:r>
      <w:r w:rsidR="009D4EE9">
        <w:t>this Court made it plain that this rule should not be applied to constitutional matters.</w:t>
      </w:r>
    </w:p>
    <w:p w:rsidR="009D4EE9" w:rsidRDefault="009D4EE9" w:rsidP="009D4EE9">
      <w:pPr>
        <w:pStyle w:val="JUDGMENTCONTINUED"/>
      </w:pPr>
    </w:p>
    <w:p w:rsidR="009D4EE9" w:rsidRDefault="009D4EE9" w:rsidP="009D4EE9">
      <w:pPr>
        <w:pStyle w:val="JUDGMENTNUMBERED"/>
      </w:pPr>
      <w:r>
        <w:t xml:space="preserve">Although </w:t>
      </w:r>
      <w:proofErr w:type="spellStart"/>
      <w:r>
        <w:rPr>
          <w:i/>
        </w:rPr>
        <w:t>Biowatch</w:t>
      </w:r>
      <w:proofErr w:type="spellEnd"/>
      <w:r>
        <w:rPr>
          <w:i/>
        </w:rPr>
        <w:t xml:space="preserve"> </w:t>
      </w:r>
      <w:r>
        <w:t xml:space="preserve">was decided eight years ago, it seems that the other courts are yet to embrace its principle.  This is apparent from the growing number of matters that come before this Court where the issue of not applying </w:t>
      </w:r>
      <w:proofErr w:type="spellStart"/>
      <w:r>
        <w:rPr>
          <w:i/>
        </w:rPr>
        <w:t>Biowatch</w:t>
      </w:r>
      <w:proofErr w:type="spellEnd"/>
      <w:r>
        <w:t xml:space="preserve"> is raised.  This is unfortunate.  In </w:t>
      </w:r>
      <w:proofErr w:type="spellStart"/>
      <w:r>
        <w:rPr>
          <w:i/>
        </w:rPr>
        <w:t>Biowatch</w:t>
      </w:r>
      <w:proofErr w:type="spellEnd"/>
      <w:r>
        <w:rPr>
          <w:i/>
        </w:rPr>
        <w:t xml:space="preserve"> </w:t>
      </w:r>
      <w:r>
        <w:t xml:space="preserve">this Court laid down a general rule relating to costs in constitutional matters.  That rule applies in every constitutional matter involving organs of </w:t>
      </w:r>
      <w:r w:rsidR="00974865">
        <w:t>S</w:t>
      </w:r>
      <w:r>
        <w:t>tate.  The rule seeks to shield unsuccessful litigants from the</w:t>
      </w:r>
      <w:r w:rsidR="00CA0764">
        <w:t xml:space="preserve"> obligation of paying costs to the state.  The underlying principle is to prevent the chilling effect that adverse costs orders might have on litigants seeking to assert constitutional rights.</w:t>
      </w:r>
    </w:p>
    <w:p w:rsidR="00CA0764" w:rsidRDefault="00CA0764" w:rsidP="00CA0764">
      <w:pPr>
        <w:pStyle w:val="JUDGMENTCONTINUED"/>
      </w:pPr>
    </w:p>
    <w:p w:rsidR="00CA0764" w:rsidRDefault="00CA0764" w:rsidP="00CA0764">
      <w:pPr>
        <w:pStyle w:val="JUDGMENTNUMBERED"/>
      </w:pPr>
      <w:r>
        <w:t xml:space="preserve">However, the rule is not a licence for litigants to institute frivolous or vexatious proceedings against the </w:t>
      </w:r>
      <w:r w:rsidR="00974865">
        <w:t>S</w:t>
      </w:r>
      <w:r>
        <w:t xml:space="preserve">tate.  The operation of its shield is restricted to genuine constitutional matters.  Even then, if a litigant is guilty of unacceptable behaviour in relation to how litigation is conducted, it may be ordered to pay costs.  This means that there are exceptions to the rule which justify a departure from it.  In </w:t>
      </w:r>
      <w:r>
        <w:rPr>
          <w:i/>
        </w:rPr>
        <w:t xml:space="preserve">Affordable Medicines </w:t>
      </w:r>
      <w:r>
        <w:t xml:space="preserve">this Court laid down exceptions to the rule.  </w:t>
      </w:r>
      <w:proofErr w:type="spellStart"/>
      <w:r>
        <w:t>Ngcobo</w:t>
      </w:r>
      <w:proofErr w:type="spellEnd"/>
      <w:r>
        <w:t xml:space="preserve"> J said:</w:t>
      </w:r>
    </w:p>
    <w:p w:rsidR="00CA0764" w:rsidRDefault="00CA0764" w:rsidP="00CA0764">
      <w:pPr>
        <w:pStyle w:val="QUOTATION"/>
      </w:pPr>
    </w:p>
    <w:p w:rsidR="00CA0764" w:rsidRDefault="00CA0764" w:rsidP="00CA0764">
      <w:pPr>
        <w:pStyle w:val="QUOTATION"/>
      </w:pPr>
      <w:r>
        <w:t xml:space="preserve">“There may be circumstances that justify departure from this rule such as where the litigation is frivolous or vexatious.  There may be conduct on the part of the litigant </w:t>
      </w:r>
      <w:r>
        <w:lastRenderedPageBreak/>
        <w:t xml:space="preserve">that deserves </w:t>
      </w:r>
      <w:r w:rsidRPr="00DC01DE">
        <w:t>c</w:t>
      </w:r>
      <w:r w:rsidR="00DC01DE" w:rsidRPr="00DC01DE">
        <w:t>e</w:t>
      </w:r>
      <w:r w:rsidR="00F50234" w:rsidRPr="00DC01DE">
        <w:t>nsure</w:t>
      </w:r>
      <w:r w:rsidR="00F50234">
        <w:t xml:space="preserve"> by the Court which may influence the Court to order an unsuccessful litigant to pay costs.”</w:t>
      </w:r>
      <w:r w:rsidR="00974865">
        <w:rPr>
          <w:rStyle w:val="FootnoteReference"/>
        </w:rPr>
        <w:footnoteReference w:id="3"/>
      </w:r>
    </w:p>
    <w:p w:rsidR="009F452C" w:rsidRDefault="009F452C" w:rsidP="009F452C">
      <w:pPr>
        <w:pStyle w:val="JUDGMENTCONTINUED"/>
      </w:pPr>
    </w:p>
    <w:p w:rsidR="009F452C" w:rsidRPr="009F452C" w:rsidRDefault="009F452C" w:rsidP="009F452C">
      <w:pPr>
        <w:pStyle w:val="JUDGMENTCONTINUED"/>
      </w:pPr>
      <w:r>
        <w:t xml:space="preserve">This Court takes active cognisance of these limitations on the </w:t>
      </w:r>
      <w:proofErr w:type="spellStart"/>
      <w:r>
        <w:rPr>
          <w:i/>
          <w:iCs/>
        </w:rPr>
        <w:t>Biowatch</w:t>
      </w:r>
      <w:proofErr w:type="spellEnd"/>
      <w:r>
        <w:t xml:space="preserve"> principle, which it recently applied in </w:t>
      </w:r>
      <w:r>
        <w:rPr>
          <w:i/>
          <w:iCs/>
        </w:rPr>
        <w:t>Lawyers for Human Rights</w:t>
      </w:r>
      <w:r>
        <w:t>.</w:t>
      </w:r>
      <w:r w:rsidR="00D2187C">
        <w:rPr>
          <w:rStyle w:val="FootnoteReference"/>
        </w:rPr>
        <w:footnoteReference w:id="4"/>
      </w:r>
    </w:p>
    <w:p w:rsidR="00F50234" w:rsidRDefault="00F50234" w:rsidP="00F50234">
      <w:pPr>
        <w:pStyle w:val="JUDGMENTCONTINUED"/>
      </w:pPr>
    </w:p>
    <w:p w:rsidR="00691117" w:rsidRDefault="00691117" w:rsidP="00691117">
      <w:pPr>
        <w:pStyle w:val="JUDGMENTNUMBERED"/>
        <w:jc w:val="left"/>
      </w:pPr>
      <w:r>
        <w:t xml:space="preserve">In yet </w:t>
      </w:r>
      <w:proofErr w:type="gramStart"/>
      <w:r>
        <w:t xml:space="preserve">another </w:t>
      </w:r>
      <w:r w:rsidR="00B062DD">
        <w:rPr>
          <w:i/>
        </w:rPr>
        <w:t>Lawyers</w:t>
      </w:r>
      <w:proofErr w:type="gramEnd"/>
      <w:r w:rsidR="00B062DD">
        <w:rPr>
          <w:i/>
        </w:rPr>
        <w:t xml:space="preserve"> for Human Right</w:t>
      </w:r>
      <w:r w:rsidR="00B062DD" w:rsidRPr="007637FC">
        <w:rPr>
          <w:rStyle w:val="FootnoteReference"/>
        </w:rPr>
        <w:footnoteReference w:id="5"/>
      </w:r>
      <w:r w:rsidRPr="00296AB9">
        <w:t>,</w:t>
      </w:r>
      <w:r>
        <w:t xml:space="preserve"> this Court defined the exceptions to the </w:t>
      </w:r>
      <w:proofErr w:type="spellStart"/>
      <w:r>
        <w:rPr>
          <w:i/>
        </w:rPr>
        <w:t>Biowatch</w:t>
      </w:r>
      <w:proofErr w:type="spellEnd"/>
      <w:r>
        <w:rPr>
          <w:i/>
        </w:rPr>
        <w:t xml:space="preserve"> </w:t>
      </w:r>
      <w:r>
        <w:t>rule.  It stated:</w:t>
      </w:r>
    </w:p>
    <w:p w:rsidR="00691117" w:rsidRPr="00691117" w:rsidRDefault="00691117" w:rsidP="00691117">
      <w:pPr>
        <w:pStyle w:val="QUOTATION"/>
      </w:pPr>
    </w:p>
    <w:p w:rsidR="00691117" w:rsidRDefault="00691117" w:rsidP="00691117">
      <w:pPr>
        <w:pStyle w:val="QUOTATION"/>
      </w:pPr>
      <w:r>
        <w:t xml:space="preserve">What is “vexatious”? </w:t>
      </w:r>
      <w:r w:rsidRPr="00691117">
        <w:t xml:space="preserve"> In </w:t>
      </w:r>
      <w:proofErr w:type="spellStart"/>
      <w:r w:rsidRPr="00691117">
        <w:rPr>
          <w:i/>
        </w:rPr>
        <w:t>Bisset</w:t>
      </w:r>
      <w:proofErr w:type="spellEnd"/>
      <w:r w:rsidRPr="00691117">
        <w:t xml:space="preserve"> the Court said this was litigation that was “frivolous, improper, instituted without sufficient ground, to serve solely as an annoyance to the defendant</w:t>
      </w:r>
      <w:proofErr w:type="gramStart"/>
      <w:r w:rsidRPr="00691117">
        <w:t xml:space="preserve">” </w:t>
      </w:r>
      <w:r w:rsidR="00F9575C">
        <w:t xml:space="preserve"> And</w:t>
      </w:r>
      <w:proofErr w:type="gramEnd"/>
      <w:r w:rsidR="00F9575C">
        <w:t xml:space="preserve"> a frivolous complaint? </w:t>
      </w:r>
      <w:r w:rsidRPr="00691117">
        <w:t xml:space="preserve"> That is one wi</w:t>
      </w:r>
      <w:r w:rsidR="00F9575C">
        <w:t xml:space="preserve">th no serious purpose or value. </w:t>
      </w:r>
      <w:r w:rsidRPr="00691117">
        <w:t xml:space="preserve"> Vexatious litigation is initiated without probable cause by one who is not acting in good faith and is doing so for the purpose of annoyi</w:t>
      </w:r>
      <w:r>
        <w:t>ng or embarrassing an opponent.</w:t>
      </w:r>
      <w:r w:rsidRPr="00691117">
        <w:t xml:space="preserve"> </w:t>
      </w:r>
      <w:r w:rsidR="00F9575C">
        <w:t xml:space="preserve"> </w:t>
      </w:r>
      <w:r w:rsidRPr="00691117">
        <w:t xml:space="preserve">Legal action that is not likely to lead to any procedural result is vexatious. </w:t>
      </w:r>
    </w:p>
    <w:p w:rsidR="00691117" w:rsidRPr="00691117" w:rsidRDefault="00691117" w:rsidP="00691117">
      <w:pPr>
        <w:pStyle w:val="JUDGMENTCONTINUED"/>
      </w:pPr>
    </w:p>
    <w:p w:rsidR="00F50234" w:rsidRDefault="00F50234" w:rsidP="00F50234">
      <w:pPr>
        <w:pStyle w:val="JUDGMENTNUMBERED"/>
      </w:pPr>
      <w:r>
        <w:t xml:space="preserve">Absent these exceptions, the </w:t>
      </w:r>
      <w:proofErr w:type="spellStart"/>
      <w:r>
        <w:rPr>
          <w:i/>
        </w:rPr>
        <w:t>Biowatch</w:t>
      </w:r>
      <w:proofErr w:type="spellEnd"/>
      <w:r>
        <w:rPr>
          <w:i/>
        </w:rPr>
        <w:t xml:space="preserve"> </w:t>
      </w:r>
      <w:r>
        <w:t>rule must be followed.  If a court, as the High Court d</w:t>
      </w:r>
      <w:r w:rsidR="00DC01DE">
        <w:t xml:space="preserve">id here, applies the principle </w:t>
      </w:r>
      <w:r>
        <w:t xml:space="preserve">that an unsuccessful party must pay costs of a successful party </w:t>
      </w:r>
      <w:r w:rsidR="00123F0A">
        <w:t>in</w:t>
      </w:r>
      <w:r>
        <w:t xml:space="preserve"> a constitutional matter involving the </w:t>
      </w:r>
      <w:r w:rsidR="000825EF">
        <w:t>S</w:t>
      </w:r>
      <w:r>
        <w:t xml:space="preserve">tate, interference with the ensuing </w:t>
      </w:r>
      <w:r w:rsidR="00130B95" w:rsidRPr="00130B95">
        <w:t>a</w:t>
      </w:r>
      <w:r w:rsidR="00130B95">
        <w:t>ward</w:t>
      </w:r>
      <w:r>
        <w:t xml:space="preserve"> of costs would be justified.  In that event, a wrong principle would have been followed in the </w:t>
      </w:r>
      <w:r w:rsidR="002266F1">
        <w:t xml:space="preserve">exercise of </w:t>
      </w:r>
      <w:proofErr w:type="gramStart"/>
      <w:r w:rsidR="002266F1">
        <w:t>a discretion</w:t>
      </w:r>
      <w:proofErr w:type="gramEnd"/>
      <w:r w:rsidR="002266F1">
        <w:t>.  And this would constitute justification for setting aside the costs order on appeal.</w:t>
      </w:r>
    </w:p>
    <w:p w:rsidR="002266F1" w:rsidRDefault="002266F1" w:rsidP="002266F1">
      <w:pPr>
        <w:pStyle w:val="JUDGMENTCONTINUED"/>
      </w:pPr>
    </w:p>
    <w:p w:rsidR="002266F1" w:rsidRDefault="002266F1" w:rsidP="002266F1">
      <w:pPr>
        <w:pStyle w:val="JUDGMENTNUMBERED"/>
      </w:pPr>
      <w:r>
        <w:t xml:space="preserve">Here it cannot be gainsaid that the </w:t>
      </w:r>
      <w:r w:rsidR="00F91EA5">
        <w:t>U</w:t>
      </w:r>
      <w:r>
        <w:t xml:space="preserve">niversity is an organ of </w:t>
      </w:r>
      <w:r w:rsidR="00EE7F45">
        <w:t>S</w:t>
      </w:r>
      <w:r>
        <w:t xml:space="preserve">tate.  It is a public institution through which the </w:t>
      </w:r>
      <w:r w:rsidR="00EE7F45">
        <w:t>S</w:t>
      </w:r>
      <w:r>
        <w:t>tate discharges its constitutional obligation to make access to further education realisa</w:t>
      </w:r>
      <w:r w:rsidR="00123F0A">
        <w:t>ble</w:t>
      </w:r>
      <w:r>
        <w:t>.</w:t>
      </w:r>
      <w:r>
        <w:rPr>
          <w:rStyle w:val="FootnoteReference"/>
        </w:rPr>
        <w:footnoteReference w:id="6"/>
      </w:r>
      <w:r>
        <w:t xml:space="preserve">  In </w:t>
      </w:r>
      <w:proofErr w:type="spellStart"/>
      <w:r>
        <w:rPr>
          <w:i/>
        </w:rPr>
        <w:t>Hotz</w:t>
      </w:r>
      <w:proofErr w:type="spellEnd"/>
      <w:r>
        <w:rPr>
          <w:i/>
        </w:rPr>
        <w:t xml:space="preserve"> </w:t>
      </w:r>
      <w:r>
        <w:t xml:space="preserve">this Court overturned costs orders </w:t>
      </w:r>
      <w:r>
        <w:lastRenderedPageBreak/>
        <w:t>issued by the Hi</w:t>
      </w:r>
      <w:r w:rsidR="00E9742A">
        <w:t>gh Court and the Supreme Court o</w:t>
      </w:r>
      <w:r>
        <w:t>f Appeal in litigation between a university and its students.  It was stated:</w:t>
      </w:r>
    </w:p>
    <w:p w:rsidR="00222740" w:rsidRPr="00B9005D" w:rsidRDefault="00222740" w:rsidP="00B9005D">
      <w:pPr>
        <w:pStyle w:val="QUOTATION"/>
      </w:pPr>
    </w:p>
    <w:p w:rsidR="002266F1" w:rsidRPr="00222740" w:rsidRDefault="002266F1" w:rsidP="00222740">
      <w:pPr>
        <w:pStyle w:val="QUOTATION"/>
      </w:pPr>
      <w:r>
        <w:t>“</w:t>
      </w:r>
      <w:r w:rsidR="00222740" w:rsidRPr="00222740">
        <w:t>It is now established that the general rule in constitutional litigation is that an unsuccessful litigant in proceedings against the state ought</w:t>
      </w:r>
      <w:bookmarkStart w:id="1" w:name="_ftnref21"/>
      <w:r w:rsidR="00222740" w:rsidRPr="00222740">
        <w:t xml:space="preserve"> not to be ordered to pay costs</w:t>
      </w:r>
      <w:bookmarkEnd w:id="1"/>
      <w:r w:rsidR="00222740" w:rsidRPr="00222740">
        <w:t xml:space="preserve">.  </w:t>
      </w:r>
      <w:r w:rsidR="000825EF">
        <w:t>UCT</w:t>
      </w:r>
      <w:r w:rsidR="00222740" w:rsidRPr="00222740">
        <w:t xml:space="preserve"> is recognised as a public institution in te</w:t>
      </w:r>
      <w:bookmarkStart w:id="2" w:name="_ftnref22"/>
      <w:r w:rsidR="00222740" w:rsidRPr="00222740">
        <w:t>rms of the Higher Education Act</w:t>
      </w:r>
      <w:bookmarkEnd w:id="2"/>
      <w:r w:rsidR="00222740" w:rsidRPr="00222740">
        <w:t>.  The rationale for this rule is that an award of costs may have a chilling effect on the litigants who might wish to vindic</w:t>
      </w:r>
      <w:bookmarkStart w:id="3" w:name="_ftnref23"/>
      <w:r w:rsidR="00222740" w:rsidRPr="00222740">
        <w:t>ate their constitutional rights</w:t>
      </w:r>
      <w:bookmarkEnd w:id="3"/>
      <w:r w:rsidR="00222740" w:rsidRPr="00222740">
        <w:t>.  But this is not an inflexible rule</w:t>
      </w:r>
      <w:r w:rsidRPr="00222740">
        <w:t>.”</w:t>
      </w:r>
      <w:r w:rsidR="00EE7F45">
        <w:rPr>
          <w:rStyle w:val="FootnoteReference"/>
        </w:rPr>
        <w:footnoteReference w:id="7"/>
      </w:r>
    </w:p>
    <w:p w:rsidR="002266F1" w:rsidRPr="00B9005D" w:rsidRDefault="002266F1" w:rsidP="00B9005D">
      <w:pPr>
        <w:pStyle w:val="JUDGMENTCONTINUED"/>
      </w:pPr>
    </w:p>
    <w:p w:rsidR="002266F1" w:rsidRDefault="002266F1" w:rsidP="002266F1">
      <w:pPr>
        <w:pStyle w:val="JUDGMENTNUMBERED"/>
      </w:pPr>
      <w:r>
        <w:t xml:space="preserve">With regard to costs, the Supreme Court of Appeal </w:t>
      </w:r>
      <w:r w:rsidR="00B655A4">
        <w:t xml:space="preserve">here held that the </w:t>
      </w:r>
      <w:proofErr w:type="spellStart"/>
      <w:r w:rsidR="00B655A4">
        <w:rPr>
          <w:i/>
        </w:rPr>
        <w:t>Biowatch</w:t>
      </w:r>
      <w:proofErr w:type="spellEnd"/>
      <w:r w:rsidR="00B655A4">
        <w:rPr>
          <w:i/>
        </w:rPr>
        <w:t xml:space="preserve"> </w:t>
      </w:r>
      <w:r w:rsidR="00B655A4">
        <w:t>principle did not apply because “no constitutional issues were implicated”</w:t>
      </w:r>
      <w:r w:rsidR="004D2A9F">
        <w:t>.</w:t>
      </w:r>
      <w:r w:rsidR="00B655A4">
        <w:rPr>
          <w:rStyle w:val="FootnoteReference"/>
        </w:rPr>
        <w:footnoteReference w:id="8"/>
      </w:r>
      <w:r w:rsidR="00B655A4">
        <w:t xml:space="preserve"> </w:t>
      </w:r>
      <w:r w:rsidR="00123F0A">
        <w:t xml:space="preserve"> A</w:t>
      </w:r>
      <w:r w:rsidR="00B655A4">
        <w:t>nd that the case was simply a review under the Promotion of Administrative Justice Act</w:t>
      </w:r>
      <w:r w:rsidR="00B655A4">
        <w:rPr>
          <w:rStyle w:val="FootnoteReference"/>
        </w:rPr>
        <w:footnoteReference w:id="9"/>
      </w:r>
      <w:r w:rsidR="00F91EA5">
        <w:t xml:space="preserve"> (PAJA)</w:t>
      </w:r>
      <w:r w:rsidR="00B655A4">
        <w:t xml:space="preserve"> of an administrative decision of the university.  This is not correct.</w:t>
      </w:r>
    </w:p>
    <w:p w:rsidR="00B655A4" w:rsidRDefault="00B655A4" w:rsidP="00B655A4">
      <w:pPr>
        <w:pStyle w:val="JUDGMENTCONTINUED"/>
      </w:pPr>
    </w:p>
    <w:p w:rsidR="00B655A4" w:rsidRDefault="00B655A4" w:rsidP="00B655A4">
      <w:pPr>
        <w:pStyle w:val="JUDGMENTNUMBERED"/>
      </w:pPr>
      <w:r>
        <w:t xml:space="preserve">The constitutional issues raised by the case are two-fold.  First, a review of administrative </w:t>
      </w:r>
      <w:r w:rsidR="00123F0A">
        <w:t xml:space="preserve">action </w:t>
      </w:r>
      <w:r>
        <w:t xml:space="preserve">under PAJA constitutes a constitutional issue.  This is so because PAJA was passed specifically to give effect to administrative justice rights guaranteed by section 33 of the Constitution.  Moreover when the </w:t>
      </w:r>
      <w:r w:rsidR="00F91EA5">
        <w:t>U</w:t>
      </w:r>
      <w:r>
        <w:t xml:space="preserve">niversity determined the application for admission, </w:t>
      </w:r>
      <w:r w:rsidR="008A204F">
        <w:t>it exercised a public power.</w:t>
      </w:r>
    </w:p>
    <w:p w:rsidR="008A204F" w:rsidRDefault="008A204F" w:rsidP="008A204F">
      <w:pPr>
        <w:pStyle w:val="JUDGMENTCONTINUED"/>
      </w:pPr>
    </w:p>
    <w:p w:rsidR="008A204F" w:rsidRDefault="008A204F" w:rsidP="008A204F">
      <w:pPr>
        <w:pStyle w:val="JUDGMENTNUMBERED"/>
      </w:pPr>
      <w:r>
        <w:t xml:space="preserve">According to jurisprudence of this Court, the review of the exercise of public power is now controlled by the Constitution and legislation enacted to give effect to it.  It is not controversial that a review </w:t>
      </w:r>
      <w:r w:rsidR="00123F0A">
        <w:t>of</w:t>
      </w:r>
      <w:r>
        <w:t xml:space="preserve"> administrative action amounts to a constitutional issue.  In </w:t>
      </w:r>
      <w:r>
        <w:rPr>
          <w:i/>
        </w:rPr>
        <w:t xml:space="preserve">Pharmaceutical Manufacturers </w:t>
      </w:r>
      <w:r>
        <w:t>this Court declared:</w:t>
      </w:r>
    </w:p>
    <w:p w:rsidR="008A204F" w:rsidRDefault="008A204F" w:rsidP="00541812">
      <w:pPr>
        <w:pStyle w:val="QUOTATION"/>
      </w:pPr>
    </w:p>
    <w:p w:rsidR="00541812" w:rsidRPr="00541812" w:rsidRDefault="00541812" w:rsidP="00541812">
      <w:pPr>
        <w:pStyle w:val="QUOTATION"/>
      </w:pPr>
      <w:r>
        <w:lastRenderedPageBreak/>
        <w:t xml:space="preserve">“The interim Constitution which came into force in April 1994 was a legal watershed.  It shifted constitutionalism, and with it all aspects of public law, from the realm of common law to the prescripts of a written constitution which is the supreme law. . . Courts no longer have to claim space and push boundaries to find means of controlling public power.  That control is vested </w:t>
      </w:r>
      <w:r w:rsidR="00130B95">
        <w:t>in</w:t>
      </w:r>
      <w:r>
        <w:t xml:space="preserve"> them under the Constitution, which defines the role of the courts, their </w:t>
      </w:r>
      <w:r w:rsidR="003B0EE7">
        <w:t>power</w:t>
      </w:r>
      <w:r w:rsidR="00130B95">
        <w:t>s in relation to the other arms</w:t>
      </w:r>
      <w:r w:rsidR="003B0EE7">
        <w:t xml:space="preserve"> of government and the </w:t>
      </w:r>
      <w:r w:rsidR="00130B95">
        <w:t>constraints</w:t>
      </w:r>
      <w:r w:rsidR="003B0EE7">
        <w:t xml:space="preserve"> subject to which public power has to be exercised”.</w:t>
      </w:r>
      <w:r w:rsidR="003B0EE7">
        <w:rPr>
          <w:rStyle w:val="FootnoteReference"/>
        </w:rPr>
        <w:footnoteReference w:id="10"/>
      </w:r>
    </w:p>
    <w:p w:rsidR="00D42A0F" w:rsidRDefault="00D42A0F" w:rsidP="00D42A0F">
      <w:pPr>
        <w:pStyle w:val="JUDGMENTCONTINUED"/>
      </w:pPr>
    </w:p>
    <w:p w:rsidR="003B0EE7" w:rsidRDefault="003B0EE7" w:rsidP="003B0EE7">
      <w:pPr>
        <w:pStyle w:val="JUDGMENTNUMBERED"/>
      </w:pPr>
      <w:r>
        <w:t>Second, in applying for admission the applicant sough</w:t>
      </w:r>
      <w:r w:rsidR="00123F0A">
        <w:t>t</w:t>
      </w:r>
      <w:r>
        <w:t xml:space="preserve"> to have access to further education for training that would qualify her to practise medicine.  Section</w:t>
      </w:r>
      <w:r w:rsidR="004D67C5">
        <w:t> 29</w:t>
      </w:r>
      <w:r>
        <w:t>(1</w:t>
      </w:r>
      <w:proofErr w:type="gramStart"/>
      <w:r>
        <w:t>)(</w:t>
      </w:r>
      <w:proofErr w:type="gramEnd"/>
      <w:r>
        <w:t>b) of the Constitution guarantees her access to further education.  Although this</w:t>
      </w:r>
      <w:r w:rsidR="00A36289">
        <w:t xml:space="preserve"> provision does not </w:t>
      </w:r>
      <w:r w:rsidR="00123F0A">
        <w:t>guarantee</w:t>
      </w:r>
      <w:r w:rsidR="00A36289">
        <w:t xml:space="preserve"> the right to </w:t>
      </w:r>
      <w:r w:rsidR="00A36289" w:rsidRPr="00130B95">
        <w:t>under</w:t>
      </w:r>
      <w:r w:rsidR="00130B95">
        <w:t>take</w:t>
      </w:r>
      <w:r w:rsidR="00A36289">
        <w:t xml:space="preserve"> studies of </w:t>
      </w:r>
      <w:r w:rsidR="008015CA">
        <w:t xml:space="preserve">one’s </w:t>
      </w:r>
      <w:r w:rsidR="00A36289">
        <w:t xml:space="preserve">own choice a decision that prevents them from pursuing their chosen studies implicates the right </w:t>
      </w:r>
      <w:r w:rsidR="008015CA">
        <w:t xml:space="preserve">of </w:t>
      </w:r>
      <w:r w:rsidR="00A36289">
        <w:t>access to education.  The fact that the applicant was admitted into another programme does not change the fact that her access to the relevant institution was limited.</w:t>
      </w:r>
    </w:p>
    <w:p w:rsidR="00A36289" w:rsidRDefault="00A36289" w:rsidP="00A36289">
      <w:pPr>
        <w:pStyle w:val="JUDGMENTCONTINUED"/>
      </w:pPr>
    </w:p>
    <w:p w:rsidR="00A36289" w:rsidRDefault="00A36289" w:rsidP="00A36289">
      <w:pPr>
        <w:pStyle w:val="JUDGMENTNUMBERED"/>
      </w:pPr>
      <w:r>
        <w:t xml:space="preserve">Accordingly, the High Court and the Supreme Court of Appeal should have followed and applied the </w:t>
      </w:r>
      <w:proofErr w:type="spellStart"/>
      <w:r>
        <w:rPr>
          <w:i/>
        </w:rPr>
        <w:t>Biowatch</w:t>
      </w:r>
      <w:proofErr w:type="spellEnd"/>
      <w:r>
        <w:rPr>
          <w:i/>
        </w:rPr>
        <w:t xml:space="preserve"> </w:t>
      </w:r>
      <w:r>
        <w:t>principle in determining costs.  Their failure to do so warrants intervention by this Court.</w:t>
      </w:r>
    </w:p>
    <w:p w:rsidR="00A36289" w:rsidRDefault="00A36289" w:rsidP="00A36289">
      <w:pPr>
        <w:pStyle w:val="JUDGMENTCONTINUED"/>
      </w:pPr>
    </w:p>
    <w:p w:rsidR="00A36289" w:rsidRDefault="00A36289" w:rsidP="00A36289">
      <w:pPr>
        <w:pStyle w:val="JUDGMENTNUMBERED"/>
      </w:pPr>
      <w:r>
        <w:t>In the result the following order is made:</w:t>
      </w:r>
    </w:p>
    <w:p w:rsidR="00130B95" w:rsidRPr="00130B95" w:rsidRDefault="00130B95" w:rsidP="00130B95">
      <w:pPr>
        <w:pStyle w:val="ORDER"/>
      </w:pPr>
    </w:p>
    <w:p w:rsidR="00A36289" w:rsidRDefault="00A36289" w:rsidP="004112D2">
      <w:pPr>
        <w:pStyle w:val="ORDER"/>
        <w:numPr>
          <w:ilvl w:val="0"/>
          <w:numId w:val="20"/>
        </w:numPr>
      </w:pPr>
      <w:r>
        <w:t>Leave to appeal against the merits is refused.</w:t>
      </w:r>
    </w:p>
    <w:p w:rsidR="00A36289" w:rsidRDefault="00A36289" w:rsidP="004112D2">
      <w:pPr>
        <w:pStyle w:val="ORDER"/>
        <w:numPr>
          <w:ilvl w:val="0"/>
          <w:numId w:val="20"/>
        </w:numPr>
      </w:pPr>
      <w:r>
        <w:t>Leave to appeal is granted against the orders of the High Court and the Supreme Court of Appeal on costs.</w:t>
      </w:r>
    </w:p>
    <w:p w:rsidR="00A36289" w:rsidRDefault="00E9742A" w:rsidP="004112D2">
      <w:pPr>
        <w:pStyle w:val="ORDER"/>
        <w:numPr>
          <w:ilvl w:val="0"/>
          <w:numId w:val="20"/>
        </w:numPr>
      </w:pPr>
      <w:r>
        <w:t>The appeal on costs is up</w:t>
      </w:r>
      <w:r w:rsidR="00933CB1">
        <w:t>h</w:t>
      </w:r>
      <w:r>
        <w:t>eld.</w:t>
      </w:r>
    </w:p>
    <w:p w:rsidR="00E9742A" w:rsidRDefault="00E9742A" w:rsidP="004112D2">
      <w:pPr>
        <w:pStyle w:val="ORDER"/>
        <w:numPr>
          <w:ilvl w:val="0"/>
          <w:numId w:val="20"/>
        </w:numPr>
      </w:pPr>
      <w:r>
        <w:t>The costs order</w:t>
      </w:r>
      <w:r w:rsidR="0026775A">
        <w:t>s</w:t>
      </w:r>
      <w:r>
        <w:t xml:space="preserve"> granted by the High Court and the Supreme Court of Appeal are set aside.</w:t>
      </w:r>
    </w:p>
    <w:p w:rsidR="00D42A0F" w:rsidRPr="00D42A0F" w:rsidRDefault="00E9742A" w:rsidP="00D42A0F">
      <w:pPr>
        <w:pStyle w:val="ORDER"/>
        <w:numPr>
          <w:ilvl w:val="0"/>
          <w:numId w:val="20"/>
        </w:numPr>
      </w:pPr>
      <w:r>
        <w:t xml:space="preserve">No order as to costs is made in relation to proceedings in this </w:t>
      </w:r>
      <w:r w:rsidR="0087408E">
        <w:t>C</w:t>
      </w:r>
      <w:r>
        <w:t>ourt.</w:t>
      </w:r>
    </w:p>
    <w:p w:rsidR="00236F9A" w:rsidRPr="009C3888" w:rsidRDefault="00236F9A" w:rsidP="00860C4E">
      <w:pPr>
        <w:sectPr w:rsidR="00236F9A" w:rsidRPr="009C3888" w:rsidSect="004D0CC5">
          <w:headerReference w:type="default" r:id="rId15"/>
          <w:type w:val="continuous"/>
          <w:pgSz w:w="11907" w:h="16839" w:code="9"/>
          <w:pgMar w:top="1440" w:right="1440" w:bottom="1440" w:left="1440" w:header="708" w:footer="708" w:gutter="0"/>
          <w:cols w:space="708"/>
          <w:titlePg/>
          <w:docGrid w:linePitch="360"/>
        </w:sectPr>
      </w:pPr>
    </w:p>
    <w:p w:rsidR="005D33A3" w:rsidRDefault="005D33A3" w:rsidP="00A97980">
      <w:pPr>
        <w:pStyle w:val="COUNSELDETAILS"/>
      </w:pPr>
    </w:p>
    <w:p w:rsidR="005D33A3" w:rsidRDefault="005D33A3" w:rsidP="00A97980">
      <w:pPr>
        <w:pStyle w:val="COUNSELDETAILS"/>
      </w:pPr>
    </w:p>
    <w:p w:rsidR="00A97980" w:rsidRPr="009C3888" w:rsidRDefault="00A97980" w:rsidP="00A97980">
      <w:pPr>
        <w:pStyle w:val="COUNSELDETAILS"/>
      </w:pPr>
      <w:r w:rsidRPr="009C3888">
        <w:t xml:space="preserve">For the </w:t>
      </w:r>
      <w:r w:rsidR="00307886">
        <w:t>Applicant</w:t>
      </w:r>
      <w:r w:rsidRPr="009C3888">
        <w:t>:</w:t>
      </w:r>
    </w:p>
    <w:p w:rsidR="00A97980" w:rsidRPr="009C3888" w:rsidRDefault="00A97980" w:rsidP="00A97980">
      <w:pPr>
        <w:pStyle w:val="COUNSELDETAILS"/>
      </w:pPr>
    </w:p>
    <w:p w:rsidR="00A97980" w:rsidRPr="009C3888" w:rsidRDefault="00A97980" w:rsidP="00A97980">
      <w:pPr>
        <w:pStyle w:val="COUNSELDETAILS"/>
      </w:pPr>
    </w:p>
    <w:p w:rsidR="00A97980" w:rsidRPr="009C3888" w:rsidRDefault="00A97980" w:rsidP="00A97980">
      <w:pPr>
        <w:pStyle w:val="COUNSELDETAILS"/>
        <w:tabs>
          <w:tab w:val="left" w:pos="5925"/>
        </w:tabs>
      </w:pPr>
      <w:r w:rsidRPr="009C3888">
        <w:t xml:space="preserve">For the </w:t>
      </w:r>
      <w:r>
        <w:t>Respondent</w:t>
      </w:r>
      <w:r w:rsidRPr="009C3888">
        <w:t>:</w:t>
      </w:r>
      <w:r>
        <w:tab/>
      </w: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Default="00A97980" w:rsidP="00A97980">
      <w:pPr>
        <w:pStyle w:val="COUNSELDETAILS"/>
        <w:rPr>
          <w:lang w:eastAsia="zh-TW"/>
        </w:rPr>
      </w:pPr>
    </w:p>
    <w:p w:rsidR="00A97980" w:rsidRPr="00513D01" w:rsidRDefault="00A97980" w:rsidP="00A97980">
      <w:pPr>
        <w:pStyle w:val="COUNSELDETAILS"/>
        <w:rPr>
          <w:lang w:eastAsia="zh-TW"/>
        </w:rPr>
      </w:pPr>
    </w:p>
    <w:p w:rsidR="00A97980" w:rsidRDefault="00A97980" w:rsidP="00A97980">
      <w:pPr>
        <w:pStyle w:val="COUNSELDETAILS"/>
        <w:rPr>
          <w:lang w:eastAsia="zh-TW"/>
        </w:rPr>
      </w:pPr>
    </w:p>
    <w:p w:rsidR="005D33A3" w:rsidRDefault="005D33A3" w:rsidP="00A97980">
      <w:pPr>
        <w:pStyle w:val="COUNSELDETAILS"/>
        <w:rPr>
          <w:lang w:eastAsia="zh-TW"/>
        </w:rPr>
      </w:pPr>
    </w:p>
    <w:p w:rsidR="005D33A3" w:rsidRDefault="005D33A3" w:rsidP="00A97980">
      <w:pPr>
        <w:pStyle w:val="COUNSELDETAILS"/>
        <w:rPr>
          <w:lang w:eastAsia="zh-TW"/>
        </w:rPr>
      </w:pPr>
    </w:p>
    <w:p w:rsidR="00A97980" w:rsidRDefault="00A97980" w:rsidP="00A97980">
      <w:pPr>
        <w:pStyle w:val="COUNSELDETAILS"/>
        <w:rPr>
          <w:lang w:eastAsia="zh-TW"/>
        </w:rPr>
      </w:pPr>
      <w:r>
        <w:rPr>
          <w:lang w:eastAsia="zh-TW"/>
        </w:rPr>
        <w:t>Shepstone &amp; Wylie</w:t>
      </w:r>
    </w:p>
    <w:p w:rsidR="00A97980" w:rsidRDefault="00A97980" w:rsidP="00A97980">
      <w:pPr>
        <w:pStyle w:val="COUNSELDETAILS"/>
        <w:rPr>
          <w:lang w:eastAsia="zh-TW"/>
        </w:rPr>
      </w:pPr>
    </w:p>
    <w:p w:rsidR="00860C4E" w:rsidRDefault="00860C4E" w:rsidP="00CC158D">
      <w:pPr>
        <w:pStyle w:val="COUNSELDETAILS"/>
      </w:pPr>
    </w:p>
    <w:p w:rsidR="00A97980" w:rsidRPr="009C3888" w:rsidRDefault="00A97980" w:rsidP="00CC158D">
      <w:pPr>
        <w:pStyle w:val="COUNSELDETAILS"/>
        <w:rPr>
          <w:lang w:eastAsia="zh-TW"/>
        </w:rPr>
      </w:pPr>
      <w:proofErr w:type="spellStart"/>
      <w:r>
        <w:rPr>
          <w:lang w:eastAsia="zh-TW"/>
        </w:rPr>
        <w:t>Pather</w:t>
      </w:r>
      <w:proofErr w:type="spellEnd"/>
      <w:r>
        <w:rPr>
          <w:lang w:eastAsia="zh-TW"/>
        </w:rPr>
        <w:t xml:space="preserve"> and </w:t>
      </w:r>
      <w:proofErr w:type="spellStart"/>
      <w:r>
        <w:rPr>
          <w:lang w:eastAsia="zh-TW"/>
        </w:rPr>
        <w:t>Pather</w:t>
      </w:r>
      <w:proofErr w:type="spellEnd"/>
      <w:r>
        <w:rPr>
          <w:lang w:eastAsia="zh-TW"/>
        </w:rPr>
        <w:t xml:space="preserve"> Attorneys</w:t>
      </w:r>
    </w:p>
    <w:sectPr w:rsidR="00A97980" w:rsidRPr="009C3888" w:rsidSect="009559B5">
      <w:headerReference w:type="default" r:id="rId16"/>
      <w:footerReference w:type="default" r:id="rId17"/>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579D" w:rsidRDefault="0070579D" w:rsidP="00E4607C">
      <w:pPr>
        <w:spacing w:line="240" w:lineRule="auto"/>
      </w:pPr>
      <w:r>
        <w:separator/>
      </w:r>
    </w:p>
  </w:endnote>
  <w:endnote w:type="continuationSeparator" w:id="0">
    <w:p w:rsidR="0070579D" w:rsidRDefault="0070579D"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B9B" w:rsidRDefault="00A31B9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6935" w:rsidRPr="00A31B9B" w:rsidRDefault="002D6935" w:rsidP="00A31B9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B9B" w:rsidRDefault="00A31B9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33A3" w:rsidRPr="00A31B9B" w:rsidRDefault="005D33A3" w:rsidP="00A31B9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579D" w:rsidRDefault="0070579D" w:rsidP="00E4607C">
      <w:pPr>
        <w:spacing w:line="240" w:lineRule="auto"/>
      </w:pPr>
      <w:r>
        <w:separator/>
      </w:r>
    </w:p>
  </w:footnote>
  <w:footnote w:type="continuationSeparator" w:id="0">
    <w:p w:rsidR="0070579D" w:rsidRDefault="0070579D" w:rsidP="00E4607C">
      <w:pPr>
        <w:spacing w:line="240" w:lineRule="auto"/>
      </w:pPr>
      <w:r>
        <w:continuationSeparator/>
      </w:r>
    </w:p>
  </w:footnote>
  <w:footnote w:id="1">
    <w:p w:rsidR="002D6935" w:rsidRPr="00EE02D5" w:rsidRDefault="002D6935" w:rsidP="00E9742A">
      <w:pPr>
        <w:pStyle w:val="FootnoteText1"/>
      </w:pPr>
      <w:r>
        <w:rPr>
          <w:rStyle w:val="FootnoteReference"/>
        </w:rPr>
        <w:footnoteRef/>
      </w:r>
      <w:r>
        <w:t xml:space="preserve"> </w:t>
      </w:r>
      <w:r w:rsidRPr="00667865">
        <w:rPr>
          <w:rStyle w:val="FootnoteTextChar"/>
        </w:rPr>
        <w:t>The Chief Justice issued the following directions:</w:t>
      </w:r>
    </w:p>
    <w:p w:rsidR="002D6935" w:rsidRPr="00BF556C" w:rsidRDefault="002D6935" w:rsidP="00E9742A">
      <w:pPr>
        <w:pStyle w:val="QUOTEINFOOTNOTE"/>
      </w:pPr>
      <w:r>
        <w:t>1.</w:t>
      </w:r>
      <w:r>
        <w:tab/>
      </w:r>
      <w:r w:rsidRPr="00566095">
        <w:t xml:space="preserve">The </w:t>
      </w:r>
      <w:r>
        <w:t>parties are directed to file written submissions of not more than 15  pages on:</w:t>
      </w:r>
    </w:p>
    <w:p w:rsidR="002D6935" w:rsidRPr="00BF556C" w:rsidRDefault="002D6935" w:rsidP="007F416F">
      <w:pPr>
        <w:pStyle w:val="QUOTEINFOOTNOTE"/>
        <w:ind w:left="2160" w:hanging="720"/>
      </w:pPr>
      <w:r>
        <w:t>1.1</w:t>
      </w:r>
      <w:r>
        <w:tab/>
        <w:t xml:space="preserve">Whether </w:t>
      </w:r>
      <w:proofErr w:type="spellStart"/>
      <w:r w:rsidRPr="009E732F">
        <w:rPr>
          <w:i/>
        </w:rPr>
        <w:t>Biowatch</w:t>
      </w:r>
      <w:proofErr w:type="spellEnd"/>
      <w:r w:rsidRPr="009E732F">
        <w:rPr>
          <w:i/>
        </w:rPr>
        <w:t xml:space="preserve"> Trust v Registrar, Genetic Resources </w:t>
      </w:r>
      <w:r>
        <w:t>2009 (6) SA 232 (CC) should have been followed by the High Court and the Supreme Court of Appeal when deciding the issue of costs.</w:t>
      </w:r>
    </w:p>
    <w:p w:rsidR="002D6935" w:rsidRPr="001D33C8" w:rsidRDefault="002D6935" w:rsidP="00E9742A">
      <w:pPr>
        <w:pStyle w:val="QUOTEINFOOTNOTE"/>
      </w:pPr>
      <w:r>
        <w:t>2.</w:t>
      </w:r>
      <w:r>
        <w:tab/>
        <w:t>The applicant must file her submissions on or before 11 August 2017</w:t>
      </w:r>
      <w:r w:rsidRPr="001D33C8">
        <w:t>.</w:t>
      </w:r>
    </w:p>
    <w:p w:rsidR="002D6935" w:rsidRPr="00B2012D" w:rsidRDefault="002D6935" w:rsidP="00E9742A">
      <w:pPr>
        <w:pStyle w:val="QUOTEINFOOTNOTE"/>
      </w:pPr>
      <w:r>
        <w:t>3.</w:t>
      </w:r>
      <w:r>
        <w:tab/>
        <w:t>The respondent must file its submission</w:t>
      </w:r>
      <w:r w:rsidR="007F416F">
        <w:t>s</w:t>
      </w:r>
      <w:r>
        <w:t xml:space="preserve"> on or before 18 August 2017.</w:t>
      </w:r>
    </w:p>
    <w:p w:rsidR="002D6935" w:rsidRDefault="002D6935" w:rsidP="00E9742A">
      <w:pPr>
        <w:pStyle w:val="QUOTEINFOOTNOTE"/>
      </w:pPr>
      <w:r>
        <w:t>4.</w:t>
      </w:r>
      <w:r>
        <w:tab/>
      </w:r>
      <w:r w:rsidRPr="00566095">
        <w:t>Further directions may be issued</w:t>
      </w:r>
      <w:r>
        <w:t>.</w:t>
      </w:r>
    </w:p>
  </w:footnote>
  <w:footnote w:id="2">
    <w:p w:rsidR="002D6935" w:rsidRPr="00182CA3" w:rsidRDefault="002D6935">
      <w:pPr>
        <w:pStyle w:val="FootnoteText"/>
      </w:pPr>
      <w:r>
        <w:rPr>
          <w:rStyle w:val="FootnoteReference"/>
        </w:rPr>
        <w:footnoteRef/>
      </w:r>
      <w:r>
        <w:t xml:space="preserve"> </w:t>
      </w:r>
      <w:proofErr w:type="spellStart"/>
      <w:proofErr w:type="gramStart"/>
      <w:r>
        <w:rPr>
          <w:i/>
        </w:rPr>
        <w:t>Biowatch</w:t>
      </w:r>
      <w:proofErr w:type="spellEnd"/>
      <w:r>
        <w:rPr>
          <w:i/>
        </w:rPr>
        <w:t xml:space="preserve"> Trust v Registrar, Genetic Resources </w:t>
      </w:r>
      <w:r>
        <w:t>[2009] ZACC 14; 2009 (6) SA 232 (CC); 2009 (10) BCLR 1014 (CC)</w:t>
      </w:r>
      <w:r w:rsidR="007F416F">
        <w:t xml:space="preserve"> (</w:t>
      </w:r>
      <w:proofErr w:type="spellStart"/>
      <w:r w:rsidR="007F416F">
        <w:rPr>
          <w:i/>
        </w:rPr>
        <w:t>Biowatch</w:t>
      </w:r>
      <w:proofErr w:type="spellEnd"/>
      <w:r w:rsidR="007F416F">
        <w:t>)</w:t>
      </w:r>
      <w:r>
        <w:t>.</w:t>
      </w:r>
      <w:proofErr w:type="gramEnd"/>
    </w:p>
  </w:footnote>
  <w:footnote w:id="3">
    <w:p w:rsidR="00974865" w:rsidRDefault="00974865">
      <w:pPr>
        <w:pStyle w:val="FootnoteText"/>
      </w:pPr>
      <w:r>
        <w:rPr>
          <w:rStyle w:val="FootnoteReference"/>
        </w:rPr>
        <w:footnoteRef/>
      </w:r>
      <w:r>
        <w:t xml:space="preserve"> </w:t>
      </w:r>
      <w:r>
        <w:rPr>
          <w:i/>
        </w:rPr>
        <w:t xml:space="preserve">Affordable Medicines Trust v Minister of Health </w:t>
      </w:r>
      <w:r>
        <w:t>[2005] ZACC 3; 2006 (3) SA 247 (CC); 2005 (6) BCLR 529 (CC) at para 138 (</w:t>
      </w:r>
      <w:r>
        <w:rPr>
          <w:i/>
        </w:rPr>
        <w:t>Affordable Medicines</w:t>
      </w:r>
      <w:r>
        <w:t>).</w:t>
      </w:r>
    </w:p>
  </w:footnote>
  <w:footnote w:id="4">
    <w:p w:rsidR="00D2187C" w:rsidRPr="003201B5" w:rsidRDefault="00D2187C">
      <w:pPr>
        <w:pStyle w:val="FootnoteText"/>
      </w:pPr>
      <w:r>
        <w:rPr>
          <w:rStyle w:val="FootnoteReference"/>
        </w:rPr>
        <w:footnoteRef/>
      </w:r>
      <w:r>
        <w:t xml:space="preserve"> </w:t>
      </w:r>
      <w:r w:rsidR="003201B5">
        <w:rPr>
          <w:i/>
        </w:rPr>
        <w:t xml:space="preserve">Lawyers for Human Rights v Minister of Home Affairs </w:t>
      </w:r>
      <w:r w:rsidR="005F3033">
        <w:t>(</w:t>
      </w:r>
      <w:r w:rsidR="005F3033" w:rsidRPr="005F3033">
        <w:t>C</w:t>
      </w:r>
      <w:r w:rsidR="005F3033">
        <w:t>CT38/16) 2017</w:t>
      </w:r>
      <w:r w:rsidR="005F3033" w:rsidRPr="005F3033">
        <w:t xml:space="preserve"> ZACC 22; </w:t>
      </w:r>
      <w:r w:rsidR="00132D9D">
        <w:t xml:space="preserve">2017 (5) SA 480 (CC); </w:t>
      </w:r>
      <w:r w:rsidR="005F3033" w:rsidRPr="005F3033">
        <w:t xml:space="preserve">2017 (10) BCLR </w:t>
      </w:r>
      <w:r w:rsidR="005F3033">
        <w:t>1242 (CC)</w:t>
      </w:r>
      <w:r w:rsidR="00132D9D">
        <w:t>.</w:t>
      </w:r>
    </w:p>
  </w:footnote>
  <w:footnote w:id="5">
    <w:p w:rsidR="00B062DD" w:rsidRDefault="00B062DD">
      <w:pPr>
        <w:pStyle w:val="FootnoteText"/>
      </w:pPr>
      <w:r>
        <w:rPr>
          <w:rStyle w:val="FootnoteReference"/>
        </w:rPr>
        <w:footnoteRef/>
      </w:r>
      <w:r>
        <w:t xml:space="preserve"> </w:t>
      </w:r>
      <w:r w:rsidRPr="00B062DD">
        <w:rPr>
          <w:i/>
        </w:rPr>
        <w:t xml:space="preserve">Lawyers for Human Rights v Minister in the Presidency </w:t>
      </w:r>
      <w:r w:rsidRPr="00B062DD">
        <w:t>[2016] ZACC 45; 2017 (1) SA 645 (CC); 2017 (4) BCLR 445 (CC).</w:t>
      </w:r>
    </w:p>
  </w:footnote>
  <w:footnote w:id="6">
    <w:p w:rsidR="002D6935" w:rsidRDefault="002D6935">
      <w:pPr>
        <w:pStyle w:val="FootnoteText"/>
      </w:pPr>
      <w:r>
        <w:rPr>
          <w:rStyle w:val="FootnoteReference"/>
        </w:rPr>
        <w:footnoteRef/>
      </w:r>
      <w:r>
        <w:t xml:space="preserve"> Section 29(1) of the Constitution provides:</w:t>
      </w:r>
    </w:p>
    <w:p w:rsidR="002D6935" w:rsidRDefault="00667865" w:rsidP="002266F1">
      <w:pPr>
        <w:pStyle w:val="QUOTEINFOOTNOTE"/>
      </w:pPr>
      <w:r>
        <w:t>“Everyone has the right—</w:t>
      </w:r>
    </w:p>
    <w:p w:rsidR="002D6935" w:rsidRDefault="0087408E" w:rsidP="00DB2DEE">
      <w:pPr>
        <w:pStyle w:val="QUOTEINFOOTNOTE"/>
        <w:numPr>
          <w:ilvl w:val="0"/>
          <w:numId w:val="18"/>
        </w:numPr>
      </w:pPr>
      <w:r>
        <w:t>t</w:t>
      </w:r>
      <w:r w:rsidR="002D6935">
        <w:t>o basic education, including adult basic education; and</w:t>
      </w:r>
    </w:p>
    <w:p w:rsidR="002D6935" w:rsidRPr="00DB2DEE" w:rsidRDefault="0087408E" w:rsidP="00DB2DEE">
      <w:pPr>
        <w:pStyle w:val="FootnoteText1"/>
        <w:numPr>
          <w:ilvl w:val="0"/>
          <w:numId w:val="18"/>
        </w:numPr>
      </w:pPr>
      <w:proofErr w:type="gramStart"/>
      <w:r>
        <w:t>t</w:t>
      </w:r>
      <w:r w:rsidR="002D6935">
        <w:t>o</w:t>
      </w:r>
      <w:proofErr w:type="gramEnd"/>
      <w:r w:rsidR="002D6935">
        <w:t xml:space="preserve"> further education, which the state, through reasonable measures, must make progressively available and accessible.</w:t>
      </w:r>
    </w:p>
  </w:footnote>
  <w:footnote w:id="7">
    <w:p w:rsidR="00EE7F45" w:rsidRDefault="00EE7F45">
      <w:pPr>
        <w:pStyle w:val="FootnoteText"/>
      </w:pPr>
      <w:r>
        <w:rPr>
          <w:rStyle w:val="FootnoteReference"/>
        </w:rPr>
        <w:footnoteRef/>
      </w:r>
      <w:r>
        <w:t xml:space="preserve"> </w:t>
      </w:r>
      <w:proofErr w:type="spellStart"/>
      <w:proofErr w:type="gramStart"/>
      <w:r>
        <w:rPr>
          <w:i/>
        </w:rPr>
        <w:t>Hotz</w:t>
      </w:r>
      <w:proofErr w:type="spellEnd"/>
      <w:r>
        <w:rPr>
          <w:i/>
        </w:rPr>
        <w:t xml:space="preserve"> v University of Cape Town </w:t>
      </w:r>
      <w:r>
        <w:t>[2017] ZACC 10; 2017 (7) BCLR 815 (CC).</w:t>
      </w:r>
      <w:proofErr w:type="gramEnd"/>
    </w:p>
  </w:footnote>
  <w:footnote w:id="8">
    <w:p w:rsidR="002D6935" w:rsidRDefault="002D6935">
      <w:pPr>
        <w:pStyle w:val="FootnoteText"/>
      </w:pPr>
      <w:r>
        <w:rPr>
          <w:rStyle w:val="FootnoteReference"/>
        </w:rPr>
        <w:footnoteRef/>
      </w:r>
      <w:r>
        <w:t xml:space="preserve"> </w:t>
      </w:r>
      <w:proofErr w:type="spellStart"/>
      <w:proofErr w:type="gramStart"/>
      <w:r w:rsidR="00A97980" w:rsidRPr="00667865">
        <w:rPr>
          <w:i/>
        </w:rPr>
        <w:t>Harriellal</w:t>
      </w:r>
      <w:proofErr w:type="spellEnd"/>
      <w:r w:rsidR="00A97980" w:rsidRPr="00667865">
        <w:rPr>
          <w:i/>
        </w:rPr>
        <w:t xml:space="preserve"> v University of KwaZulu-Natal</w:t>
      </w:r>
      <w:r w:rsidR="00A97980">
        <w:t xml:space="preserve"> (493/2016) [2017] ZASCA 25 (</w:t>
      </w:r>
      <w:r>
        <w:t>Supreme Court of Appeal judgment</w:t>
      </w:r>
      <w:r w:rsidR="00A97980">
        <w:t>)</w:t>
      </w:r>
      <w:r>
        <w:t xml:space="preserve"> at para 9.</w:t>
      </w:r>
      <w:proofErr w:type="gramEnd"/>
    </w:p>
  </w:footnote>
  <w:footnote w:id="9">
    <w:p w:rsidR="002D6935" w:rsidRDefault="002D6935">
      <w:pPr>
        <w:pStyle w:val="FootnoteText"/>
      </w:pPr>
      <w:r>
        <w:rPr>
          <w:rStyle w:val="FootnoteReference"/>
        </w:rPr>
        <w:footnoteRef/>
      </w:r>
      <w:r>
        <w:t xml:space="preserve"> </w:t>
      </w:r>
      <w:proofErr w:type="gramStart"/>
      <w:r>
        <w:t>3 of 2000.</w:t>
      </w:r>
      <w:proofErr w:type="gramEnd"/>
    </w:p>
  </w:footnote>
  <w:footnote w:id="10">
    <w:p w:rsidR="002D6935" w:rsidRPr="003B0EE7" w:rsidRDefault="002D6935">
      <w:pPr>
        <w:pStyle w:val="FootnoteText"/>
      </w:pPr>
      <w:r>
        <w:rPr>
          <w:rStyle w:val="FootnoteReference"/>
        </w:rPr>
        <w:footnoteRef/>
      </w:r>
      <w:r>
        <w:t xml:space="preserve"> </w:t>
      </w:r>
      <w:r>
        <w:rPr>
          <w:i/>
        </w:rPr>
        <w:t xml:space="preserve">Pharmaceutical Manufacturers Association of South Africa: In re Ex parte President of </w:t>
      </w:r>
      <w:r w:rsidR="00F91EA5">
        <w:rPr>
          <w:i/>
        </w:rPr>
        <w:t xml:space="preserve">the </w:t>
      </w:r>
      <w:r>
        <w:rPr>
          <w:i/>
        </w:rPr>
        <w:t xml:space="preserve">Republic of South Africa </w:t>
      </w:r>
      <w:r>
        <w:t>[2000] ZACC 1; 2000 (2) SA 674 (CC); 2000 (3) BCLR 241 (CC) at para 45.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B9B" w:rsidRDefault="00A31B9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6935" w:rsidRDefault="002D6935" w:rsidP="008C727F">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B9B" w:rsidRDefault="00A31B9B">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132" w:rsidRPr="00A31B9B" w:rsidRDefault="00186132" w:rsidP="00A31B9B">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33A3" w:rsidRDefault="005D33A3"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C30AD0BA"/>
    <w:lvl w:ilvl="0" w:tplc="0CD23EA0">
      <w:start w:val="1"/>
      <w:numFmt w:val="decimal"/>
      <w:pStyle w:val="JUDGMENTNUMBERED"/>
      <w:lvlText w:val="[%1]"/>
      <w:lvlJc w:val="left"/>
      <w:pPr>
        <w:ind w:left="786"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237F40"/>
    <w:multiLevelType w:val="hybridMultilevel"/>
    <w:tmpl w:val="1EC0EB6C"/>
    <w:lvl w:ilvl="0" w:tplc="125A587C">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28FF7EC4"/>
    <w:multiLevelType w:val="multilevel"/>
    <w:tmpl w:val="90E071D6"/>
    <w:lvl w:ilvl="0">
      <w:start w:val="1"/>
      <w:numFmt w:val="decimal"/>
      <w:pStyle w:val="BODYLIST"/>
      <w:lvlText w:val="%1."/>
      <w:lvlJc w:val="left"/>
      <w:pPr>
        <w:ind w:left="720" w:firstLine="0"/>
      </w:pPr>
      <w:rPr>
        <w:rFonts w:hint="default"/>
      </w:rPr>
    </w:lvl>
    <w:lvl w:ilvl="1">
      <w:start w:val="1"/>
      <w:numFmt w:val="lowerLetter"/>
      <w:lvlText w:val="(%2)"/>
      <w:lvlJc w:val="left"/>
      <w:pPr>
        <w:ind w:left="1276" w:firstLine="0"/>
      </w:pPr>
      <w:rPr>
        <w:rFonts w:ascii="Times New Roman" w:eastAsia="Calibri" w:hAnsi="Times New Roman" w:cs="Times New Roman"/>
      </w:rPr>
    </w:lvl>
    <w:lvl w:ilvl="2">
      <w:start w:val="1"/>
      <w:numFmt w:val="lowerRoman"/>
      <w:lvlText w:val="%3)"/>
      <w:lvlJc w:val="right"/>
      <w:pPr>
        <w:ind w:left="2160" w:firstLine="0"/>
      </w:pPr>
      <w:rPr>
        <w:rFonts w:hint="default"/>
      </w:rPr>
    </w:lvl>
    <w:lvl w:ilvl="3">
      <w:start w:val="1"/>
      <w:numFmt w:val="decimal"/>
      <w:lvlText w:val="%4."/>
      <w:lvlJc w:val="left"/>
      <w:pPr>
        <w:ind w:left="2880" w:firstLine="0"/>
      </w:pPr>
      <w:rPr>
        <w:rFonts w:hint="default"/>
      </w:rPr>
    </w:lvl>
    <w:lvl w:ilvl="4">
      <w:start w:val="1"/>
      <w:numFmt w:val="lowerLetter"/>
      <w:lvlText w:val="%5."/>
      <w:lvlJc w:val="left"/>
      <w:pPr>
        <w:ind w:left="3600" w:firstLine="0"/>
      </w:pPr>
      <w:rPr>
        <w:rFonts w:hint="default"/>
      </w:rPr>
    </w:lvl>
    <w:lvl w:ilvl="5">
      <w:start w:val="1"/>
      <w:numFmt w:val="lowerRoman"/>
      <w:lvlText w:val="%6."/>
      <w:lvlJc w:val="right"/>
      <w:pPr>
        <w:ind w:left="4320" w:firstLine="0"/>
      </w:pPr>
      <w:rPr>
        <w:rFonts w:hint="default"/>
      </w:rPr>
    </w:lvl>
    <w:lvl w:ilvl="6">
      <w:start w:val="1"/>
      <w:numFmt w:val="decimal"/>
      <w:lvlText w:val="%7."/>
      <w:lvlJc w:val="left"/>
      <w:pPr>
        <w:ind w:left="5040" w:firstLine="0"/>
      </w:pPr>
      <w:rPr>
        <w:rFonts w:hint="default"/>
      </w:rPr>
    </w:lvl>
    <w:lvl w:ilvl="7">
      <w:start w:val="1"/>
      <w:numFmt w:val="lowerLetter"/>
      <w:lvlText w:val="%8."/>
      <w:lvlJc w:val="left"/>
      <w:pPr>
        <w:ind w:left="5760" w:firstLine="0"/>
      </w:pPr>
      <w:rPr>
        <w:rFonts w:hint="default"/>
      </w:rPr>
    </w:lvl>
    <w:lvl w:ilvl="8">
      <w:start w:val="1"/>
      <w:numFmt w:val="lowerRoman"/>
      <w:lvlText w:val="%9."/>
      <w:lvlJc w:val="right"/>
      <w:pPr>
        <w:ind w:left="6480" w:firstLine="0"/>
      </w:pPr>
      <w:rPr>
        <w:rFonts w:hint="default"/>
      </w:rPr>
    </w:lvl>
  </w:abstractNum>
  <w:abstractNum w:abstractNumId="4">
    <w:nsid w:val="2E566464"/>
    <w:multiLevelType w:val="hybridMultilevel"/>
    <w:tmpl w:val="0E60D85C"/>
    <w:lvl w:ilvl="0" w:tplc="68D65DE2">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5">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
    <w:nsid w:val="5C3F24EF"/>
    <w:multiLevelType w:val="hybridMultilevel"/>
    <w:tmpl w:val="34BA0D4E"/>
    <w:lvl w:ilvl="0" w:tplc="2BE41BA0">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nsid w:val="5CE50694"/>
    <w:multiLevelType w:val="hybridMultilevel"/>
    <w:tmpl w:val="F5EE7008"/>
    <w:lvl w:ilvl="0" w:tplc="FE76B3F2">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nsid w:val="635D37EC"/>
    <w:multiLevelType w:val="hybridMultilevel"/>
    <w:tmpl w:val="07E64B1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nsid w:val="72B01A3F"/>
    <w:multiLevelType w:val="hybridMultilevel"/>
    <w:tmpl w:val="A6A4626A"/>
    <w:lvl w:ilvl="0" w:tplc="23502E0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0"/>
  </w:num>
  <w:num w:numId="2">
    <w:abstractNumId w:val="5"/>
  </w:num>
  <w:num w:numId="3">
    <w:abstractNumId w:val="5"/>
  </w:num>
  <w:num w:numId="4">
    <w:abstractNumId w:val="5"/>
  </w:num>
  <w:num w:numId="5">
    <w:abstractNumId w:val="5"/>
  </w:num>
  <w:num w:numId="6">
    <w:abstractNumId w:val="5"/>
  </w:num>
  <w:num w:numId="7">
    <w:abstractNumId w:val="5"/>
  </w:num>
  <w:num w:numId="8">
    <w:abstractNumId w:val="5"/>
  </w:num>
  <w:num w:numId="9">
    <w:abstractNumId w:val="5"/>
  </w:num>
  <w:num w:numId="10">
    <w:abstractNumId w:val="5"/>
  </w:num>
  <w:num w:numId="11">
    <w:abstractNumId w:val="2"/>
  </w:num>
  <w:num w:numId="12">
    <w:abstractNumId w:val="2"/>
    <w:lvlOverride w:ilvl="0">
      <w:startOverride w:val="1"/>
    </w:lvlOverride>
  </w:num>
  <w:num w:numId="13">
    <w:abstractNumId w:val="0"/>
  </w:num>
  <w:num w:numId="14">
    <w:abstractNumId w:val="6"/>
  </w:num>
  <w:num w:numId="15">
    <w:abstractNumId w:val="1"/>
  </w:num>
  <w:num w:numId="16">
    <w:abstractNumId w:val="8"/>
  </w:num>
  <w:num w:numId="17">
    <w:abstractNumId w:val="3"/>
  </w:num>
  <w:num w:numId="18">
    <w:abstractNumId w:val="4"/>
  </w:num>
  <w:num w:numId="19">
    <w:abstractNumId w:val="9"/>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485E"/>
    <w:rsid w:val="00003031"/>
    <w:rsid w:val="00003278"/>
    <w:rsid w:val="00012E1C"/>
    <w:rsid w:val="00021B45"/>
    <w:rsid w:val="000225CB"/>
    <w:rsid w:val="00031880"/>
    <w:rsid w:val="0003222E"/>
    <w:rsid w:val="0003332C"/>
    <w:rsid w:val="0003374F"/>
    <w:rsid w:val="00035AA5"/>
    <w:rsid w:val="00040874"/>
    <w:rsid w:val="00043B6B"/>
    <w:rsid w:val="000512C9"/>
    <w:rsid w:val="000539B3"/>
    <w:rsid w:val="000570BC"/>
    <w:rsid w:val="00065562"/>
    <w:rsid w:val="000704F2"/>
    <w:rsid w:val="00072323"/>
    <w:rsid w:val="000740E0"/>
    <w:rsid w:val="0007759E"/>
    <w:rsid w:val="0007771F"/>
    <w:rsid w:val="00080FC6"/>
    <w:rsid w:val="000825EF"/>
    <w:rsid w:val="0008371B"/>
    <w:rsid w:val="00085570"/>
    <w:rsid w:val="00085E60"/>
    <w:rsid w:val="00095A15"/>
    <w:rsid w:val="000B0C92"/>
    <w:rsid w:val="000B22E6"/>
    <w:rsid w:val="000B4729"/>
    <w:rsid w:val="000C38CF"/>
    <w:rsid w:val="000E5EE3"/>
    <w:rsid w:val="000F15B6"/>
    <w:rsid w:val="000F7521"/>
    <w:rsid w:val="001016AC"/>
    <w:rsid w:val="001117F2"/>
    <w:rsid w:val="00121E62"/>
    <w:rsid w:val="00123F0A"/>
    <w:rsid w:val="00130B95"/>
    <w:rsid w:val="00132254"/>
    <w:rsid w:val="00132D9D"/>
    <w:rsid w:val="001373A5"/>
    <w:rsid w:val="0014005A"/>
    <w:rsid w:val="0015187C"/>
    <w:rsid w:val="00160E5F"/>
    <w:rsid w:val="001611B1"/>
    <w:rsid w:val="00172C5E"/>
    <w:rsid w:val="00174981"/>
    <w:rsid w:val="00182CA3"/>
    <w:rsid w:val="00182D8A"/>
    <w:rsid w:val="00183FC9"/>
    <w:rsid w:val="00186132"/>
    <w:rsid w:val="00186E34"/>
    <w:rsid w:val="001927E9"/>
    <w:rsid w:val="00194B9C"/>
    <w:rsid w:val="00194EAD"/>
    <w:rsid w:val="001A40B1"/>
    <w:rsid w:val="001A5258"/>
    <w:rsid w:val="001B1C0C"/>
    <w:rsid w:val="001B4C29"/>
    <w:rsid w:val="001C050A"/>
    <w:rsid w:val="001C0CFB"/>
    <w:rsid w:val="001C2F8A"/>
    <w:rsid w:val="001D31D7"/>
    <w:rsid w:val="001F6131"/>
    <w:rsid w:val="002208F2"/>
    <w:rsid w:val="00222073"/>
    <w:rsid w:val="00222740"/>
    <w:rsid w:val="002266F1"/>
    <w:rsid w:val="002318F0"/>
    <w:rsid w:val="00232B8F"/>
    <w:rsid w:val="00235E20"/>
    <w:rsid w:val="00236F9A"/>
    <w:rsid w:val="00246DF9"/>
    <w:rsid w:val="0024725F"/>
    <w:rsid w:val="002522BD"/>
    <w:rsid w:val="002623B0"/>
    <w:rsid w:val="0026775A"/>
    <w:rsid w:val="0027667A"/>
    <w:rsid w:val="00287753"/>
    <w:rsid w:val="00295C91"/>
    <w:rsid w:val="00296AB9"/>
    <w:rsid w:val="0029781F"/>
    <w:rsid w:val="002B03BD"/>
    <w:rsid w:val="002B06AD"/>
    <w:rsid w:val="002B611A"/>
    <w:rsid w:val="002C5F97"/>
    <w:rsid w:val="002C7AC5"/>
    <w:rsid w:val="002D1E5B"/>
    <w:rsid w:val="002D1FD9"/>
    <w:rsid w:val="002D6935"/>
    <w:rsid w:val="002D6E04"/>
    <w:rsid w:val="002E1AA1"/>
    <w:rsid w:val="002E4857"/>
    <w:rsid w:val="002E77BE"/>
    <w:rsid w:val="002F6A17"/>
    <w:rsid w:val="00301B54"/>
    <w:rsid w:val="00301D7E"/>
    <w:rsid w:val="003023A6"/>
    <w:rsid w:val="00307886"/>
    <w:rsid w:val="00310303"/>
    <w:rsid w:val="00316A68"/>
    <w:rsid w:val="003201B5"/>
    <w:rsid w:val="00326649"/>
    <w:rsid w:val="00335CAE"/>
    <w:rsid w:val="00340E9E"/>
    <w:rsid w:val="00341131"/>
    <w:rsid w:val="00346927"/>
    <w:rsid w:val="00356270"/>
    <w:rsid w:val="003644DF"/>
    <w:rsid w:val="00364FB0"/>
    <w:rsid w:val="00366550"/>
    <w:rsid w:val="00366A93"/>
    <w:rsid w:val="00372324"/>
    <w:rsid w:val="00374419"/>
    <w:rsid w:val="00376192"/>
    <w:rsid w:val="0038091B"/>
    <w:rsid w:val="00381E96"/>
    <w:rsid w:val="003837F4"/>
    <w:rsid w:val="00386F56"/>
    <w:rsid w:val="00386FCB"/>
    <w:rsid w:val="00392E8A"/>
    <w:rsid w:val="003A146E"/>
    <w:rsid w:val="003A18CF"/>
    <w:rsid w:val="003A3C4A"/>
    <w:rsid w:val="003A3E5C"/>
    <w:rsid w:val="003B0EE7"/>
    <w:rsid w:val="003B12C2"/>
    <w:rsid w:val="003C5CF6"/>
    <w:rsid w:val="003C7B6C"/>
    <w:rsid w:val="003E00E2"/>
    <w:rsid w:val="004110F6"/>
    <w:rsid w:val="004112D2"/>
    <w:rsid w:val="00423044"/>
    <w:rsid w:val="00426D59"/>
    <w:rsid w:val="00432ABF"/>
    <w:rsid w:val="00432D21"/>
    <w:rsid w:val="00433099"/>
    <w:rsid w:val="004404AF"/>
    <w:rsid w:val="00442B6F"/>
    <w:rsid w:val="0044313C"/>
    <w:rsid w:val="004461F9"/>
    <w:rsid w:val="00446D9D"/>
    <w:rsid w:val="0044731C"/>
    <w:rsid w:val="0044789D"/>
    <w:rsid w:val="004544A1"/>
    <w:rsid w:val="0046182E"/>
    <w:rsid w:val="004620BF"/>
    <w:rsid w:val="00470B1A"/>
    <w:rsid w:val="00472D2A"/>
    <w:rsid w:val="004938F3"/>
    <w:rsid w:val="00494C91"/>
    <w:rsid w:val="004A14DE"/>
    <w:rsid w:val="004C1A6D"/>
    <w:rsid w:val="004C7588"/>
    <w:rsid w:val="004D02BA"/>
    <w:rsid w:val="004D0CC5"/>
    <w:rsid w:val="004D2A9F"/>
    <w:rsid w:val="004D67C5"/>
    <w:rsid w:val="004E00EA"/>
    <w:rsid w:val="004E3677"/>
    <w:rsid w:val="004E3B01"/>
    <w:rsid w:val="004F2868"/>
    <w:rsid w:val="004F346A"/>
    <w:rsid w:val="004F3BB0"/>
    <w:rsid w:val="00503030"/>
    <w:rsid w:val="00515F5B"/>
    <w:rsid w:val="005235F6"/>
    <w:rsid w:val="00525D9E"/>
    <w:rsid w:val="00526CE6"/>
    <w:rsid w:val="00526D0E"/>
    <w:rsid w:val="00527D2E"/>
    <w:rsid w:val="00530703"/>
    <w:rsid w:val="005314E0"/>
    <w:rsid w:val="0053178E"/>
    <w:rsid w:val="00533037"/>
    <w:rsid w:val="00535E74"/>
    <w:rsid w:val="00541812"/>
    <w:rsid w:val="00542F53"/>
    <w:rsid w:val="005571B1"/>
    <w:rsid w:val="00561C86"/>
    <w:rsid w:val="0056276A"/>
    <w:rsid w:val="005627D3"/>
    <w:rsid w:val="0056742C"/>
    <w:rsid w:val="005741BB"/>
    <w:rsid w:val="005800AD"/>
    <w:rsid w:val="00590B22"/>
    <w:rsid w:val="00591805"/>
    <w:rsid w:val="005A6CCB"/>
    <w:rsid w:val="005D0537"/>
    <w:rsid w:val="005D33A3"/>
    <w:rsid w:val="005E07C7"/>
    <w:rsid w:val="005F25A8"/>
    <w:rsid w:val="005F3033"/>
    <w:rsid w:val="005F48CA"/>
    <w:rsid w:val="005F63EA"/>
    <w:rsid w:val="005F6C0E"/>
    <w:rsid w:val="00601A88"/>
    <w:rsid w:val="006149BC"/>
    <w:rsid w:val="00621C05"/>
    <w:rsid w:val="00625380"/>
    <w:rsid w:val="00626384"/>
    <w:rsid w:val="0063732F"/>
    <w:rsid w:val="006458F8"/>
    <w:rsid w:val="00657B43"/>
    <w:rsid w:val="00660E78"/>
    <w:rsid w:val="00667865"/>
    <w:rsid w:val="0067159E"/>
    <w:rsid w:val="006724E0"/>
    <w:rsid w:val="00674BF4"/>
    <w:rsid w:val="0067644D"/>
    <w:rsid w:val="0068140B"/>
    <w:rsid w:val="006851E8"/>
    <w:rsid w:val="00686E6C"/>
    <w:rsid w:val="006879D8"/>
    <w:rsid w:val="00691117"/>
    <w:rsid w:val="006A5DB5"/>
    <w:rsid w:val="006A6304"/>
    <w:rsid w:val="006B0784"/>
    <w:rsid w:val="006B1523"/>
    <w:rsid w:val="006C7A5A"/>
    <w:rsid w:val="006D21A9"/>
    <w:rsid w:val="006E3711"/>
    <w:rsid w:val="006E4254"/>
    <w:rsid w:val="006E55FE"/>
    <w:rsid w:val="007038B4"/>
    <w:rsid w:val="0070579D"/>
    <w:rsid w:val="00705C80"/>
    <w:rsid w:val="00707C78"/>
    <w:rsid w:val="00712D8A"/>
    <w:rsid w:val="0072148A"/>
    <w:rsid w:val="00724380"/>
    <w:rsid w:val="00730113"/>
    <w:rsid w:val="007459C4"/>
    <w:rsid w:val="00745C2F"/>
    <w:rsid w:val="0074753B"/>
    <w:rsid w:val="00762944"/>
    <w:rsid w:val="007637FC"/>
    <w:rsid w:val="00774591"/>
    <w:rsid w:val="00781A79"/>
    <w:rsid w:val="00793F89"/>
    <w:rsid w:val="007947C8"/>
    <w:rsid w:val="007A0E4D"/>
    <w:rsid w:val="007C2FC8"/>
    <w:rsid w:val="007C4840"/>
    <w:rsid w:val="007D448C"/>
    <w:rsid w:val="007E388C"/>
    <w:rsid w:val="007E403C"/>
    <w:rsid w:val="007F416F"/>
    <w:rsid w:val="007F485E"/>
    <w:rsid w:val="008000AD"/>
    <w:rsid w:val="008015CA"/>
    <w:rsid w:val="00802EF0"/>
    <w:rsid w:val="00807A5D"/>
    <w:rsid w:val="00811EA3"/>
    <w:rsid w:val="008307AC"/>
    <w:rsid w:val="00833438"/>
    <w:rsid w:val="00834803"/>
    <w:rsid w:val="00836874"/>
    <w:rsid w:val="00842678"/>
    <w:rsid w:val="00843DE0"/>
    <w:rsid w:val="00851D8D"/>
    <w:rsid w:val="00860BDE"/>
    <w:rsid w:val="00860C4E"/>
    <w:rsid w:val="00870F8A"/>
    <w:rsid w:val="0087217E"/>
    <w:rsid w:val="0087408E"/>
    <w:rsid w:val="008752A8"/>
    <w:rsid w:val="00893F46"/>
    <w:rsid w:val="00897B62"/>
    <w:rsid w:val="008A204F"/>
    <w:rsid w:val="008A2D33"/>
    <w:rsid w:val="008A2E14"/>
    <w:rsid w:val="008A435A"/>
    <w:rsid w:val="008A65D2"/>
    <w:rsid w:val="008B071F"/>
    <w:rsid w:val="008B1882"/>
    <w:rsid w:val="008B3916"/>
    <w:rsid w:val="008B63D0"/>
    <w:rsid w:val="008C021F"/>
    <w:rsid w:val="008C65AA"/>
    <w:rsid w:val="008C727F"/>
    <w:rsid w:val="008D0F14"/>
    <w:rsid w:val="008D3132"/>
    <w:rsid w:val="008D347D"/>
    <w:rsid w:val="008E07C1"/>
    <w:rsid w:val="008E31EF"/>
    <w:rsid w:val="008E562C"/>
    <w:rsid w:val="008E76EC"/>
    <w:rsid w:val="008F1AED"/>
    <w:rsid w:val="008F3FCB"/>
    <w:rsid w:val="008F5E4B"/>
    <w:rsid w:val="0090055D"/>
    <w:rsid w:val="00907CED"/>
    <w:rsid w:val="00911782"/>
    <w:rsid w:val="009163CB"/>
    <w:rsid w:val="009212AB"/>
    <w:rsid w:val="009218F3"/>
    <w:rsid w:val="00924871"/>
    <w:rsid w:val="00933CB1"/>
    <w:rsid w:val="009346A0"/>
    <w:rsid w:val="00937742"/>
    <w:rsid w:val="00940A0D"/>
    <w:rsid w:val="009448DF"/>
    <w:rsid w:val="009559B5"/>
    <w:rsid w:val="00965E29"/>
    <w:rsid w:val="00972917"/>
    <w:rsid w:val="00974865"/>
    <w:rsid w:val="0098219B"/>
    <w:rsid w:val="00987555"/>
    <w:rsid w:val="00987B57"/>
    <w:rsid w:val="00992303"/>
    <w:rsid w:val="009A0D33"/>
    <w:rsid w:val="009A2D47"/>
    <w:rsid w:val="009B3A94"/>
    <w:rsid w:val="009C3888"/>
    <w:rsid w:val="009C4CAA"/>
    <w:rsid w:val="009C594D"/>
    <w:rsid w:val="009D4EE9"/>
    <w:rsid w:val="009E12A3"/>
    <w:rsid w:val="009E6006"/>
    <w:rsid w:val="009F36AC"/>
    <w:rsid w:val="009F452C"/>
    <w:rsid w:val="00A00B4B"/>
    <w:rsid w:val="00A05066"/>
    <w:rsid w:val="00A12472"/>
    <w:rsid w:val="00A203C4"/>
    <w:rsid w:val="00A21BAA"/>
    <w:rsid w:val="00A264AF"/>
    <w:rsid w:val="00A30386"/>
    <w:rsid w:val="00A30B7C"/>
    <w:rsid w:val="00A31B9B"/>
    <w:rsid w:val="00A35CE0"/>
    <w:rsid w:val="00A36289"/>
    <w:rsid w:val="00A55FE8"/>
    <w:rsid w:val="00A5755A"/>
    <w:rsid w:val="00A732FD"/>
    <w:rsid w:val="00A77E1C"/>
    <w:rsid w:val="00A808DC"/>
    <w:rsid w:val="00A81C1D"/>
    <w:rsid w:val="00A91719"/>
    <w:rsid w:val="00A97332"/>
    <w:rsid w:val="00A97980"/>
    <w:rsid w:val="00A97C97"/>
    <w:rsid w:val="00A97F8B"/>
    <w:rsid w:val="00AA2BD7"/>
    <w:rsid w:val="00AA3429"/>
    <w:rsid w:val="00AA57E0"/>
    <w:rsid w:val="00AA6755"/>
    <w:rsid w:val="00AA68B5"/>
    <w:rsid w:val="00AC71BC"/>
    <w:rsid w:val="00AD2D1A"/>
    <w:rsid w:val="00AD35F4"/>
    <w:rsid w:val="00AE1728"/>
    <w:rsid w:val="00AE45BA"/>
    <w:rsid w:val="00AE7143"/>
    <w:rsid w:val="00AE7602"/>
    <w:rsid w:val="00AF58B4"/>
    <w:rsid w:val="00B02FAC"/>
    <w:rsid w:val="00B062DD"/>
    <w:rsid w:val="00B11B92"/>
    <w:rsid w:val="00B11FE6"/>
    <w:rsid w:val="00B12E16"/>
    <w:rsid w:val="00B13DBA"/>
    <w:rsid w:val="00B21873"/>
    <w:rsid w:val="00B25FBE"/>
    <w:rsid w:val="00B31462"/>
    <w:rsid w:val="00B32AB4"/>
    <w:rsid w:val="00B4100D"/>
    <w:rsid w:val="00B52E71"/>
    <w:rsid w:val="00B56A44"/>
    <w:rsid w:val="00B64ADD"/>
    <w:rsid w:val="00B655A4"/>
    <w:rsid w:val="00B66572"/>
    <w:rsid w:val="00B66BA4"/>
    <w:rsid w:val="00B7017B"/>
    <w:rsid w:val="00B76389"/>
    <w:rsid w:val="00B80CDE"/>
    <w:rsid w:val="00B81AD2"/>
    <w:rsid w:val="00B81F77"/>
    <w:rsid w:val="00B8590B"/>
    <w:rsid w:val="00B9005D"/>
    <w:rsid w:val="00B97ECE"/>
    <w:rsid w:val="00B97ED9"/>
    <w:rsid w:val="00BA064A"/>
    <w:rsid w:val="00BA090C"/>
    <w:rsid w:val="00BA3BEF"/>
    <w:rsid w:val="00BB0654"/>
    <w:rsid w:val="00BB0CD7"/>
    <w:rsid w:val="00BB188C"/>
    <w:rsid w:val="00BB312F"/>
    <w:rsid w:val="00BB36C9"/>
    <w:rsid w:val="00BB509F"/>
    <w:rsid w:val="00BB7153"/>
    <w:rsid w:val="00BC1CBD"/>
    <w:rsid w:val="00BC231D"/>
    <w:rsid w:val="00BD0174"/>
    <w:rsid w:val="00BD0C37"/>
    <w:rsid w:val="00BD70A4"/>
    <w:rsid w:val="00BE087E"/>
    <w:rsid w:val="00BE4A73"/>
    <w:rsid w:val="00BE700A"/>
    <w:rsid w:val="00BF06C5"/>
    <w:rsid w:val="00BF2CCC"/>
    <w:rsid w:val="00BF3824"/>
    <w:rsid w:val="00C066B6"/>
    <w:rsid w:val="00C13DD7"/>
    <w:rsid w:val="00C160FF"/>
    <w:rsid w:val="00C22A2F"/>
    <w:rsid w:val="00C2664E"/>
    <w:rsid w:val="00C3200C"/>
    <w:rsid w:val="00C37C10"/>
    <w:rsid w:val="00C44207"/>
    <w:rsid w:val="00C45269"/>
    <w:rsid w:val="00C47AC3"/>
    <w:rsid w:val="00C51413"/>
    <w:rsid w:val="00C532FA"/>
    <w:rsid w:val="00C55591"/>
    <w:rsid w:val="00C6034D"/>
    <w:rsid w:val="00C61713"/>
    <w:rsid w:val="00C63EC7"/>
    <w:rsid w:val="00C67D73"/>
    <w:rsid w:val="00C739DB"/>
    <w:rsid w:val="00C7469B"/>
    <w:rsid w:val="00C74761"/>
    <w:rsid w:val="00C819AF"/>
    <w:rsid w:val="00C92284"/>
    <w:rsid w:val="00C92B47"/>
    <w:rsid w:val="00C92C52"/>
    <w:rsid w:val="00C93484"/>
    <w:rsid w:val="00C95D7C"/>
    <w:rsid w:val="00CA0764"/>
    <w:rsid w:val="00CA3BF8"/>
    <w:rsid w:val="00CA6ACC"/>
    <w:rsid w:val="00CB09C2"/>
    <w:rsid w:val="00CB0CB2"/>
    <w:rsid w:val="00CB3C92"/>
    <w:rsid w:val="00CB63EA"/>
    <w:rsid w:val="00CC158D"/>
    <w:rsid w:val="00CC301A"/>
    <w:rsid w:val="00CC38E6"/>
    <w:rsid w:val="00CC3E04"/>
    <w:rsid w:val="00CC6FCA"/>
    <w:rsid w:val="00CD4685"/>
    <w:rsid w:val="00CE496E"/>
    <w:rsid w:val="00CE5F9F"/>
    <w:rsid w:val="00CE6ECE"/>
    <w:rsid w:val="00CF0044"/>
    <w:rsid w:val="00CF4809"/>
    <w:rsid w:val="00D000B4"/>
    <w:rsid w:val="00D01988"/>
    <w:rsid w:val="00D033C4"/>
    <w:rsid w:val="00D04926"/>
    <w:rsid w:val="00D13B8B"/>
    <w:rsid w:val="00D154D0"/>
    <w:rsid w:val="00D16CB9"/>
    <w:rsid w:val="00D20A2D"/>
    <w:rsid w:val="00D21278"/>
    <w:rsid w:val="00D2187C"/>
    <w:rsid w:val="00D24C42"/>
    <w:rsid w:val="00D32F29"/>
    <w:rsid w:val="00D33B5A"/>
    <w:rsid w:val="00D340A2"/>
    <w:rsid w:val="00D42A0F"/>
    <w:rsid w:val="00D46C04"/>
    <w:rsid w:val="00D505C4"/>
    <w:rsid w:val="00D70CE8"/>
    <w:rsid w:val="00D76A1F"/>
    <w:rsid w:val="00D85A0B"/>
    <w:rsid w:val="00D95E86"/>
    <w:rsid w:val="00DA1AA3"/>
    <w:rsid w:val="00DA60B0"/>
    <w:rsid w:val="00DA7CDD"/>
    <w:rsid w:val="00DB2573"/>
    <w:rsid w:val="00DB2DEE"/>
    <w:rsid w:val="00DB3839"/>
    <w:rsid w:val="00DB3FC8"/>
    <w:rsid w:val="00DB4070"/>
    <w:rsid w:val="00DC01DE"/>
    <w:rsid w:val="00DC2469"/>
    <w:rsid w:val="00DD5273"/>
    <w:rsid w:val="00DE1E54"/>
    <w:rsid w:val="00DE2CAF"/>
    <w:rsid w:val="00DE7926"/>
    <w:rsid w:val="00DE7E61"/>
    <w:rsid w:val="00DF1009"/>
    <w:rsid w:val="00E12D4B"/>
    <w:rsid w:val="00E210D3"/>
    <w:rsid w:val="00E230D7"/>
    <w:rsid w:val="00E35C25"/>
    <w:rsid w:val="00E40FBF"/>
    <w:rsid w:val="00E45515"/>
    <w:rsid w:val="00E4607C"/>
    <w:rsid w:val="00E462E6"/>
    <w:rsid w:val="00E4636A"/>
    <w:rsid w:val="00E47B94"/>
    <w:rsid w:val="00E51128"/>
    <w:rsid w:val="00E52E1F"/>
    <w:rsid w:val="00E557E9"/>
    <w:rsid w:val="00E63C65"/>
    <w:rsid w:val="00E70761"/>
    <w:rsid w:val="00E74284"/>
    <w:rsid w:val="00E93A1B"/>
    <w:rsid w:val="00E960EF"/>
    <w:rsid w:val="00E9742A"/>
    <w:rsid w:val="00ED0FE3"/>
    <w:rsid w:val="00ED6B1E"/>
    <w:rsid w:val="00ED7CA6"/>
    <w:rsid w:val="00EE05F7"/>
    <w:rsid w:val="00EE4773"/>
    <w:rsid w:val="00EE7F45"/>
    <w:rsid w:val="00EF37C5"/>
    <w:rsid w:val="00EF3B03"/>
    <w:rsid w:val="00EF3D95"/>
    <w:rsid w:val="00F008DA"/>
    <w:rsid w:val="00F10129"/>
    <w:rsid w:val="00F12BFD"/>
    <w:rsid w:val="00F12F57"/>
    <w:rsid w:val="00F245CE"/>
    <w:rsid w:val="00F245F6"/>
    <w:rsid w:val="00F26D36"/>
    <w:rsid w:val="00F417F4"/>
    <w:rsid w:val="00F42267"/>
    <w:rsid w:val="00F44521"/>
    <w:rsid w:val="00F45DC4"/>
    <w:rsid w:val="00F50234"/>
    <w:rsid w:val="00F5333D"/>
    <w:rsid w:val="00F5400E"/>
    <w:rsid w:val="00F549F8"/>
    <w:rsid w:val="00F5654A"/>
    <w:rsid w:val="00F57EA9"/>
    <w:rsid w:val="00F61BA0"/>
    <w:rsid w:val="00F627FA"/>
    <w:rsid w:val="00F66668"/>
    <w:rsid w:val="00F76D30"/>
    <w:rsid w:val="00F8303E"/>
    <w:rsid w:val="00F84EBA"/>
    <w:rsid w:val="00F91EA5"/>
    <w:rsid w:val="00F9575C"/>
    <w:rsid w:val="00FA2F20"/>
    <w:rsid w:val="00FB34B9"/>
    <w:rsid w:val="00FC06AF"/>
    <w:rsid w:val="00FC2A45"/>
    <w:rsid w:val="00FD0854"/>
    <w:rsid w:val="00FD1158"/>
    <w:rsid w:val="00FD3BD5"/>
    <w:rsid w:val="00FE0B70"/>
    <w:rsid w:val="00FE14A5"/>
    <w:rsid w:val="00FE6B1B"/>
    <w:rsid w:val="00FF3F9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5F3033"/>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customStyle="1" w:styleId="mc3">
    <w:name w:val="mc3"/>
    <w:basedOn w:val="DefaultParagraphFont"/>
    <w:rsid w:val="003023A6"/>
    <w:rPr>
      <w:rFonts w:ascii="Verdana" w:hAnsi="Verdana" w:hint="default"/>
      <w:b w:val="0"/>
      <w:bCs w:val="0"/>
      <w:i w:val="0"/>
      <w:iCs w:val="0"/>
      <w:color w:val="000000"/>
      <w:sz w:val="13"/>
      <w:szCs w:val="13"/>
      <w:shd w:val="clear" w:color="auto" w:fill="C0C0C0"/>
    </w:rPr>
  </w:style>
  <w:style w:type="character" w:styleId="CommentReference">
    <w:name w:val="annotation reference"/>
    <w:basedOn w:val="DefaultParagraphFont"/>
    <w:uiPriority w:val="99"/>
    <w:semiHidden/>
    <w:unhideWhenUsed/>
    <w:rsid w:val="00B56A44"/>
    <w:rPr>
      <w:sz w:val="16"/>
      <w:szCs w:val="16"/>
    </w:rPr>
  </w:style>
  <w:style w:type="paragraph" w:styleId="CommentText">
    <w:name w:val="annotation text"/>
    <w:basedOn w:val="Normal"/>
    <w:link w:val="CommentTextChar"/>
    <w:uiPriority w:val="99"/>
    <w:semiHidden/>
    <w:unhideWhenUsed/>
    <w:rsid w:val="00B56A44"/>
    <w:pPr>
      <w:spacing w:line="240" w:lineRule="auto"/>
    </w:pPr>
    <w:rPr>
      <w:sz w:val="20"/>
      <w:szCs w:val="20"/>
    </w:rPr>
  </w:style>
  <w:style w:type="character" w:customStyle="1" w:styleId="CommentTextChar">
    <w:name w:val="Comment Text Char"/>
    <w:basedOn w:val="DefaultParagraphFont"/>
    <w:link w:val="CommentText"/>
    <w:uiPriority w:val="99"/>
    <w:semiHidden/>
    <w:rsid w:val="00B56A44"/>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B56A44"/>
    <w:rPr>
      <w:b/>
      <w:bCs/>
    </w:rPr>
  </w:style>
  <w:style w:type="character" w:customStyle="1" w:styleId="CommentSubjectChar">
    <w:name w:val="Comment Subject Char"/>
    <w:basedOn w:val="CommentTextChar"/>
    <w:link w:val="CommentSubject"/>
    <w:uiPriority w:val="99"/>
    <w:semiHidden/>
    <w:rsid w:val="00B56A44"/>
    <w:rPr>
      <w:rFonts w:ascii="Times New Roman" w:hAnsi="Times New Roman"/>
      <w:b/>
      <w:bCs/>
      <w:lang w:val="en-ZA"/>
    </w:rPr>
  </w:style>
  <w:style w:type="character" w:styleId="Hyperlink">
    <w:name w:val="Hyperlink"/>
    <w:basedOn w:val="DefaultParagraphFont"/>
    <w:uiPriority w:val="99"/>
    <w:semiHidden/>
    <w:unhideWhenUsed/>
    <w:rsid w:val="00E74284"/>
    <w:rPr>
      <w:b/>
      <w:bCs/>
      <w:i w:val="0"/>
      <w:iCs w:val="0"/>
      <w:color w:val="0B4B0B"/>
      <w:u w:val="single"/>
    </w:rPr>
  </w:style>
  <w:style w:type="paragraph" w:customStyle="1" w:styleId="BODYNON-NUMBERED">
    <w:name w:val="BODY NON-NUMBERED"/>
    <w:basedOn w:val="Normal"/>
    <w:link w:val="BODYNON-NUMBEREDChar"/>
    <w:qFormat/>
    <w:rsid w:val="00E9742A"/>
    <w:pPr>
      <w:tabs>
        <w:tab w:val="left" w:pos="680"/>
      </w:tabs>
      <w:spacing w:after="240" w:line="276" w:lineRule="auto"/>
    </w:pPr>
  </w:style>
  <w:style w:type="paragraph" w:customStyle="1" w:styleId="BODYLIST">
    <w:name w:val="BODY LIST"/>
    <w:basedOn w:val="BODYNON-NUMBERED"/>
    <w:link w:val="BODYLISTChar"/>
    <w:qFormat/>
    <w:rsid w:val="00E9742A"/>
    <w:pPr>
      <w:numPr>
        <w:numId w:val="17"/>
      </w:numPr>
    </w:pPr>
  </w:style>
  <w:style w:type="character" w:customStyle="1" w:styleId="BODYNON-NUMBEREDChar">
    <w:name w:val="BODY NON-NUMBERED Char"/>
    <w:basedOn w:val="DefaultParagraphFont"/>
    <w:link w:val="BODYNON-NUMBERED"/>
    <w:rsid w:val="00E9742A"/>
    <w:rPr>
      <w:rFonts w:ascii="Times New Roman" w:hAnsi="Times New Roman"/>
      <w:sz w:val="26"/>
      <w:szCs w:val="22"/>
      <w:lang w:val="en-ZA"/>
    </w:rPr>
  </w:style>
  <w:style w:type="character" w:customStyle="1" w:styleId="BODYLISTChar">
    <w:name w:val="BODY LIST Char"/>
    <w:basedOn w:val="DefaultParagraphFont"/>
    <w:link w:val="BODYLIST"/>
    <w:rsid w:val="00E9742A"/>
    <w:rPr>
      <w:rFonts w:ascii="Times New Roman" w:hAnsi="Times New Roman"/>
      <w:sz w:val="26"/>
      <w:szCs w:val="22"/>
      <w:lang w:val="en-ZA"/>
    </w:rPr>
  </w:style>
  <w:style w:type="paragraph" w:customStyle="1" w:styleId="Default">
    <w:name w:val="Default"/>
    <w:rsid w:val="00BB0CD7"/>
    <w:pPr>
      <w:autoSpaceDE w:val="0"/>
      <w:autoSpaceDN w:val="0"/>
      <w:adjustRightInd w:val="0"/>
    </w:pPr>
    <w:rPr>
      <w:rFonts w:ascii="Arial" w:hAnsi="Arial" w:cs="Arial"/>
      <w:color w:val="000000"/>
      <w:sz w:val="24"/>
      <w:szCs w:val="24"/>
      <w:lang w:val="en-ZA"/>
    </w:rPr>
  </w:style>
  <w:style w:type="character" w:customStyle="1" w:styleId="Heading2Char">
    <w:name w:val="Heading 2 Char"/>
    <w:basedOn w:val="DefaultParagraphFont"/>
    <w:link w:val="Heading2"/>
    <w:uiPriority w:val="9"/>
    <w:semiHidden/>
    <w:rsid w:val="005F3033"/>
    <w:rPr>
      <w:rFonts w:asciiTheme="majorHAnsi" w:eastAsiaTheme="majorEastAsia" w:hAnsiTheme="majorHAnsi" w:cstheme="majorBidi"/>
      <w:b/>
      <w:bCs/>
      <w:color w:val="4F81BD" w:themeColor="accent1"/>
      <w:sz w:val="26"/>
      <w:szCs w:val="26"/>
      <w:lang w:val="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5F3033"/>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customStyle="1" w:styleId="mc3">
    <w:name w:val="mc3"/>
    <w:basedOn w:val="DefaultParagraphFont"/>
    <w:rsid w:val="003023A6"/>
    <w:rPr>
      <w:rFonts w:ascii="Verdana" w:hAnsi="Verdana" w:hint="default"/>
      <w:b w:val="0"/>
      <w:bCs w:val="0"/>
      <w:i w:val="0"/>
      <w:iCs w:val="0"/>
      <w:color w:val="000000"/>
      <w:sz w:val="13"/>
      <w:szCs w:val="13"/>
      <w:shd w:val="clear" w:color="auto" w:fill="C0C0C0"/>
    </w:rPr>
  </w:style>
  <w:style w:type="character" w:styleId="CommentReference">
    <w:name w:val="annotation reference"/>
    <w:basedOn w:val="DefaultParagraphFont"/>
    <w:uiPriority w:val="99"/>
    <w:semiHidden/>
    <w:unhideWhenUsed/>
    <w:rsid w:val="00B56A44"/>
    <w:rPr>
      <w:sz w:val="16"/>
      <w:szCs w:val="16"/>
    </w:rPr>
  </w:style>
  <w:style w:type="paragraph" w:styleId="CommentText">
    <w:name w:val="annotation text"/>
    <w:basedOn w:val="Normal"/>
    <w:link w:val="CommentTextChar"/>
    <w:uiPriority w:val="99"/>
    <w:semiHidden/>
    <w:unhideWhenUsed/>
    <w:rsid w:val="00B56A44"/>
    <w:pPr>
      <w:spacing w:line="240" w:lineRule="auto"/>
    </w:pPr>
    <w:rPr>
      <w:sz w:val="20"/>
      <w:szCs w:val="20"/>
    </w:rPr>
  </w:style>
  <w:style w:type="character" w:customStyle="1" w:styleId="CommentTextChar">
    <w:name w:val="Comment Text Char"/>
    <w:basedOn w:val="DefaultParagraphFont"/>
    <w:link w:val="CommentText"/>
    <w:uiPriority w:val="99"/>
    <w:semiHidden/>
    <w:rsid w:val="00B56A44"/>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B56A44"/>
    <w:rPr>
      <w:b/>
      <w:bCs/>
    </w:rPr>
  </w:style>
  <w:style w:type="character" w:customStyle="1" w:styleId="CommentSubjectChar">
    <w:name w:val="Comment Subject Char"/>
    <w:basedOn w:val="CommentTextChar"/>
    <w:link w:val="CommentSubject"/>
    <w:uiPriority w:val="99"/>
    <w:semiHidden/>
    <w:rsid w:val="00B56A44"/>
    <w:rPr>
      <w:rFonts w:ascii="Times New Roman" w:hAnsi="Times New Roman"/>
      <w:b/>
      <w:bCs/>
      <w:lang w:val="en-ZA"/>
    </w:rPr>
  </w:style>
  <w:style w:type="character" w:styleId="Hyperlink">
    <w:name w:val="Hyperlink"/>
    <w:basedOn w:val="DefaultParagraphFont"/>
    <w:uiPriority w:val="99"/>
    <w:semiHidden/>
    <w:unhideWhenUsed/>
    <w:rsid w:val="00E74284"/>
    <w:rPr>
      <w:b/>
      <w:bCs/>
      <w:i w:val="0"/>
      <w:iCs w:val="0"/>
      <w:color w:val="0B4B0B"/>
      <w:u w:val="single"/>
    </w:rPr>
  </w:style>
  <w:style w:type="paragraph" w:customStyle="1" w:styleId="BODYNON-NUMBERED">
    <w:name w:val="BODY NON-NUMBERED"/>
    <w:basedOn w:val="Normal"/>
    <w:link w:val="BODYNON-NUMBEREDChar"/>
    <w:qFormat/>
    <w:rsid w:val="00E9742A"/>
    <w:pPr>
      <w:tabs>
        <w:tab w:val="left" w:pos="680"/>
      </w:tabs>
      <w:spacing w:after="240" w:line="276" w:lineRule="auto"/>
    </w:pPr>
  </w:style>
  <w:style w:type="paragraph" w:customStyle="1" w:styleId="BODYLIST">
    <w:name w:val="BODY LIST"/>
    <w:basedOn w:val="BODYNON-NUMBERED"/>
    <w:link w:val="BODYLISTChar"/>
    <w:qFormat/>
    <w:rsid w:val="00E9742A"/>
    <w:pPr>
      <w:numPr>
        <w:numId w:val="17"/>
      </w:numPr>
    </w:pPr>
  </w:style>
  <w:style w:type="character" w:customStyle="1" w:styleId="BODYNON-NUMBEREDChar">
    <w:name w:val="BODY NON-NUMBERED Char"/>
    <w:basedOn w:val="DefaultParagraphFont"/>
    <w:link w:val="BODYNON-NUMBERED"/>
    <w:rsid w:val="00E9742A"/>
    <w:rPr>
      <w:rFonts w:ascii="Times New Roman" w:hAnsi="Times New Roman"/>
      <w:sz w:val="26"/>
      <w:szCs w:val="22"/>
      <w:lang w:val="en-ZA"/>
    </w:rPr>
  </w:style>
  <w:style w:type="character" w:customStyle="1" w:styleId="BODYLISTChar">
    <w:name w:val="BODY LIST Char"/>
    <w:basedOn w:val="DefaultParagraphFont"/>
    <w:link w:val="BODYLIST"/>
    <w:rsid w:val="00E9742A"/>
    <w:rPr>
      <w:rFonts w:ascii="Times New Roman" w:hAnsi="Times New Roman"/>
      <w:sz w:val="26"/>
      <w:szCs w:val="22"/>
      <w:lang w:val="en-ZA"/>
    </w:rPr>
  </w:style>
  <w:style w:type="paragraph" w:customStyle="1" w:styleId="Default">
    <w:name w:val="Default"/>
    <w:rsid w:val="00BB0CD7"/>
    <w:pPr>
      <w:autoSpaceDE w:val="0"/>
      <w:autoSpaceDN w:val="0"/>
      <w:adjustRightInd w:val="0"/>
    </w:pPr>
    <w:rPr>
      <w:rFonts w:ascii="Arial" w:hAnsi="Arial" w:cs="Arial"/>
      <w:color w:val="000000"/>
      <w:sz w:val="24"/>
      <w:szCs w:val="24"/>
      <w:lang w:val="en-ZA"/>
    </w:rPr>
  </w:style>
  <w:style w:type="character" w:customStyle="1" w:styleId="Heading2Char">
    <w:name w:val="Heading 2 Char"/>
    <w:basedOn w:val="DefaultParagraphFont"/>
    <w:link w:val="Heading2"/>
    <w:uiPriority w:val="9"/>
    <w:semiHidden/>
    <w:rsid w:val="005F3033"/>
    <w:rPr>
      <w:rFonts w:asciiTheme="majorHAnsi" w:eastAsiaTheme="majorEastAsia" w:hAnsiTheme="majorHAnsi" w:cstheme="majorBidi"/>
      <w:b/>
      <w:bCs/>
      <w:color w:val="4F81BD" w:themeColor="accent1"/>
      <w:sz w:val="26"/>
      <w:szCs w:val="26"/>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768935">
      <w:bodyDiv w:val="1"/>
      <w:marLeft w:val="0"/>
      <w:marRight w:val="0"/>
      <w:marTop w:val="0"/>
      <w:marBottom w:val="0"/>
      <w:divBdr>
        <w:top w:val="none" w:sz="0" w:space="0" w:color="auto"/>
        <w:left w:val="none" w:sz="0" w:space="0" w:color="auto"/>
        <w:bottom w:val="none" w:sz="0" w:space="0" w:color="auto"/>
        <w:right w:val="none" w:sz="0" w:space="0" w:color="auto"/>
      </w:divBdr>
    </w:div>
    <w:div w:id="210532039">
      <w:bodyDiv w:val="1"/>
      <w:marLeft w:val="0"/>
      <w:marRight w:val="0"/>
      <w:marTop w:val="0"/>
      <w:marBottom w:val="0"/>
      <w:divBdr>
        <w:top w:val="none" w:sz="0" w:space="0" w:color="auto"/>
        <w:left w:val="none" w:sz="0" w:space="0" w:color="auto"/>
        <w:bottom w:val="none" w:sz="0" w:space="0" w:color="auto"/>
        <w:right w:val="none" w:sz="0" w:space="0" w:color="auto"/>
      </w:divBdr>
    </w:div>
    <w:div w:id="572853448">
      <w:bodyDiv w:val="1"/>
      <w:marLeft w:val="0"/>
      <w:marRight w:val="0"/>
      <w:marTop w:val="0"/>
      <w:marBottom w:val="0"/>
      <w:divBdr>
        <w:top w:val="none" w:sz="0" w:space="0" w:color="auto"/>
        <w:left w:val="none" w:sz="0" w:space="0" w:color="auto"/>
        <w:bottom w:val="none" w:sz="0" w:space="0" w:color="auto"/>
        <w:right w:val="none" w:sz="0" w:space="0" w:color="auto"/>
      </w:divBdr>
    </w:div>
    <w:div w:id="731125178">
      <w:bodyDiv w:val="1"/>
      <w:marLeft w:val="360"/>
      <w:marRight w:val="360"/>
      <w:marTop w:val="0"/>
      <w:marBottom w:val="0"/>
      <w:divBdr>
        <w:top w:val="none" w:sz="0" w:space="0" w:color="auto"/>
        <w:left w:val="none" w:sz="0" w:space="0" w:color="auto"/>
        <w:bottom w:val="none" w:sz="0" w:space="0" w:color="auto"/>
        <w:right w:val="none" w:sz="0" w:space="0" w:color="auto"/>
      </w:divBdr>
      <w:divsChild>
        <w:div w:id="1643851312">
          <w:marLeft w:val="0"/>
          <w:marRight w:val="0"/>
          <w:marTop w:val="180"/>
          <w:marBottom w:val="0"/>
          <w:divBdr>
            <w:top w:val="none" w:sz="0" w:space="0" w:color="auto"/>
            <w:left w:val="none" w:sz="0" w:space="0" w:color="auto"/>
            <w:bottom w:val="none" w:sz="0" w:space="0" w:color="auto"/>
            <w:right w:val="none" w:sz="0" w:space="0" w:color="auto"/>
          </w:divBdr>
        </w:div>
        <w:div w:id="145824385">
          <w:marLeft w:val="0"/>
          <w:marRight w:val="0"/>
          <w:marTop w:val="240"/>
          <w:marBottom w:val="24"/>
          <w:divBdr>
            <w:top w:val="single" w:sz="8" w:space="2" w:color="808080"/>
            <w:left w:val="none" w:sz="0" w:space="0" w:color="auto"/>
            <w:bottom w:val="none" w:sz="0" w:space="0" w:color="auto"/>
            <w:right w:val="none" w:sz="0" w:space="0" w:color="auto"/>
          </w:divBdr>
        </w:div>
        <w:div w:id="1134714738">
          <w:marLeft w:val="0"/>
          <w:marRight w:val="0"/>
          <w:marTop w:val="180"/>
          <w:marBottom w:val="0"/>
          <w:divBdr>
            <w:top w:val="none" w:sz="0" w:space="0" w:color="auto"/>
            <w:left w:val="none" w:sz="0" w:space="0" w:color="auto"/>
            <w:bottom w:val="none" w:sz="0" w:space="0" w:color="auto"/>
            <w:right w:val="none" w:sz="0" w:space="0" w:color="auto"/>
          </w:divBdr>
        </w:div>
      </w:divsChild>
    </w:div>
    <w:div w:id="1043093600">
      <w:bodyDiv w:val="1"/>
      <w:marLeft w:val="0"/>
      <w:marRight w:val="0"/>
      <w:marTop w:val="0"/>
      <w:marBottom w:val="0"/>
      <w:divBdr>
        <w:top w:val="none" w:sz="0" w:space="0" w:color="auto"/>
        <w:left w:val="none" w:sz="0" w:space="0" w:color="auto"/>
        <w:bottom w:val="none" w:sz="0" w:space="0" w:color="auto"/>
        <w:right w:val="none" w:sz="0" w:space="0" w:color="auto"/>
      </w:divBdr>
    </w:div>
    <w:div w:id="1950623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styles" Target="styles.xml"/><Relationship Id="rId16"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1952</Words>
  <Characters>11132</Characters>
  <Application>Microsoft Office Word</Application>
  <DocSecurity>0</DocSecurity>
  <Lines>92</Lines>
  <Paragraphs>26</Paragraphs>
  <ScaleCrop>false</ScaleCrop>
  <LinksUpToDate>false</LinksUpToDate>
  <CharactersWithSpaces>13058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2017-10-31T08:31:00Z</dcterms:created>
  <dcterms:modified xsi:type="dcterms:W3CDTF">2017-10-31T08:31:00Z</dcterms:modified>
</cp:coreProperties>
</file>