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283F" w:rsidRDefault="003D3951" w:rsidP="003D3951">
      <w:pPr>
        <w:tabs>
          <w:tab w:val="left" w:pos="2552"/>
        </w:tabs>
        <w:jc w:val="center"/>
      </w:pPr>
      <w:r>
        <w:t xml:space="preserve"> </w:t>
      </w:r>
      <w:r w:rsidR="005956C2" w:rsidRPr="005956C2">
        <w:rPr>
          <w:noProof/>
          <w:lang w:val="en-US"/>
        </w:rPr>
        <w:drawing>
          <wp:inline distT="0" distB="0" distL="0" distR="0">
            <wp:extent cx="809625" cy="828675"/>
            <wp:effectExtent l="19050" t="0" r="9525" b="0"/>
            <wp:docPr id="3"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AE4640"/>
    <w:p w:rsidR="006966FC" w:rsidRPr="0007028D" w:rsidRDefault="007B418E" w:rsidP="00587A53">
      <w:pPr>
        <w:jc w:val="center"/>
      </w:pPr>
      <w:r>
        <w:rPr>
          <w:b/>
        </w:rPr>
        <w:t>Shane Jacobs and Others v The State</w:t>
      </w:r>
    </w:p>
    <w:p w:rsidR="006966FC" w:rsidRDefault="006966FC" w:rsidP="006966FC">
      <w:pPr>
        <w:tabs>
          <w:tab w:val="right" w:pos="9360"/>
        </w:tabs>
        <w:ind w:right="284"/>
        <w:rPr>
          <w:bCs/>
          <w:sz w:val="26"/>
          <w:szCs w:val="26"/>
          <w:lang w:val="en-GB"/>
        </w:rPr>
      </w:pPr>
    </w:p>
    <w:p w:rsidR="00E07942" w:rsidRPr="00100894" w:rsidRDefault="00D40819" w:rsidP="00720ACA">
      <w:pPr>
        <w:jc w:val="right"/>
        <w:rPr>
          <w:b/>
        </w:rPr>
      </w:pPr>
      <w:r w:rsidRPr="00100894">
        <w:rPr>
          <w:b/>
        </w:rPr>
        <w:t>CCT</w:t>
      </w:r>
      <w:r w:rsidR="00720ACA" w:rsidRPr="00100894">
        <w:rPr>
          <w:b/>
        </w:rPr>
        <w:t xml:space="preserve"> </w:t>
      </w:r>
      <w:r w:rsidR="007B418E">
        <w:rPr>
          <w:b/>
        </w:rPr>
        <w:t>73/17</w:t>
      </w:r>
    </w:p>
    <w:p w:rsidR="00D40819" w:rsidRPr="00100894" w:rsidRDefault="00D40819" w:rsidP="00720ACA">
      <w:pPr>
        <w:jc w:val="right"/>
        <w:rPr>
          <w:b/>
        </w:rPr>
      </w:pPr>
    </w:p>
    <w:p w:rsidR="00E07942" w:rsidRDefault="00E07942" w:rsidP="00720ACA">
      <w:pPr>
        <w:jc w:val="right"/>
        <w:rPr>
          <w:b/>
        </w:rPr>
      </w:pPr>
      <w:r w:rsidRPr="00100894">
        <w:rPr>
          <w:b/>
        </w:rPr>
        <w:t xml:space="preserve">Date of hearing: </w:t>
      </w:r>
      <w:r w:rsidR="007B418E">
        <w:rPr>
          <w:b/>
        </w:rPr>
        <w:t>01 March 2018</w:t>
      </w:r>
    </w:p>
    <w:p w:rsidR="00953A07" w:rsidRDefault="00953A07" w:rsidP="00720ACA">
      <w:pPr>
        <w:jc w:val="right"/>
        <w:rPr>
          <w:b/>
        </w:rPr>
      </w:pPr>
      <w:r>
        <w:rPr>
          <w:b/>
        </w:rPr>
        <w:t xml:space="preserve">Date of judgment: </w:t>
      </w:r>
      <w:r w:rsidR="00DE6E20">
        <w:rPr>
          <w:b/>
        </w:rPr>
        <w:t>14</w:t>
      </w:r>
      <w:r>
        <w:rPr>
          <w:b/>
        </w:rPr>
        <w:t xml:space="preserve"> </w:t>
      </w:r>
      <w:r w:rsidR="00890F7D">
        <w:rPr>
          <w:b/>
        </w:rPr>
        <w:t>February 2019</w:t>
      </w:r>
    </w:p>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100894" w:rsidRDefault="001E5F5A" w:rsidP="00526226">
      <w:pPr>
        <w:jc w:val="center"/>
        <w:rPr>
          <w:b/>
        </w:rPr>
      </w:pPr>
      <w:r w:rsidRPr="00100894">
        <w:rPr>
          <w:b/>
        </w:rPr>
        <w:t>MEDIA SUMMARY</w:t>
      </w:r>
    </w:p>
    <w:p w:rsidR="00526226" w:rsidRPr="00100894" w:rsidRDefault="00526226" w:rsidP="00526226">
      <w:pPr>
        <w:jc w:val="center"/>
      </w:pPr>
      <w:r w:rsidRPr="00100894">
        <w:t>________________________________________________________________________</w:t>
      </w:r>
    </w:p>
    <w:p w:rsidR="001E5F5A" w:rsidRPr="00100894" w:rsidRDefault="001E5F5A" w:rsidP="008B532D">
      <w:pPr>
        <w:spacing w:line="360" w:lineRule="auto"/>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C81C52" w:rsidRPr="00C81C52" w:rsidRDefault="00953A07" w:rsidP="00C81C52">
      <w:pPr>
        <w:rPr>
          <w:i/>
        </w:rPr>
      </w:pPr>
      <w:r>
        <w:t xml:space="preserve">On </w:t>
      </w:r>
      <w:r w:rsidR="006F67A8">
        <w:t>Thursday</w:t>
      </w:r>
      <w:r w:rsidR="00CA59FC">
        <w:t>,</w:t>
      </w:r>
      <w:r w:rsidR="006F67A8">
        <w:t xml:space="preserve"> </w:t>
      </w:r>
      <w:r w:rsidR="00030FCB">
        <w:t>14 February 2019</w:t>
      </w:r>
      <w:r>
        <w:t xml:space="preserve"> at </w:t>
      </w:r>
      <w:r w:rsidRPr="000D3166">
        <w:t>10h00</w:t>
      </w:r>
      <w:r>
        <w:t xml:space="preserve"> </w:t>
      </w:r>
      <w:r w:rsidRPr="00100894">
        <w:t xml:space="preserve">the Constitutional Court </w:t>
      </w:r>
      <w:r>
        <w:t xml:space="preserve">handed down judgment in </w:t>
      </w:r>
      <w:r w:rsidR="007B418E">
        <w:t>an application for leave to appeal against</w:t>
      </w:r>
      <w:r w:rsidR="00C81C52">
        <w:t xml:space="preserve"> </w:t>
      </w:r>
      <w:r w:rsidR="006F67A8">
        <w:t xml:space="preserve">a </w:t>
      </w:r>
      <w:r w:rsidR="00C81C52">
        <w:t>judgment of the</w:t>
      </w:r>
      <w:r w:rsidR="00C81C52" w:rsidRPr="00C81C52">
        <w:t xml:space="preserve"> Full Court of the High Court of South Africa, North West Division, Mafikeng (Full Court)</w:t>
      </w:r>
      <w:r w:rsidR="00890F7D">
        <w:t xml:space="preserve">.  The Full </w:t>
      </w:r>
      <w:r w:rsidR="006F67A8">
        <w:t>C</w:t>
      </w:r>
      <w:r w:rsidR="00890F7D">
        <w:t xml:space="preserve">ourt </w:t>
      </w:r>
      <w:r w:rsidR="00C81C52" w:rsidRPr="00C81C52">
        <w:t>dismissed an appeal against the</w:t>
      </w:r>
      <w:r w:rsidR="00CA59FC">
        <w:t xml:space="preserve"> conviction</w:t>
      </w:r>
      <w:r w:rsidR="00C81C52" w:rsidRPr="00C81C52">
        <w:t xml:space="preserve"> of</w:t>
      </w:r>
      <w:r w:rsidR="00CA59FC">
        <w:t xml:space="preserve"> the applicants, Mr Shane Jacobs, Mr Frank Anthony and Mr Sulaiman Ferris, by</w:t>
      </w:r>
      <w:r w:rsidR="00C81C52" w:rsidRPr="00C81C52">
        <w:t xml:space="preserve"> the High Court of South Africa, North West Division, Mafikeng (High Court)</w:t>
      </w:r>
      <w:r w:rsidR="00CA59FC">
        <w:t xml:space="preserve"> for the murder of Mr Patrick Abakwe Modikanele (the deceased).</w:t>
      </w:r>
    </w:p>
    <w:p w:rsidR="00F77A10" w:rsidRDefault="00F77A10" w:rsidP="00DE5133"/>
    <w:p w:rsidR="005034DD" w:rsidRPr="0007028D" w:rsidRDefault="00AB6D80" w:rsidP="00DE5133">
      <w:r>
        <w:t>On 19 Decemb</w:t>
      </w:r>
      <w:r w:rsidR="008651CB">
        <w:t>er 2010</w:t>
      </w:r>
      <w:r w:rsidR="006F67A8">
        <w:t xml:space="preserve"> the deceased</w:t>
      </w:r>
      <w:r>
        <w:t xml:space="preserve"> </w:t>
      </w:r>
      <w:r w:rsidR="006F67A8">
        <w:t xml:space="preserve">was accused </w:t>
      </w:r>
      <w:r>
        <w:t xml:space="preserve">of </w:t>
      </w:r>
      <w:r w:rsidR="00CB182E">
        <w:t>stealing</w:t>
      </w:r>
      <w:r w:rsidRPr="00CB182E">
        <w:t xml:space="preserve"> </w:t>
      </w:r>
      <w:r w:rsidR="00953A07" w:rsidRPr="00F96A85">
        <w:t>the</w:t>
      </w:r>
      <w:r w:rsidR="00953A07">
        <w:t xml:space="preserve"> cell phone of </w:t>
      </w:r>
      <w:r w:rsidR="006F67A8">
        <w:t xml:space="preserve">the </w:t>
      </w:r>
      <w:r>
        <w:t>second applicant’s daughter</w:t>
      </w:r>
      <w:r w:rsidR="00ED7BA5">
        <w:t>.</w:t>
      </w:r>
      <w:r w:rsidR="008651CB">
        <w:t xml:space="preserve"> </w:t>
      </w:r>
      <w:r w:rsidR="00CA59FC">
        <w:t xml:space="preserve"> He </w:t>
      </w:r>
      <w:r w:rsidR="008651CB">
        <w:t xml:space="preserve">was </w:t>
      </w:r>
      <w:r w:rsidR="006F67A8">
        <w:t xml:space="preserve">then </w:t>
      </w:r>
      <w:r w:rsidR="008651CB">
        <w:t xml:space="preserve">assaulted </w:t>
      </w:r>
      <w:r w:rsidR="001B412C">
        <w:t>by community members</w:t>
      </w:r>
      <w:r>
        <w:t xml:space="preserve"> for the alleged theft</w:t>
      </w:r>
      <w:r w:rsidR="006F67A8">
        <w:t>.</w:t>
      </w:r>
      <w:r w:rsidR="008651CB">
        <w:t xml:space="preserve"> </w:t>
      </w:r>
      <w:r w:rsidR="006F67A8">
        <w:t xml:space="preserve"> T</w:t>
      </w:r>
      <w:r w:rsidR="008651CB">
        <w:t xml:space="preserve">his assault </w:t>
      </w:r>
      <w:r w:rsidR="00D35E7E">
        <w:t>started</w:t>
      </w:r>
      <w:r w:rsidR="008651CB">
        <w:t xml:space="preserve"> at a local shop </w:t>
      </w:r>
      <w:r w:rsidR="00CA59FC">
        <w:t>called</w:t>
      </w:r>
      <w:r w:rsidR="008651CB">
        <w:t xml:space="preserve"> Busy Corner</w:t>
      </w:r>
      <w:r>
        <w:t xml:space="preserve">.  The assault </w:t>
      </w:r>
      <w:r w:rsidR="008651CB">
        <w:t xml:space="preserve">at Busy Corner was classified by the High Court as </w:t>
      </w:r>
      <w:r>
        <w:t>stage one</w:t>
      </w:r>
      <w:r w:rsidR="00BB3E82">
        <w:t xml:space="preserve"> of the </w:t>
      </w:r>
      <w:r w:rsidR="00953A07">
        <w:t>attack</w:t>
      </w:r>
      <w:r>
        <w:t>.  Therea</w:t>
      </w:r>
      <w:r w:rsidR="00791995">
        <w:t xml:space="preserve">fter, the assailants marched </w:t>
      </w:r>
      <w:r w:rsidR="00D35E7E">
        <w:t>the deceased</w:t>
      </w:r>
      <w:r>
        <w:t xml:space="preserve"> to the second applicant’s home where he</w:t>
      </w:r>
      <w:r w:rsidR="00D35E7E">
        <w:t xml:space="preserve"> </w:t>
      </w:r>
      <w:r>
        <w:t xml:space="preserve">was </w:t>
      </w:r>
      <w:r w:rsidR="00890F7D">
        <w:t xml:space="preserve">assaulted </w:t>
      </w:r>
      <w:r>
        <w:t>by the th</w:t>
      </w:r>
      <w:r w:rsidR="001B412C">
        <w:t>ree applicants</w:t>
      </w:r>
      <w:r>
        <w:t>.  The events at the second applicant’s home were classified as stage two of the attack.</w:t>
      </w:r>
      <w:r w:rsidR="00BB3E82">
        <w:t xml:space="preserve">  </w:t>
      </w:r>
      <w:r w:rsidR="00D35E7E">
        <w:t>The deceased</w:t>
      </w:r>
      <w:r w:rsidR="005034DD">
        <w:t xml:space="preserve"> was rushed to hospital where he later died</w:t>
      </w:r>
      <w:r w:rsidR="00D35E7E">
        <w:t xml:space="preserve"> as a result of a head injury sustained during the assault</w:t>
      </w:r>
      <w:r w:rsidR="005034DD">
        <w:t>.</w:t>
      </w:r>
    </w:p>
    <w:p w:rsidR="00B4658E" w:rsidRDefault="00B4658E" w:rsidP="00B4658E"/>
    <w:p w:rsidR="00117D6B" w:rsidRPr="0007028D" w:rsidRDefault="00BB3E82" w:rsidP="009E7D9D">
      <w:r>
        <w:t xml:space="preserve">The applicants were charged with the murder of </w:t>
      </w:r>
      <w:r w:rsidR="00D35E7E">
        <w:t>the deceased</w:t>
      </w:r>
      <w:r>
        <w:t xml:space="preserve"> in the High Court.  They all pleaded</w:t>
      </w:r>
      <w:r w:rsidR="00C81C52">
        <w:t xml:space="preserve"> not guilty to the charge.  The High</w:t>
      </w:r>
      <w:r w:rsidR="005034DD">
        <w:t xml:space="preserve"> Court found the applicants guilty of murder </w:t>
      </w:r>
      <w:r w:rsidR="00D35E7E">
        <w:t>on the grounds of the common purpose doctrine</w:t>
      </w:r>
      <w:r w:rsidR="005034DD">
        <w:t xml:space="preserve">.  </w:t>
      </w:r>
      <w:r w:rsidR="00750FD8">
        <w:t>The High Court sentence</w:t>
      </w:r>
      <w:r w:rsidR="00E77908">
        <w:t>d</w:t>
      </w:r>
      <w:r w:rsidR="00750FD8">
        <w:t xml:space="preserve"> the first applicant to 18 years imprisonment and the second and third applicant</w:t>
      </w:r>
      <w:r w:rsidR="00606A1B">
        <w:t>s</w:t>
      </w:r>
      <w:r w:rsidR="00750FD8">
        <w:t xml:space="preserve"> to 15 years</w:t>
      </w:r>
      <w:r w:rsidR="00606A1B">
        <w:t xml:space="preserve"> each</w:t>
      </w:r>
      <w:r w:rsidR="00750FD8">
        <w:t>.  The Full Court granted them leave</w:t>
      </w:r>
      <w:r w:rsidR="00791995">
        <w:t xml:space="preserve"> to appeal</w:t>
      </w:r>
      <w:r w:rsidR="00750FD8">
        <w:t xml:space="preserve"> against conviction but </w:t>
      </w:r>
      <w:r w:rsidR="00890F7D">
        <w:t>not</w:t>
      </w:r>
      <w:r w:rsidR="00E77908">
        <w:t xml:space="preserve"> </w:t>
      </w:r>
      <w:r w:rsidR="00750FD8">
        <w:t xml:space="preserve">against sentence.  </w:t>
      </w:r>
      <w:r w:rsidR="008D765D">
        <w:t xml:space="preserve">The Full Court </w:t>
      </w:r>
      <w:r w:rsidR="00C12128">
        <w:t>found that the assaults</w:t>
      </w:r>
      <w:r w:rsidR="00D35E7E">
        <w:t xml:space="preserve"> at the two location</w:t>
      </w:r>
      <w:r w:rsidR="006E3AD1">
        <w:t>s</w:t>
      </w:r>
      <w:r w:rsidR="00C12128">
        <w:t xml:space="preserve"> </w:t>
      </w:r>
      <w:r w:rsidR="00E77908">
        <w:t>wer</w:t>
      </w:r>
      <w:r w:rsidR="008D765D">
        <w:t>e part of one continuous act</w:t>
      </w:r>
      <w:r w:rsidR="006E3AD1">
        <w:t xml:space="preserve">, </w:t>
      </w:r>
      <w:r w:rsidR="00C12128">
        <w:t xml:space="preserve">that the applicants </w:t>
      </w:r>
      <w:r w:rsidR="00890F7D">
        <w:t xml:space="preserve">had </w:t>
      </w:r>
      <w:r w:rsidR="00C12128">
        <w:t xml:space="preserve">acted </w:t>
      </w:r>
      <w:r w:rsidR="00890F7D">
        <w:t>with a</w:t>
      </w:r>
      <w:r w:rsidR="00C12128">
        <w:t xml:space="preserve"> common intention to injure the deceased </w:t>
      </w:r>
      <w:r w:rsidR="00D35E7E">
        <w:t xml:space="preserve">gravely </w:t>
      </w:r>
      <w:r w:rsidR="00C12128">
        <w:t xml:space="preserve">and </w:t>
      </w:r>
      <w:r w:rsidR="006E3AD1">
        <w:t xml:space="preserve">that they </w:t>
      </w:r>
      <w:r w:rsidR="00C12128">
        <w:t>mus</w:t>
      </w:r>
      <w:r w:rsidR="00ED7BA5">
        <w:t>t have foreseen the possibility</w:t>
      </w:r>
      <w:r w:rsidR="00606A1B">
        <w:t xml:space="preserve"> of </w:t>
      </w:r>
      <w:r w:rsidR="006E3AD1">
        <w:t>his death</w:t>
      </w:r>
      <w:r w:rsidR="00C12128">
        <w:t xml:space="preserve"> </w:t>
      </w:r>
      <w:r w:rsidR="00D35E7E">
        <w:t xml:space="preserve">when they </w:t>
      </w:r>
      <w:r w:rsidR="00606A1B">
        <w:t xml:space="preserve">each </w:t>
      </w:r>
      <w:r w:rsidR="00D35E7E">
        <w:t>participated in the assault</w:t>
      </w:r>
      <w:r w:rsidR="00E77908">
        <w:t xml:space="preserve">.  </w:t>
      </w:r>
      <w:r w:rsidR="00890F7D">
        <w:t>T</w:t>
      </w:r>
      <w:r w:rsidR="00CB182E">
        <w:t>he Full </w:t>
      </w:r>
      <w:r w:rsidR="001C2631">
        <w:t>Court dismissed the appeal against the conviction</w:t>
      </w:r>
      <w:r w:rsidR="00890F7D">
        <w:t xml:space="preserve"> and</w:t>
      </w:r>
      <w:r w:rsidR="00E77908">
        <w:t xml:space="preserve"> the Supreme Court </w:t>
      </w:r>
      <w:r w:rsidR="006E3AD1">
        <w:t xml:space="preserve">of </w:t>
      </w:r>
      <w:r w:rsidR="00E77908">
        <w:t>Appeal</w:t>
      </w:r>
      <w:r w:rsidR="00890F7D">
        <w:t xml:space="preserve"> refused leave to appeal.</w:t>
      </w:r>
    </w:p>
    <w:p w:rsidR="00752C8F" w:rsidRDefault="00752C8F" w:rsidP="006474CE"/>
    <w:p w:rsidR="00023FA7" w:rsidRDefault="007D6C1A" w:rsidP="006474CE">
      <w:r>
        <w:t>Before</w:t>
      </w:r>
      <w:r w:rsidR="00890F7D">
        <w:t xml:space="preserve"> th</w:t>
      </w:r>
      <w:r>
        <w:t>e Constitutional</w:t>
      </w:r>
      <w:r w:rsidR="00D3343D">
        <w:t xml:space="preserve"> Court the applicants </w:t>
      </w:r>
      <w:r>
        <w:t>argue</w:t>
      </w:r>
      <w:r w:rsidR="00127D72">
        <w:t>d</w:t>
      </w:r>
      <w:r>
        <w:t xml:space="preserve"> </w:t>
      </w:r>
      <w:r w:rsidR="00D3343D">
        <w:t xml:space="preserve">that the </w:t>
      </w:r>
      <w:r w:rsidR="00791995">
        <w:t>doctrine</w:t>
      </w:r>
      <w:r w:rsidR="00D3343D">
        <w:t xml:space="preserve"> of common purpose was incorrectly applied by the Full Court</w:t>
      </w:r>
      <w:r>
        <w:t xml:space="preserve"> which</w:t>
      </w:r>
      <w:r w:rsidR="00D3343D">
        <w:t xml:space="preserve"> </w:t>
      </w:r>
      <w:r w:rsidR="009D77A7">
        <w:t>failed</w:t>
      </w:r>
      <w:r w:rsidR="00D3343D">
        <w:t xml:space="preserve"> </w:t>
      </w:r>
      <w:r w:rsidR="009D77A7">
        <w:t>to</w:t>
      </w:r>
      <w:r w:rsidR="00D3343D">
        <w:t xml:space="preserve"> consider the fact that </w:t>
      </w:r>
      <w:r w:rsidR="009D77A7">
        <w:t>n</w:t>
      </w:r>
      <w:r w:rsidR="00D3343D">
        <w:t xml:space="preserve">one of the applicants were present or took part in </w:t>
      </w:r>
      <w:r>
        <w:t xml:space="preserve">stage one of </w:t>
      </w:r>
      <w:r w:rsidR="00D3343D">
        <w:t xml:space="preserve">the assault.  </w:t>
      </w:r>
      <w:r w:rsidR="00890F7D">
        <w:t>T</w:t>
      </w:r>
      <w:r w:rsidR="00564F7E">
        <w:t>he applicants submit</w:t>
      </w:r>
      <w:r w:rsidR="00C81C52">
        <w:t xml:space="preserve">ted </w:t>
      </w:r>
      <w:r w:rsidR="00564F7E">
        <w:t xml:space="preserve">that due to the misapplication of the </w:t>
      </w:r>
      <w:r>
        <w:t xml:space="preserve">common purpose </w:t>
      </w:r>
      <w:r w:rsidR="00791995">
        <w:t>doctrine</w:t>
      </w:r>
      <w:r w:rsidR="00564F7E">
        <w:t>, their right</w:t>
      </w:r>
      <w:r>
        <w:t>s</w:t>
      </w:r>
      <w:r w:rsidR="00564F7E">
        <w:t xml:space="preserve"> to freedom </w:t>
      </w:r>
      <w:r>
        <w:t xml:space="preserve">under </w:t>
      </w:r>
      <w:r w:rsidR="00564F7E">
        <w:t>section 12</w:t>
      </w:r>
      <w:r w:rsidR="00CB182E">
        <w:t xml:space="preserve"> of the Constitution </w:t>
      </w:r>
      <w:r>
        <w:t>and to a fair trial under section 35 of the Constitution have been infringed</w:t>
      </w:r>
      <w:r w:rsidR="00CB182E">
        <w:t>.</w:t>
      </w:r>
    </w:p>
    <w:p w:rsidR="00564F7E" w:rsidRDefault="00564F7E" w:rsidP="006474CE"/>
    <w:p w:rsidR="00742650" w:rsidRPr="008D765D" w:rsidRDefault="00953A07" w:rsidP="00742650">
      <w:pPr>
        <w:rPr>
          <w:lang w:val="en-US"/>
        </w:rPr>
      </w:pPr>
      <w:r w:rsidRPr="008D765D">
        <w:t xml:space="preserve">In a split decision </w:t>
      </w:r>
      <w:r>
        <w:t xml:space="preserve">by the Court, the </w:t>
      </w:r>
      <w:r w:rsidR="008D765D">
        <w:t xml:space="preserve">first </w:t>
      </w:r>
      <w:r>
        <w:t>judgment penned by Goliath AJ</w:t>
      </w:r>
      <w:r w:rsidR="00890F7D">
        <w:t>,</w:t>
      </w:r>
      <w:r>
        <w:t xml:space="preserve"> </w:t>
      </w:r>
      <w:r w:rsidR="008D765D">
        <w:t xml:space="preserve">with Cachalia AJ, Froneman J, Khampepe J and Madlanga J concurring, </w:t>
      </w:r>
      <w:r w:rsidR="00A13025">
        <w:t xml:space="preserve">held </w:t>
      </w:r>
      <w:r w:rsidR="00742650">
        <w:t>that the applicants</w:t>
      </w:r>
      <w:r w:rsidR="00742650" w:rsidRPr="00742650">
        <w:t xml:space="preserve"> </w:t>
      </w:r>
      <w:r w:rsidR="00890F7D">
        <w:t xml:space="preserve">had </w:t>
      </w:r>
      <w:r w:rsidR="00742650" w:rsidRPr="00742650">
        <w:t>failed to identify a constitutional issue</w:t>
      </w:r>
      <w:r w:rsidR="00127D72">
        <w:t xml:space="preserve"> or</w:t>
      </w:r>
      <w:r w:rsidR="00742650" w:rsidRPr="00742650">
        <w:t xml:space="preserve"> </w:t>
      </w:r>
      <w:r w:rsidR="00127D72" w:rsidRPr="00742650">
        <w:t>a point of law of general public importance which th</w:t>
      </w:r>
      <w:r w:rsidR="00606A1B">
        <w:t>e</w:t>
      </w:r>
      <w:r w:rsidR="00127D72" w:rsidRPr="00742650">
        <w:t xml:space="preserve"> </w:t>
      </w:r>
      <w:r w:rsidR="00127D72">
        <w:t>Court ought to consider</w:t>
      </w:r>
      <w:r w:rsidR="00742650" w:rsidRPr="00742650">
        <w:t xml:space="preserve">.  </w:t>
      </w:r>
      <w:r w:rsidR="004E2438">
        <w:t>The first judgment,</w:t>
      </w:r>
      <w:r w:rsidR="00127D72">
        <w:t xml:space="preserve"> therefore</w:t>
      </w:r>
      <w:r w:rsidR="004E2438">
        <w:t>, held that</w:t>
      </w:r>
      <w:r w:rsidR="00577976">
        <w:t xml:space="preserve"> </w:t>
      </w:r>
      <w:r w:rsidR="00742650">
        <w:t>the application for leave to appeal</w:t>
      </w:r>
      <w:r w:rsidR="004E2438">
        <w:t xml:space="preserve"> fell to be dismissed</w:t>
      </w:r>
      <w:r w:rsidR="00577976">
        <w:t xml:space="preserve"> on the basis that th</w:t>
      </w:r>
      <w:r w:rsidR="004E2438">
        <w:t>e</w:t>
      </w:r>
      <w:r w:rsidR="00577976">
        <w:t xml:space="preserve"> Court did not have jurisdiction to entertain the matter.</w:t>
      </w:r>
    </w:p>
    <w:p w:rsidR="00742650" w:rsidRDefault="00742650" w:rsidP="006474CE"/>
    <w:p w:rsidR="00AE3E6D" w:rsidRDefault="00127D72" w:rsidP="006474CE">
      <w:r>
        <w:t xml:space="preserve">In a </w:t>
      </w:r>
      <w:r w:rsidR="004E2438">
        <w:t>second judgment</w:t>
      </w:r>
      <w:r>
        <w:t xml:space="preserve"> written by </w:t>
      </w:r>
      <w:r w:rsidR="00AE3E6D">
        <w:t>Theron J</w:t>
      </w:r>
      <w:r>
        <w:t>,</w:t>
      </w:r>
      <w:r w:rsidR="00AE3E6D">
        <w:t xml:space="preserve"> in which Zondo DCJ, Dlodlo AJ, Jafta J and Petse AJ concurred</w:t>
      </w:r>
      <w:r>
        <w:t xml:space="preserve">, </w:t>
      </w:r>
      <w:r w:rsidR="00AE3E6D">
        <w:t xml:space="preserve">Theron </w:t>
      </w:r>
      <w:r>
        <w:t xml:space="preserve">J held </w:t>
      </w:r>
      <w:r w:rsidR="00AE3E6D">
        <w:t xml:space="preserve">that this Court has jurisdiction as the matter raises a constitutional issue.  </w:t>
      </w:r>
      <w:r w:rsidR="00577976">
        <w:t xml:space="preserve">In respect of </w:t>
      </w:r>
      <w:r w:rsidR="00AE3E6D">
        <w:t xml:space="preserve">the merits, Theron </w:t>
      </w:r>
      <w:r w:rsidR="00710926">
        <w:t xml:space="preserve">J </w:t>
      </w:r>
      <w:r w:rsidR="00AE3E6D">
        <w:t xml:space="preserve">held that </w:t>
      </w:r>
      <w:r w:rsidR="00710926">
        <w:t>because the High Court did not find that the applicants had been present at the scene of the crime when the fatal blow was struck</w:t>
      </w:r>
      <w:r w:rsidR="004E2438">
        <w:t>,</w:t>
      </w:r>
      <w:r w:rsidR="00710926">
        <w:t xml:space="preserve"> </w:t>
      </w:r>
      <w:r w:rsidR="00AE3E6D">
        <w:t xml:space="preserve">the High Court </w:t>
      </w:r>
      <w:r w:rsidR="00710926">
        <w:t>had misapplied</w:t>
      </w:r>
      <w:r w:rsidR="00AE3E6D">
        <w:t xml:space="preserve"> the </w:t>
      </w:r>
      <w:r w:rsidR="00577976">
        <w:t>doctrine</w:t>
      </w:r>
      <w:r w:rsidR="00AE3E6D">
        <w:t xml:space="preserve"> of common purpose.  The appeal would have thus succeeded on this ground.  </w:t>
      </w:r>
      <w:r w:rsidR="00577976">
        <w:t xml:space="preserve">Justice Theron would have altered the conviction of murder to one of </w:t>
      </w:r>
      <w:r w:rsidR="00F958E6">
        <w:t>grievous</w:t>
      </w:r>
      <w:r w:rsidR="00577976">
        <w:t xml:space="preserve"> bodily harm and remitted the matter to the High Court to determine an appropriate sentence.</w:t>
      </w:r>
    </w:p>
    <w:p w:rsidR="00AE3E6D" w:rsidRDefault="00AE3E6D" w:rsidP="00AE3E6D"/>
    <w:p w:rsidR="00AE3E6D" w:rsidRDefault="00820F26" w:rsidP="00AE3E6D">
      <w:r>
        <w:t>A</w:t>
      </w:r>
      <w:r w:rsidR="00AE3E6D">
        <w:t xml:space="preserve"> third judgment penned by Froneman J, Cachalia AJ and Madlanga J</w:t>
      </w:r>
      <w:r w:rsidR="00BF50A2">
        <w:t xml:space="preserve"> concurring</w:t>
      </w:r>
      <w:r w:rsidR="00AE3E6D">
        <w:t xml:space="preserve">, concurred in the first judgment’s conclusion that the Constitutional Court’s jurisdiction </w:t>
      </w:r>
      <w:r>
        <w:t>wa</w:t>
      </w:r>
      <w:r w:rsidR="00AE3E6D">
        <w:t xml:space="preserve">s not engaged.  Relying on previous cases of the Constitutional Court Froneman J </w:t>
      </w:r>
      <w:r w:rsidR="0030006F">
        <w:t>held</w:t>
      </w:r>
      <w:r w:rsidR="00AE3E6D">
        <w:t xml:space="preserve"> that there </w:t>
      </w:r>
      <w:r w:rsidR="0030006F">
        <w:t>we</w:t>
      </w:r>
      <w:r w:rsidR="00552DAC">
        <w:t>re</w:t>
      </w:r>
      <w:r w:rsidR="00AE3E6D">
        <w:t xml:space="preserve"> no compelling reasons in the present case to justify a deviation from the established principle that the mere misapplication of an accepted common law rule by a High Court or the Supreme Court of Appeal does not ordinarily rais</w:t>
      </w:r>
      <w:r w:rsidR="00783F00">
        <w:t xml:space="preserve">e a constitutional </w:t>
      </w:r>
      <w:r w:rsidR="00BF50A2">
        <w:t>issue</w:t>
      </w:r>
      <w:r w:rsidR="00783F00">
        <w:t>.</w:t>
      </w:r>
      <w:r w:rsidR="00AE3E6D">
        <w:t xml:space="preserve">  Froneman J </w:t>
      </w:r>
      <w:r w:rsidR="0030006F">
        <w:t>held</w:t>
      </w:r>
      <w:r w:rsidR="00AE3E6D">
        <w:t xml:space="preserve"> that the present case revolves around facts, not legal or constitutional issues</w:t>
      </w:r>
      <w:r w:rsidR="0030006F">
        <w:t>.  A</w:t>
      </w:r>
      <w:r w:rsidR="00BF50A2">
        <w:t>ccordingly</w:t>
      </w:r>
      <w:r w:rsidR="0030006F">
        <w:t>, he</w:t>
      </w:r>
      <w:r w:rsidR="00AE3E6D">
        <w:t xml:space="preserve"> concurred in the first judgment that leave to </w:t>
      </w:r>
      <w:r w:rsidR="00552DAC">
        <w:t>appeal not be granted.</w:t>
      </w:r>
    </w:p>
    <w:p w:rsidR="00552DAC" w:rsidRDefault="00552DAC" w:rsidP="00AE3E6D"/>
    <w:p w:rsidR="00552DAC" w:rsidRDefault="006407C1" w:rsidP="00AE3E6D">
      <w:bookmarkStart w:id="0" w:name="_Hlk522053333"/>
      <w:r>
        <w:t>In a fourth judgment Zondo DCJ concurred in the second judgment but wrote separately on whether the Constitutional Court had jurisdiction to deal with this matter.  Zondo DCJ took the view that this matter is about the proper application of the doctrine of common purpose.  He further pointed out that th</w:t>
      </w:r>
      <w:r w:rsidR="0030006F">
        <w:t>is</w:t>
      </w:r>
      <w:r>
        <w:t xml:space="preserve"> doctrine is based on public policy which represents the legal convictions of the community.  He referred to the jurisprudence of the Constitutional Court to the effect that public policy is now represented by the values contained in our Constitution.  In the light of the fact that the doctrine of common purpose is based on public policy which is represented by our constitutional values, Zondo DCJ held that the proper application of the doctrine is a constitutional matter.  He</w:t>
      </w:r>
      <w:r w:rsidR="00BF50A2">
        <w:t xml:space="preserve"> </w:t>
      </w:r>
      <w:r>
        <w:t xml:space="preserve">concluded that the Constitutional Court </w:t>
      </w:r>
      <w:r w:rsidR="00BF50A2">
        <w:t xml:space="preserve">therefore </w:t>
      </w:r>
      <w:r>
        <w:t>had jurisdiction.</w:t>
      </w:r>
      <w:bookmarkEnd w:id="0"/>
    </w:p>
    <w:p w:rsidR="006407C1" w:rsidRDefault="006407C1" w:rsidP="00AE3E6D"/>
    <w:p w:rsidR="00552DAC" w:rsidRPr="00AE3E6D" w:rsidRDefault="00BF50A2" w:rsidP="00552DAC">
      <w:r>
        <w:t>In the result</w:t>
      </w:r>
      <w:r w:rsidR="00135860">
        <w:t>,</w:t>
      </w:r>
      <w:r w:rsidR="00552DAC">
        <w:t xml:space="preserve"> five members of the Court held that</w:t>
      </w:r>
      <w:r w:rsidR="0030006F">
        <w:t xml:space="preserve"> leave to appeal should not be granted</w:t>
      </w:r>
      <w:r w:rsidR="0030006F" w:rsidRPr="00EE4673">
        <w:t xml:space="preserve"> </w:t>
      </w:r>
      <w:r w:rsidR="0030006F">
        <w:t xml:space="preserve">as set out in the judgment </w:t>
      </w:r>
      <w:r w:rsidR="00135860">
        <w:t>of</w:t>
      </w:r>
      <w:r w:rsidR="0030006F">
        <w:t xml:space="preserve"> Goliath AJ and five members held that</w:t>
      </w:r>
      <w:r w:rsidR="00552DAC">
        <w:t xml:space="preserve"> leave to appeal should be granted and the appeal must succeed to the extent set out in the judgment by Theron J</w:t>
      </w:r>
      <w:r w:rsidR="00EE4673">
        <w:t>.</w:t>
      </w:r>
      <w:r w:rsidR="00552DAC">
        <w:t xml:space="preserve">  There is thus no majority decision of this Court</w:t>
      </w:r>
      <w:r w:rsidR="00135860">
        <w:t xml:space="preserve">.  Thus </w:t>
      </w:r>
      <w:r w:rsidR="00552DAC">
        <w:t>the judgment and order of the Full Court stands.</w:t>
      </w:r>
    </w:p>
    <w:sectPr w:rsidR="00552DAC" w:rsidRPr="00AE3E6D" w:rsidSect="00FF2ED7">
      <w:pgSz w:w="12240" w:h="15840"/>
      <w:pgMar w:top="1440" w:right="1797" w:bottom="1440" w:left="1797"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057E" w:rsidRDefault="00E4057E" w:rsidP="00781D25">
      <w:r>
        <w:separator/>
      </w:r>
    </w:p>
  </w:endnote>
  <w:endnote w:type="continuationSeparator" w:id="0">
    <w:p w:rsidR="00E4057E" w:rsidRDefault="00E4057E" w:rsidP="00781D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057E" w:rsidRDefault="00E4057E" w:rsidP="00781D25">
      <w:r>
        <w:separator/>
      </w:r>
    </w:p>
  </w:footnote>
  <w:footnote w:type="continuationSeparator" w:id="0">
    <w:p w:rsidR="00E4057E" w:rsidRDefault="00E4057E" w:rsidP="00781D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5772"/>
    <w:rsid w:val="00017302"/>
    <w:rsid w:val="00023FA7"/>
    <w:rsid w:val="0002520D"/>
    <w:rsid w:val="00030FCB"/>
    <w:rsid w:val="00031AEF"/>
    <w:rsid w:val="0003383F"/>
    <w:rsid w:val="00044771"/>
    <w:rsid w:val="0005283E"/>
    <w:rsid w:val="000548D7"/>
    <w:rsid w:val="00055B29"/>
    <w:rsid w:val="000654B1"/>
    <w:rsid w:val="00066E38"/>
    <w:rsid w:val="0007028D"/>
    <w:rsid w:val="00070E99"/>
    <w:rsid w:val="000806AE"/>
    <w:rsid w:val="00091F8C"/>
    <w:rsid w:val="00093E39"/>
    <w:rsid w:val="00094E7C"/>
    <w:rsid w:val="000A36D1"/>
    <w:rsid w:val="000A36F3"/>
    <w:rsid w:val="000C6ECA"/>
    <w:rsid w:val="000D09EA"/>
    <w:rsid w:val="000D35AE"/>
    <w:rsid w:val="00100894"/>
    <w:rsid w:val="00101A9E"/>
    <w:rsid w:val="00113454"/>
    <w:rsid w:val="00117D6B"/>
    <w:rsid w:val="00122E3D"/>
    <w:rsid w:val="00125BE8"/>
    <w:rsid w:val="00127D72"/>
    <w:rsid w:val="00135860"/>
    <w:rsid w:val="00140EB1"/>
    <w:rsid w:val="0015307D"/>
    <w:rsid w:val="00172A2C"/>
    <w:rsid w:val="001A24C8"/>
    <w:rsid w:val="001B412C"/>
    <w:rsid w:val="001C2631"/>
    <w:rsid w:val="001E31D8"/>
    <w:rsid w:val="001E57F4"/>
    <w:rsid w:val="001E5F5A"/>
    <w:rsid w:val="001E7604"/>
    <w:rsid w:val="00200AB8"/>
    <w:rsid w:val="00215823"/>
    <w:rsid w:val="002348C0"/>
    <w:rsid w:val="002435AB"/>
    <w:rsid w:val="00250C27"/>
    <w:rsid w:val="00253986"/>
    <w:rsid w:val="00256C3D"/>
    <w:rsid w:val="002705A8"/>
    <w:rsid w:val="0027251B"/>
    <w:rsid w:val="002D184B"/>
    <w:rsid w:val="002D7582"/>
    <w:rsid w:val="0030006F"/>
    <w:rsid w:val="00305423"/>
    <w:rsid w:val="0031792A"/>
    <w:rsid w:val="00323149"/>
    <w:rsid w:val="003255EA"/>
    <w:rsid w:val="0032682A"/>
    <w:rsid w:val="00334E0F"/>
    <w:rsid w:val="00357788"/>
    <w:rsid w:val="0037720A"/>
    <w:rsid w:val="003807A5"/>
    <w:rsid w:val="003845A8"/>
    <w:rsid w:val="003850ED"/>
    <w:rsid w:val="00386254"/>
    <w:rsid w:val="003B4484"/>
    <w:rsid w:val="003C40ED"/>
    <w:rsid w:val="003D1CF1"/>
    <w:rsid w:val="003D3951"/>
    <w:rsid w:val="003F0347"/>
    <w:rsid w:val="003F1959"/>
    <w:rsid w:val="003F3E2F"/>
    <w:rsid w:val="004036FB"/>
    <w:rsid w:val="004065B7"/>
    <w:rsid w:val="00410075"/>
    <w:rsid w:val="004302FD"/>
    <w:rsid w:val="00430C6F"/>
    <w:rsid w:val="004426F8"/>
    <w:rsid w:val="004503C6"/>
    <w:rsid w:val="00490F2C"/>
    <w:rsid w:val="00491601"/>
    <w:rsid w:val="004A1AEE"/>
    <w:rsid w:val="004C5AD8"/>
    <w:rsid w:val="004C7EF7"/>
    <w:rsid w:val="004D716D"/>
    <w:rsid w:val="004E2438"/>
    <w:rsid w:val="005034DD"/>
    <w:rsid w:val="005038A1"/>
    <w:rsid w:val="00524F3A"/>
    <w:rsid w:val="005257B9"/>
    <w:rsid w:val="00526226"/>
    <w:rsid w:val="005307A5"/>
    <w:rsid w:val="0053527E"/>
    <w:rsid w:val="00552DAC"/>
    <w:rsid w:val="00564F7E"/>
    <w:rsid w:val="00573AEA"/>
    <w:rsid w:val="00577976"/>
    <w:rsid w:val="00587A53"/>
    <w:rsid w:val="00594B56"/>
    <w:rsid w:val="005956C2"/>
    <w:rsid w:val="005B2F2F"/>
    <w:rsid w:val="005B51EB"/>
    <w:rsid w:val="005C0D41"/>
    <w:rsid w:val="005E52AC"/>
    <w:rsid w:val="005E557D"/>
    <w:rsid w:val="005F322E"/>
    <w:rsid w:val="00606A1B"/>
    <w:rsid w:val="00606CD7"/>
    <w:rsid w:val="00616848"/>
    <w:rsid w:val="00624FFE"/>
    <w:rsid w:val="00630AA9"/>
    <w:rsid w:val="006407C1"/>
    <w:rsid w:val="00642528"/>
    <w:rsid w:val="006474CE"/>
    <w:rsid w:val="006524D4"/>
    <w:rsid w:val="006543E3"/>
    <w:rsid w:val="006735C9"/>
    <w:rsid w:val="00674452"/>
    <w:rsid w:val="006749D6"/>
    <w:rsid w:val="00676CFE"/>
    <w:rsid w:val="00685C91"/>
    <w:rsid w:val="006879F3"/>
    <w:rsid w:val="00694175"/>
    <w:rsid w:val="006966FC"/>
    <w:rsid w:val="006D45D0"/>
    <w:rsid w:val="006E3AD1"/>
    <w:rsid w:val="006E4406"/>
    <w:rsid w:val="006E6A2F"/>
    <w:rsid w:val="006F67A8"/>
    <w:rsid w:val="007106E2"/>
    <w:rsid w:val="00710926"/>
    <w:rsid w:val="00712458"/>
    <w:rsid w:val="00716FAA"/>
    <w:rsid w:val="00720ACA"/>
    <w:rsid w:val="007328EC"/>
    <w:rsid w:val="00734D30"/>
    <w:rsid w:val="00742650"/>
    <w:rsid w:val="00750F83"/>
    <w:rsid w:val="00750FD8"/>
    <w:rsid w:val="00752C8F"/>
    <w:rsid w:val="00762738"/>
    <w:rsid w:val="007659FF"/>
    <w:rsid w:val="007746CE"/>
    <w:rsid w:val="00775169"/>
    <w:rsid w:val="00780874"/>
    <w:rsid w:val="00781D25"/>
    <w:rsid w:val="00783F00"/>
    <w:rsid w:val="0078535D"/>
    <w:rsid w:val="00791995"/>
    <w:rsid w:val="007B418E"/>
    <w:rsid w:val="007C65D9"/>
    <w:rsid w:val="007D6C1A"/>
    <w:rsid w:val="007D6DF5"/>
    <w:rsid w:val="007F0EF4"/>
    <w:rsid w:val="007F3C29"/>
    <w:rsid w:val="007F7DCD"/>
    <w:rsid w:val="00801124"/>
    <w:rsid w:val="0081741F"/>
    <w:rsid w:val="00820F26"/>
    <w:rsid w:val="00823B02"/>
    <w:rsid w:val="0083215D"/>
    <w:rsid w:val="00834D25"/>
    <w:rsid w:val="008351C8"/>
    <w:rsid w:val="0086048D"/>
    <w:rsid w:val="008651CB"/>
    <w:rsid w:val="00866508"/>
    <w:rsid w:val="00867767"/>
    <w:rsid w:val="0087005B"/>
    <w:rsid w:val="00881D33"/>
    <w:rsid w:val="00882096"/>
    <w:rsid w:val="00883D6C"/>
    <w:rsid w:val="00890F7D"/>
    <w:rsid w:val="008943E7"/>
    <w:rsid w:val="008A5FDC"/>
    <w:rsid w:val="008B1777"/>
    <w:rsid w:val="008B532D"/>
    <w:rsid w:val="008C3682"/>
    <w:rsid w:val="008D24BC"/>
    <w:rsid w:val="008D3D39"/>
    <w:rsid w:val="008D765D"/>
    <w:rsid w:val="008E54C8"/>
    <w:rsid w:val="008F0D86"/>
    <w:rsid w:val="008F4B8F"/>
    <w:rsid w:val="0090690C"/>
    <w:rsid w:val="00910F26"/>
    <w:rsid w:val="00911DB9"/>
    <w:rsid w:val="00936C3D"/>
    <w:rsid w:val="00953A07"/>
    <w:rsid w:val="0096072E"/>
    <w:rsid w:val="009642D7"/>
    <w:rsid w:val="009661C1"/>
    <w:rsid w:val="009743CD"/>
    <w:rsid w:val="00992CAE"/>
    <w:rsid w:val="009A7202"/>
    <w:rsid w:val="009B7D1B"/>
    <w:rsid w:val="009C0AD0"/>
    <w:rsid w:val="009D77A7"/>
    <w:rsid w:val="009E7D9D"/>
    <w:rsid w:val="00A0140F"/>
    <w:rsid w:val="00A13025"/>
    <w:rsid w:val="00A142B7"/>
    <w:rsid w:val="00A17858"/>
    <w:rsid w:val="00A21F1F"/>
    <w:rsid w:val="00A37027"/>
    <w:rsid w:val="00A47D4A"/>
    <w:rsid w:val="00A51C04"/>
    <w:rsid w:val="00A55B9B"/>
    <w:rsid w:val="00AA17C0"/>
    <w:rsid w:val="00AA3378"/>
    <w:rsid w:val="00AA4F15"/>
    <w:rsid w:val="00AB6D80"/>
    <w:rsid w:val="00AC799A"/>
    <w:rsid w:val="00AD14A5"/>
    <w:rsid w:val="00AE3E6D"/>
    <w:rsid w:val="00AE4640"/>
    <w:rsid w:val="00AF0A36"/>
    <w:rsid w:val="00AF67D4"/>
    <w:rsid w:val="00B3177F"/>
    <w:rsid w:val="00B31B92"/>
    <w:rsid w:val="00B36F54"/>
    <w:rsid w:val="00B428BE"/>
    <w:rsid w:val="00B4658E"/>
    <w:rsid w:val="00B630F2"/>
    <w:rsid w:val="00B80F33"/>
    <w:rsid w:val="00BB3E82"/>
    <w:rsid w:val="00BE3874"/>
    <w:rsid w:val="00BE6FBD"/>
    <w:rsid w:val="00BF50A2"/>
    <w:rsid w:val="00C12128"/>
    <w:rsid w:val="00C14E9E"/>
    <w:rsid w:val="00C15790"/>
    <w:rsid w:val="00C27611"/>
    <w:rsid w:val="00C43D8A"/>
    <w:rsid w:val="00C44D82"/>
    <w:rsid w:val="00C45F8A"/>
    <w:rsid w:val="00C47F29"/>
    <w:rsid w:val="00C51AFC"/>
    <w:rsid w:val="00C536E8"/>
    <w:rsid w:val="00C55A66"/>
    <w:rsid w:val="00C616DF"/>
    <w:rsid w:val="00C70B69"/>
    <w:rsid w:val="00C81C52"/>
    <w:rsid w:val="00C85429"/>
    <w:rsid w:val="00C96321"/>
    <w:rsid w:val="00CA1D93"/>
    <w:rsid w:val="00CA21ED"/>
    <w:rsid w:val="00CA59FC"/>
    <w:rsid w:val="00CB182E"/>
    <w:rsid w:val="00CB2E3D"/>
    <w:rsid w:val="00CB4688"/>
    <w:rsid w:val="00CE51A0"/>
    <w:rsid w:val="00D00963"/>
    <w:rsid w:val="00D06A25"/>
    <w:rsid w:val="00D12501"/>
    <w:rsid w:val="00D200E8"/>
    <w:rsid w:val="00D3343D"/>
    <w:rsid w:val="00D356A3"/>
    <w:rsid w:val="00D35E7E"/>
    <w:rsid w:val="00D40819"/>
    <w:rsid w:val="00D43D03"/>
    <w:rsid w:val="00D64E65"/>
    <w:rsid w:val="00D659C5"/>
    <w:rsid w:val="00D81F8F"/>
    <w:rsid w:val="00D86239"/>
    <w:rsid w:val="00DB12FA"/>
    <w:rsid w:val="00DB1A44"/>
    <w:rsid w:val="00DD5682"/>
    <w:rsid w:val="00DE5133"/>
    <w:rsid w:val="00DE6E20"/>
    <w:rsid w:val="00DE7B41"/>
    <w:rsid w:val="00DF0CD7"/>
    <w:rsid w:val="00E07942"/>
    <w:rsid w:val="00E27310"/>
    <w:rsid w:val="00E37B51"/>
    <w:rsid w:val="00E4057E"/>
    <w:rsid w:val="00E545EA"/>
    <w:rsid w:val="00E636E4"/>
    <w:rsid w:val="00E661EE"/>
    <w:rsid w:val="00E736CB"/>
    <w:rsid w:val="00E77908"/>
    <w:rsid w:val="00E8342B"/>
    <w:rsid w:val="00E93F86"/>
    <w:rsid w:val="00EA113C"/>
    <w:rsid w:val="00EA1851"/>
    <w:rsid w:val="00EC30F9"/>
    <w:rsid w:val="00EC3DF4"/>
    <w:rsid w:val="00ED5B69"/>
    <w:rsid w:val="00ED7BA5"/>
    <w:rsid w:val="00EE10EC"/>
    <w:rsid w:val="00EE4673"/>
    <w:rsid w:val="00EE7337"/>
    <w:rsid w:val="00EE7EF0"/>
    <w:rsid w:val="00F04568"/>
    <w:rsid w:val="00F258A6"/>
    <w:rsid w:val="00F43565"/>
    <w:rsid w:val="00F43ADD"/>
    <w:rsid w:val="00F50679"/>
    <w:rsid w:val="00F5283F"/>
    <w:rsid w:val="00F70E31"/>
    <w:rsid w:val="00F74A3C"/>
    <w:rsid w:val="00F77A10"/>
    <w:rsid w:val="00F91C22"/>
    <w:rsid w:val="00F958E6"/>
    <w:rsid w:val="00F96A85"/>
    <w:rsid w:val="00FA5772"/>
    <w:rsid w:val="00FB2AFF"/>
    <w:rsid w:val="00FB43E0"/>
    <w:rsid w:val="00FC2754"/>
    <w:rsid w:val="00FD2D52"/>
    <w:rsid w:val="00FE00A5"/>
    <w:rsid w:val="00FF2ED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50D0CB8-AE3C-4A5B-AA0A-78B46158E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basedOn w:val="Normal"/>
    <w:link w:val="FootnoteTextChar"/>
    <w:semiHidden/>
    <w:unhideWhenUsed/>
    <w:rsid w:val="00781D25"/>
    <w:rPr>
      <w:sz w:val="20"/>
      <w:szCs w:val="20"/>
    </w:rPr>
  </w:style>
  <w:style w:type="character" w:customStyle="1" w:styleId="FootnoteTextChar">
    <w:name w:val="Footnote Text Char"/>
    <w:basedOn w:val="DefaultParagraphFont"/>
    <w:link w:val="FootnoteText"/>
    <w:semiHidden/>
    <w:rsid w:val="00781D25"/>
    <w:rPr>
      <w:lang w:eastAsia="en-US"/>
    </w:rPr>
  </w:style>
  <w:style w:type="character" w:styleId="FootnoteReference">
    <w:name w:val="footnote reference"/>
    <w:basedOn w:val="DefaultParagraphFont"/>
    <w:unhideWhenUsed/>
    <w:rsid w:val="00781D2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2687161">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Committees\Media%20Committee\JUDGMENT%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4BE9437-215F-403A-8F65-AEEFB3F642CD}">
  <ds:schemaRefs>
    <ds:schemaRef ds:uri="http://schemas.openxmlformats.org/officeDocument/2006/bibliography"/>
  </ds:schemaRefs>
</ds:datastoreItem>
</file>

<file path=customXml/itemProps2.xml><?xml version="1.0" encoding="utf-8"?>
<ds:datastoreItem xmlns:ds="http://schemas.openxmlformats.org/officeDocument/2006/customXml" ds:itemID="{C6E8FDFB-BEAC-417E-83BA-B5EE60D49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JUDGMENT MEDIA SUMMARY TEMPLATE</Template>
  <TotalTime>3</TotalTime>
  <Pages>1</Pages>
  <Words>903</Words>
  <Characters>5148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6039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cp:lastModifiedBy>Ariane Nevin</cp:lastModifiedBy>
  <cp:revision>3</cp:revision>
  <cp:lastPrinted>2012-11-28T14:40:00Z</cp:lastPrinted>
  <dcterms:created xsi:type="dcterms:W3CDTF">2019-02-13T15:59:00Z</dcterms:created>
  <dcterms:modified xsi:type="dcterms:W3CDTF">2019-02-13T16:00:00Z</dcterms:modified>
</cp:coreProperties>
</file>