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67E4170A" wp14:editId="3454C7CE">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9A2519" w:rsidRPr="009A2519" w:rsidRDefault="003A18CF" w:rsidP="009A2519">
      <w:pPr>
        <w:spacing w:line="360" w:lineRule="auto"/>
        <w:jc w:val="right"/>
        <w:rPr>
          <w:lang w:val="en-GB"/>
        </w:rPr>
      </w:pPr>
      <w:r w:rsidRPr="00961263">
        <w:tab/>
      </w:r>
      <w:r w:rsidR="009A2519" w:rsidRPr="009A2519">
        <w:rPr>
          <w:lang w:val="en-GB"/>
        </w:rPr>
        <w:t>CCT 177/17</w:t>
      </w:r>
    </w:p>
    <w:p w:rsidR="009A2519" w:rsidRPr="009A2519" w:rsidRDefault="009A2519" w:rsidP="009A2519">
      <w:pPr>
        <w:tabs>
          <w:tab w:val="right" w:pos="9360"/>
        </w:tabs>
        <w:spacing w:line="240" w:lineRule="auto"/>
        <w:ind w:right="284"/>
        <w:jc w:val="left"/>
        <w:rPr>
          <w:lang w:val="en-GB"/>
        </w:rPr>
      </w:pPr>
    </w:p>
    <w:p w:rsidR="009A2519" w:rsidRPr="009A2519" w:rsidRDefault="009A2519" w:rsidP="009A2519">
      <w:pPr>
        <w:tabs>
          <w:tab w:val="right" w:pos="9360"/>
        </w:tabs>
        <w:spacing w:line="240" w:lineRule="auto"/>
        <w:ind w:right="284"/>
        <w:jc w:val="left"/>
        <w:rPr>
          <w:lang w:val="en-GB"/>
        </w:rPr>
      </w:pPr>
      <w:r w:rsidRPr="009A2519">
        <w:rPr>
          <w:lang w:val="en-GB"/>
        </w:rPr>
        <w:t>In the matter between</w:t>
      </w:r>
    </w:p>
    <w:p w:rsidR="009A2519" w:rsidRPr="009A2519" w:rsidRDefault="009A2519" w:rsidP="009A2519">
      <w:pPr>
        <w:tabs>
          <w:tab w:val="right" w:pos="9360"/>
        </w:tabs>
        <w:spacing w:line="240" w:lineRule="auto"/>
        <w:ind w:right="284"/>
        <w:jc w:val="left"/>
        <w:rPr>
          <w:b/>
          <w:lang w:val="en-GB"/>
        </w:rPr>
      </w:pPr>
    </w:p>
    <w:p w:rsidR="009A2519" w:rsidRPr="009A2519" w:rsidRDefault="009A2519" w:rsidP="009A2519">
      <w:pPr>
        <w:tabs>
          <w:tab w:val="right" w:pos="9360"/>
        </w:tabs>
        <w:spacing w:line="240" w:lineRule="auto"/>
        <w:ind w:right="284"/>
        <w:jc w:val="left"/>
        <w:rPr>
          <w:b/>
          <w:lang w:val="en-GB"/>
        </w:rPr>
      </w:pPr>
    </w:p>
    <w:p w:rsidR="009A2519" w:rsidRPr="009A2519" w:rsidRDefault="009A2519" w:rsidP="009A2519">
      <w:pPr>
        <w:tabs>
          <w:tab w:val="right" w:pos="9000"/>
        </w:tabs>
        <w:spacing w:line="240" w:lineRule="auto"/>
        <w:ind w:right="4"/>
        <w:jc w:val="left"/>
      </w:pPr>
      <w:r w:rsidRPr="009A2519">
        <w:rPr>
          <w:b/>
        </w:rPr>
        <w:t>MINISTER OF SAFETY AND SECURITY</w:t>
      </w:r>
      <w:r w:rsidRPr="009A2519">
        <w:rPr>
          <w:b/>
        </w:rPr>
        <w:tab/>
      </w:r>
      <w:r w:rsidRPr="009A2519">
        <w:t>Applicant</w:t>
      </w:r>
    </w:p>
    <w:p w:rsidR="009A2519" w:rsidRPr="009A2519" w:rsidRDefault="009A2519" w:rsidP="009A2519">
      <w:pPr>
        <w:tabs>
          <w:tab w:val="right" w:pos="8316"/>
        </w:tabs>
        <w:spacing w:line="240" w:lineRule="auto"/>
        <w:ind w:right="284"/>
        <w:jc w:val="left"/>
        <w:rPr>
          <w:lang w:val="en-GB"/>
        </w:rPr>
      </w:pPr>
    </w:p>
    <w:p w:rsidR="009A2519" w:rsidRPr="009A2519" w:rsidRDefault="009A2519" w:rsidP="009A2519">
      <w:pPr>
        <w:tabs>
          <w:tab w:val="right" w:pos="8316"/>
        </w:tabs>
        <w:spacing w:line="240" w:lineRule="auto"/>
        <w:ind w:right="284"/>
        <w:jc w:val="left"/>
        <w:rPr>
          <w:lang w:val="en-GB"/>
        </w:rPr>
      </w:pPr>
      <w:r w:rsidRPr="009A2519">
        <w:rPr>
          <w:lang w:val="en-GB"/>
        </w:rPr>
        <w:t>and</w:t>
      </w:r>
    </w:p>
    <w:p w:rsidR="009A2519" w:rsidRPr="009A2519" w:rsidRDefault="009A2519" w:rsidP="009A2519">
      <w:pPr>
        <w:tabs>
          <w:tab w:val="right" w:pos="8316"/>
        </w:tabs>
        <w:spacing w:line="240" w:lineRule="auto"/>
        <w:ind w:right="284"/>
        <w:jc w:val="left"/>
        <w:rPr>
          <w:lang w:val="en-GB"/>
        </w:rPr>
      </w:pPr>
    </w:p>
    <w:p w:rsidR="009A2519" w:rsidRPr="009A2519" w:rsidRDefault="009A2519" w:rsidP="009A2519">
      <w:pPr>
        <w:tabs>
          <w:tab w:val="right" w:pos="8316"/>
        </w:tabs>
        <w:spacing w:line="240" w:lineRule="auto"/>
        <w:ind w:right="4"/>
        <w:jc w:val="left"/>
        <w:rPr>
          <w:b/>
        </w:rPr>
      </w:pPr>
      <w:r w:rsidRPr="009A2519">
        <w:rPr>
          <w:b/>
        </w:rPr>
        <w:t>SOUTH AFRICAN HUNTERS AND GAME</w:t>
      </w:r>
    </w:p>
    <w:p w:rsidR="009A2519" w:rsidRPr="009A2519" w:rsidRDefault="009A2519" w:rsidP="009A2519">
      <w:pPr>
        <w:tabs>
          <w:tab w:val="right" w:pos="9000"/>
        </w:tabs>
        <w:spacing w:line="240" w:lineRule="auto"/>
        <w:ind w:right="4"/>
        <w:jc w:val="left"/>
        <w:rPr>
          <w:b/>
        </w:rPr>
      </w:pPr>
      <w:r w:rsidRPr="009A2519">
        <w:rPr>
          <w:b/>
        </w:rPr>
        <w:t>CONSERVATION ASSOCIATION</w:t>
      </w:r>
      <w:r w:rsidRPr="009A2519">
        <w:tab/>
        <w:t>Respondent</w:t>
      </w:r>
    </w:p>
    <w:p w:rsidR="009A2519" w:rsidRPr="009A2519" w:rsidRDefault="009A2519" w:rsidP="009A2519">
      <w:pPr>
        <w:tabs>
          <w:tab w:val="right" w:pos="8316"/>
        </w:tabs>
        <w:spacing w:line="240" w:lineRule="auto"/>
        <w:ind w:right="4"/>
        <w:jc w:val="left"/>
      </w:pPr>
    </w:p>
    <w:p w:rsidR="009A2519" w:rsidRPr="009A2519" w:rsidRDefault="009A2519" w:rsidP="009A2519">
      <w:pPr>
        <w:tabs>
          <w:tab w:val="right" w:pos="8316"/>
        </w:tabs>
        <w:spacing w:line="240" w:lineRule="auto"/>
        <w:ind w:right="4"/>
        <w:jc w:val="left"/>
      </w:pPr>
      <w:r w:rsidRPr="009A2519">
        <w:t>and</w:t>
      </w:r>
    </w:p>
    <w:p w:rsidR="009A2519" w:rsidRPr="009A2519" w:rsidRDefault="009A2519" w:rsidP="009A2519">
      <w:pPr>
        <w:tabs>
          <w:tab w:val="right" w:pos="8316"/>
        </w:tabs>
        <w:spacing w:line="240" w:lineRule="auto"/>
        <w:ind w:right="4"/>
        <w:jc w:val="left"/>
      </w:pPr>
    </w:p>
    <w:p w:rsidR="009A2519" w:rsidRPr="009A2519" w:rsidRDefault="009A2519" w:rsidP="009A2519">
      <w:pPr>
        <w:tabs>
          <w:tab w:val="right" w:pos="8316"/>
        </w:tabs>
        <w:spacing w:line="240" w:lineRule="auto"/>
        <w:ind w:right="4"/>
        <w:jc w:val="left"/>
        <w:rPr>
          <w:b/>
        </w:rPr>
      </w:pPr>
      <w:r w:rsidRPr="009A2519">
        <w:rPr>
          <w:b/>
        </w:rPr>
        <w:t>FIDELITY SECURITY SERVICES (PTY)</w:t>
      </w:r>
    </w:p>
    <w:p w:rsidR="009A2519" w:rsidRPr="009A2519" w:rsidRDefault="009A2519" w:rsidP="009A2519">
      <w:pPr>
        <w:tabs>
          <w:tab w:val="right" w:pos="9000"/>
        </w:tabs>
        <w:spacing w:line="240" w:lineRule="auto"/>
        <w:ind w:right="4"/>
        <w:jc w:val="left"/>
      </w:pPr>
      <w:r w:rsidRPr="009A2519">
        <w:rPr>
          <w:b/>
        </w:rPr>
        <w:t>LIMITED</w:t>
      </w:r>
      <w:r w:rsidRPr="009A2519">
        <w:rPr>
          <w:b/>
        </w:rPr>
        <w:tab/>
      </w:r>
      <w:r w:rsidRPr="009A2519">
        <w:t>First Amicus</w:t>
      </w:r>
    </w:p>
    <w:p w:rsidR="009A2519" w:rsidRPr="009A2519" w:rsidRDefault="009A2519" w:rsidP="009A2519">
      <w:pPr>
        <w:tabs>
          <w:tab w:val="right" w:pos="8316"/>
        </w:tabs>
        <w:spacing w:line="240" w:lineRule="auto"/>
        <w:ind w:right="4"/>
        <w:jc w:val="left"/>
      </w:pPr>
    </w:p>
    <w:p w:rsidR="009A2519" w:rsidRPr="009A2519" w:rsidRDefault="009A2519" w:rsidP="009A2519">
      <w:pPr>
        <w:tabs>
          <w:tab w:val="right" w:pos="9000"/>
        </w:tabs>
        <w:spacing w:line="240" w:lineRule="auto"/>
        <w:ind w:right="4"/>
        <w:jc w:val="left"/>
      </w:pPr>
      <w:r w:rsidRPr="009A2519">
        <w:rPr>
          <w:b/>
        </w:rPr>
        <w:t>GUN FREE SOUTH AFRICA (NPO)</w:t>
      </w:r>
      <w:r w:rsidRPr="009A2519">
        <w:rPr>
          <w:b/>
        </w:rPr>
        <w:tab/>
      </w:r>
      <w:r w:rsidRPr="009A2519">
        <w:t>Second Amicus</w:t>
      </w:r>
    </w:p>
    <w:p w:rsidR="003A18CF" w:rsidRDefault="003A18CF" w:rsidP="009A2519">
      <w:pPr>
        <w:tabs>
          <w:tab w:val="right" w:pos="9029"/>
        </w:tabs>
        <w:spacing w:line="240" w:lineRule="auto"/>
      </w:pPr>
    </w:p>
    <w:p w:rsidR="003A18CF" w:rsidRPr="009C3888" w:rsidRDefault="003A18CF" w:rsidP="003A18CF">
      <w:pPr>
        <w:spacing w:line="240" w:lineRule="auto"/>
      </w:pPr>
    </w:p>
    <w:p w:rsidR="003A18CF" w:rsidRPr="009C3888" w:rsidRDefault="003A18CF" w:rsidP="003A18CF">
      <w:pPr>
        <w:spacing w:line="240" w:lineRule="auto"/>
      </w:pPr>
    </w:p>
    <w:p w:rsidR="003A18CF" w:rsidRPr="00F05BBD" w:rsidRDefault="003A18CF" w:rsidP="003A18CF">
      <w:pPr>
        <w:spacing w:line="240" w:lineRule="auto"/>
        <w:ind w:left="2160" w:hanging="2160"/>
      </w:pPr>
      <w:r w:rsidRPr="008B40EE">
        <w:rPr>
          <w:b/>
        </w:rPr>
        <w:t>Neutral citation:</w:t>
      </w:r>
      <w:r>
        <w:tab/>
      </w:r>
      <w:r w:rsidR="009A2519">
        <w:rPr>
          <w:i/>
        </w:rPr>
        <w:t>Minister of Safety and Security v South African Hunters and Game Conservation Association</w:t>
      </w:r>
      <w:r>
        <w:rPr>
          <w:i/>
        </w:rPr>
        <w:t xml:space="preserve"> </w:t>
      </w:r>
      <w:r>
        <w:t>[</w:t>
      </w:r>
      <w:r w:rsidR="009A2519">
        <w:t>2018</w:t>
      </w:r>
      <w:r>
        <w:t xml:space="preserve">] ZACC </w:t>
      </w:r>
      <w:r w:rsidR="00003EAB" w:rsidRPr="00B55E45">
        <w:t>14</w:t>
      </w:r>
    </w:p>
    <w:p w:rsidR="003A18CF" w:rsidRDefault="003A18CF" w:rsidP="003A18CF">
      <w:pPr>
        <w:spacing w:line="240" w:lineRule="auto"/>
      </w:pPr>
    </w:p>
    <w:p w:rsidR="009A2519" w:rsidRPr="007D72E1" w:rsidRDefault="003A18CF" w:rsidP="007D72E1">
      <w:pPr>
        <w:spacing w:line="240" w:lineRule="auto"/>
        <w:ind w:left="2160" w:hanging="2160"/>
        <w:rPr>
          <w:szCs w:val="26"/>
        </w:rPr>
      </w:pPr>
      <w:r w:rsidRPr="008B40EE">
        <w:rPr>
          <w:b/>
        </w:rPr>
        <w:t>Coram:</w:t>
      </w:r>
      <w:r>
        <w:tab/>
      </w:r>
      <w:r w:rsidR="009A2519" w:rsidRPr="009A2519">
        <w:t xml:space="preserve">Zondo </w:t>
      </w:r>
      <w:r w:rsidR="00366550" w:rsidRPr="009A2519">
        <w:rPr>
          <w:szCs w:val="26"/>
        </w:rPr>
        <w:t xml:space="preserve">DCJ, </w:t>
      </w:r>
      <w:r w:rsidR="009A2519">
        <w:rPr>
          <w:szCs w:val="26"/>
        </w:rPr>
        <w:t>Cachalia AJ, Dlodlo AJ</w:t>
      </w:r>
      <w:r w:rsidR="00366550" w:rsidRPr="00366550">
        <w:rPr>
          <w:szCs w:val="26"/>
        </w:rPr>
        <w:t xml:space="preserve">, Froneman J, </w:t>
      </w:r>
      <w:r w:rsidR="009A2519">
        <w:rPr>
          <w:szCs w:val="26"/>
        </w:rPr>
        <w:t>Goliath AJ</w:t>
      </w:r>
      <w:r w:rsidR="00366550">
        <w:rPr>
          <w:szCs w:val="26"/>
        </w:rPr>
        <w:t xml:space="preserve">, </w:t>
      </w:r>
      <w:r w:rsidR="009A2519">
        <w:rPr>
          <w:szCs w:val="26"/>
        </w:rPr>
        <w:t>Jafta J, Petse AJ and Theron J.</w:t>
      </w:r>
    </w:p>
    <w:p w:rsidR="003A18CF" w:rsidRDefault="003A18CF" w:rsidP="003A18CF">
      <w:pPr>
        <w:spacing w:line="240" w:lineRule="auto"/>
      </w:pPr>
    </w:p>
    <w:p w:rsidR="00AE7143" w:rsidRDefault="00AE7143" w:rsidP="007D72E1">
      <w:pPr>
        <w:spacing w:line="240" w:lineRule="auto"/>
        <w:ind w:left="2160" w:hanging="2160"/>
      </w:pPr>
      <w:r>
        <w:rPr>
          <w:b/>
        </w:rPr>
        <w:t>Judgments</w:t>
      </w:r>
      <w:r w:rsidRPr="008B40EE">
        <w:rPr>
          <w:b/>
        </w:rPr>
        <w:t>:</w:t>
      </w:r>
      <w:r>
        <w:tab/>
      </w:r>
      <w:r w:rsidR="007D72E1">
        <w:t>Froneman J</w:t>
      </w:r>
      <w:r>
        <w:t xml:space="preserve"> </w:t>
      </w:r>
      <w:r w:rsidRPr="0023678E">
        <w:t>(</w:t>
      </w:r>
      <w:r w:rsidRPr="00BC147A">
        <w:t>unanimous</w:t>
      </w:r>
      <w:r>
        <w:t>)</w:t>
      </w:r>
    </w:p>
    <w:p w:rsidR="00AE7143" w:rsidRDefault="00AE7143" w:rsidP="003A18CF">
      <w:pPr>
        <w:spacing w:line="240" w:lineRule="auto"/>
      </w:pPr>
    </w:p>
    <w:p w:rsidR="003A18CF" w:rsidRPr="009C3888" w:rsidRDefault="003A18CF" w:rsidP="0044313C">
      <w:pPr>
        <w:spacing w:line="240" w:lineRule="auto"/>
        <w:ind w:left="2160" w:hanging="2160"/>
      </w:pPr>
      <w:r w:rsidRPr="008B40EE">
        <w:rPr>
          <w:b/>
        </w:rPr>
        <w:t>Heard on:</w:t>
      </w:r>
      <w:r>
        <w:tab/>
      </w:r>
      <w:r w:rsidR="007D72E1">
        <w:t>7 February 2018</w:t>
      </w:r>
    </w:p>
    <w:p w:rsidR="003A18CF" w:rsidRPr="009C3888" w:rsidRDefault="003A18CF" w:rsidP="0044313C">
      <w:pPr>
        <w:spacing w:line="240" w:lineRule="auto"/>
        <w:ind w:left="2160" w:hanging="2160"/>
      </w:pPr>
    </w:p>
    <w:p w:rsidR="003A18CF" w:rsidRDefault="003A18CF" w:rsidP="0044313C">
      <w:pPr>
        <w:spacing w:line="240" w:lineRule="auto"/>
        <w:ind w:left="2160" w:hanging="2160"/>
      </w:pPr>
      <w:r w:rsidRPr="008B40EE">
        <w:rPr>
          <w:b/>
        </w:rPr>
        <w:t>Decided on:</w:t>
      </w:r>
      <w:r>
        <w:tab/>
      </w:r>
      <w:r w:rsidR="0023678E" w:rsidRPr="00B55E45">
        <w:t>7 June 2018</w:t>
      </w:r>
    </w:p>
    <w:p w:rsidR="004110F6" w:rsidRDefault="004110F6" w:rsidP="003A18CF">
      <w:pPr>
        <w:spacing w:line="240" w:lineRule="auto"/>
      </w:pPr>
    </w:p>
    <w:p w:rsidR="004D02BA" w:rsidRDefault="004D02BA" w:rsidP="004D02BA">
      <w:pPr>
        <w:spacing w:line="240" w:lineRule="auto"/>
        <w:ind w:left="2160" w:hanging="2160"/>
      </w:pPr>
      <w:r>
        <w:rPr>
          <w:b/>
        </w:rPr>
        <w:t>Summary:</w:t>
      </w:r>
      <w:r>
        <w:rPr>
          <w:b/>
        </w:rPr>
        <w:tab/>
      </w:r>
      <w:r w:rsidR="0058321D">
        <w:t xml:space="preserve">Gun </w:t>
      </w:r>
      <w:r w:rsidR="0023678E">
        <w:t>control</w:t>
      </w:r>
      <w:r w:rsidRPr="00542F53">
        <w:t xml:space="preserve"> </w:t>
      </w:r>
      <w:r w:rsidR="006724E0">
        <w:t>—</w:t>
      </w:r>
      <w:r w:rsidRPr="00542F53">
        <w:t xml:space="preserve"> </w:t>
      </w:r>
      <w:r w:rsidR="0023678E">
        <w:t>licence to possesses firearm</w:t>
      </w:r>
      <w:r w:rsidRPr="00542F53">
        <w:t xml:space="preserve"> </w:t>
      </w:r>
      <w:r w:rsidR="006724E0">
        <w:t>—</w:t>
      </w:r>
      <w:r w:rsidR="0023678E">
        <w:t xml:space="preserve"> termination </w:t>
      </w:r>
      <w:r w:rsidR="0023678E" w:rsidRPr="00BC147A">
        <w:t>of fiream licence</w:t>
      </w:r>
      <w:r w:rsidRPr="00542F53">
        <w:t xml:space="preserve"> </w:t>
      </w:r>
      <w:r w:rsidR="006724E0">
        <w:t>—</w:t>
      </w:r>
      <w:r w:rsidRPr="00542F53">
        <w:t xml:space="preserve"> </w:t>
      </w:r>
      <w:r w:rsidR="0023678E" w:rsidRPr="00223E26">
        <w:t xml:space="preserve">renewal </w:t>
      </w:r>
      <w:r w:rsidR="0023678E">
        <w:t>of firearm licence</w:t>
      </w:r>
    </w:p>
    <w:p w:rsidR="004D02BA" w:rsidRDefault="004D02BA" w:rsidP="004D02BA">
      <w:pPr>
        <w:spacing w:line="240" w:lineRule="auto"/>
      </w:pPr>
    </w:p>
    <w:p w:rsidR="004D02BA" w:rsidRDefault="009C0CA5" w:rsidP="009C0CA5">
      <w:pPr>
        <w:spacing w:line="240" w:lineRule="auto"/>
        <w:ind w:left="2160"/>
      </w:pPr>
      <w:r>
        <w:lastRenderedPageBreak/>
        <w:t>section 24 and 28 — firearms control act 60 of 2000 — vagueness and rationality — equality — deprivation of property</w:t>
      </w:r>
    </w:p>
    <w:p w:rsidR="009C0CA5" w:rsidRPr="004110F6" w:rsidRDefault="009C0CA5"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227598" w:rsidRPr="00227598" w:rsidRDefault="00227598" w:rsidP="00B66B78">
      <w:pPr>
        <w:pStyle w:val="JUDGMENTCONTINUED"/>
      </w:pPr>
    </w:p>
    <w:p w:rsidR="00227598" w:rsidRDefault="0023678E" w:rsidP="00BC147A">
      <w:pPr>
        <w:pStyle w:val="JUDGMENTNUMBERED"/>
        <w:numPr>
          <w:ilvl w:val="0"/>
          <w:numId w:val="0"/>
        </w:numPr>
      </w:pPr>
      <w:r>
        <w:t>In the a</w:t>
      </w:r>
      <w:r w:rsidR="00F45DC4" w:rsidRPr="00B66B78">
        <w:t>pplication for confirmation of the order of</w:t>
      </w:r>
      <w:r w:rsidR="003A18CF" w:rsidRPr="00227598">
        <w:t xml:space="preserve"> the </w:t>
      </w:r>
      <w:r w:rsidR="00227598" w:rsidRPr="00227598">
        <w:t>High Court of South Africa, Gauteng Division, Pretoria</w:t>
      </w:r>
      <w:r w:rsidR="00227598">
        <w:t>:</w:t>
      </w:r>
    </w:p>
    <w:p w:rsidR="00F92A38" w:rsidRDefault="00F92A38" w:rsidP="00B66B78">
      <w:pPr>
        <w:pStyle w:val="ORDER"/>
        <w:numPr>
          <w:ilvl w:val="0"/>
          <w:numId w:val="20"/>
        </w:numPr>
        <w:spacing w:before="120"/>
      </w:pPr>
      <w:r>
        <w:t xml:space="preserve">Fidelity Security Services (Pty) Limited and Gun Free South Africa (NPO) </w:t>
      </w:r>
      <w:r w:rsidR="00A01C6C">
        <w:t>are admitted as amici</w:t>
      </w:r>
      <w:r>
        <w:t xml:space="preserve"> curiae.</w:t>
      </w:r>
    </w:p>
    <w:p w:rsidR="00AA6741" w:rsidRDefault="00AA6741" w:rsidP="00B66B78">
      <w:pPr>
        <w:pStyle w:val="ORDER"/>
        <w:numPr>
          <w:ilvl w:val="0"/>
          <w:numId w:val="20"/>
        </w:numPr>
        <w:spacing w:before="120"/>
      </w:pPr>
      <w:r>
        <w:t>The order in the High Court is set aside and replaced with the following:</w:t>
      </w:r>
    </w:p>
    <w:p w:rsidR="003A18CF" w:rsidRDefault="00AA6741" w:rsidP="0023678E">
      <w:pPr>
        <w:pStyle w:val="ORDER"/>
        <w:spacing w:before="120"/>
        <w:ind w:firstLine="0"/>
      </w:pPr>
      <w:r>
        <w:t>“The application is dismissed.”</w:t>
      </w:r>
    </w:p>
    <w:p w:rsidR="003A18CF" w:rsidRDefault="003A18CF" w:rsidP="00C74761">
      <w:pPr>
        <w:spacing w:line="240" w:lineRule="auto"/>
      </w:pPr>
    </w:p>
    <w:p w:rsidR="00CB0CB2" w:rsidRPr="00CB0CB2" w:rsidRDefault="00CB0CB2" w:rsidP="000C38CF">
      <w:pPr>
        <w:pStyle w:val="JUDGMENTCONTINUED"/>
      </w:pPr>
    </w:p>
    <w:p w:rsidR="00CB0CB2" w:rsidRDefault="00CB0CB2" w:rsidP="000C38CF">
      <w:pPr>
        <w:pStyle w:val="JUDGMENTCONTINUED"/>
        <w:sectPr w:rsidR="00CB0CB2" w:rsidSect="009559B5">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1440" w:header="708" w:footer="708" w:gutter="0"/>
          <w:pgNumType w:start="1"/>
          <w:cols w:space="708"/>
          <w:titlePg/>
          <w:docGrid w:linePitch="360"/>
        </w:sectPr>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rsidR="000704F2" w:rsidRPr="009C3888" w:rsidRDefault="000704F2" w:rsidP="000704F2">
      <w:pPr>
        <w:pBdr>
          <w:top w:val="single" w:sz="4" w:space="1" w:color="auto"/>
          <w:bottom w:val="single" w:sz="4" w:space="1" w:color="auto"/>
        </w:pBdr>
        <w:spacing w:line="240" w:lineRule="auto"/>
        <w:jc w:val="center"/>
      </w:pPr>
    </w:p>
    <w:p w:rsidR="00F12F57" w:rsidRDefault="00F12F57" w:rsidP="000704F2">
      <w:pPr>
        <w:spacing w:line="240" w:lineRule="auto"/>
      </w:pPr>
    </w:p>
    <w:p w:rsidR="006E3711" w:rsidRDefault="006E3711" w:rsidP="000704F2">
      <w:pPr>
        <w:spacing w:line="240" w:lineRule="auto"/>
      </w:pPr>
    </w:p>
    <w:p w:rsidR="0023678E" w:rsidRPr="009C3888" w:rsidRDefault="0023678E" w:rsidP="000704F2">
      <w:pPr>
        <w:spacing w:line="240" w:lineRule="auto"/>
      </w:pPr>
    </w:p>
    <w:p w:rsidR="000704F2" w:rsidRPr="009C3888" w:rsidRDefault="007D72E1" w:rsidP="001C050A">
      <w:pPr>
        <w:spacing w:line="240" w:lineRule="auto"/>
        <w:outlineLvl w:val="0"/>
      </w:pPr>
      <w:r>
        <w:t>FRONEMAN J</w:t>
      </w:r>
      <w:r w:rsidR="003644DF">
        <w:t xml:space="preserve"> (</w:t>
      </w:r>
      <w:r w:rsidR="0023678E" w:rsidRPr="0023678E">
        <w:t>Zondo DCJ, Cachalia AJ, Dlodlo AJ, Goliath AJ, Jafta J, Petse AJ and Theron J</w:t>
      </w:r>
      <w:r w:rsidR="0023678E" w:rsidRPr="0023678E" w:rsidDel="0023678E">
        <w:t xml:space="preserve"> </w:t>
      </w:r>
      <w:r w:rsidR="00C739DB" w:rsidRPr="00C739DB">
        <w:t>concurring</w:t>
      </w:r>
      <w:r w:rsidR="003644DF">
        <w:t>)</w:t>
      </w:r>
      <w:r w:rsidR="00AE7602" w:rsidRPr="009C3888">
        <w:t>:</w:t>
      </w:r>
    </w:p>
    <w:p w:rsidR="00AE7602" w:rsidRDefault="00AE7602" w:rsidP="000704F2">
      <w:pPr>
        <w:spacing w:line="240" w:lineRule="auto"/>
      </w:pPr>
    </w:p>
    <w:p w:rsidR="00C22C9C" w:rsidRPr="009C3888" w:rsidRDefault="00C22C9C" w:rsidP="000704F2">
      <w:pPr>
        <w:spacing w:line="240" w:lineRule="auto"/>
      </w:pPr>
    </w:p>
    <w:p w:rsidR="008251D8" w:rsidRPr="008251D8" w:rsidRDefault="00C726B5" w:rsidP="00AE4943">
      <w:pPr>
        <w:pStyle w:val="HEADING"/>
      </w:pPr>
      <w:r>
        <w:t>Introduction</w:t>
      </w:r>
    </w:p>
    <w:p w:rsidR="00F4228C" w:rsidRDefault="00B05ED9" w:rsidP="00BC147A">
      <w:pPr>
        <w:pStyle w:val="JUDGMENTNUMBERED"/>
      </w:pPr>
      <w:r>
        <w:t xml:space="preserve">Gun ownership is not a fundamental right under our Bill of Rights. </w:t>
      </w:r>
      <w:r w:rsidR="00FF7988">
        <w:t xml:space="preserve"> </w:t>
      </w:r>
      <w:r>
        <w:t>It is a privilege regulated by law</w:t>
      </w:r>
      <w:r w:rsidR="00FF705D">
        <w:t>, under the Firearms Control Act</w:t>
      </w:r>
      <w:r w:rsidR="00FF705D">
        <w:rPr>
          <w:rStyle w:val="FootnoteReference"/>
        </w:rPr>
        <w:footnoteReference w:id="1"/>
      </w:r>
      <w:r w:rsidR="0049469B">
        <w:t xml:space="preserve"> (Act).</w:t>
      </w:r>
      <w:r w:rsidR="00FF705D">
        <w:t xml:space="preserve"> </w:t>
      </w:r>
      <w:r w:rsidR="00FF7988">
        <w:t xml:space="preserve"> </w:t>
      </w:r>
      <w:r w:rsidR="00F4228C">
        <w:t>The purpose of the Act is to:</w:t>
      </w:r>
    </w:p>
    <w:p w:rsidR="0023678E" w:rsidRPr="0023678E" w:rsidRDefault="0023678E" w:rsidP="00AA108D">
      <w:pPr>
        <w:pStyle w:val="QUOTATION"/>
      </w:pPr>
    </w:p>
    <w:p w:rsidR="00F4228C" w:rsidRDefault="00135B17" w:rsidP="00AA108D">
      <w:pPr>
        <w:pStyle w:val="QUOTATION"/>
      </w:pPr>
      <w:r>
        <w:t>“</w:t>
      </w:r>
      <w:r w:rsidR="00F4228C">
        <w:t>(a)</w:t>
      </w:r>
      <w:r w:rsidR="00FF7988">
        <w:tab/>
      </w:r>
      <w:r w:rsidR="00F4228C">
        <w:t>enhance the constitutional rights to life and bodily integrity;</w:t>
      </w:r>
    </w:p>
    <w:p w:rsidR="00F4228C" w:rsidRDefault="00F4228C" w:rsidP="00AA108D">
      <w:pPr>
        <w:pStyle w:val="QUOTATION"/>
      </w:pPr>
      <w:r>
        <w:t>(b)</w:t>
      </w:r>
      <w:r w:rsidR="00FF7988">
        <w:tab/>
      </w:r>
      <w:r>
        <w:t>prevent the proliferation of illegally possessed firearms and, by providing for the removal of those firearms from society and by improving control over legally possessed firearms, to prevent</w:t>
      </w:r>
      <w:r w:rsidR="00EB397D">
        <w:t xml:space="preserve"> </w:t>
      </w:r>
      <w:r>
        <w:t>crime involving the use of firearms;</w:t>
      </w:r>
    </w:p>
    <w:p w:rsidR="00F4228C" w:rsidRDefault="00F4228C" w:rsidP="00AA108D">
      <w:pPr>
        <w:pStyle w:val="QUOTATION"/>
      </w:pPr>
      <w:r>
        <w:lastRenderedPageBreak/>
        <w:t>(c)</w:t>
      </w:r>
      <w:r w:rsidR="00FF7988">
        <w:tab/>
      </w:r>
      <w:r>
        <w:t xml:space="preserve">enable the </w:t>
      </w:r>
      <w:r w:rsidR="00D0525F">
        <w:t>s</w:t>
      </w:r>
      <w:r>
        <w:t>tate to remove illegally possessed firearms from society, to control the supply</w:t>
      </w:r>
      <w:r w:rsidR="001C407D">
        <w:t>, possession, safe storage, transfer and use of firearms and to detect and punish the negligent or criminal use of firearms;</w:t>
      </w:r>
    </w:p>
    <w:p w:rsidR="001C407D" w:rsidRDefault="001C407D" w:rsidP="00AA108D">
      <w:pPr>
        <w:pStyle w:val="QUOTATION"/>
      </w:pPr>
      <w:r>
        <w:t>(d)</w:t>
      </w:r>
      <w:r w:rsidR="00FF7988">
        <w:tab/>
      </w:r>
      <w:r>
        <w:t>establish a comprehensive and effective system of firearm control and management; and</w:t>
      </w:r>
    </w:p>
    <w:p w:rsidR="001C407D" w:rsidRDefault="001C407D" w:rsidP="00AA108D">
      <w:pPr>
        <w:pStyle w:val="QUOTATION"/>
      </w:pPr>
      <w:r>
        <w:t>(e)</w:t>
      </w:r>
      <w:r w:rsidR="00FF7988">
        <w:tab/>
      </w:r>
      <w:r>
        <w:t>ensure the efficient monitoring and enforcement of legislation pertaining to the control of firearms.</w:t>
      </w:r>
      <w:r w:rsidR="00135B17">
        <w:t>”</w:t>
      </w:r>
      <w:r>
        <w:rPr>
          <w:rStyle w:val="FootnoteReference"/>
        </w:rPr>
        <w:footnoteReference w:id="2"/>
      </w:r>
    </w:p>
    <w:p w:rsidR="001C407D" w:rsidRDefault="001C407D" w:rsidP="00AE4943">
      <w:pPr>
        <w:pStyle w:val="JUDGMENTCONTINUED"/>
      </w:pPr>
    </w:p>
    <w:p w:rsidR="008251D8" w:rsidRDefault="008251D8" w:rsidP="008251D8">
      <w:pPr>
        <w:pStyle w:val="JUDGMENTNUMBERED"/>
      </w:pPr>
      <w:r>
        <w:t>These purposes are sought to be attained by mainly four fundamentals:</w:t>
      </w:r>
    </w:p>
    <w:p w:rsidR="008251D8" w:rsidRDefault="008251D8" w:rsidP="00BC147A">
      <w:pPr>
        <w:pStyle w:val="List1"/>
        <w:numPr>
          <w:ilvl w:val="0"/>
          <w:numId w:val="21"/>
        </w:numPr>
      </w:pPr>
      <w:r>
        <w:t>No person may possess a firearm without a valid licence;</w:t>
      </w:r>
      <w:r>
        <w:rPr>
          <w:rStyle w:val="FootnoteReference"/>
        </w:rPr>
        <w:footnoteReference w:id="3"/>
      </w:r>
    </w:p>
    <w:p w:rsidR="008251D8" w:rsidRDefault="008251D8" w:rsidP="00BC147A">
      <w:pPr>
        <w:pStyle w:val="List1"/>
        <w:numPr>
          <w:ilvl w:val="0"/>
          <w:numId w:val="21"/>
        </w:numPr>
      </w:pPr>
      <w:r>
        <w:t>No licence may be issued to a person without a relevant competency certificate;</w:t>
      </w:r>
      <w:r>
        <w:rPr>
          <w:rStyle w:val="FootnoteReference"/>
        </w:rPr>
        <w:footnoteReference w:id="4"/>
      </w:r>
    </w:p>
    <w:p w:rsidR="008251D8" w:rsidRDefault="008251D8" w:rsidP="00BC147A">
      <w:pPr>
        <w:pStyle w:val="List1"/>
        <w:numPr>
          <w:ilvl w:val="0"/>
          <w:numId w:val="21"/>
        </w:numPr>
      </w:pPr>
      <w:r>
        <w:t>A licence is valid only for a limited period;</w:t>
      </w:r>
      <w:r>
        <w:rPr>
          <w:rStyle w:val="FootnoteReference"/>
        </w:rPr>
        <w:footnoteReference w:id="5"/>
      </w:r>
    </w:p>
    <w:p w:rsidR="008251D8" w:rsidRDefault="008251D8" w:rsidP="00BC147A">
      <w:pPr>
        <w:pStyle w:val="List1"/>
        <w:numPr>
          <w:ilvl w:val="0"/>
          <w:numId w:val="21"/>
        </w:numPr>
      </w:pPr>
      <w:r>
        <w:lastRenderedPageBreak/>
        <w:t>Possession of a firearm without a licence is a criminal offence and subject to minimum penalties.</w:t>
      </w:r>
      <w:r>
        <w:rPr>
          <w:rStyle w:val="FootnoteReference"/>
        </w:rPr>
        <w:footnoteReference w:id="6"/>
      </w:r>
    </w:p>
    <w:p w:rsidR="008251D8" w:rsidRDefault="008251D8" w:rsidP="00AE4943">
      <w:pPr>
        <w:pStyle w:val="JUDGMENTCONTINUED"/>
      </w:pPr>
    </w:p>
    <w:p w:rsidR="008251D8" w:rsidRDefault="00FF705D" w:rsidP="008251D8">
      <w:pPr>
        <w:pStyle w:val="JUDGMENTNUMBERED"/>
      </w:pPr>
      <w:r>
        <w:t xml:space="preserve">Section 24 of the Act deals with the renewal of firearm licences and section 28 with their termination. </w:t>
      </w:r>
      <w:r w:rsidR="00DD2056">
        <w:t xml:space="preserve"> </w:t>
      </w:r>
      <w:r w:rsidR="008251D8">
        <w:t>They read:</w:t>
      </w:r>
    </w:p>
    <w:p w:rsidR="002424D1" w:rsidRPr="002424D1" w:rsidRDefault="002424D1" w:rsidP="00AE4943">
      <w:pPr>
        <w:pStyle w:val="QUOTATION"/>
      </w:pPr>
    </w:p>
    <w:p w:rsidR="002424D1" w:rsidRPr="00AE4943" w:rsidRDefault="00DD2056" w:rsidP="00AE4943">
      <w:pPr>
        <w:pStyle w:val="QUOTATION"/>
        <w:spacing w:after="120"/>
      </w:pPr>
      <w:r>
        <w:t>“</w:t>
      </w:r>
      <w:r w:rsidR="002424D1" w:rsidRPr="00AE4943">
        <w:t>Renewal of firearm licences</w:t>
      </w:r>
    </w:p>
    <w:p w:rsidR="002424D1" w:rsidRPr="00AE4943" w:rsidRDefault="002424D1" w:rsidP="00AE4943">
      <w:pPr>
        <w:pStyle w:val="QUOTATION"/>
        <w:spacing w:after="120"/>
        <w:ind w:left="1440" w:hanging="720"/>
      </w:pPr>
      <w:r w:rsidRPr="00AE4943">
        <w:t>(1)</w:t>
      </w:r>
      <w:r w:rsidR="00DD2056">
        <w:tab/>
      </w:r>
      <w:r w:rsidRPr="00AE4943">
        <w:t>The holder of a licence issued in terms of this Chapter who wishes to renew the licence must at least 90 days before the date of expiry of the licence apply to the Registrar for its renewal.</w:t>
      </w:r>
    </w:p>
    <w:p w:rsidR="002424D1" w:rsidRPr="00AE4943" w:rsidRDefault="002424D1" w:rsidP="00AE4943">
      <w:pPr>
        <w:pStyle w:val="QUOTATION"/>
        <w:spacing w:after="120"/>
        <w:ind w:left="1440" w:hanging="720"/>
      </w:pPr>
      <w:r w:rsidRPr="00AE4943">
        <w:lastRenderedPageBreak/>
        <w:t>(2)</w:t>
      </w:r>
      <w:r w:rsidR="00DD2056">
        <w:tab/>
      </w:r>
      <w:r w:rsidRPr="00AE4943">
        <w:t>The application must be</w:t>
      </w:r>
      <w:r w:rsidR="00DD2056">
        <w:t>—</w:t>
      </w:r>
    </w:p>
    <w:p w:rsidR="002424D1" w:rsidRPr="00AE4943" w:rsidRDefault="002424D1" w:rsidP="00AE4943">
      <w:pPr>
        <w:pStyle w:val="QUOTATION"/>
        <w:spacing w:after="120"/>
        <w:ind w:left="2160" w:hanging="720"/>
      </w:pPr>
      <w:r w:rsidRPr="00AE4943">
        <w:t>(a)</w:t>
      </w:r>
      <w:r w:rsidR="00DD2056">
        <w:tab/>
      </w:r>
      <w:r w:rsidRPr="00AE4943">
        <w:t>accompanied by such information as may be prescribed; and</w:t>
      </w:r>
    </w:p>
    <w:p w:rsidR="002424D1" w:rsidRPr="00AE4943" w:rsidRDefault="002424D1" w:rsidP="00AE4943">
      <w:pPr>
        <w:pStyle w:val="QUOTATION"/>
        <w:spacing w:after="120"/>
        <w:ind w:left="2160" w:hanging="720"/>
      </w:pPr>
      <w:r w:rsidRPr="00AE4943">
        <w:t>(b)</w:t>
      </w:r>
      <w:r w:rsidR="00DD2056">
        <w:tab/>
      </w:r>
      <w:r w:rsidRPr="00AE4943">
        <w:t>delivered to the Designated Firearms Officer responsible for the area in which the applicant ordinarily resides or in which the applicant's business is, as the case may be.</w:t>
      </w:r>
    </w:p>
    <w:p w:rsidR="002424D1" w:rsidRPr="00AE4943" w:rsidRDefault="002424D1" w:rsidP="00AE4943">
      <w:pPr>
        <w:pStyle w:val="QUOTATION"/>
        <w:spacing w:after="120"/>
        <w:ind w:left="1440" w:hanging="720"/>
      </w:pPr>
      <w:r w:rsidRPr="00AE4943">
        <w:t>(3)</w:t>
      </w:r>
      <w:r w:rsidR="00DD2056">
        <w:tab/>
      </w:r>
      <w:r w:rsidRPr="00AE4943">
        <w:t>No application for the renewal of a licence may be granted unless the applicant shows that he or she has continued to comply with the requirements for the licence in terms of this Act.</w:t>
      </w:r>
    </w:p>
    <w:p w:rsidR="002424D1" w:rsidRPr="00AE4943" w:rsidRDefault="002424D1" w:rsidP="00AE4943">
      <w:pPr>
        <w:pStyle w:val="QUOTATION"/>
      </w:pPr>
      <w:r w:rsidRPr="00AE4943">
        <w:t>(4)</w:t>
      </w:r>
      <w:r w:rsidR="005C3B11">
        <w:tab/>
      </w:r>
      <w:r w:rsidRPr="00AE4943">
        <w:t>If an application for the renewal of a licence has been lodged within the period provided for in subsection (1), the licence remains valid until the application is decided.</w:t>
      </w:r>
    </w:p>
    <w:p w:rsidR="002424D1" w:rsidRPr="00AE4943" w:rsidRDefault="009843AE" w:rsidP="00AE4943">
      <w:pPr>
        <w:pStyle w:val="QUOTATION"/>
      </w:pPr>
      <w:r>
        <w:t>. . .</w:t>
      </w:r>
    </w:p>
    <w:p w:rsidR="005F6F85" w:rsidRPr="00AE4943" w:rsidRDefault="005F6F85" w:rsidP="00BC147A">
      <w:pPr>
        <w:pStyle w:val="QUOTATION"/>
      </w:pPr>
      <w:r w:rsidRPr="00AE4943">
        <w:t>Termination of firearm licence</w:t>
      </w:r>
    </w:p>
    <w:p w:rsidR="005F6F85" w:rsidRPr="00AE4943" w:rsidRDefault="00DD2056" w:rsidP="00AE4943">
      <w:pPr>
        <w:pStyle w:val="QUOTATION"/>
        <w:spacing w:after="120"/>
        <w:ind w:left="1440" w:hanging="720"/>
      </w:pPr>
      <w:bookmarkStart w:id="1" w:name="0-0-0-525813"/>
      <w:bookmarkEnd w:id="1"/>
      <w:r w:rsidRPr="00AE4943">
        <w:t>(1</w:t>
      </w:r>
      <w:r>
        <w:t>)</w:t>
      </w:r>
      <w:r>
        <w:tab/>
      </w:r>
      <w:r w:rsidR="005F6F85" w:rsidRPr="00AE4943">
        <w:t>A licence issued in terms of this Chapter terminates</w:t>
      </w:r>
      <w:r>
        <w:t>—</w:t>
      </w:r>
    </w:p>
    <w:p w:rsidR="005F6F85" w:rsidRPr="00AE4943" w:rsidRDefault="005F6F85" w:rsidP="00AE4943">
      <w:pPr>
        <w:pStyle w:val="QUOTATION"/>
        <w:spacing w:after="120"/>
        <w:ind w:left="2160" w:hanging="720"/>
      </w:pPr>
      <w:bookmarkStart w:id="2" w:name="0-0-0-525815"/>
      <w:bookmarkEnd w:id="2"/>
      <w:r w:rsidRPr="00AE4943">
        <w:t>(a)</w:t>
      </w:r>
      <w:r w:rsidR="00DD2056">
        <w:tab/>
      </w:r>
      <w:r w:rsidRPr="00AE4943">
        <w:t>upon the expiry of the relevant period contemplated in section 27, unless renewed in terms of section 24;</w:t>
      </w:r>
    </w:p>
    <w:p w:rsidR="005F6F85" w:rsidRPr="00AE4943" w:rsidRDefault="005F6F85" w:rsidP="00AE4943">
      <w:pPr>
        <w:pStyle w:val="QUOTATION"/>
        <w:spacing w:after="120"/>
        <w:ind w:left="2160" w:hanging="720"/>
      </w:pPr>
      <w:bookmarkStart w:id="3" w:name="0-0-0-525817"/>
      <w:bookmarkEnd w:id="3"/>
      <w:r w:rsidRPr="00AE4943">
        <w:t>(b)</w:t>
      </w:r>
      <w:r w:rsidR="00DD2056">
        <w:tab/>
      </w:r>
      <w:r w:rsidRPr="00AE4943">
        <w:t>if surrendered by the holder of the licence to the Registrar;</w:t>
      </w:r>
    </w:p>
    <w:p w:rsidR="005F6F85" w:rsidRPr="00AE4943" w:rsidRDefault="005F6F85" w:rsidP="00AE4943">
      <w:pPr>
        <w:pStyle w:val="QUOTATION"/>
        <w:spacing w:after="120"/>
        <w:ind w:left="2160" w:hanging="720"/>
      </w:pPr>
      <w:bookmarkStart w:id="4" w:name="0-0-0-525819"/>
      <w:bookmarkEnd w:id="4"/>
      <w:r w:rsidRPr="00AE4943">
        <w:t>(c)</w:t>
      </w:r>
      <w:r w:rsidR="00DD2056">
        <w:tab/>
      </w:r>
      <w:r w:rsidRPr="00AE4943">
        <w:t>if the holder of the licence becomes or is declared unfit to possess a firearm in terms of section 102 or 103; or</w:t>
      </w:r>
    </w:p>
    <w:p w:rsidR="005F6F85" w:rsidRPr="00AE4943" w:rsidRDefault="005F6F85" w:rsidP="00AE4943">
      <w:pPr>
        <w:pStyle w:val="QUOTATION"/>
        <w:spacing w:after="120"/>
        <w:ind w:left="2160" w:hanging="720"/>
      </w:pPr>
      <w:bookmarkStart w:id="5" w:name="0-0-0-525821"/>
      <w:bookmarkEnd w:id="5"/>
      <w:r w:rsidRPr="00AE4943">
        <w:t>(d)</w:t>
      </w:r>
      <w:r w:rsidR="00DD2056">
        <w:tab/>
      </w:r>
      <w:r w:rsidRPr="00AE4943">
        <w:t>if it is cancelled in terms of this Act.</w:t>
      </w:r>
    </w:p>
    <w:p w:rsidR="005F6F85" w:rsidRPr="00AE4943" w:rsidRDefault="005F6F85" w:rsidP="00AE4943">
      <w:pPr>
        <w:pStyle w:val="QUOTATION"/>
        <w:spacing w:after="120"/>
        <w:ind w:left="1440" w:hanging="720"/>
      </w:pPr>
      <w:bookmarkStart w:id="6" w:name="0-0-0-525823"/>
      <w:bookmarkEnd w:id="6"/>
      <w:r w:rsidRPr="00AE4943">
        <w:t>(2)</w:t>
      </w:r>
      <w:r w:rsidR="00DD2056">
        <w:tab/>
      </w:r>
      <w:r w:rsidRPr="00AE4943">
        <w:t>The Registrar may, by notice in writing, cancel a licence issued in terms of this Chapter if the holder of the licence</w:t>
      </w:r>
      <w:r w:rsidR="00DD2056">
        <w:t>—</w:t>
      </w:r>
    </w:p>
    <w:p w:rsidR="005F6F85" w:rsidRPr="00AE4943" w:rsidRDefault="005F6F85" w:rsidP="00AE4943">
      <w:pPr>
        <w:pStyle w:val="QUOTATION"/>
        <w:spacing w:after="120"/>
        <w:ind w:left="2160" w:hanging="720"/>
      </w:pPr>
      <w:bookmarkStart w:id="7" w:name="0-0-0-525825"/>
      <w:bookmarkEnd w:id="7"/>
      <w:r w:rsidRPr="00AE4943">
        <w:t>(a)</w:t>
      </w:r>
      <w:r w:rsidR="00DD2056">
        <w:tab/>
      </w:r>
      <w:r w:rsidRPr="00AE4943">
        <w:t>no longer qualifies to hold the licence; or</w:t>
      </w:r>
    </w:p>
    <w:p w:rsidR="005F6F85" w:rsidRPr="00AE4943" w:rsidRDefault="005F6F85" w:rsidP="00AE4943">
      <w:pPr>
        <w:pStyle w:val="QUOTATION"/>
        <w:spacing w:after="120"/>
        <w:ind w:left="2160" w:hanging="720"/>
      </w:pPr>
      <w:bookmarkStart w:id="8" w:name="0-0-0-525827"/>
      <w:bookmarkEnd w:id="8"/>
      <w:r w:rsidRPr="00AE4943">
        <w:t>(b)</w:t>
      </w:r>
      <w:r w:rsidR="00DD2056">
        <w:tab/>
      </w:r>
      <w:r w:rsidRPr="00AE4943">
        <w:t>has contravened or failed to comply with any provision of this Act or any condition specified in the licence.</w:t>
      </w:r>
    </w:p>
    <w:p w:rsidR="005F6F85" w:rsidRPr="00AE4943" w:rsidRDefault="005F6F85" w:rsidP="00AE4943">
      <w:pPr>
        <w:pStyle w:val="QUOTATION"/>
        <w:spacing w:after="120"/>
        <w:ind w:left="1440" w:hanging="720"/>
      </w:pPr>
      <w:bookmarkStart w:id="9" w:name="0-0-0-525829"/>
      <w:bookmarkEnd w:id="9"/>
      <w:r w:rsidRPr="00AE4943">
        <w:t>(3)</w:t>
      </w:r>
      <w:r w:rsidR="00DD2056">
        <w:tab/>
      </w:r>
      <w:r w:rsidRPr="00AE4943">
        <w:t>A notice contemplated in subsection (2) may only be issued if the Registrar has</w:t>
      </w:r>
      <w:r w:rsidR="00DD2056">
        <w:t>—</w:t>
      </w:r>
    </w:p>
    <w:p w:rsidR="005F6F85" w:rsidRPr="00AE4943" w:rsidRDefault="005F6F85" w:rsidP="00AE4943">
      <w:pPr>
        <w:pStyle w:val="QUOTATION"/>
        <w:spacing w:after="120"/>
        <w:ind w:left="2160" w:hanging="720"/>
      </w:pPr>
      <w:bookmarkStart w:id="10" w:name="0-0-0-525831"/>
      <w:bookmarkEnd w:id="10"/>
      <w:r w:rsidRPr="00AE4943">
        <w:t>(a)</w:t>
      </w:r>
      <w:r w:rsidR="00DD2056">
        <w:tab/>
      </w:r>
      <w:r w:rsidRPr="00AE4943">
        <w:t>given the holder of the licence 30 days' notice in writing to submit written representations as to why the licence should not be cancelled; and</w:t>
      </w:r>
    </w:p>
    <w:p w:rsidR="005F6F85" w:rsidRPr="00AE4943" w:rsidRDefault="005F6F85" w:rsidP="00AE4943">
      <w:pPr>
        <w:pStyle w:val="QUOTATION"/>
        <w:spacing w:after="120"/>
        <w:ind w:left="2160" w:hanging="720"/>
      </w:pPr>
      <w:bookmarkStart w:id="11" w:name="0-0-0-525833"/>
      <w:bookmarkEnd w:id="11"/>
      <w:r w:rsidRPr="00AE4943">
        <w:t>(b)</w:t>
      </w:r>
      <w:r w:rsidR="00DD2056">
        <w:tab/>
      </w:r>
      <w:r w:rsidRPr="00AE4943">
        <w:t>duly considered any representations received and all the facts pertaining to the matter.</w:t>
      </w:r>
    </w:p>
    <w:p w:rsidR="009843AE" w:rsidRDefault="005F6F85" w:rsidP="00AE4943">
      <w:pPr>
        <w:pStyle w:val="QUOTATION"/>
        <w:spacing w:after="120"/>
        <w:ind w:left="2160" w:hanging="1440"/>
      </w:pPr>
      <w:bookmarkStart w:id="12" w:name="0-0-0-525835"/>
      <w:bookmarkEnd w:id="12"/>
      <w:r w:rsidRPr="00AE4943">
        <w:lastRenderedPageBreak/>
        <w:t>(4)</w:t>
      </w:r>
    </w:p>
    <w:p w:rsidR="005F6F85" w:rsidRPr="00AE4943" w:rsidRDefault="005F6F85" w:rsidP="00AE4943">
      <w:pPr>
        <w:pStyle w:val="QUOTATION"/>
        <w:spacing w:after="120"/>
        <w:ind w:left="2160" w:hanging="720"/>
      </w:pPr>
      <w:bookmarkStart w:id="13" w:name="0-0-0-525837"/>
      <w:bookmarkEnd w:id="13"/>
      <w:r w:rsidRPr="00AE4943">
        <w:t>(a)</w:t>
      </w:r>
      <w:r w:rsidR="009843AE">
        <w:tab/>
      </w:r>
      <w:r w:rsidRPr="00AE4943">
        <w:t>If a notice contemplated in subsection (2) is issued, the former holder of the licence must dispose of the firearm in question through a dealer or in such manner as the Registrar may determine.</w:t>
      </w:r>
    </w:p>
    <w:p w:rsidR="005F6F85" w:rsidRPr="00AE4943" w:rsidRDefault="005F6F85" w:rsidP="00AE4943">
      <w:pPr>
        <w:pStyle w:val="QUOTATION"/>
        <w:spacing w:after="120"/>
        <w:ind w:left="2160" w:hanging="720"/>
      </w:pPr>
      <w:bookmarkStart w:id="14" w:name="0-0-0-525839"/>
      <w:bookmarkEnd w:id="14"/>
      <w:r w:rsidRPr="00AE4943">
        <w:t>(b)</w:t>
      </w:r>
      <w:r w:rsidR="009843AE">
        <w:tab/>
      </w:r>
      <w:r w:rsidRPr="00AE4943">
        <w:t>The disposal must take place within 60 days after receipt of the notice.</w:t>
      </w:r>
    </w:p>
    <w:p w:rsidR="005F6F85" w:rsidRPr="00AE4943" w:rsidRDefault="005F6F85" w:rsidP="00AE4943">
      <w:pPr>
        <w:pStyle w:val="QUOTATION"/>
        <w:spacing w:after="120"/>
        <w:ind w:left="1440" w:hanging="720"/>
      </w:pPr>
      <w:bookmarkStart w:id="15" w:name="0-0-0-525841"/>
      <w:bookmarkEnd w:id="15"/>
      <w:r w:rsidRPr="00AE4943">
        <w:t>(5)</w:t>
      </w:r>
      <w:r w:rsidR="009843AE">
        <w:tab/>
      </w:r>
      <w:r w:rsidR="00DD2056">
        <w:t>I</w:t>
      </w:r>
      <w:r w:rsidRPr="00AE4943">
        <w:t>f the firearm is not disposed of within 60 days, it must be forfeited to the State and the former holder of the licence must surrender it immediately at such place and in such manner as the Registrar may determine.</w:t>
      </w:r>
    </w:p>
    <w:p w:rsidR="00C726B5" w:rsidRPr="00C726B5" w:rsidRDefault="005F6F85" w:rsidP="00AE4943">
      <w:pPr>
        <w:pStyle w:val="QUOTATION"/>
        <w:spacing w:after="120"/>
        <w:ind w:left="1440" w:hanging="720"/>
      </w:pPr>
      <w:bookmarkStart w:id="16" w:name="0-0-0-525843"/>
      <w:bookmarkEnd w:id="16"/>
      <w:r w:rsidRPr="00AE4943">
        <w:t>(6)</w:t>
      </w:r>
      <w:r w:rsidR="009843AE">
        <w:tab/>
      </w:r>
      <w:r w:rsidRPr="00AE4943">
        <w:t>Any period contemplated in this section may be extended by the Registrar on good cause shown.</w:t>
      </w:r>
      <w:r w:rsidR="00DD2056">
        <w:t>”</w:t>
      </w:r>
    </w:p>
    <w:p w:rsidR="008251D8" w:rsidRDefault="008251D8" w:rsidP="008251D8">
      <w:pPr>
        <w:pStyle w:val="JUDGMENTNUMBERED"/>
        <w:numPr>
          <w:ilvl w:val="0"/>
          <w:numId w:val="0"/>
        </w:numPr>
      </w:pPr>
    </w:p>
    <w:p w:rsidR="00C726B5" w:rsidRPr="00C726B5" w:rsidRDefault="00C726B5" w:rsidP="00AE4943">
      <w:pPr>
        <w:pStyle w:val="HEADING"/>
      </w:pPr>
      <w:r w:rsidRPr="00C726B5">
        <w:t>Court proceedings</w:t>
      </w:r>
    </w:p>
    <w:p w:rsidR="00C726B5" w:rsidRDefault="00C726B5" w:rsidP="00C726B5">
      <w:pPr>
        <w:pStyle w:val="JUDGMENTNUMBERED"/>
      </w:pPr>
      <w:r>
        <w:t>The respondent</w:t>
      </w:r>
      <w:r w:rsidR="00136E36">
        <w:t>, South African Hunters and Game Conservation Association</w:t>
      </w:r>
      <w:r>
        <w:t xml:space="preserve"> (SA</w:t>
      </w:r>
      <w:r w:rsidR="00136E36">
        <w:t> </w:t>
      </w:r>
      <w:r>
        <w:t>Hunters) brought an application to have sections 24 and 28</w:t>
      </w:r>
      <w:r w:rsidR="00FF705D">
        <w:t xml:space="preserve"> declared constitutionally invalid in the High Court</w:t>
      </w:r>
      <w:r w:rsidR="005C3B11">
        <w:t xml:space="preserve"> of South Africa</w:t>
      </w:r>
      <w:r w:rsidR="001E7124">
        <w:t>, Gauteng Division, Pretoria</w:t>
      </w:r>
      <w:r w:rsidR="005C3B11">
        <w:t xml:space="preserve"> (High Court)</w:t>
      </w:r>
      <w:r w:rsidR="00FF705D">
        <w:t>.</w:t>
      </w:r>
      <w:r w:rsidR="00FF705D">
        <w:rPr>
          <w:rStyle w:val="FootnoteReference"/>
        </w:rPr>
        <w:footnoteReference w:id="7"/>
      </w:r>
      <w:r>
        <w:t xml:space="preserve"> </w:t>
      </w:r>
      <w:r w:rsidR="00A21429">
        <w:t xml:space="preserve"> </w:t>
      </w:r>
      <w:r>
        <w:t>The original application before the High Court also sought other forms of relief, but these were abandoned in the High Court.</w:t>
      </w:r>
    </w:p>
    <w:p w:rsidR="00C726B5" w:rsidRDefault="00C726B5" w:rsidP="00C726B5">
      <w:pPr>
        <w:pStyle w:val="JUDGMENTCONTINUED"/>
      </w:pPr>
    </w:p>
    <w:p w:rsidR="008251D8" w:rsidRDefault="00C726B5" w:rsidP="000E5D78">
      <w:pPr>
        <w:pStyle w:val="JUDGMENTNUMBERED"/>
      </w:pPr>
      <w:r w:rsidRPr="00C726B5">
        <w:t>The High Court found the two provisions to be constitutionally invalid on three grounds: (1) irrationality and vagueness; (2) breaching the right of equality; and (3) violating the protection of property rights in section 25 of the Constitution.</w:t>
      </w:r>
      <w:r w:rsidR="00884CCC">
        <w:t xml:space="preserve">  With respect to irrationality and vagueness it found that there was no “r</w:t>
      </w:r>
      <w:r w:rsidR="00884CCC" w:rsidRPr="00884CCC">
        <w:t>ational nexus between the legislative scheme and the pursuit of a legitimate government purpose that could explain the discrepancies in procedure</w:t>
      </w:r>
      <w:r w:rsidR="00884CCC">
        <w:t>”, and that</w:t>
      </w:r>
      <w:r w:rsidR="00D0525F">
        <w:t xml:space="preserve"> the</w:t>
      </w:r>
      <w:r w:rsidR="00884CCC">
        <w:t xml:space="preserve"> “</w:t>
      </w:r>
      <w:r w:rsidR="00884CCC" w:rsidRPr="00884CCC">
        <w:t>mere fact that no proper procedure is set out to bring oneself back under a scheme of legality, nor provide for a procedure to surrender a firearm for value or otherwise, points to irrationality and vagueness</w:t>
      </w:r>
      <w:r w:rsidR="00884CCC">
        <w:t>”.</w:t>
      </w:r>
      <w:r w:rsidR="00884CCC">
        <w:rPr>
          <w:rStyle w:val="FootnoteReference"/>
        </w:rPr>
        <w:footnoteReference w:id="8"/>
      </w:r>
      <w:r w:rsidR="00884CCC">
        <w:t xml:space="preserve">  With </w:t>
      </w:r>
      <w:r w:rsidR="00387DDB">
        <w:t xml:space="preserve">regard </w:t>
      </w:r>
      <w:r w:rsidR="00884CCC">
        <w:t xml:space="preserve">to breaching the right of equality it held </w:t>
      </w:r>
      <w:r w:rsidR="00884CCC">
        <w:lastRenderedPageBreak/>
        <w:t xml:space="preserve">that the provisions </w:t>
      </w:r>
      <w:r w:rsidR="00F92A38">
        <w:t xml:space="preserve">of the Act </w:t>
      </w:r>
      <w:r w:rsidR="00884CCC">
        <w:t>violated the equality provisions in</w:t>
      </w:r>
      <w:r w:rsidR="007C4BF4">
        <w:t xml:space="preserve"> the</w:t>
      </w:r>
      <w:r w:rsidR="00884CCC">
        <w:t xml:space="preserve"> Bill of Rights on the basis that the legislative scheme provided for differential treatment between gun owners protected under the interim order and those who were not.</w:t>
      </w:r>
      <w:r w:rsidR="007E251C">
        <w:rPr>
          <w:rStyle w:val="FootnoteReference"/>
        </w:rPr>
        <w:footnoteReference w:id="9"/>
      </w:r>
      <w:r w:rsidR="00884CCC">
        <w:t xml:space="preserve">  Lastly</w:t>
      </w:r>
      <w:r w:rsidR="00D0525F">
        <w:t>,</w:t>
      </w:r>
      <w:r w:rsidR="00884CCC">
        <w:t xml:space="preserve"> </w:t>
      </w:r>
      <w:r w:rsidR="00387DDB">
        <w:t xml:space="preserve">in </w:t>
      </w:r>
      <w:r w:rsidR="00884CCC">
        <w:t xml:space="preserve">respect </w:t>
      </w:r>
      <w:r w:rsidR="00387DDB">
        <w:t xml:space="preserve">of </w:t>
      </w:r>
      <w:r w:rsidR="00884CCC">
        <w:t xml:space="preserve">the </w:t>
      </w:r>
      <w:r w:rsidR="00D52F9F">
        <w:t>violation of section 25</w:t>
      </w:r>
      <w:r w:rsidR="00D0525F">
        <w:t>,</w:t>
      </w:r>
      <w:r w:rsidR="00D52F9F">
        <w:t xml:space="preserve"> </w:t>
      </w:r>
      <w:r w:rsidR="00F92A38">
        <w:t>the High Court</w:t>
      </w:r>
      <w:r w:rsidR="00526D46">
        <w:t xml:space="preserve"> reasoned that the absence of</w:t>
      </w:r>
      <w:r w:rsidR="00D52F9F">
        <w:t xml:space="preserve"> a proper procedure for surre</w:t>
      </w:r>
      <w:r w:rsidR="00F15957">
        <w:t>ndering the firearm after the ef</w:t>
      </w:r>
      <w:r w:rsidR="00D52F9F">
        <w:t>flu</w:t>
      </w:r>
      <w:r w:rsidR="00D0525F">
        <w:t>x</w:t>
      </w:r>
      <w:r w:rsidR="00D52F9F">
        <w:t>ion of the licence perio</w:t>
      </w:r>
      <w:r w:rsidR="00F15957">
        <w:t>d amounted to an arbitrary depri</w:t>
      </w:r>
      <w:r w:rsidR="00D52F9F">
        <w:t xml:space="preserve">vation of property contrary to the principle set out in </w:t>
      </w:r>
      <w:r w:rsidR="00D52F9F" w:rsidRPr="00F15957">
        <w:rPr>
          <w:i/>
        </w:rPr>
        <w:t>FNB</w:t>
      </w:r>
      <w:r w:rsidR="00D52F9F">
        <w:t>,</w:t>
      </w:r>
      <w:r w:rsidR="00D52F9F">
        <w:rPr>
          <w:rStyle w:val="FootnoteReference"/>
        </w:rPr>
        <w:footnoteReference w:id="10"/>
      </w:r>
      <w:r w:rsidR="00D52F9F">
        <w:t xml:space="preserve"> </w:t>
      </w:r>
      <w:r w:rsidR="00D0525F">
        <w:t>and</w:t>
      </w:r>
      <w:r w:rsidR="00D52F9F">
        <w:t xml:space="preserve"> the absence of a regime for surrendering the firearm for value amounted to a violation of the right to property in terms of section 25.</w:t>
      </w:r>
      <w:r w:rsidR="00D52F9F">
        <w:rPr>
          <w:rStyle w:val="FootnoteReference"/>
        </w:rPr>
        <w:footnoteReference w:id="11"/>
      </w:r>
      <w:r w:rsidRPr="00C726B5">
        <w:t xml:space="preserve"> </w:t>
      </w:r>
      <w:r w:rsidR="00FF705D">
        <w:t xml:space="preserve"> It gave Parliament </w:t>
      </w:r>
      <w:r w:rsidR="00CF75AD">
        <w:t>18 months within which to cure the defect and declared all firearm</w:t>
      </w:r>
      <w:r w:rsidR="0089769F">
        <w:t xml:space="preserve"> licences</w:t>
      </w:r>
      <w:r w:rsidR="00CF75AD">
        <w:t xml:space="preserve"> which are or were to be renewed in terms of section</w:t>
      </w:r>
      <w:r w:rsidR="00F92A38">
        <w:t> </w:t>
      </w:r>
      <w:r w:rsidR="00CF75AD">
        <w:t>24 to be deemed valid until this Court’s final determination of the constitutional validity of the sections.</w:t>
      </w:r>
    </w:p>
    <w:p w:rsidR="000E5D78" w:rsidRPr="000E5D78" w:rsidRDefault="000E5D78" w:rsidP="000E5D78">
      <w:pPr>
        <w:pStyle w:val="JUDGMENTCONTINUED"/>
      </w:pPr>
    </w:p>
    <w:p w:rsidR="00C30559" w:rsidRDefault="00CF75AD" w:rsidP="00C30559">
      <w:pPr>
        <w:pStyle w:val="JUDGMENTNUMBERED"/>
      </w:pPr>
      <w:r>
        <w:t>Before the High Court order has any force it must be confirmed</w:t>
      </w:r>
      <w:r w:rsidR="00557BE9">
        <w:t xml:space="preserve"> by this Court.</w:t>
      </w:r>
      <w:r w:rsidR="00557BE9">
        <w:rPr>
          <w:rStyle w:val="FootnoteReference"/>
        </w:rPr>
        <w:footnoteReference w:id="12"/>
      </w:r>
      <w:r w:rsidR="00557BE9">
        <w:t xml:space="preserve"> The applicant</w:t>
      </w:r>
      <w:r w:rsidR="006C61A8">
        <w:t>, the Minister of Safety and Security</w:t>
      </w:r>
      <w:r w:rsidR="00557BE9">
        <w:t xml:space="preserve"> (Minister)</w:t>
      </w:r>
      <w:r w:rsidR="006C61A8">
        <w:t>,</w:t>
      </w:r>
      <w:r w:rsidR="00557BE9">
        <w:t xml:space="preserve"> has</w:t>
      </w:r>
      <w:r w:rsidR="006C61A8">
        <w:t>,</w:t>
      </w:r>
      <w:r w:rsidR="00557BE9">
        <w:t xml:space="preserve"> in any event</w:t>
      </w:r>
      <w:r w:rsidR="006C61A8">
        <w:t>,</w:t>
      </w:r>
      <w:r w:rsidR="00557BE9">
        <w:t xml:space="preserve"> lodged an appeal against the order.</w:t>
      </w:r>
      <w:r w:rsidR="00557BE9">
        <w:rPr>
          <w:rStyle w:val="FootnoteReference"/>
        </w:rPr>
        <w:footnoteReference w:id="13"/>
      </w:r>
      <w:r w:rsidR="00557BE9">
        <w:t xml:space="preserve"> </w:t>
      </w:r>
      <w:r w:rsidR="00A21429">
        <w:t xml:space="preserve"> </w:t>
      </w:r>
      <w:r w:rsidR="000E5D78">
        <w:t>SA Hunters seeks confirmation of the order.</w:t>
      </w:r>
    </w:p>
    <w:p w:rsidR="000E5D78" w:rsidRPr="000E5D78" w:rsidRDefault="000E5D78" w:rsidP="000E5D78">
      <w:pPr>
        <w:pStyle w:val="JUDGMENTCONTINUED"/>
      </w:pPr>
    </w:p>
    <w:p w:rsidR="00557BE9" w:rsidRDefault="004A7FAB" w:rsidP="004A7FAB">
      <w:pPr>
        <w:pStyle w:val="JUDGMENTNUMBERED"/>
      </w:pPr>
      <w:r>
        <w:t>Two other parties, Fidelity Security</w:t>
      </w:r>
      <w:r w:rsidR="006C61A8">
        <w:t xml:space="preserve"> Services (Pty) Ltd (Fidelity Security)</w:t>
      </w:r>
      <w:r>
        <w:t xml:space="preserve"> and Gun Free S</w:t>
      </w:r>
      <w:r w:rsidR="006C61A8">
        <w:t xml:space="preserve">outh </w:t>
      </w:r>
      <w:r>
        <w:t>A</w:t>
      </w:r>
      <w:r w:rsidR="006C61A8">
        <w:t>frica NPO (Gun Free SA)</w:t>
      </w:r>
      <w:r>
        <w:t xml:space="preserve">, </w:t>
      </w:r>
      <w:r w:rsidR="00387DDB">
        <w:t xml:space="preserve">applied to be </w:t>
      </w:r>
      <w:r>
        <w:t xml:space="preserve">admitted as </w:t>
      </w:r>
      <w:r w:rsidR="0006668E">
        <w:t>amici curiae (</w:t>
      </w:r>
      <w:r>
        <w:t>friends of the court).</w:t>
      </w:r>
      <w:r>
        <w:rPr>
          <w:rStyle w:val="FootnoteReference"/>
        </w:rPr>
        <w:footnoteReference w:id="14"/>
      </w:r>
      <w:r w:rsidR="00A21429">
        <w:t xml:space="preserve"> </w:t>
      </w:r>
      <w:r w:rsidR="00C30559">
        <w:t xml:space="preserve"> </w:t>
      </w:r>
      <w:r w:rsidR="002424D1">
        <w:t xml:space="preserve">Fidelity Security argued that only section 24(1) of the Act was unconstitutional. </w:t>
      </w:r>
      <w:r w:rsidR="00A21429">
        <w:t xml:space="preserve"> </w:t>
      </w:r>
      <w:r w:rsidR="002424D1">
        <w:t xml:space="preserve">In the alternative, it asked the </w:t>
      </w:r>
      <w:r w:rsidR="003C42A6">
        <w:t>C</w:t>
      </w:r>
      <w:r w:rsidR="002424D1">
        <w:t>ourt to</w:t>
      </w:r>
      <w:r w:rsidR="00B92A9C">
        <w:t xml:space="preserve"> declare</w:t>
      </w:r>
      <w:r w:rsidR="002424D1">
        <w:t>, first, that section</w:t>
      </w:r>
      <w:r w:rsidR="00F92A38">
        <w:t> </w:t>
      </w:r>
      <w:r w:rsidR="002424D1">
        <w:t>28(6) allowed the period of validity of a licence to be extended and</w:t>
      </w:r>
      <w:r w:rsidR="00F92A38">
        <w:t>,</w:t>
      </w:r>
      <w:r w:rsidR="002424D1">
        <w:t xml:space="preserve"> second, that applicants for firearm licences should be allowed to submit late applications and should be issued with temporary licences in accordance with section 21 when they </w:t>
      </w:r>
      <w:r w:rsidR="006C61A8">
        <w:t xml:space="preserve">do </w:t>
      </w:r>
      <w:r w:rsidR="002424D1">
        <w:t>so.</w:t>
      </w:r>
      <w:r w:rsidR="00B92A9C">
        <w:t xml:space="preserve"> </w:t>
      </w:r>
      <w:r w:rsidR="006C61A8">
        <w:t xml:space="preserve"> </w:t>
      </w:r>
      <w:r w:rsidR="0058321D">
        <w:t>Gun Free </w:t>
      </w:r>
      <w:r w:rsidR="00B92A9C">
        <w:t xml:space="preserve">SA argued that sections 24 and 28 are not unconstitutional and drew the Court’s attention to the international law obligations of South Africa in relation to </w:t>
      </w:r>
      <w:r w:rsidR="00B92A9C">
        <w:lastRenderedPageBreak/>
        <w:t>firearms control.</w:t>
      </w:r>
      <w:r w:rsidR="002424D1">
        <w:t xml:space="preserve"> </w:t>
      </w:r>
      <w:r w:rsidR="003C42A6">
        <w:t xml:space="preserve"> Both Fidelity Security and Gun Free SA’s arguments were of value to this Court and it is in the interests of justice to admit them as amic</w:t>
      </w:r>
      <w:r w:rsidR="006C61A8">
        <w:t>i</w:t>
      </w:r>
      <w:r w:rsidR="003C42A6">
        <w:t xml:space="preserve"> curiae.</w:t>
      </w:r>
    </w:p>
    <w:p w:rsidR="000E5D78" w:rsidRDefault="000E5D78" w:rsidP="000E5D78">
      <w:pPr>
        <w:pStyle w:val="JUDGMENTCONTINUED"/>
      </w:pPr>
    </w:p>
    <w:p w:rsidR="000E5D78" w:rsidRPr="000E5D78" w:rsidRDefault="000E5D78" w:rsidP="000E5D78">
      <w:pPr>
        <w:pStyle w:val="JUDGMENTNUMBERED"/>
      </w:pPr>
      <w:r>
        <w:t>At issue then is the constitutional validity of sections 24 and 28 of the Act.</w:t>
      </w:r>
    </w:p>
    <w:p w:rsidR="004A7FAB" w:rsidRDefault="004A7FAB" w:rsidP="004A7FAB">
      <w:pPr>
        <w:pStyle w:val="JUDGMENTCONTINUED"/>
      </w:pPr>
    </w:p>
    <w:p w:rsidR="00A71ED6" w:rsidRPr="00A71ED6" w:rsidRDefault="00A71ED6" w:rsidP="00AE4943">
      <w:pPr>
        <w:pStyle w:val="HEADING"/>
      </w:pPr>
      <w:r>
        <w:t>Background</w:t>
      </w:r>
    </w:p>
    <w:p w:rsidR="00860C4E" w:rsidRDefault="00C30559" w:rsidP="000C38CF">
      <w:pPr>
        <w:pStyle w:val="JUDGMENTNUMBERED"/>
      </w:pPr>
      <w:r>
        <w:t xml:space="preserve">The Act breaks from the past. </w:t>
      </w:r>
      <w:r w:rsidR="0049469B">
        <w:t xml:space="preserve"> </w:t>
      </w:r>
      <w:r w:rsidRPr="00F92A38">
        <w:t>Under the previous Act</w:t>
      </w:r>
      <w:r w:rsidRPr="00F92A38">
        <w:rPr>
          <w:rStyle w:val="FootnoteReference"/>
        </w:rPr>
        <w:footnoteReference w:id="15"/>
      </w:r>
      <w:r w:rsidRPr="00A01C6C">
        <w:t xml:space="preserve"> a licence to possess a firearm lasted for life</w:t>
      </w:r>
      <w:r w:rsidR="0049469B" w:rsidRPr="00BC147A">
        <w:t xml:space="preserve"> (old order licence)</w:t>
      </w:r>
      <w:r w:rsidRPr="00BC147A">
        <w:t>.</w:t>
      </w:r>
      <w:r>
        <w:t xml:space="preserve"> </w:t>
      </w:r>
      <w:r w:rsidR="00FF7988">
        <w:t xml:space="preserve"> </w:t>
      </w:r>
      <w:r>
        <w:t xml:space="preserve">The Act changed this. </w:t>
      </w:r>
      <w:r w:rsidR="0049469B">
        <w:t xml:space="preserve"> </w:t>
      </w:r>
      <w:r>
        <w:t xml:space="preserve">Each person wishing to own or possess a firearm must first </w:t>
      </w:r>
      <w:r w:rsidR="006C61A8">
        <w:t xml:space="preserve">possess </w:t>
      </w:r>
      <w:r>
        <w:t>a competency certificate.</w:t>
      </w:r>
      <w:r>
        <w:rPr>
          <w:rStyle w:val="FootnoteReference"/>
        </w:rPr>
        <w:footnoteReference w:id="16"/>
      </w:r>
      <w:r>
        <w:t xml:space="preserve"> </w:t>
      </w:r>
      <w:r w:rsidR="00FF7988">
        <w:t xml:space="preserve"> </w:t>
      </w:r>
      <w:r w:rsidR="00164113">
        <w:t>Competency certificates expire after periods of two, five or ten years, depending on the nature of the firearm licence.</w:t>
      </w:r>
      <w:r w:rsidR="00164113">
        <w:rPr>
          <w:rStyle w:val="FootnoteReference"/>
        </w:rPr>
        <w:footnoteReference w:id="17"/>
      </w:r>
    </w:p>
    <w:p w:rsidR="00164113" w:rsidRDefault="00164113" w:rsidP="00164113">
      <w:pPr>
        <w:pStyle w:val="JUDGMENTCONTINUED"/>
      </w:pPr>
    </w:p>
    <w:p w:rsidR="00164113" w:rsidRDefault="00164113" w:rsidP="00164113">
      <w:pPr>
        <w:pStyle w:val="JUDGMENTNUMBERED"/>
      </w:pPr>
      <w:r>
        <w:t>Schedule 1 of the Act contains provisions for the transition from the previous Act to the present one.</w:t>
      </w:r>
      <w:r w:rsidR="00FB1191">
        <w:t xml:space="preserve"> </w:t>
      </w:r>
      <w:r w:rsidR="0049469B">
        <w:t xml:space="preserve"> </w:t>
      </w:r>
      <w:r w:rsidR="00FB1191">
        <w:t xml:space="preserve">Item 1 of the schedule </w:t>
      </w:r>
      <w:r w:rsidR="000F7191">
        <w:t>allow</w:t>
      </w:r>
      <w:r w:rsidR="0046233D">
        <w:t>ed</w:t>
      </w:r>
      <w:r w:rsidR="000F7191">
        <w:t xml:space="preserve"> previous licence </w:t>
      </w:r>
      <w:r w:rsidR="0046233D">
        <w:t>holders</w:t>
      </w:r>
      <w:r w:rsidR="000F7191">
        <w:t xml:space="preserve"> a </w:t>
      </w:r>
      <w:r w:rsidR="00031172">
        <w:t>five</w:t>
      </w:r>
      <w:r w:rsidR="00A01C6C">
        <w:noBreakHyphen/>
      </w:r>
      <w:r w:rsidR="00031172">
        <w:t>year licence</w:t>
      </w:r>
      <w:r w:rsidR="0046233D">
        <w:t>, which had to be renewed, on application,</w:t>
      </w:r>
      <w:r w:rsidR="00031172">
        <w:t xml:space="preserve"> </w:t>
      </w:r>
      <w:r w:rsidR="00A01C6C">
        <w:t xml:space="preserve">at least </w:t>
      </w:r>
      <w:r w:rsidR="00031172">
        <w:t xml:space="preserve">90 days prior to expiry of the </w:t>
      </w:r>
      <w:r w:rsidR="0049469B">
        <w:t>five</w:t>
      </w:r>
      <w:r w:rsidR="006C61A8">
        <w:t>-</w:t>
      </w:r>
      <w:r w:rsidR="00031172">
        <w:t>year</w:t>
      </w:r>
      <w:r w:rsidR="000F7191">
        <w:t xml:space="preserve"> period</w:t>
      </w:r>
      <w:r w:rsidR="0046233D">
        <w:t>.</w:t>
      </w:r>
      <w:r w:rsidR="00FB1191">
        <w:t xml:space="preserve"> </w:t>
      </w:r>
      <w:r w:rsidR="003F6DB5">
        <w:t xml:space="preserve"> </w:t>
      </w:r>
      <w:r w:rsidR="00FB1191">
        <w:t>Old order licences remained</w:t>
      </w:r>
      <w:r w:rsidR="003C42A6">
        <w:t xml:space="preserve"> valid</w:t>
      </w:r>
      <w:r w:rsidR="00FB1191">
        <w:t xml:space="preserve"> pending the outcome of renewal applications, including internal reviews to an appeal board or High Court reviews.</w:t>
      </w:r>
    </w:p>
    <w:p w:rsidR="00FB1191" w:rsidRDefault="00FB1191" w:rsidP="00FB1191">
      <w:pPr>
        <w:pStyle w:val="JUDGMENTCONTINUED"/>
      </w:pPr>
    </w:p>
    <w:p w:rsidR="00FB1191" w:rsidRDefault="00FB1191" w:rsidP="00FB1191">
      <w:pPr>
        <w:pStyle w:val="JUDGMENTNUMBERED"/>
      </w:pPr>
      <w:r>
        <w:t xml:space="preserve">Many old order licence holders complied with the transitional provisions. </w:t>
      </w:r>
      <w:r w:rsidR="00FF7988">
        <w:t xml:space="preserve"> </w:t>
      </w:r>
      <w:r>
        <w:t xml:space="preserve">Others </w:t>
      </w:r>
      <w:r w:rsidR="0046233D">
        <w:t>failed to</w:t>
      </w:r>
      <w:r>
        <w:t>.</w:t>
      </w:r>
      <w:r w:rsidR="00FF7988">
        <w:t xml:space="preserve"> </w:t>
      </w:r>
      <w:r>
        <w:t xml:space="preserve"> In earlier litigation</w:t>
      </w:r>
      <w:r w:rsidR="0049243C">
        <w:t xml:space="preserve"> brought in 2009</w:t>
      </w:r>
      <w:r w:rsidR="00BA4D1D">
        <w:t>,</w:t>
      </w:r>
      <w:r w:rsidR="0049243C">
        <w:t xml:space="preserve"> </w:t>
      </w:r>
      <w:r>
        <w:t xml:space="preserve">SA Hunters challenged the validity of </w:t>
      </w:r>
      <w:r w:rsidR="0049243C">
        <w:t>the transitional regime and obtained an urgent interim order deeming all firearm licences in sub-item 1 of item 1 of the schedule valid until determination of the main application.</w:t>
      </w:r>
      <w:r w:rsidR="00FF7988">
        <w:t xml:space="preserve"> </w:t>
      </w:r>
      <w:r w:rsidR="0049243C">
        <w:t xml:space="preserve"> SA Hunters </w:t>
      </w:r>
      <w:r w:rsidR="00D0525F">
        <w:t xml:space="preserve">appears not to </w:t>
      </w:r>
      <w:r w:rsidR="0049243C">
        <w:t>have pursued a final order in the 2009 application.</w:t>
      </w:r>
      <w:r w:rsidR="0049243C">
        <w:rPr>
          <w:rStyle w:val="FootnoteReference"/>
        </w:rPr>
        <w:footnoteReference w:id="18"/>
      </w:r>
    </w:p>
    <w:p w:rsidR="00FB51BE" w:rsidRDefault="00FB51BE" w:rsidP="00FB51BE">
      <w:pPr>
        <w:pStyle w:val="JUDGMENTCONTINUED"/>
      </w:pPr>
    </w:p>
    <w:p w:rsidR="00433E1D" w:rsidRDefault="00FB51BE" w:rsidP="00433E1D">
      <w:pPr>
        <w:pStyle w:val="JUDGMENTNUMBERED"/>
      </w:pPr>
      <w:r>
        <w:t xml:space="preserve">Much of SA Hunters’ founding papers in the High Court </w:t>
      </w:r>
      <w:r w:rsidR="00A71ED6">
        <w:t xml:space="preserve">focused on alleged problems and complaints about the administration of the Act. </w:t>
      </w:r>
      <w:r w:rsidR="00FF7988">
        <w:t xml:space="preserve"> </w:t>
      </w:r>
      <w:r w:rsidR="00A71ED6">
        <w:t xml:space="preserve">It initially sought various orders in relation to the implementation of </w:t>
      </w:r>
      <w:r w:rsidR="00076539">
        <w:t xml:space="preserve">the </w:t>
      </w:r>
      <w:r w:rsidR="00A71ED6">
        <w:t>Act which, in the end, it abandoned.</w:t>
      </w:r>
      <w:r w:rsidR="00FF7988">
        <w:t xml:space="preserve"> </w:t>
      </w:r>
      <w:r w:rsidR="00A71ED6">
        <w:t xml:space="preserve"> What is before us is only the challenge to the statutory provisions themselves, not the complaint about tardy implementation. </w:t>
      </w:r>
      <w:r w:rsidR="00FF7988">
        <w:t xml:space="preserve"> </w:t>
      </w:r>
      <w:r w:rsidR="00A71ED6">
        <w:t>While the apparent problems in the administration of the Act are cause for legitimate concern, it is not relevant to a proper interpretation of the impugned provisions of the Act.</w:t>
      </w:r>
    </w:p>
    <w:p w:rsidR="00841581" w:rsidRDefault="00841581" w:rsidP="00841581">
      <w:pPr>
        <w:pStyle w:val="JUDGMENTCONTINUED"/>
      </w:pPr>
    </w:p>
    <w:p w:rsidR="000013F5" w:rsidRDefault="000E5D78" w:rsidP="00AE4943">
      <w:pPr>
        <w:pStyle w:val="HEADING"/>
      </w:pPr>
      <w:r>
        <w:t>Vagueness and rationality</w:t>
      </w:r>
    </w:p>
    <w:p w:rsidR="006E14BA" w:rsidRDefault="000013F5" w:rsidP="000013F5">
      <w:pPr>
        <w:pStyle w:val="JUDGMENTNUMBERED"/>
      </w:pPr>
      <w:r>
        <w:t>The r</w:t>
      </w:r>
      <w:r w:rsidR="001523F4">
        <w:t>equirements that legislation</w:t>
      </w:r>
      <w:r>
        <w:t xml:space="preserve"> must be rational and not vague are incidents that flow from the rule of law</w:t>
      </w:r>
      <w:r w:rsidR="00A42130">
        <w:t>, in particular</w:t>
      </w:r>
      <w:r>
        <w:t xml:space="preserve"> the principle of legality</w:t>
      </w:r>
      <w:r w:rsidR="001523F4">
        <w:t>.</w:t>
      </w:r>
      <w:r w:rsidR="001523F4">
        <w:rPr>
          <w:rStyle w:val="FootnoteReference"/>
        </w:rPr>
        <w:footnoteReference w:id="19"/>
      </w:r>
      <w:r w:rsidR="001523F4">
        <w:t xml:space="preserve"> </w:t>
      </w:r>
      <w:r w:rsidR="00FF7988">
        <w:t xml:space="preserve"> </w:t>
      </w:r>
      <w:r w:rsidR="001523F4">
        <w:t>They are minimum thresholds to pass before a legislative provision can qualify as law.</w:t>
      </w:r>
    </w:p>
    <w:p w:rsidR="006E14BA" w:rsidRDefault="006E14BA" w:rsidP="006E14BA">
      <w:pPr>
        <w:pStyle w:val="JUDGMENTNUMBERED"/>
        <w:numPr>
          <w:ilvl w:val="0"/>
          <w:numId w:val="0"/>
        </w:numPr>
      </w:pPr>
    </w:p>
    <w:p w:rsidR="000013F5" w:rsidRDefault="006E14BA" w:rsidP="000013F5">
      <w:pPr>
        <w:pStyle w:val="JUDGMENTNUMBERED"/>
      </w:pPr>
      <w:r>
        <w:t>Rationality review is concerned with the evaluation of a relationship between means and ends, namely whether the means selected are rationally related to the objective</w:t>
      </w:r>
      <w:r w:rsidR="000B4518">
        <w:t>s</w:t>
      </w:r>
      <w:r>
        <w:t xml:space="preserve"> sought to be achieved.</w:t>
      </w:r>
      <w:r w:rsidR="00FF7988">
        <w:t xml:space="preserve"> </w:t>
      </w:r>
      <w:r>
        <w:t xml:space="preserve"> The aim of the evaluation is not to determine whether some means will achieve the purpose better, only whether the selected one could also rationally achieve the </w:t>
      </w:r>
      <w:r w:rsidR="007B7623">
        <w:t xml:space="preserve">same </w:t>
      </w:r>
      <w:r>
        <w:t>end.</w:t>
      </w:r>
      <w:r>
        <w:rPr>
          <w:rStyle w:val="FootnoteReference"/>
        </w:rPr>
        <w:footnoteReference w:id="20"/>
      </w:r>
    </w:p>
    <w:p w:rsidR="007B7623" w:rsidRDefault="007B7623" w:rsidP="007B7623">
      <w:pPr>
        <w:pStyle w:val="JUDGMENTCONTINUED"/>
      </w:pPr>
    </w:p>
    <w:p w:rsidR="007B7623" w:rsidRDefault="0034255C" w:rsidP="007B7623">
      <w:pPr>
        <w:pStyle w:val="JUDGMENTNUMBERED"/>
      </w:pPr>
      <w:r>
        <w:t xml:space="preserve">Nor does the doctrine of vagueness require absolute clarity or lucidity. </w:t>
      </w:r>
      <w:r w:rsidR="00FF7988">
        <w:t xml:space="preserve"> </w:t>
      </w:r>
      <w:r w:rsidR="007B7623">
        <w:t xml:space="preserve">In </w:t>
      </w:r>
      <w:r w:rsidR="007B7623">
        <w:rPr>
          <w:i/>
        </w:rPr>
        <w:t>Affordable Medicines</w:t>
      </w:r>
      <w:r w:rsidR="005334EC">
        <w:rPr>
          <w:i/>
        </w:rPr>
        <w:t xml:space="preserve"> Trust</w:t>
      </w:r>
      <w:r w:rsidR="007B7623">
        <w:rPr>
          <w:i/>
        </w:rPr>
        <w:t xml:space="preserve"> </w:t>
      </w:r>
      <w:r w:rsidR="007B7623">
        <w:t>Ngcobo J stated:</w:t>
      </w:r>
    </w:p>
    <w:p w:rsidR="009C5CF2" w:rsidRPr="009C5CF2" w:rsidRDefault="009C5CF2" w:rsidP="00BC147A">
      <w:pPr>
        <w:pStyle w:val="QUOTATION"/>
      </w:pPr>
    </w:p>
    <w:p w:rsidR="007B7623" w:rsidRPr="007B7623" w:rsidRDefault="007B7623" w:rsidP="007B7623">
      <w:pPr>
        <w:pStyle w:val="QUOTATION"/>
      </w:pPr>
      <w:r>
        <w:t>“The doctrine of vagueness is one of the principles of common law that was developed by courts to regulate the exercise of public power.</w:t>
      </w:r>
      <w:r w:rsidR="009843AE">
        <w:t xml:space="preserve"> </w:t>
      </w:r>
      <w:r>
        <w:t xml:space="preserve"> As pointed out previously, the exercise of public power is now regulated by the Constitution which is </w:t>
      </w:r>
      <w:r>
        <w:lastRenderedPageBreak/>
        <w:t>the supreme law.</w:t>
      </w:r>
      <w:r w:rsidR="009843AE">
        <w:t xml:space="preserve"> </w:t>
      </w:r>
      <w:r>
        <w:t xml:space="preserve"> </w:t>
      </w:r>
      <w:r w:rsidRPr="007B7623">
        <w:t xml:space="preserve">The doctrine of vagueness is founded on the rule of law, which, as pointed out earlier, is a foundational value of our constitutional democracy. </w:t>
      </w:r>
      <w:r w:rsidR="009843AE">
        <w:t xml:space="preserve"> </w:t>
      </w:r>
      <w:r w:rsidRPr="007B7623">
        <w:t xml:space="preserve">It requires that laws must be written in a clear and accessible manner. </w:t>
      </w:r>
      <w:r w:rsidR="009843AE">
        <w:t xml:space="preserve"> </w:t>
      </w:r>
      <w:r w:rsidRPr="007B7623">
        <w:t xml:space="preserve">What is required is reasonable certainty and not perfect lucidity. </w:t>
      </w:r>
      <w:r w:rsidR="009843AE">
        <w:t xml:space="preserve"> </w:t>
      </w:r>
      <w:r w:rsidRPr="007B7623">
        <w:t xml:space="preserve">The doctrine of vagueness does not require absolute certainty of laws. </w:t>
      </w:r>
      <w:r w:rsidR="009843AE">
        <w:t xml:space="preserve"> </w:t>
      </w:r>
      <w:r w:rsidRPr="007B7623">
        <w:t>The law must indicate with reasonable certainty to those who are bound by it what is required of them so that they may regulate their conduct accordingly.</w:t>
      </w:r>
      <w:r w:rsidR="009843AE">
        <w:t xml:space="preserve"> </w:t>
      </w:r>
      <w:r w:rsidRPr="007B7623">
        <w:t xml:space="preserve"> The doctrine of vagueness must recognise the role of government to further legitimate social and economic objectives </w:t>
      </w:r>
      <w:r w:rsidR="0037790A">
        <w:t>a</w:t>
      </w:r>
      <w:r w:rsidRPr="007B7623">
        <w:t>nd should not be used unduly to impede or prevent the furtherance of such objectives.</w:t>
      </w:r>
      <w:r>
        <w:t>”</w:t>
      </w:r>
      <w:r w:rsidR="0037790A">
        <w:rPr>
          <w:rStyle w:val="FootnoteReference"/>
        </w:rPr>
        <w:footnoteReference w:id="21"/>
      </w:r>
    </w:p>
    <w:p w:rsidR="000013F5" w:rsidRPr="000013F5" w:rsidRDefault="000013F5" w:rsidP="000013F5">
      <w:pPr>
        <w:pStyle w:val="JUDGMENTCONTINUED"/>
      </w:pPr>
    </w:p>
    <w:p w:rsidR="00433E1D" w:rsidRDefault="00433E1D" w:rsidP="00433E1D">
      <w:pPr>
        <w:pStyle w:val="JUDGMENTNUMBERED"/>
      </w:pPr>
      <w:r>
        <w:t xml:space="preserve">SA Hunters relied on vagueness of the legislation as a pointer to arbitrariness and irrationality. </w:t>
      </w:r>
      <w:r w:rsidR="00FF7988">
        <w:t xml:space="preserve"> </w:t>
      </w:r>
      <w:r>
        <w:t>The provisions are not</w:t>
      </w:r>
      <w:r w:rsidR="007B7623">
        <w:t>, however,</w:t>
      </w:r>
      <w:r>
        <w:t xml:space="preserve"> vague themselves. </w:t>
      </w:r>
      <w:r w:rsidR="00FF7988">
        <w:t xml:space="preserve"> </w:t>
      </w:r>
      <w:r>
        <w:t>They cannot be clearer.</w:t>
      </w:r>
      <w:r w:rsidR="00FF7988">
        <w:t xml:space="preserve"> </w:t>
      </w:r>
      <w:r>
        <w:t xml:space="preserve"> It is an offence to possess a firearm without a licence obtained in terms of the Act.</w:t>
      </w:r>
      <w:r>
        <w:rPr>
          <w:rStyle w:val="FootnoteReference"/>
        </w:rPr>
        <w:footnoteReference w:id="22"/>
      </w:r>
      <w:r>
        <w:t xml:space="preserve"> </w:t>
      </w:r>
      <w:r w:rsidR="00FF7988">
        <w:t xml:space="preserve"> </w:t>
      </w:r>
      <w:r>
        <w:t>Once one has obtained a licence one needs to renew it at least 90 days before the date of expiry.</w:t>
      </w:r>
      <w:r>
        <w:rPr>
          <w:rStyle w:val="FootnoteReference"/>
        </w:rPr>
        <w:footnoteReference w:id="23"/>
      </w:r>
      <w:r w:rsidR="00FF7988">
        <w:t xml:space="preserve"> </w:t>
      </w:r>
      <w:r>
        <w:t xml:space="preserve"> If that is done timeously the licence remains valid until the application is decided.</w:t>
      </w:r>
      <w:r>
        <w:rPr>
          <w:rStyle w:val="FootnoteReference"/>
        </w:rPr>
        <w:footnoteReference w:id="24"/>
      </w:r>
      <w:r w:rsidR="000013F5">
        <w:t xml:space="preserve"> </w:t>
      </w:r>
      <w:r w:rsidR="00FF7988">
        <w:t xml:space="preserve"> </w:t>
      </w:r>
      <w:r w:rsidR="000013F5">
        <w:t>If</w:t>
      </w:r>
      <w:r>
        <w:t xml:space="preserve"> that is not done the licence terminates</w:t>
      </w:r>
      <w:r>
        <w:rPr>
          <w:rStyle w:val="FootnoteReference"/>
        </w:rPr>
        <w:footnoteReference w:id="25"/>
      </w:r>
      <w:r>
        <w:t xml:space="preserve"> and possession </w:t>
      </w:r>
      <w:r w:rsidR="007B7623">
        <w:t xml:space="preserve">of the firearm </w:t>
      </w:r>
      <w:r w:rsidR="00D23DE1">
        <w:t>constitutes an offence and</w:t>
      </w:r>
      <w:r w:rsidR="000B4518">
        <w:t xml:space="preserve"> is</w:t>
      </w:r>
      <w:r w:rsidR="00D23DE1">
        <w:t xml:space="preserve"> subject to criminal penalties.</w:t>
      </w:r>
      <w:r w:rsidR="00D23DE1">
        <w:rPr>
          <w:rStyle w:val="FootnoteReference"/>
        </w:rPr>
        <w:footnoteReference w:id="26"/>
      </w:r>
    </w:p>
    <w:p w:rsidR="00D23DE1" w:rsidRDefault="00D23DE1" w:rsidP="00D23DE1">
      <w:pPr>
        <w:pStyle w:val="JUDGMENTCONTINUED"/>
      </w:pPr>
    </w:p>
    <w:p w:rsidR="00CA4445" w:rsidRDefault="00CA4445" w:rsidP="00CA4445">
      <w:pPr>
        <w:pStyle w:val="JUDGMENTNUMBERED"/>
      </w:pPr>
      <w:r>
        <w:t>On their own terms there is also no apparent irrationality in the legislati</w:t>
      </w:r>
      <w:r w:rsidR="0034255C">
        <w:t xml:space="preserve">ve provisions themselves. </w:t>
      </w:r>
      <w:r w:rsidR="00FF7988">
        <w:t xml:space="preserve"> </w:t>
      </w:r>
      <w:r w:rsidR="0034255C">
        <w:t>T</w:t>
      </w:r>
      <w:r>
        <w:t xml:space="preserve">he constitutional validity of the </w:t>
      </w:r>
      <w:r w:rsidR="0034255C">
        <w:t xml:space="preserve">licensing system and the </w:t>
      </w:r>
      <w:r>
        <w:t>criminalisation of unlawful possession upon termination of the licen</w:t>
      </w:r>
      <w:r w:rsidR="0034255C">
        <w:t xml:space="preserve">ce by lapse of time are not challenged. </w:t>
      </w:r>
      <w:r w:rsidR="00FF7988">
        <w:t xml:space="preserve"> </w:t>
      </w:r>
      <w:r w:rsidR="0034255C">
        <w:t>Once that is accepted there is</w:t>
      </w:r>
      <w:r>
        <w:t xml:space="preserve"> no facial irrationality in the means </w:t>
      </w:r>
      <w:r w:rsidR="0034255C">
        <w:t>chosen (the licensing process)</w:t>
      </w:r>
      <w:r>
        <w:t xml:space="preserve"> to attain the ends (lawful possession), or its converse, non-compliance with the licensing process</w:t>
      </w:r>
      <w:r w:rsidR="0034255C">
        <w:t xml:space="preserve"> leading to unlawful possession and criminalisation.</w:t>
      </w:r>
    </w:p>
    <w:p w:rsidR="00CA4445" w:rsidRPr="00CA4445" w:rsidRDefault="00CA4445" w:rsidP="00CA4445">
      <w:pPr>
        <w:pStyle w:val="JUDGMENTCONTINUED"/>
      </w:pPr>
    </w:p>
    <w:p w:rsidR="00841581" w:rsidRDefault="00CA4445" w:rsidP="00CA4445">
      <w:pPr>
        <w:pStyle w:val="JUDGMENTNUMBERED"/>
      </w:pPr>
      <w:r w:rsidRPr="00CA4445">
        <w:lastRenderedPageBreak/>
        <w:t xml:space="preserve">So the irrationality </w:t>
      </w:r>
      <w:r w:rsidR="0034255C">
        <w:t xml:space="preserve">or vagueness flowing from </w:t>
      </w:r>
      <w:r w:rsidR="00E9403A">
        <w:t xml:space="preserve">time-lapse termination </w:t>
      </w:r>
      <w:r w:rsidR="0034255C">
        <w:t xml:space="preserve">must lie elsewhere. </w:t>
      </w:r>
      <w:r w:rsidR="00FF7988">
        <w:t xml:space="preserve"> </w:t>
      </w:r>
      <w:r w:rsidRPr="00CA4445">
        <w:t xml:space="preserve">SA Hunters sought to locate it in the consequences, namely that gun-holders would not, after termination of the licence upon effluxion of time: (i) have any lawful means </w:t>
      </w:r>
      <w:r w:rsidR="00271812">
        <w:t>to dispose</w:t>
      </w:r>
      <w:r w:rsidRPr="00CA4445">
        <w:t xml:space="preserve"> of the firearm; (ii) know what the consequences of the lapsed licence will be, and (iii) </w:t>
      </w:r>
      <w:r w:rsidR="00D2433F">
        <w:t xml:space="preserve">know </w:t>
      </w:r>
      <w:r w:rsidRPr="00CA4445">
        <w:t xml:space="preserve">what to do </w:t>
      </w:r>
      <w:r w:rsidR="00E9403A">
        <w:t>in those circumstances.</w:t>
      </w:r>
      <w:r w:rsidR="00FF7988">
        <w:t xml:space="preserve"> </w:t>
      </w:r>
      <w:r w:rsidR="00E9403A">
        <w:t xml:space="preserve"> This, it was</w:t>
      </w:r>
      <w:r w:rsidRPr="00CA4445">
        <w:t xml:space="preserve"> argued, is inimical to the certainty that the rule of law and principle of legality requires.</w:t>
      </w:r>
    </w:p>
    <w:p w:rsidR="00CA4445" w:rsidRDefault="00CA4445" w:rsidP="00CA4445">
      <w:pPr>
        <w:pStyle w:val="JUDGMENTCONTINUED"/>
      </w:pPr>
    </w:p>
    <w:p w:rsidR="00CA4445" w:rsidRDefault="00E9403A" w:rsidP="00CA4445">
      <w:pPr>
        <w:pStyle w:val="JUDGMENTNUMBERED"/>
      </w:pPr>
      <w:r>
        <w:t>There is</w:t>
      </w:r>
      <w:r w:rsidR="00CA4445">
        <w:t xml:space="preserve"> a</w:t>
      </w:r>
      <w:r>
        <w:t xml:space="preserve"> short</w:t>
      </w:r>
      <w:r w:rsidR="00CA4445">
        <w:t xml:space="preserve"> answer to this: the gun-holder must get rid of the</w:t>
      </w:r>
      <w:r>
        <w:t xml:space="preserve"> firearm. </w:t>
      </w:r>
      <w:r w:rsidR="00FF7988">
        <w:t xml:space="preserve"> </w:t>
      </w:r>
      <w:r>
        <w:t>But, goes the argument</w:t>
      </w:r>
      <w:r w:rsidR="00CA4445">
        <w:t xml:space="preserve">, he cannot do so lawfully because </w:t>
      </w:r>
      <w:r w:rsidR="00DC6C01">
        <w:t xml:space="preserve">he immediately becomes guilty of a crime when </w:t>
      </w:r>
      <w:r>
        <w:t>the licence has lapsed</w:t>
      </w:r>
      <w:r w:rsidR="00DC6C01">
        <w:t>.</w:t>
      </w:r>
      <w:r w:rsidR="00CA4445">
        <w:t xml:space="preserve"> </w:t>
      </w:r>
      <w:r w:rsidR="00FF7988">
        <w:t xml:space="preserve"> </w:t>
      </w:r>
      <w:r w:rsidR="00CA4445">
        <w:t>But this consequence, even if correct (which it is not), is not vague or uncertain</w:t>
      </w:r>
      <w:r>
        <w:t>,</w:t>
      </w:r>
      <w:r w:rsidR="00CA4445">
        <w:t xml:space="preserve"> or irrational in terms of the end sought. </w:t>
      </w:r>
      <w:r w:rsidR="00FF7988">
        <w:t xml:space="preserve"> </w:t>
      </w:r>
      <w:r w:rsidR="00CA4445">
        <w:t>The gun-owner knows that he must either apply in time for renewal or dispose of the firearm before expiry.</w:t>
      </w:r>
      <w:r w:rsidR="00FF7988">
        <w:t xml:space="preserve"> </w:t>
      </w:r>
      <w:r w:rsidR="00CA4445">
        <w:t xml:space="preserve"> If he does not, he will be guilty of an offence. </w:t>
      </w:r>
      <w:r w:rsidR="00FF7988">
        <w:t xml:space="preserve"> </w:t>
      </w:r>
      <w:r w:rsidR="00CA4445">
        <w:t>He knows what is expected of him before expiry of the licence and is provided with legislative means to fulfil that expectation.</w:t>
      </w:r>
      <w:r w:rsidR="00FF7988">
        <w:t xml:space="preserve"> </w:t>
      </w:r>
      <w:r w:rsidR="00CA4445">
        <w:t xml:space="preserve"> He also knows what will happen to him if he does </w:t>
      </w:r>
      <w:r>
        <w:t xml:space="preserve">not do so. </w:t>
      </w:r>
      <w:r w:rsidR="00FF7988">
        <w:t xml:space="preserve"> </w:t>
      </w:r>
      <w:r>
        <w:t>T</w:t>
      </w:r>
      <w:r w:rsidR="00CA4445">
        <w:t>he rule of law requirements of clarity and certainty are</w:t>
      </w:r>
      <w:r w:rsidR="00DC6C01">
        <w:t xml:space="preserve"> clearly </w:t>
      </w:r>
      <w:r w:rsidR="00CA4445">
        <w:t>met.</w:t>
      </w:r>
    </w:p>
    <w:p w:rsidR="00CA4445" w:rsidRDefault="00CA4445" w:rsidP="00CA4445">
      <w:pPr>
        <w:pStyle w:val="JUDGMENTCONTINUED"/>
      </w:pPr>
    </w:p>
    <w:p w:rsidR="00CA4445" w:rsidRDefault="00E9403A" w:rsidP="00CA4445">
      <w:pPr>
        <w:pStyle w:val="JUDGMENTNUMBERED"/>
      </w:pPr>
      <w:r>
        <w:t xml:space="preserve">But </w:t>
      </w:r>
      <w:r w:rsidR="00CA4445">
        <w:t xml:space="preserve">SA Hunters is also wrong in its contention that there are no lawful means of disposal after termination of the licence. </w:t>
      </w:r>
      <w:r w:rsidR="00FF7988">
        <w:t xml:space="preserve"> </w:t>
      </w:r>
      <w:r w:rsidR="00CA4445">
        <w:t>I can see no legal obstacle to handing the firearm over to the police after terminat</w:t>
      </w:r>
      <w:r>
        <w:t xml:space="preserve">ion. </w:t>
      </w:r>
      <w:r w:rsidR="00FF7988">
        <w:t xml:space="preserve"> </w:t>
      </w:r>
      <w:r w:rsidR="00DC6C01">
        <w:t xml:space="preserve">The fear that the gun-owner </w:t>
      </w:r>
      <w:r w:rsidR="00F826FB">
        <w:t>may</w:t>
      </w:r>
      <w:r w:rsidR="00DC6C01">
        <w:t xml:space="preserve"> be liable for prosecution if he takes steps to hand over the unlicensed firearm to the police</w:t>
      </w:r>
      <w:r w:rsidR="00F826FB">
        <w:t xml:space="preserve"> is over-stated.</w:t>
      </w:r>
      <w:r w:rsidR="00DC6C01">
        <w:t xml:space="preserve"> </w:t>
      </w:r>
      <w:r w:rsidR="00FF7988">
        <w:t xml:space="preserve"> </w:t>
      </w:r>
      <w:r>
        <w:t>If that is the intention</w:t>
      </w:r>
      <w:r w:rsidR="007F46A8">
        <w:t>,</w:t>
      </w:r>
      <w:r>
        <w:t xml:space="preserve"> it is difficult to imagine </w:t>
      </w:r>
      <w:r w:rsidR="00CA4445">
        <w:t>how it can be said that the gun-owner can be guilty of unlawful poss</w:t>
      </w:r>
      <w:r>
        <w:t xml:space="preserve">ession of the firearm. </w:t>
      </w:r>
      <w:r w:rsidR="00FF7988">
        <w:t xml:space="preserve"> </w:t>
      </w:r>
      <w:r>
        <w:t>O</w:t>
      </w:r>
      <w:r w:rsidR="00CA4445">
        <w:t>ur Constitution will not countenance that strictest form of strict liability.</w:t>
      </w:r>
      <w:r>
        <w:rPr>
          <w:rStyle w:val="FootnoteReference"/>
        </w:rPr>
        <w:footnoteReference w:id="27"/>
      </w:r>
    </w:p>
    <w:p w:rsidR="00CA4445" w:rsidRDefault="00CA4445" w:rsidP="00CA4445">
      <w:pPr>
        <w:pStyle w:val="JUDGMENTCONTINUED"/>
      </w:pPr>
    </w:p>
    <w:p w:rsidR="00CA4445" w:rsidRDefault="00CA4445" w:rsidP="00CA4445">
      <w:pPr>
        <w:pStyle w:val="JUDGMENTNUMBERED"/>
      </w:pPr>
      <w:r>
        <w:lastRenderedPageBreak/>
        <w:t xml:space="preserve">But </w:t>
      </w:r>
      <w:r w:rsidR="00B64B95">
        <w:t>then the complaint is that the p</w:t>
      </w:r>
      <w:r>
        <w:t xml:space="preserve">olice will or must destroy the firearm – it </w:t>
      </w:r>
      <w:r w:rsidR="00B64B95">
        <w:t xml:space="preserve">is submitted that the police </w:t>
      </w:r>
      <w:r w:rsidR="00F826FB">
        <w:t xml:space="preserve">have </w:t>
      </w:r>
      <w:r>
        <w:t xml:space="preserve">no </w:t>
      </w:r>
      <w:r w:rsidR="00F826FB">
        <w:t xml:space="preserve">legal </w:t>
      </w:r>
      <w:r>
        <w:t xml:space="preserve">competence to hold it in safe custody until the gun-owner applies for </w:t>
      </w:r>
      <w:r w:rsidR="00F826FB">
        <w:t>and obtains</w:t>
      </w:r>
      <w:r>
        <w:t xml:space="preserve"> another licence. </w:t>
      </w:r>
      <w:r w:rsidR="00FF7988">
        <w:t xml:space="preserve"> </w:t>
      </w:r>
      <w:r>
        <w:t>Again, what has this to do with irrationality?</w:t>
      </w:r>
      <w:r w:rsidR="00FF7988">
        <w:t xml:space="preserve"> </w:t>
      </w:r>
      <w:r>
        <w:t xml:space="preserve"> It may infringe on other rights that the gun-owner may have, like s</w:t>
      </w:r>
      <w:r w:rsidR="00B64B95">
        <w:t>ection</w:t>
      </w:r>
      <w:r>
        <w:t xml:space="preserve"> 25 protection of property, but that is part of a different enquiry.</w:t>
      </w:r>
    </w:p>
    <w:p w:rsidR="00CA4445" w:rsidRDefault="00CA4445" w:rsidP="00CA4445">
      <w:pPr>
        <w:pStyle w:val="JUDGMENTCONTINUED"/>
      </w:pPr>
    </w:p>
    <w:p w:rsidR="005F2E61" w:rsidRPr="005F2E61" w:rsidRDefault="005F2E61" w:rsidP="00BC147A">
      <w:pPr>
        <w:pStyle w:val="HEADING"/>
      </w:pPr>
      <w:r>
        <w:t>Equality</w:t>
      </w:r>
    </w:p>
    <w:p w:rsidR="00CA4445" w:rsidRDefault="005F2E61" w:rsidP="00B942DC">
      <w:pPr>
        <w:pStyle w:val="JUDGMENTNUMBERED"/>
      </w:pPr>
      <w:r>
        <w:t xml:space="preserve">The pleaded case of SA Hunters was that there was unequal treatment between those gun-owners protected by the </w:t>
      </w:r>
      <w:r w:rsidR="00124F3D">
        <w:t>old</w:t>
      </w:r>
      <w:r>
        <w:t xml:space="preserve"> order who do not have to apply for re</w:t>
      </w:r>
      <w:r w:rsidR="00F826FB">
        <w:t>-</w:t>
      </w:r>
      <w:r>
        <w:t>licensing and others not covered by the order.</w:t>
      </w:r>
      <w:r w:rsidR="009843AE">
        <w:t xml:space="preserve"> </w:t>
      </w:r>
      <w:r>
        <w:t xml:space="preserve"> That differentiation does not arise from the Act. </w:t>
      </w:r>
      <w:r w:rsidR="009843AE">
        <w:t xml:space="preserve"> </w:t>
      </w:r>
      <w:r w:rsidR="00B942DC">
        <w:t>W</w:t>
      </w:r>
      <w:r w:rsidR="00B942DC" w:rsidRPr="00B942DC">
        <w:t>e are dealing with alleged inequality in the provisions of the Act itself, not its application by officialdom.</w:t>
      </w:r>
    </w:p>
    <w:p w:rsidR="00B64B95" w:rsidRDefault="00B64B95" w:rsidP="00B64B95">
      <w:pPr>
        <w:pStyle w:val="JUDGMENTNUMBERED"/>
        <w:numPr>
          <w:ilvl w:val="0"/>
          <w:numId w:val="0"/>
        </w:numPr>
      </w:pPr>
    </w:p>
    <w:p w:rsidR="00B64B95" w:rsidRDefault="00B64B95" w:rsidP="006B191A">
      <w:pPr>
        <w:pStyle w:val="JUDGMENTNUMBERED"/>
      </w:pPr>
      <w:r>
        <w:t xml:space="preserve">In </w:t>
      </w:r>
      <w:r>
        <w:rPr>
          <w:i/>
        </w:rPr>
        <w:t>Harksen</w:t>
      </w:r>
      <w:r>
        <w:t>,</w:t>
      </w:r>
      <w:r w:rsidR="006B191A">
        <w:rPr>
          <w:rStyle w:val="FootnoteReference"/>
        </w:rPr>
        <w:footnoteReference w:id="28"/>
      </w:r>
      <w:r>
        <w:t xml:space="preserve"> this court adopted a multi</w:t>
      </w:r>
      <w:r w:rsidR="00F826FB">
        <w:t>-</w:t>
      </w:r>
      <w:r>
        <w:t>stage process for determining if law or conduct violates the right to equality.</w:t>
      </w:r>
      <w:r w:rsidR="009843AE">
        <w:t xml:space="preserve"> </w:t>
      </w:r>
      <w:r>
        <w:t xml:space="preserve"> Establishing whether the impugned law or conduct differentiates between people or</w:t>
      </w:r>
      <w:r w:rsidR="00A00975">
        <w:t xml:space="preserve"> </w:t>
      </w:r>
      <w:r>
        <w:t>categories of people is the first stage of that process.</w:t>
      </w:r>
      <w:r w:rsidR="009843AE">
        <w:t xml:space="preserve"> </w:t>
      </w:r>
      <w:r>
        <w:t xml:space="preserve"> If differentiation is established, it must next be determined whether the differentiation bears a rational connection to a legitimate government purpose.</w:t>
      </w:r>
      <w:r w:rsidR="009843AE">
        <w:t xml:space="preserve">  </w:t>
      </w:r>
      <w:r>
        <w:t>If law or conduct does not bear a rational connection to a legitimate government purpose, then it viola</w:t>
      </w:r>
      <w:r w:rsidR="006B191A">
        <w:t xml:space="preserve">tes section 9(1) of the Constitution. </w:t>
      </w:r>
      <w:r w:rsidR="00FF7988">
        <w:t xml:space="preserve"> </w:t>
      </w:r>
      <w:r>
        <w:t>If s</w:t>
      </w:r>
      <w:r w:rsidR="006B191A">
        <w:t>ection</w:t>
      </w:r>
      <w:r>
        <w:t xml:space="preserve"> 9(1) has not been violated, the next stage of the</w:t>
      </w:r>
      <w:r w:rsidR="00A00975">
        <w:t xml:space="preserve"> </w:t>
      </w:r>
      <w:r w:rsidRPr="006B191A">
        <w:rPr>
          <w:i/>
        </w:rPr>
        <w:t>Harksen</w:t>
      </w:r>
      <w:r w:rsidR="00A00975">
        <w:t xml:space="preserve"> </w:t>
      </w:r>
      <w:r w:rsidR="006B191A">
        <w:t>test is to determine whether</w:t>
      </w:r>
      <w:r>
        <w:t xml:space="preserve"> the differentiation amounts to discrimination. </w:t>
      </w:r>
      <w:r w:rsidR="00FF7988">
        <w:t xml:space="preserve"> </w:t>
      </w:r>
      <w:r>
        <w:t>If the differentiation is on a ground listed in s</w:t>
      </w:r>
      <w:r w:rsidR="00A00975">
        <w:t>ection</w:t>
      </w:r>
      <w:r>
        <w:t xml:space="preserve"> 9(3), it is necessarily discriminatory.</w:t>
      </w:r>
      <w:r w:rsidR="006B191A">
        <w:rPr>
          <w:rStyle w:val="FootnoteReference"/>
        </w:rPr>
        <w:footnoteReference w:id="29"/>
      </w:r>
    </w:p>
    <w:p w:rsidR="00B64B95" w:rsidRDefault="00B64B95" w:rsidP="00B64B95">
      <w:pPr>
        <w:pStyle w:val="JUDGMENTNUMBERED"/>
        <w:numPr>
          <w:ilvl w:val="0"/>
          <w:numId w:val="0"/>
        </w:numPr>
      </w:pPr>
    </w:p>
    <w:p w:rsidR="00EB397D" w:rsidRDefault="00B942DC" w:rsidP="00B64B95">
      <w:pPr>
        <w:pStyle w:val="JUDGMENTNUMBERED"/>
      </w:pPr>
      <w:r w:rsidRPr="00B942DC">
        <w:t>There is clearly differentiation between the categories of termination of licences in s</w:t>
      </w:r>
      <w:r w:rsidR="006B191A">
        <w:t>ection</w:t>
      </w:r>
      <w:r w:rsidRPr="00B942DC">
        <w:t xml:space="preserve"> 28(1)(a)-(d), but the differentia</w:t>
      </w:r>
      <w:r>
        <w:t>tion is not arbitrary</w:t>
      </w:r>
      <w:r w:rsidRPr="00B942DC">
        <w:t xml:space="preserve">. </w:t>
      </w:r>
      <w:r>
        <w:t xml:space="preserve"> </w:t>
      </w:r>
      <w:r w:rsidR="000D2A0E">
        <w:t xml:space="preserve">It </w:t>
      </w:r>
      <w:r w:rsidR="000D2A0E" w:rsidRPr="00B942DC">
        <w:t>has a rational basis.</w:t>
      </w:r>
    </w:p>
    <w:p w:rsidR="00EB397D" w:rsidRPr="00EB397D" w:rsidRDefault="00EB397D" w:rsidP="00AE4943">
      <w:pPr>
        <w:pStyle w:val="JUDGMENTCONTINUED"/>
      </w:pPr>
    </w:p>
    <w:p w:rsidR="00EB397D" w:rsidRDefault="00B942DC" w:rsidP="00B64B95">
      <w:pPr>
        <w:pStyle w:val="JUDGMENTNUMBERED"/>
      </w:pPr>
      <w:r w:rsidRPr="00B942DC">
        <w:lastRenderedPageBreak/>
        <w:t>In the case of terminati</w:t>
      </w:r>
      <w:r w:rsidR="006B191A">
        <w:t>on by effluxion of time under section</w:t>
      </w:r>
      <w:r w:rsidRPr="00B942DC">
        <w:t xml:space="preserve"> 28(1)(a)</w:t>
      </w:r>
      <w:r w:rsidR="00214DB9">
        <w:t>, t</w:t>
      </w:r>
      <w:r w:rsidR="00B647A4">
        <w:t xml:space="preserve">he </w:t>
      </w:r>
      <w:r w:rsidR="000D2A0E">
        <w:t>licence</w:t>
      </w:r>
      <w:r w:rsidR="00F826FB">
        <w:t>-</w:t>
      </w:r>
      <w:r w:rsidR="000D2A0E">
        <w:t>holder</w:t>
      </w:r>
      <w:r w:rsidR="00B647A4">
        <w:t xml:space="preserve"> would have known</w:t>
      </w:r>
      <w:r w:rsidR="00214DB9">
        <w:t>, at least</w:t>
      </w:r>
      <w:r w:rsidR="00B647A4">
        <w:t xml:space="preserve"> </w:t>
      </w:r>
      <w:r w:rsidR="00214DB9">
        <w:t xml:space="preserve">from </w:t>
      </w:r>
      <w:r w:rsidR="005F6F85">
        <w:t xml:space="preserve">the </w:t>
      </w:r>
      <w:r w:rsidR="00214DB9">
        <w:t>time</w:t>
      </w:r>
      <w:r w:rsidR="00B647A4">
        <w:t xml:space="preserve"> the licence was granted</w:t>
      </w:r>
      <w:r w:rsidR="00214DB9">
        <w:t>,</w:t>
      </w:r>
      <w:r w:rsidR="00B647A4">
        <w:t xml:space="preserve"> that it would expire at the end of a specified</w:t>
      </w:r>
      <w:r w:rsidR="00214DB9">
        <w:t xml:space="preserve"> period.</w:t>
      </w:r>
      <w:r w:rsidR="00EB397D">
        <w:t xml:space="preserve"> </w:t>
      </w:r>
      <w:r w:rsidR="009843AE">
        <w:t xml:space="preserve"> </w:t>
      </w:r>
      <w:r w:rsidR="00EB397D">
        <w:t>It was clear from the outset that the licence was temporary.</w:t>
      </w:r>
      <w:r w:rsidR="00214DB9">
        <w:t xml:space="preserve"> </w:t>
      </w:r>
      <w:r w:rsidR="009843AE">
        <w:t xml:space="preserve"> </w:t>
      </w:r>
      <w:r w:rsidR="000D2A0E">
        <w:t xml:space="preserve">Furthermore, </w:t>
      </w:r>
      <w:r w:rsidR="00EB397D">
        <w:t>n</w:t>
      </w:r>
      <w:r w:rsidR="00214DB9">
        <w:t>o administrative action is required to terminate the licence</w:t>
      </w:r>
      <w:r w:rsidR="000D2A0E">
        <w:t xml:space="preserve"> under section 28</w:t>
      </w:r>
      <w:r w:rsidR="005F6F85">
        <w:t>(1)(a)</w:t>
      </w:r>
      <w:r w:rsidR="00214DB9">
        <w:t xml:space="preserve">. </w:t>
      </w:r>
      <w:r w:rsidR="009843AE">
        <w:t xml:space="preserve"> </w:t>
      </w:r>
      <w:r w:rsidR="00214DB9">
        <w:t>It terminates by operation of law.</w:t>
      </w:r>
      <w:r w:rsidR="006B191A">
        <w:t xml:space="preserve"> </w:t>
      </w:r>
      <w:r w:rsidR="009843AE">
        <w:t xml:space="preserve"> </w:t>
      </w:r>
      <w:r w:rsidR="00214DB9">
        <w:t>The procedure is fair</w:t>
      </w:r>
      <w:r w:rsidR="000D2A0E">
        <w:t xml:space="preserve"> without provision for the licence holder to make representations regarding the cancellation</w:t>
      </w:r>
      <w:r w:rsidR="00214DB9">
        <w:t>.</w:t>
      </w:r>
    </w:p>
    <w:p w:rsidR="00EB397D" w:rsidRPr="00EB397D" w:rsidRDefault="00EB397D" w:rsidP="00AE4943">
      <w:pPr>
        <w:pStyle w:val="JUDGMENTCONTINUED"/>
      </w:pPr>
    </w:p>
    <w:p w:rsidR="000D2A0E" w:rsidRDefault="005F6F85" w:rsidP="00B64B95">
      <w:pPr>
        <w:pStyle w:val="JUDGMENTNUMBERED"/>
      </w:pPr>
      <w:r>
        <w:t>Termination</w:t>
      </w:r>
      <w:r w:rsidR="00B942DC" w:rsidRPr="00B942DC">
        <w:t xml:space="preserve"> </w:t>
      </w:r>
      <w:r w:rsidR="00214DB9">
        <w:t>according to</w:t>
      </w:r>
      <w:r w:rsidR="00B942DC" w:rsidRPr="00B942DC">
        <w:t xml:space="preserve"> s</w:t>
      </w:r>
      <w:r w:rsidR="006B191A">
        <w:t>ection</w:t>
      </w:r>
      <w:r w:rsidR="00B942DC" w:rsidRPr="00B942DC">
        <w:t xml:space="preserve"> 2</w:t>
      </w:r>
      <w:r w:rsidR="006B191A">
        <w:t xml:space="preserve">8(1)(c) </w:t>
      </w:r>
      <w:r w:rsidR="00214DB9">
        <w:t>or</w:t>
      </w:r>
      <w:r w:rsidR="006B191A">
        <w:t xml:space="preserve"> (d)</w:t>
      </w:r>
      <w:r>
        <w:t xml:space="preserve"> is quite different.</w:t>
      </w:r>
      <w:r w:rsidR="00EB397D">
        <w:t xml:space="preserve"> </w:t>
      </w:r>
      <w:r w:rsidR="009843AE">
        <w:t xml:space="preserve"> </w:t>
      </w:r>
      <w:r>
        <w:t>Notably, t</w:t>
      </w:r>
      <w:r w:rsidR="00EB397D">
        <w:t xml:space="preserve">here is a third party enquiry into determining the factual prerequisite for termination of the licence. </w:t>
      </w:r>
      <w:r w:rsidR="009843AE">
        <w:t xml:space="preserve"> </w:t>
      </w:r>
      <w:r w:rsidR="00EB397D">
        <w:t xml:space="preserve">The </w:t>
      </w:r>
      <w:r w:rsidR="000D2A0E">
        <w:t xml:space="preserve">Registrar must determine that the licence holder either </w:t>
      </w:r>
      <w:r w:rsidR="00A00975">
        <w:t>(</w:t>
      </w:r>
      <w:r w:rsidR="000D2A0E">
        <w:t xml:space="preserve">i) no longer qualifies to hold the licence, or </w:t>
      </w:r>
      <w:r w:rsidR="00A00975">
        <w:t>(</w:t>
      </w:r>
      <w:r w:rsidR="000D2A0E">
        <w:t>ii) has failed to comply with a provision of the Act or a condition of the licence</w:t>
      </w:r>
      <w:r w:rsidR="00214DB9">
        <w:t>.</w:t>
      </w:r>
      <w:r>
        <w:rPr>
          <w:rStyle w:val="FootnoteReference"/>
        </w:rPr>
        <w:footnoteReference w:id="30"/>
      </w:r>
      <w:r w:rsidR="00214DB9">
        <w:t xml:space="preserve"> </w:t>
      </w:r>
      <w:r w:rsidR="009843AE">
        <w:t xml:space="preserve"> </w:t>
      </w:r>
      <w:r>
        <w:t>Moreover, t</w:t>
      </w:r>
      <w:r w:rsidR="00214DB9">
        <w:t>h</w:t>
      </w:r>
      <w:r w:rsidR="000D2A0E">
        <w:t>e Registrar has to perform an</w:t>
      </w:r>
      <w:r w:rsidR="00214DB9">
        <w:t xml:space="preserve"> administrative act </w:t>
      </w:r>
      <w:r w:rsidR="000D2A0E">
        <w:t>to</w:t>
      </w:r>
      <w:r w:rsidR="00214DB9">
        <w:t xml:space="preserve"> termi</w:t>
      </w:r>
      <w:r>
        <w:t>nate</w:t>
      </w:r>
      <w:r w:rsidR="00214DB9">
        <w:t xml:space="preserve"> the licence. </w:t>
      </w:r>
      <w:r w:rsidR="009843AE">
        <w:t xml:space="preserve"> </w:t>
      </w:r>
      <w:r w:rsidR="000D2A0E">
        <w:t>T</w:t>
      </w:r>
      <w:r w:rsidR="00214DB9">
        <w:t xml:space="preserve">he </w:t>
      </w:r>
      <w:r w:rsidR="000D2A0E">
        <w:t xml:space="preserve">licence holder’s </w:t>
      </w:r>
      <w:r w:rsidR="00214DB9">
        <w:t>right to a fair procedure</w:t>
      </w:r>
      <w:r w:rsidR="000D2A0E">
        <w:t xml:space="preserve"> is triggered by the fact that the Registrar is making a decision that might adversely affect the licence holder</w:t>
      </w:r>
      <w:r w:rsidR="00214DB9">
        <w:t>.</w:t>
      </w:r>
      <w:r w:rsidR="009843AE">
        <w:t xml:space="preserve"> </w:t>
      </w:r>
      <w:r w:rsidR="00214DB9">
        <w:t xml:space="preserve"> </w:t>
      </w:r>
      <w:r w:rsidR="000D2A0E">
        <w:t>For that reason, the licence holder is granted a right to make representations</w:t>
      </w:r>
      <w:r w:rsidR="006B191A">
        <w:t>.</w:t>
      </w:r>
    </w:p>
    <w:p w:rsidR="00B942DC" w:rsidRDefault="00B942DC" w:rsidP="00AE4943">
      <w:pPr>
        <w:pStyle w:val="JUDGMENTNUMBERED"/>
        <w:numPr>
          <w:ilvl w:val="0"/>
          <w:numId w:val="0"/>
        </w:numPr>
      </w:pPr>
    </w:p>
    <w:p w:rsidR="00B942DC" w:rsidRDefault="00B942DC" w:rsidP="00B942DC">
      <w:pPr>
        <w:pStyle w:val="JUDGMENTNUMBERED"/>
      </w:pPr>
      <w:r>
        <w:t>I</w:t>
      </w:r>
      <w:r w:rsidRPr="00B942DC">
        <w:t xml:space="preserve">t was also suggested that </w:t>
      </w:r>
      <w:r>
        <w:t xml:space="preserve">because </w:t>
      </w:r>
      <w:r w:rsidRPr="00B942DC">
        <w:t>the c</w:t>
      </w:r>
      <w:r w:rsidR="006B191A">
        <w:t xml:space="preserve">onsequences of termination for </w:t>
      </w:r>
      <w:r w:rsidRPr="00B942DC">
        <w:t>the other s</w:t>
      </w:r>
      <w:r w:rsidR="005F6F85">
        <w:t xml:space="preserve">ection </w:t>
      </w:r>
      <w:r w:rsidRPr="00B942DC">
        <w:t>28 categories was different</w:t>
      </w:r>
      <w:r w:rsidR="004053B1">
        <w:t>, this</w:t>
      </w:r>
      <w:r w:rsidRPr="00B942DC">
        <w:t xml:space="preserve"> amounted to unfair discrimination</w:t>
      </w:r>
      <w:r w:rsidR="006B191A">
        <w:t xml:space="preserve"> under section</w:t>
      </w:r>
      <w:r w:rsidR="00A00975">
        <w:t> </w:t>
      </w:r>
      <w:r w:rsidR="006B191A">
        <w:t>9(3)</w:t>
      </w:r>
      <w:r w:rsidRPr="00B942DC">
        <w:t xml:space="preserve">. </w:t>
      </w:r>
      <w:r w:rsidR="00FF7988">
        <w:t xml:space="preserve"> </w:t>
      </w:r>
      <w:r w:rsidRPr="00B942DC">
        <w:t>Following upon the rational differentiation between the different categories it is difficult to see the unfairness in the possible consequences too.</w:t>
      </w:r>
    </w:p>
    <w:p w:rsidR="006B191A" w:rsidRDefault="006B191A" w:rsidP="006B191A">
      <w:pPr>
        <w:pStyle w:val="JUDGMENTCONTINUED"/>
      </w:pPr>
    </w:p>
    <w:p w:rsidR="006B191A" w:rsidRPr="006B191A" w:rsidRDefault="006B191A" w:rsidP="006B191A">
      <w:pPr>
        <w:pStyle w:val="JUDGMENTNUMBERED"/>
      </w:pPr>
      <w:r>
        <w:t xml:space="preserve">The equality challenge must </w:t>
      </w:r>
      <w:r w:rsidR="009E0777">
        <w:t xml:space="preserve">also </w:t>
      </w:r>
      <w:r w:rsidR="00F15957">
        <w:t>fail</w:t>
      </w:r>
      <w:r>
        <w:t>.</w:t>
      </w:r>
    </w:p>
    <w:p w:rsidR="00B942DC" w:rsidRDefault="00B942DC" w:rsidP="00B942DC">
      <w:pPr>
        <w:pStyle w:val="JUDGMENTCONTINUED"/>
      </w:pPr>
    </w:p>
    <w:p w:rsidR="00B942DC" w:rsidRPr="00B942DC" w:rsidRDefault="00B942DC" w:rsidP="00AE4943">
      <w:pPr>
        <w:pStyle w:val="HEADING"/>
      </w:pPr>
      <w:r>
        <w:t>Deprivation of property</w:t>
      </w:r>
    </w:p>
    <w:p w:rsidR="00B942DC" w:rsidRDefault="006B191A" w:rsidP="00B942DC">
      <w:pPr>
        <w:pStyle w:val="JUDGMENTNUMBERED"/>
      </w:pPr>
      <w:r>
        <w:t>T</w:t>
      </w:r>
      <w:r w:rsidR="00B942DC" w:rsidRPr="00B942DC">
        <w:t xml:space="preserve">here is merit in the Minister’s argument that if there is any deprivation of property it occurs in the sections </w:t>
      </w:r>
      <w:r w:rsidR="00124F3D">
        <w:t xml:space="preserve">that </w:t>
      </w:r>
      <w:r w:rsidR="00B942DC" w:rsidRPr="00B942DC">
        <w:t>criminalis</w:t>
      </w:r>
      <w:r w:rsidR="00124F3D">
        <w:t>e</w:t>
      </w:r>
      <w:r w:rsidR="00B942DC" w:rsidRPr="00B942DC">
        <w:t xml:space="preserve"> unlawful possession</w:t>
      </w:r>
      <w:r>
        <w:rPr>
          <w:rStyle w:val="FootnoteReference"/>
        </w:rPr>
        <w:footnoteReference w:id="31"/>
      </w:r>
      <w:r w:rsidR="00B942DC" w:rsidRPr="00B942DC">
        <w:t xml:space="preserve"> and those </w:t>
      </w:r>
      <w:r w:rsidR="00B942DC" w:rsidRPr="00B942DC">
        <w:lastRenderedPageBreak/>
        <w:t>laying down the time limits</w:t>
      </w:r>
      <w:r w:rsidR="00264486">
        <w:t xml:space="preserve"> for the licences</w:t>
      </w:r>
      <w:r w:rsidR="00B942DC" w:rsidRPr="00B942DC">
        <w:t>.</w:t>
      </w:r>
      <w:r w:rsidR="00264486">
        <w:rPr>
          <w:rStyle w:val="FootnoteReference"/>
        </w:rPr>
        <w:footnoteReference w:id="32"/>
      </w:r>
      <w:r w:rsidR="00264486">
        <w:t xml:space="preserve"> </w:t>
      </w:r>
      <w:r w:rsidR="00FF7988">
        <w:t xml:space="preserve"> </w:t>
      </w:r>
      <w:r w:rsidR="00264486">
        <w:t xml:space="preserve">There is no constitutional challenge directed at these provisions. </w:t>
      </w:r>
      <w:r w:rsidR="00FF7988">
        <w:t xml:space="preserve"> </w:t>
      </w:r>
      <w:r w:rsidR="00264486">
        <w:t>The impugned sections 24 and 28 merely give</w:t>
      </w:r>
      <w:r w:rsidR="00B942DC" w:rsidRPr="00B942DC">
        <w:t xml:space="preserve"> eff</w:t>
      </w:r>
      <w:r w:rsidR="00264486">
        <w:t>ect to those provisions and do</w:t>
      </w:r>
      <w:r w:rsidR="00B942DC" w:rsidRPr="00B942DC">
        <w:t xml:space="preserve"> not independently amount to any new deprivation of property.</w:t>
      </w:r>
    </w:p>
    <w:p w:rsidR="00B942DC" w:rsidRDefault="00B942DC" w:rsidP="00B942DC">
      <w:pPr>
        <w:pStyle w:val="JUDGMENTCONTINUED"/>
      </w:pPr>
    </w:p>
    <w:p w:rsidR="00B942DC" w:rsidRDefault="00B942DC" w:rsidP="00264486">
      <w:pPr>
        <w:pStyle w:val="JUDGMENTNUMBERED"/>
      </w:pPr>
      <w:r w:rsidRPr="00B942DC">
        <w:t>But even if they do, the deprivation is not arbitrary.</w:t>
      </w:r>
      <w:r w:rsidR="00F15957" w:rsidDel="00F15957">
        <w:t xml:space="preserve"> </w:t>
      </w:r>
      <w:r w:rsidR="00F15957">
        <w:t xml:space="preserve"> T</w:t>
      </w:r>
      <w:r w:rsidRPr="00B942DC">
        <w:t>here is a compensation regime contained in the Act</w:t>
      </w:r>
      <w:r w:rsidR="00264486">
        <w:t xml:space="preserve"> for surrendered firearms</w:t>
      </w:r>
      <w:r w:rsidRPr="00B942DC">
        <w:t>.</w:t>
      </w:r>
      <w:r w:rsidR="00264486">
        <w:rPr>
          <w:rStyle w:val="FootnoteReference"/>
        </w:rPr>
        <w:footnoteReference w:id="33"/>
      </w:r>
      <w:r w:rsidRPr="00B942DC">
        <w:t xml:space="preserve"> </w:t>
      </w:r>
      <w:r w:rsidR="00FF7988">
        <w:t xml:space="preserve"> </w:t>
      </w:r>
      <w:r w:rsidRPr="00B942DC">
        <w:t>Its constitutionality has not been challenged</w:t>
      </w:r>
      <w:r w:rsidR="00264486">
        <w:t xml:space="preserve"> either</w:t>
      </w:r>
      <w:r w:rsidRPr="00B942DC">
        <w:t>.</w:t>
      </w:r>
    </w:p>
    <w:p w:rsidR="00B942DC" w:rsidRDefault="00B942DC" w:rsidP="00B942DC">
      <w:pPr>
        <w:pStyle w:val="JUDGMENTCONTINUED"/>
      </w:pPr>
    </w:p>
    <w:p w:rsidR="00B942DC" w:rsidRDefault="00264486" w:rsidP="00B942DC">
      <w:pPr>
        <w:pStyle w:val="JUDGMENTNUMBERED"/>
      </w:pPr>
      <w:r>
        <w:t>And if, somehow, one</w:t>
      </w:r>
      <w:r w:rsidR="00B942DC" w:rsidRPr="00B942DC">
        <w:t xml:space="preserve"> get</w:t>
      </w:r>
      <w:r>
        <w:t>s</w:t>
      </w:r>
      <w:r w:rsidR="00B942DC" w:rsidRPr="00B942DC">
        <w:t xml:space="preserve"> to the kind of weighing-up required in terms of </w:t>
      </w:r>
      <w:r>
        <w:t>this Court’s</w:t>
      </w:r>
      <w:r w:rsidR="00B942DC" w:rsidRPr="00B942DC">
        <w:t xml:space="preserve"> s</w:t>
      </w:r>
      <w:r w:rsidR="00FF2CB8">
        <w:t xml:space="preserve">ection </w:t>
      </w:r>
      <w:r w:rsidR="00B942DC" w:rsidRPr="00B942DC">
        <w:t xml:space="preserve">25 </w:t>
      </w:r>
      <w:r>
        <w:t xml:space="preserve">protection of property </w:t>
      </w:r>
      <w:r w:rsidR="00B942DC" w:rsidRPr="00B942DC">
        <w:t>jurisprudence,</w:t>
      </w:r>
      <w:r>
        <w:rPr>
          <w:rStyle w:val="FootnoteReference"/>
        </w:rPr>
        <w:footnoteReference w:id="34"/>
      </w:r>
      <w:r w:rsidR="00B942DC" w:rsidRPr="00B942DC">
        <w:t xml:space="preserve"> then relinquishing some incidents of ownership in potentially life-threatening firearms is not too great a price to pay</w:t>
      </w:r>
      <w:r>
        <w:t xml:space="preserve"> </w:t>
      </w:r>
      <w:r w:rsidR="00683EAB">
        <w:t xml:space="preserve">for </w:t>
      </w:r>
      <w:r>
        <w:t>one of the purposes of the Act, enhancing the constitutional rights to life and bodily integrity</w:t>
      </w:r>
      <w:r w:rsidR="00B942DC" w:rsidRPr="00B942DC">
        <w:t>.</w:t>
      </w:r>
    </w:p>
    <w:p w:rsidR="00912568" w:rsidRDefault="00912568" w:rsidP="00912568">
      <w:pPr>
        <w:pStyle w:val="JUDGMENTCONTINUED"/>
      </w:pPr>
    </w:p>
    <w:p w:rsidR="00912568" w:rsidRPr="00912568" w:rsidRDefault="00912568" w:rsidP="00912568">
      <w:pPr>
        <w:pStyle w:val="JUDGMENTNUMBERED"/>
      </w:pPr>
      <w:r>
        <w:t>None of the arguments advanced to the effect that the sections are constitutionally invalid are well-founded.  It follows that confirmation application must be dismissed and the Minister’s appeal upheld.</w:t>
      </w:r>
      <w:r w:rsidR="00BC15BF">
        <w:t xml:space="preserve"> The order below gives effect to both.</w:t>
      </w:r>
    </w:p>
    <w:p w:rsidR="00264486" w:rsidRDefault="00264486" w:rsidP="00264486">
      <w:pPr>
        <w:pStyle w:val="JUDGMENTCONTINUED"/>
      </w:pPr>
    </w:p>
    <w:p w:rsidR="00264486" w:rsidRPr="00DC24C0" w:rsidRDefault="00DC24C0" w:rsidP="00AE4943">
      <w:pPr>
        <w:pStyle w:val="HEADING"/>
      </w:pPr>
      <w:r w:rsidRPr="00DC24C0">
        <w:t>Miscellan</w:t>
      </w:r>
      <w:r w:rsidRPr="00AE4943">
        <w:rPr>
          <w:rStyle w:val="HEADINGChar"/>
        </w:rPr>
        <w:t>e</w:t>
      </w:r>
      <w:r w:rsidRPr="00DC24C0">
        <w:t>ous matters</w:t>
      </w:r>
    </w:p>
    <w:p w:rsidR="00264486" w:rsidRDefault="005179E7" w:rsidP="00264486">
      <w:pPr>
        <w:pStyle w:val="JUDGMENTNUMBERED"/>
      </w:pPr>
      <w:r>
        <w:t>Gun Free South Africa sought to introduce further statistical evidence, but the other parties disputed some of this evidence and accordingly its admission is not sanctioned under this Court’s rules.</w:t>
      </w:r>
      <w:r>
        <w:rPr>
          <w:rStyle w:val="FootnoteReference"/>
        </w:rPr>
        <w:footnoteReference w:id="35"/>
      </w:r>
    </w:p>
    <w:p w:rsidR="00DC24C0" w:rsidRDefault="00DC24C0" w:rsidP="00DC24C0">
      <w:pPr>
        <w:pStyle w:val="JUDGMENTCONTINUED"/>
      </w:pPr>
    </w:p>
    <w:p w:rsidR="00FF705D" w:rsidRDefault="005179E7" w:rsidP="00F15957">
      <w:pPr>
        <w:pStyle w:val="JUDGMENTNUMBERED"/>
      </w:pPr>
      <w:r w:rsidRPr="00AE4943">
        <w:t>The matter concerns a constitutional issue of importance and there will be no costs order against the respondent.</w:t>
      </w:r>
      <w:r w:rsidRPr="00AE4943">
        <w:rPr>
          <w:rStyle w:val="FootnoteReference"/>
        </w:rPr>
        <w:footnoteReference w:id="36"/>
      </w:r>
    </w:p>
    <w:p w:rsidR="00FF705D" w:rsidRPr="00FF705D" w:rsidRDefault="00FF705D" w:rsidP="00FF705D">
      <w:pPr>
        <w:pStyle w:val="JUDGMENTNUMBERED"/>
        <w:numPr>
          <w:ilvl w:val="0"/>
          <w:numId w:val="0"/>
        </w:numPr>
      </w:pPr>
    </w:p>
    <w:p w:rsidR="00860C4E" w:rsidRPr="00BE700A" w:rsidRDefault="00860C4E" w:rsidP="00937742">
      <w:pPr>
        <w:pStyle w:val="HEADING"/>
      </w:pPr>
      <w:r w:rsidRPr="00BE700A">
        <w:t>Order</w:t>
      </w:r>
    </w:p>
    <w:p w:rsidR="00860C4E" w:rsidRPr="009C3888" w:rsidRDefault="00860C4E" w:rsidP="000C38CF">
      <w:pPr>
        <w:pStyle w:val="JUDGMENTNUMBERED"/>
      </w:pPr>
      <w:r w:rsidRPr="009C3888">
        <w:t>The following order is made:</w:t>
      </w:r>
    </w:p>
    <w:p w:rsidR="00F92A38" w:rsidRPr="00F92A38" w:rsidRDefault="00F92A38" w:rsidP="00F92A38">
      <w:pPr>
        <w:pStyle w:val="ORDER"/>
        <w:numPr>
          <w:ilvl w:val="2"/>
          <w:numId w:val="23"/>
        </w:numPr>
        <w:ind w:left="1440" w:hanging="720"/>
      </w:pPr>
      <w:r w:rsidRPr="00F92A38">
        <w:t xml:space="preserve">Fidelity Security Services (Pty) Limited and Gun Free South Africa (NPO) </w:t>
      </w:r>
      <w:r w:rsidR="00A01C6C">
        <w:t>are admitted as amici</w:t>
      </w:r>
      <w:r w:rsidRPr="00F92A38">
        <w:t xml:space="preserve"> curiae.</w:t>
      </w:r>
    </w:p>
    <w:p w:rsidR="00DC24C0" w:rsidRDefault="00DC24C0" w:rsidP="00BC147A">
      <w:pPr>
        <w:pStyle w:val="ORDER"/>
        <w:numPr>
          <w:ilvl w:val="2"/>
          <w:numId w:val="23"/>
        </w:numPr>
        <w:ind w:left="1440" w:hanging="720"/>
      </w:pPr>
      <w:r>
        <w:t>The order in the High Court is set aside and replaced with the following:</w:t>
      </w:r>
    </w:p>
    <w:p w:rsidR="00DC24C0" w:rsidRPr="009C3888" w:rsidRDefault="00DC24C0" w:rsidP="00F15957">
      <w:pPr>
        <w:pStyle w:val="ORDER"/>
        <w:ind w:firstLine="0"/>
      </w:pPr>
      <w:r>
        <w:t>“The application is dismissed.”</w:t>
      </w:r>
    </w:p>
    <w:p w:rsidR="00CE5F9F" w:rsidRDefault="00CE5F9F" w:rsidP="000C38CF">
      <w:pPr>
        <w:pStyle w:val="JUDGMENTCONTINUED"/>
      </w:pPr>
    </w:p>
    <w:p w:rsidR="00CE5F9F" w:rsidRPr="00CE5F9F" w:rsidRDefault="00CE5F9F" w:rsidP="000C38CF">
      <w:pPr>
        <w:pStyle w:val="JUDGMENTCONTINUED"/>
        <w:sectPr w:rsidR="00CE5F9F" w:rsidRPr="00CE5F9F" w:rsidSect="000F7521">
          <w:headerReference w:type="default" r:id="rId15"/>
          <w:type w:val="continuous"/>
          <w:pgSz w:w="11907" w:h="16839" w:code="9"/>
          <w:pgMar w:top="1440" w:right="1440" w:bottom="1440" w:left="1440" w:header="708" w:footer="708" w:gutter="0"/>
          <w:cols w:space="708"/>
          <w:titlePg/>
          <w:docGrid w:linePitch="360"/>
        </w:sectPr>
      </w:pPr>
    </w:p>
    <w:p w:rsidR="00236F9A" w:rsidRPr="009C3888" w:rsidRDefault="00236F9A" w:rsidP="00860C4E">
      <w:pPr>
        <w:sectPr w:rsidR="00236F9A" w:rsidRPr="009C3888" w:rsidSect="009559B5">
          <w:headerReference w:type="default" r:id="rId16"/>
          <w:footerReference w:type="default" r:id="rId17"/>
          <w:pgSz w:w="11907" w:h="16839" w:code="9"/>
          <w:pgMar w:top="1440" w:right="1440" w:bottom="1440" w:left="1440" w:header="708" w:footer="708" w:gutter="0"/>
          <w:pgNumType w:start="1"/>
          <w:cols w:space="708"/>
          <w:docGrid w:linePitch="360"/>
        </w:sectPr>
      </w:pPr>
    </w:p>
    <w:p w:rsidR="00CC158D" w:rsidRPr="009C3888" w:rsidRDefault="00860C4E" w:rsidP="00CC158D">
      <w:pPr>
        <w:pStyle w:val="COUNSELDETAILS"/>
      </w:pPr>
      <w:r w:rsidRPr="009C3888">
        <w:t xml:space="preserve">For the </w:t>
      </w:r>
      <w:r w:rsidR="0053110E">
        <w:t>Applicant</w:t>
      </w:r>
      <w:r w:rsidRPr="009C3888">
        <w:t>:</w:t>
      </w: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r w:rsidRPr="009C3888">
        <w:t xml:space="preserve">For </w:t>
      </w:r>
      <w:r w:rsidR="0053110E">
        <w:t>the Respondent</w:t>
      </w:r>
      <w:r w:rsidRPr="009C3888">
        <w:t>:</w:t>
      </w:r>
    </w:p>
    <w:p w:rsidR="00860C4E" w:rsidRPr="009C3888" w:rsidRDefault="00860C4E" w:rsidP="00CC158D">
      <w:pPr>
        <w:pStyle w:val="COUNSELDETAILS"/>
      </w:pPr>
    </w:p>
    <w:p w:rsidR="00860C4E" w:rsidRPr="009C3888" w:rsidRDefault="00860C4E" w:rsidP="00CC158D">
      <w:pPr>
        <w:pStyle w:val="COUNSELDETAILS"/>
      </w:pPr>
    </w:p>
    <w:p w:rsidR="00E26A24" w:rsidRDefault="00E26A24" w:rsidP="00CC158D">
      <w:pPr>
        <w:pStyle w:val="COUNSELDETAILS"/>
      </w:pPr>
    </w:p>
    <w:p w:rsidR="00860C4E" w:rsidRPr="009C3888" w:rsidRDefault="00860C4E" w:rsidP="00CC158D">
      <w:pPr>
        <w:pStyle w:val="COUNSELDETAILS"/>
      </w:pPr>
      <w:r w:rsidRPr="009C3888">
        <w:t xml:space="preserve">For the </w:t>
      </w:r>
      <w:r w:rsidR="0053110E">
        <w:t>First Amicus Curiae</w:t>
      </w:r>
      <w:r w:rsidRPr="009C3888">
        <w:t>:</w:t>
      </w:r>
    </w:p>
    <w:p w:rsidR="00860C4E" w:rsidRPr="009C3888" w:rsidRDefault="00860C4E" w:rsidP="00CC158D">
      <w:pPr>
        <w:pStyle w:val="COUNSELDETAILS"/>
      </w:pPr>
    </w:p>
    <w:p w:rsidR="00860C4E" w:rsidRPr="009C3888" w:rsidRDefault="00860C4E" w:rsidP="00CC158D">
      <w:pPr>
        <w:pStyle w:val="COUNSELDETAILS"/>
      </w:pPr>
    </w:p>
    <w:p w:rsidR="00236F9A" w:rsidRPr="009C3888" w:rsidRDefault="00860C4E" w:rsidP="00CC158D">
      <w:pPr>
        <w:pStyle w:val="COUNSELDETAILS"/>
      </w:pPr>
      <w:r w:rsidRPr="009C3888">
        <w:t xml:space="preserve">For the </w:t>
      </w:r>
      <w:r w:rsidR="0053110E">
        <w:t xml:space="preserve">Second </w:t>
      </w:r>
      <w:r w:rsidRPr="009C3888">
        <w:t>Amicus Curiae:</w:t>
      </w:r>
    </w:p>
    <w:p w:rsidR="00860C4E" w:rsidRDefault="00236F9A" w:rsidP="00CC158D">
      <w:pPr>
        <w:pStyle w:val="COUNSELDETAILS"/>
      </w:pPr>
      <w:r w:rsidRPr="009C3888">
        <w:br w:type="column"/>
      </w:r>
      <w:r w:rsidR="0053110E">
        <w:t>G Budlender SC, H Varney and D M Nyathi</w:t>
      </w:r>
      <w:r w:rsidR="00860C4E" w:rsidRPr="009C3888">
        <w:t xml:space="preserve"> instructed by the </w:t>
      </w:r>
      <w:r w:rsidR="0053110E">
        <w:t>State Attorney, Pretoria.</w:t>
      </w:r>
    </w:p>
    <w:p w:rsidR="0053110E" w:rsidRPr="009C3888" w:rsidRDefault="0053110E" w:rsidP="00CC158D">
      <w:pPr>
        <w:pStyle w:val="COUNSELDETAILS"/>
      </w:pPr>
    </w:p>
    <w:p w:rsidR="00860C4E" w:rsidRPr="009C3888" w:rsidRDefault="0053110E" w:rsidP="00CC158D">
      <w:pPr>
        <w:pStyle w:val="COUNSELDETAILS"/>
      </w:pPr>
      <w:r>
        <w:t>F Snyckers SC and G Diamond instructed by Couzyn, Hertzog &amp; Horak</w:t>
      </w:r>
      <w:r w:rsidR="00860C4E" w:rsidRPr="009C3888">
        <w:t>.</w:t>
      </w:r>
    </w:p>
    <w:p w:rsidR="00860C4E" w:rsidRPr="009C3888" w:rsidRDefault="00860C4E" w:rsidP="00CC158D">
      <w:pPr>
        <w:pStyle w:val="COUNSELDETAILS"/>
      </w:pPr>
    </w:p>
    <w:p w:rsidR="00D000B7" w:rsidRDefault="00D000B7" w:rsidP="001572F5">
      <w:pPr>
        <w:pStyle w:val="COUNSELDETAILS"/>
      </w:pPr>
    </w:p>
    <w:p w:rsidR="001572F5" w:rsidRDefault="001572F5" w:rsidP="001572F5">
      <w:pPr>
        <w:pStyle w:val="COUNSELDETAILS"/>
      </w:pPr>
      <w:r>
        <w:t>M Snyman instructed by M J Hood &amp; Associates</w:t>
      </w:r>
      <w:r w:rsidRPr="009C3888">
        <w:t>.</w:t>
      </w:r>
    </w:p>
    <w:p w:rsidR="001572F5" w:rsidRDefault="001572F5" w:rsidP="00CC158D">
      <w:pPr>
        <w:pStyle w:val="COUNSELDETAILS"/>
      </w:pPr>
    </w:p>
    <w:p w:rsidR="007D72E1" w:rsidRPr="009C3888" w:rsidRDefault="0053110E" w:rsidP="00CC158D">
      <w:pPr>
        <w:pStyle w:val="COUNSELDETAILS"/>
      </w:pPr>
      <w:r>
        <w:t>M Chaskalson SC and J L Griffiths</w:t>
      </w:r>
      <w:r w:rsidR="00860C4E" w:rsidRPr="009C3888">
        <w:t xml:space="preserve"> </w:t>
      </w:r>
      <w:r>
        <w:t xml:space="preserve">instructed by Fasken </w:t>
      </w:r>
      <w:r w:rsidR="001572F5">
        <w:t>(Incorporated as Bell Dewar Inc)</w:t>
      </w:r>
      <w:r w:rsidR="00860C4E" w:rsidRPr="009C3888">
        <w:t>.</w:t>
      </w:r>
    </w:p>
    <w:sectPr w:rsidR="007D72E1"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1BA0" w:rsidRDefault="00E91BA0" w:rsidP="00E4607C">
      <w:pPr>
        <w:spacing w:line="240" w:lineRule="auto"/>
      </w:pPr>
      <w:r>
        <w:separator/>
      </w:r>
    </w:p>
  </w:endnote>
  <w:endnote w:type="continuationSeparator" w:id="0">
    <w:p w:rsidR="00E91BA0" w:rsidRDefault="00E91BA0"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Bold">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5661" w:rsidRDefault="00EF566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79E7" w:rsidRDefault="005179E7" w:rsidP="0087217E">
    <w:pPr>
      <w:pStyle w:val="Footer"/>
      <w:jc w:val="center"/>
    </w:pPr>
    <w:r>
      <w:fldChar w:fldCharType="begin"/>
    </w:r>
    <w:r>
      <w:instrText xml:space="preserve"> PAGE   \* MERGEFORMAT </w:instrText>
    </w:r>
    <w:r>
      <w:fldChar w:fldCharType="separate"/>
    </w:r>
    <w:r w:rsidR="00632023">
      <w:rPr>
        <w:noProof/>
      </w:rPr>
      <w:t>2</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5661" w:rsidRDefault="00EF5661">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79E7" w:rsidRDefault="005179E7"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1BA0" w:rsidRDefault="00E91BA0" w:rsidP="00E4607C">
      <w:pPr>
        <w:spacing w:line="240" w:lineRule="auto"/>
      </w:pPr>
      <w:r>
        <w:separator/>
      </w:r>
    </w:p>
  </w:footnote>
  <w:footnote w:type="continuationSeparator" w:id="0">
    <w:p w:rsidR="00E91BA0" w:rsidRDefault="00E91BA0" w:rsidP="00E4607C">
      <w:pPr>
        <w:spacing w:line="240" w:lineRule="auto"/>
      </w:pPr>
      <w:r>
        <w:continuationSeparator/>
      </w:r>
    </w:p>
  </w:footnote>
  <w:footnote w:id="1">
    <w:p w:rsidR="005179E7" w:rsidRDefault="005179E7">
      <w:pPr>
        <w:pStyle w:val="FootnoteText"/>
      </w:pPr>
      <w:r>
        <w:rPr>
          <w:rStyle w:val="FootnoteReference"/>
        </w:rPr>
        <w:footnoteRef/>
      </w:r>
      <w:r>
        <w:t xml:space="preserve"> 60 of 2000.</w:t>
      </w:r>
    </w:p>
  </w:footnote>
  <w:footnote w:id="2">
    <w:p w:rsidR="005179E7" w:rsidRDefault="005179E7">
      <w:pPr>
        <w:pStyle w:val="FootnoteText"/>
      </w:pPr>
      <w:r>
        <w:rPr>
          <w:rStyle w:val="FootnoteReference"/>
        </w:rPr>
        <w:footnoteRef/>
      </w:r>
      <w:r>
        <w:t xml:space="preserve"> Section 2.</w:t>
      </w:r>
    </w:p>
  </w:footnote>
  <w:footnote w:id="3">
    <w:p w:rsidR="005179E7" w:rsidRPr="00AE4943" w:rsidRDefault="005179E7" w:rsidP="008251D8">
      <w:pPr>
        <w:pStyle w:val="FootnoteText"/>
      </w:pPr>
      <w:r>
        <w:rPr>
          <w:rStyle w:val="FootnoteReference"/>
        </w:rPr>
        <w:footnoteRef/>
      </w:r>
      <w:r>
        <w:t xml:space="preserve"> </w:t>
      </w:r>
      <w:r w:rsidRPr="00AE4943">
        <w:t>Section 3 states:</w:t>
      </w:r>
    </w:p>
    <w:p w:rsidR="005179E7" w:rsidRPr="00AE4943" w:rsidRDefault="005179E7" w:rsidP="00AE4943">
      <w:pPr>
        <w:pStyle w:val="QUOTEINFOOTNOTE"/>
        <w:spacing w:before="120"/>
        <w:ind w:left="1440" w:hanging="720"/>
      </w:pPr>
      <w:r w:rsidRPr="00AE4943">
        <w:t>“(1)</w:t>
      </w:r>
      <w:r w:rsidR="00FF7988">
        <w:tab/>
      </w:r>
      <w:r w:rsidRPr="00AE4943">
        <w:t>No person may possess a firearm unless he or she holds for that firearm—</w:t>
      </w:r>
    </w:p>
    <w:p w:rsidR="005179E7" w:rsidRPr="00AE4943" w:rsidRDefault="00136E36" w:rsidP="00BC147A">
      <w:pPr>
        <w:pStyle w:val="QUOTEINFOOTNOTE"/>
        <w:numPr>
          <w:ilvl w:val="0"/>
          <w:numId w:val="18"/>
        </w:numPr>
        <w:spacing w:before="120"/>
        <w:ind w:left="2160" w:hanging="720"/>
      </w:pPr>
      <w:r>
        <w:t>a</w:t>
      </w:r>
      <w:r w:rsidR="005179E7" w:rsidRPr="00AE4943">
        <w:t xml:space="preserve"> licence, permit or authorisation issued in terms of this Act; or</w:t>
      </w:r>
    </w:p>
    <w:p w:rsidR="005179E7" w:rsidRPr="00AE4943" w:rsidRDefault="00136E36" w:rsidP="00BC147A">
      <w:pPr>
        <w:pStyle w:val="FootnoteText1"/>
        <w:numPr>
          <w:ilvl w:val="0"/>
          <w:numId w:val="18"/>
        </w:numPr>
        <w:spacing w:before="120"/>
        <w:ind w:left="2160" w:hanging="720"/>
      </w:pPr>
      <w:r>
        <w:t>a</w:t>
      </w:r>
      <w:r w:rsidR="005179E7" w:rsidRPr="00AE4943">
        <w:t xml:space="preserve"> licence, permit, authorisation or registration certificate contemplated in item 1, 2, 3,4, 4A or 5 of Schedule 1.</w:t>
      </w:r>
    </w:p>
    <w:p w:rsidR="005179E7" w:rsidRPr="00AE4943" w:rsidRDefault="005179E7" w:rsidP="00AE4943">
      <w:pPr>
        <w:pStyle w:val="FootnoteText1"/>
        <w:spacing w:before="120"/>
        <w:ind w:left="1440" w:hanging="720"/>
      </w:pPr>
      <w:r w:rsidRPr="00AE4943">
        <w:t>(2)</w:t>
      </w:r>
      <w:r w:rsidR="00FF7988">
        <w:tab/>
      </w:r>
      <w:r w:rsidRPr="00AE4943">
        <w:t>No person may possess a muzzle loading firearm unless he or she has been issued with the relevant competency certificate.”</w:t>
      </w:r>
    </w:p>
  </w:footnote>
  <w:footnote w:id="4">
    <w:p w:rsidR="005179E7" w:rsidRPr="00AE4943" w:rsidRDefault="005179E7" w:rsidP="008251D8">
      <w:pPr>
        <w:pStyle w:val="FootnoteText"/>
      </w:pPr>
      <w:r w:rsidRPr="00AE4943">
        <w:rPr>
          <w:rStyle w:val="FootnoteReference"/>
        </w:rPr>
        <w:footnoteRef/>
      </w:r>
      <w:r w:rsidRPr="00AE4943">
        <w:t xml:space="preserve"> </w:t>
      </w:r>
      <w:r w:rsidR="00C22C9C">
        <w:t>S</w:t>
      </w:r>
      <w:r w:rsidRPr="00AE4943">
        <w:t>ection 6(2) states:</w:t>
      </w:r>
    </w:p>
    <w:p w:rsidR="005179E7" w:rsidRPr="00AE4943" w:rsidRDefault="005179E7" w:rsidP="00AE4943">
      <w:pPr>
        <w:pStyle w:val="QUOTEINFOOTNOTE"/>
      </w:pPr>
      <w:r w:rsidRPr="00AE4943">
        <w:t>“Subject to section 7, no licence may be issued to a person who is not in possession of the relevant competency certificate</w:t>
      </w:r>
      <w:r w:rsidR="00C22C9C">
        <w:t>.</w:t>
      </w:r>
      <w:r w:rsidRPr="00AE4943">
        <w:t>”</w:t>
      </w:r>
    </w:p>
    <w:p w:rsidR="005179E7" w:rsidRPr="00AE4943" w:rsidRDefault="005179E7" w:rsidP="00AE4943">
      <w:pPr>
        <w:pStyle w:val="FootnoteText1"/>
      </w:pPr>
      <w:r w:rsidRPr="00AE4943">
        <w:t>section 7</w:t>
      </w:r>
      <w:r w:rsidR="00C22C9C">
        <w:t xml:space="preserve"> </w:t>
      </w:r>
      <w:r w:rsidRPr="00AE4943">
        <w:t>states:</w:t>
      </w:r>
    </w:p>
    <w:p w:rsidR="005179E7" w:rsidRPr="00AE4943" w:rsidRDefault="005179E7" w:rsidP="00BC147A">
      <w:pPr>
        <w:pStyle w:val="QUOTEINFOOTNOTE"/>
        <w:ind w:left="1440" w:hanging="720"/>
      </w:pPr>
      <w:r w:rsidRPr="00AE4943">
        <w:t>“(1)</w:t>
      </w:r>
      <w:r w:rsidR="00FF7988">
        <w:tab/>
      </w:r>
      <w:r w:rsidRPr="00AE4943">
        <w:t>When a juristic person wishes to apply for a licence, permit or authorisation in terms of this Act, it must nominate a natural person to apply on its behalf.</w:t>
      </w:r>
    </w:p>
    <w:p w:rsidR="005179E7" w:rsidRPr="00AE4943" w:rsidRDefault="005179E7" w:rsidP="00BC147A">
      <w:pPr>
        <w:pStyle w:val="QUOTEINFOOTNOTE"/>
        <w:ind w:left="1440" w:hanging="720"/>
      </w:pPr>
      <w:r w:rsidRPr="00AE4943">
        <w:t>(2)</w:t>
      </w:r>
      <w:r w:rsidR="00FF7988">
        <w:tab/>
      </w:r>
      <w:r w:rsidRPr="00AE4943">
        <w:t>The person so nominated must be identified on the licence, permit or authorisation as the responsible person.</w:t>
      </w:r>
    </w:p>
    <w:p w:rsidR="005179E7" w:rsidRPr="00AE4943" w:rsidRDefault="005179E7" w:rsidP="00BC147A">
      <w:pPr>
        <w:pStyle w:val="QUOTEINFOOTNOTE"/>
        <w:ind w:left="1440" w:hanging="720"/>
      </w:pPr>
      <w:r w:rsidRPr="00AE4943">
        <w:t>(3)</w:t>
      </w:r>
      <w:r w:rsidR="00FF7988">
        <w:tab/>
      </w:r>
      <w:r w:rsidRPr="00AE4943">
        <w:t>A responsible person who holds any licence, permit or authorisation issued in terms of this Act pursuant to an application contemplated in subsection (1) on behalf of the juristic person must for purposes of this Act be regarded as the holder of the licence in question</w:t>
      </w:r>
      <w:r w:rsidR="00C22C9C">
        <w:t>.</w:t>
      </w:r>
      <w:r w:rsidRPr="00AE4943">
        <w:t>”</w:t>
      </w:r>
    </w:p>
  </w:footnote>
  <w:footnote w:id="5">
    <w:p w:rsidR="005179E7" w:rsidRPr="00AE4943" w:rsidRDefault="005179E7" w:rsidP="008251D8">
      <w:pPr>
        <w:pStyle w:val="FootnoteText"/>
      </w:pPr>
      <w:r w:rsidRPr="00AE4943">
        <w:rPr>
          <w:rStyle w:val="FootnoteReference"/>
        </w:rPr>
        <w:footnoteRef/>
      </w:r>
      <w:r w:rsidRPr="00AE4943">
        <w:t xml:space="preserve"> Section 10(2) states:</w:t>
      </w:r>
    </w:p>
    <w:p w:rsidR="005179E7" w:rsidRPr="00AE4943" w:rsidRDefault="005179E7" w:rsidP="00AE4943">
      <w:pPr>
        <w:pStyle w:val="QUOTEINFOOTNOTE"/>
      </w:pPr>
      <w:r w:rsidRPr="00AE4943">
        <w:t>“A competency certificate contemplated in subsection (1) (a) (i), (ii), (iii) and (iv), remains valid for the same period of validity as the period determined in this Act in respect of the licence to which the competency certificate relates, unless the competency certificate is terminated or renewed in accordance with the provisions of this Act.”</w:t>
      </w:r>
    </w:p>
    <w:p w:rsidR="005179E7" w:rsidRPr="00AE4943" w:rsidRDefault="005179E7" w:rsidP="008251D8">
      <w:pPr>
        <w:pStyle w:val="FootnoteText"/>
      </w:pPr>
      <w:r w:rsidRPr="00AE4943">
        <w:t>and section 27 states:</w:t>
      </w:r>
    </w:p>
    <w:p w:rsidR="005179E7" w:rsidRPr="00AE4943" w:rsidRDefault="005179E7" w:rsidP="00AE4943">
      <w:pPr>
        <w:pStyle w:val="QUOTEINFOOTNOTE"/>
      </w:pPr>
      <w:r w:rsidRPr="00AE4943">
        <w:t>“A licence or permit mentioned in Column 2 of the Table below remains valid for the period mentioned in Column 3 of that Table.</w:t>
      </w:r>
    </w:p>
    <w:p w:rsidR="005179E7" w:rsidRPr="00AE4943" w:rsidRDefault="005179E7" w:rsidP="00AE4943">
      <w:pPr>
        <w:pStyle w:val="QUOTEINFOOTNOTE"/>
      </w:pPr>
      <w:r w:rsidRPr="00AE4943">
        <w:t>TABLE — PERIOD OF VALIDITY OF LICENCE OR PERMIT</w:t>
      </w:r>
    </w:p>
    <w:p w:rsidR="005179E7" w:rsidRPr="00AE4943" w:rsidRDefault="005179E7" w:rsidP="00AE4943">
      <w:pPr>
        <w:pStyle w:val="FootnoteText1"/>
        <w:rPr>
          <w:highlight w:val="yellow"/>
        </w:rPr>
      </w:pPr>
    </w:p>
    <w:tbl>
      <w:tblPr>
        <w:tblW w:w="8643" w:type="dxa"/>
        <w:shd w:val="clear" w:color="auto" w:fill="FFFFFF"/>
        <w:tblCellMar>
          <w:left w:w="0" w:type="dxa"/>
          <w:right w:w="0" w:type="dxa"/>
        </w:tblCellMar>
        <w:tblLook w:val="04A0" w:firstRow="1" w:lastRow="0" w:firstColumn="1" w:lastColumn="0" w:noHBand="0" w:noVBand="1"/>
      </w:tblPr>
      <w:tblGrid>
        <w:gridCol w:w="2140"/>
        <w:gridCol w:w="4323"/>
        <w:gridCol w:w="2180"/>
      </w:tblGrid>
      <w:tr w:rsidR="005179E7" w:rsidRPr="00AE4943" w:rsidTr="00AE4943">
        <w:trPr>
          <w:trHeight w:val="339"/>
        </w:trPr>
        <w:tc>
          <w:tcPr>
            <w:tcW w:w="0" w:type="auto"/>
            <w:tcBorders>
              <w:top w:val="single" w:sz="12" w:space="0" w:color="000000"/>
              <w:left w:val="single" w:sz="12"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Section number</w:t>
            </w:r>
          </w:p>
        </w:tc>
        <w:tc>
          <w:tcPr>
            <w:tcW w:w="0" w:type="auto"/>
            <w:tcBorders>
              <w:top w:val="single" w:sz="12" w:space="0" w:color="000000"/>
              <w:left w:val="single" w:sz="6"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Type of licence or permit</w:t>
            </w:r>
          </w:p>
        </w:tc>
        <w:tc>
          <w:tcPr>
            <w:tcW w:w="0" w:type="auto"/>
            <w:tcBorders>
              <w:top w:val="single" w:sz="12" w:space="0" w:color="000000"/>
              <w:left w:val="single" w:sz="6" w:space="0" w:color="000000"/>
              <w:right w:val="single" w:sz="12"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Period of validity</w:t>
            </w:r>
          </w:p>
        </w:tc>
      </w:tr>
      <w:tr w:rsidR="005179E7" w:rsidRPr="00AE4943" w:rsidTr="00AE4943">
        <w:trPr>
          <w:trHeight w:val="247"/>
        </w:trPr>
        <w:tc>
          <w:tcPr>
            <w:tcW w:w="0" w:type="auto"/>
            <w:tcBorders>
              <w:top w:val="single" w:sz="6" w:space="0" w:color="000000"/>
              <w:left w:val="single" w:sz="12" w:space="0" w:color="000000"/>
              <w:bottom w:val="single" w:sz="6"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13</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Licence to possess firearm for self-defence</w:t>
            </w:r>
          </w:p>
        </w:tc>
        <w:tc>
          <w:tcPr>
            <w:tcW w:w="0" w:type="auto"/>
            <w:tcBorders>
              <w:top w:val="single" w:sz="6" w:space="0" w:color="000000"/>
              <w:left w:val="single" w:sz="6" w:space="0" w:color="000000"/>
              <w:bottom w:val="single" w:sz="6" w:space="0" w:color="000000"/>
              <w:right w:val="single" w:sz="12"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Five years</w:t>
            </w:r>
          </w:p>
        </w:tc>
      </w:tr>
      <w:tr w:rsidR="005179E7" w:rsidRPr="00AE4943" w:rsidTr="00AE4943">
        <w:trPr>
          <w:trHeight w:val="344"/>
        </w:trPr>
        <w:tc>
          <w:tcPr>
            <w:tcW w:w="0" w:type="auto"/>
            <w:tcBorders>
              <w:top w:val="single" w:sz="6" w:space="0" w:color="000000"/>
              <w:left w:val="single" w:sz="12" w:space="0" w:color="000000"/>
              <w:bottom w:val="single" w:sz="6"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14</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Licence to possess restricted firearm for self-defence</w:t>
            </w:r>
          </w:p>
        </w:tc>
        <w:tc>
          <w:tcPr>
            <w:tcW w:w="0" w:type="auto"/>
            <w:tcBorders>
              <w:top w:val="single" w:sz="6" w:space="0" w:color="000000"/>
              <w:left w:val="single" w:sz="6" w:space="0" w:color="000000"/>
              <w:bottom w:val="single" w:sz="6" w:space="0" w:color="000000"/>
              <w:right w:val="single" w:sz="12"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Two years</w:t>
            </w:r>
          </w:p>
        </w:tc>
      </w:tr>
      <w:tr w:rsidR="005179E7" w:rsidRPr="00AE4943" w:rsidTr="00AE4943">
        <w:trPr>
          <w:trHeight w:val="438"/>
        </w:trPr>
        <w:tc>
          <w:tcPr>
            <w:tcW w:w="0" w:type="auto"/>
            <w:tcBorders>
              <w:top w:val="single" w:sz="6" w:space="0" w:color="000000"/>
              <w:left w:val="single" w:sz="12"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15</w:t>
            </w:r>
          </w:p>
        </w:tc>
        <w:tc>
          <w:tcPr>
            <w:tcW w:w="0" w:type="auto"/>
            <w:tcBorders>
              <w:top w:val="single" w:sz="6" w:space="0" w:color="000000"/>
              <w:left w:val="single" w:sz="6"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Licence to possess firearm for occasional hunting and sports-shooting</w:t>
            </w:r>
          </w:p>
        </w:tc>
        <w:tc>
          <w:tcPr>
            <w:tcW w:w="0" w:type="auto"/>
            <w:tcBorders>
              <w:top w:val="single" w:sz="6" w:space="0" w:color="000000"/>
              <w:left w:val="single" w:sz="6" w:space="0" w:color="000000"/>
              <w:right w:val="single" w:sz="12"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10 years</w:t>
            </w:r>
          </w:p>
        </w:tc>
      </w:tr>
      <w:tr w:rsidR="005179E7" w:rsidRPr="00AE4943" w:rsidTr="00AE4943">
        <w:trPr>
          <w:trHeight w:val="438"/>
        </w:trPr>
        <w:tc>
          <w:tcPr>
            <w:tcW w:w="0" w:type="auto"/>
            <w:tcBorders>
              <w:top w:val="single" w:sz="6" w:space="0" w:color="000000"/>
              <w:left w:val="single" w:sz="12"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16</w:t>
            </w:r>
          </w:p>
        </w:tc>
        <w:tc>
          <w:tcPr>
            <w:tcW w:w="0" w:type="auto"/>
            <w:tcBorders>
              <w:top w:val="single" w:sz="6" w:space="0" w:color="000000"/>
              <w:left w:val="single" w:sz="6"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Licence to possess firearm for dedicated hunting and dedicated sports-shooting</w:t>
            </w:r>
          </w:p>
        </w:tc>
        <w:tc>
          <w:tcPr>
            <w:tcW w:w="0" w:type="auto"/>
            <w:tcBorders>
              <w:top w:val="single" w:sz="6" w:space="0" w:color="000000"/>
              <w:left w:val="single" w:sz="6" w:space="0" w:color="000000"/>
              <w:right w:val="single" w:sz="12"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10 years</w:t>
            </w:r>
          </w:p>
        </w:tc>
      </w:tr>
      <w:tr w:rsidR="005179E7" w:rsidRPr="00AE4943" w:rsidTr="00AE4943">
        <w:trPr>
          <w:trHeight w:val="344"/>
        </w:trPr>
        <w:tc>
          <w:tcPr>
            <w:tcW w:w="0" w:type="auto"/>
            <w:tcBorders>
              <w:top w:val="single" w:sz="6" w:space="0" w:color="000000"/>
              <w:left w:val="single" w:sz="12" w:space="0" w:color="000000"/>
              <w:bottom w:val="single" w:sz="6"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16A</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Licence to possess a firearm for professional hunting</w:t>
            </w:r>
          </w:p>
        </w:tc>
        <w:tc>
          <w:tcPr>
            <w:tcW w:w="0" w:type="auto"/>
            <w:tcBorders>
              <w:top w:val="single" w:sz="6" w:space="0" w:color="000000"/>
              <w:left w:val="single" w:sz="6" w:space="0" w:color="000000"/>
              <w:bottom w:val="single" w:sz="6" w:space="0" w:color="000000"/>
              <w:right w:val="single" w:sz="12"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10 years</w:t>
            </w:r>
          </w:p>
        </w:tc>
      </w:tr>
      <w:tr w:rsidR="005179E7" w:rsidRPr="00AE4943" w:rsidTr="00AE4943">
        <w:trPr>
          <w:trHeight w:val="339"/>
        </w:trPr>
        <w:tc>
          <w:tcPr>
            <w:tcW w:w="0" w:type="auto"/>
            <w:tcBorders>
              <w:top w:val="single" w:sz="6" w:space="0" w:color="000000"/>
              <w:left w:val="single" w:sz="12" w:space="0" w:color="000000"/>
              <w:bottom w:val="single" w:sz="6"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17</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Licence to possess firearm in private collection</w:t>
            </w:r>
          </w:p>
        </w:tc>
        <w:tc>
          <w:tcPr>
            <w:tcW w:w="0" w:type="auto"/>
            <w:tcBorders>
              <w:top w:val="single" w:sz="6" w:space="0" w:color="000000"/>
              <w:left w:val="single" w:sz="6" w:space="0" w:color="000000"/>
              <w:bottom w:val="single" w:sz="6" w:space="0" w:color="000000"/>
              <w:right w:val="single" w:sz="12"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10 years</w:t>
            </w:r>
          </w:p>
        </w:tc>
      </w:tr>
      <w:tr w:rsidR="005179E7" w:rsidRPr="00AE4943" w:rsidTr="00AE4943">
        <w:trPr>
          <w:trHeight w:val="344"/>
        </w:trPr>
        <w:tc>
          <w:tcPr>
            <w:tcW w:w="0" w:type="auto"/>
            <w:tcBorders>
              <w:top w:val="single" w:sz="6" w:space="0" w:color="000000"/>
              <w:left w:val="single" w:sz="12" w:space="0" w:color="000000"/>
              <w:bottom w:val="single" w:sz="6"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18</w:t>
            </w:r>
          </w:p>
        </w:tc>
        <w:tc>
          <w:tcPr>
            <w:tcW w:w="0" w:type="auto"/>
            <w:tcBorders>
              <w:top w:val="single" w:sz="6" w:space="0" w:color="000000"/>
              <w:left w:val="single" w:sz="6" w:space="0" w:color="000000"/>
              <w:bottom w:val="single" w:sz="6"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Permit to possess ammunition in private collection</w:t>
            </w:r>
          </w:p>
        </w:tc>
        <w:tc>
          <w:tcPr>
            <w:tcW w:w="0" w:type="auto"/>
            <w:tcBorders>
              <w:top w:val="single" w:sz="6" w:space="0" w:color="000000"/>
              <w:left w:val="single" w:sz="6" w:space="0" w:color="000000"/>
              <w:bottom w:val="single" w:sz="6" w:space="0" w:color="000000"/>
              <w:right w:val="single" w:sz="12"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10 years</w:t>
            </w:r>
          </w:p>
        </w:tc>
      </w:tr>
      <w:tr w:rsidR="005179E7" w:rsidRPr="00AE4943" w:rsidTr="00AE4943">
        <w:trPr>
          <w:trHeight w:val="438"/>
        </w:trPr>
        <w:tc>
          <w:tcPr>
            <w:tcW w:w="0" w:type="auto"/>
            <w:tcBorders>
              <w:top w:val="single" w:sz="6" w:space="0" w:color="000000"/>
              <w:left w:val="single" w:sz="12"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19</w:t>
            </w:r>
          </w:p>
        </w:tc>
        <w:tc>
          <w:tcPr>
            <w:tcW w:w="0" w:type="auto"/>
            <w:tcBorders>
              <w:top w:val="single" w:sz="6" w:space="0" w:color="000000"/>
              <w:left w:val="single" w:sz="6"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Licence to possess firearm, and permit to possess ammunition, in public collection</w:t>
            </w:r>
          </w:p>
        </w:tc>
        <w:tc>
          <w:tcPr>
            <w:tcW w:w="0" w:type="auto"/>
            <w:tcBorders>
              <w:top w:val="single" w:sz="6" w:space="0" w:color="000000"/>
              <w:left w:val="single" w:sz="6" w:space="0" w:color="000000"/>
              <w:right w:val="single" w:sz="12"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10 years</w:t>
            </w:r>
          </w:p>
        </w:tc>
      </w:tr>
      <w:tr w:rsidR="005179E7" w:rsidRPr="00AE4943" w:rsidTr="00AE4943">
        <w:trPr>
          <w:trHeight w:val="539"/>
        </w:trPr>
        <w:tc>
          <w:tcPr>
            <w:tcW w:w="0" w:type="auto"/>
            <w:tcBorders>
              <w:top w:val="single" w:sz="6" w:space="0" w:color="000000"/>
              <w:left w:val="single" w:sz="12" w:space="0" w:color="000000"/>
              <w:bottom w:val="single" w:sz="4"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20</w:t>
            </w:r>
          </w:p>
        </w:tc>
        <w:tc>
          <w:tcPr>
            <w:tcW w:w="0" w:type="auto"/>
            <w:tcBorders>
              <w:top w:val="single" w:sz="6" w:space="0" w:color="000000"/>
              <w:left w:val="single" w:sz="6" w:space="0" w:color="000000"/>
              <w:bottom w:val="single" w:sz="4"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Licence to possess firearm for business purposes: Business as game rancher and in hunting</w:t>
            </w:r>
          </w:p>
        </w:tc>
        <w:tc>
          <w:tcPr>
            <w:tcW w:w="0" w:type="auto"/>
            <w:tcBorders>
              <w:top w:val="single" w:sz="6" w:space="0" w:color="000000"/>
              <w:left w:val="single" w:sz="6" w:space="0" w:color="000000"/>
              <w:bottom w:val="single" w:sz="4" w:space="0" w:color="000000"/>
              <w:right w:val="single" w:sz="12"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10 years</w:t>
            </w:r>
          </w:p>
        </w:tc>
      </w:tr>
      <w:tr w:rsidR="005179E7" w:rsidRPr="00AE4943" w:rsidTr="00AE4943">
        <w:trPr>
          <w:trHeight w:val="539"/>
        </w:trPr>
        <w:tc>
          <w:tcPr>
            <w:tcW w:w="0" w:type="auto"/>
            <w:tcBorders>
              <w:top w:val="single" w:sz="4" w:space="0" w:color="000000"/>
              <w:left w:val="single" w:sz="12" w:space="0" w:color="000000"/>
              <w:bottom w:val="single" w:sz="12"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20</w:t>
            </w:r>
          </w:p>
        </w:tc>
        <w:tc>
          <w:tcPr>
            <w:tcW w:w="0" w:type="auto"/>
            <w:tcBorders>
              <w:top w:val="single" w:sz="4" w:space="0" w:color="000000"/>
              <w:left w:val="single" w:sz="6" w:space="0" w:color="000000"/>
              <w:bottom w:val="single" w:sz="12" w:space="0" w:color="000000"/>
              <w:right w:val="single" w:sz="6"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Licence to possess firearm for business purposes: Business other than as game rancher and in hunting</w:t>
            </w:r>
          </w:p>
        </w:tc>
        <w:tc>
          <w:tcPr>
            <w:tcW w:w="0" w:type="auto"/>
            <w:tcBorders>
              <w:top w:val="single" w:sz="4" w:space="0" w:color="000000"/>
              <w:left w:val="single" w:sz="6" w:space="0" w:color="000000"/>
              <w:bottom w:val="single" w:sz="12" w:space="0" w:color="000000"/>
              <w:right w:val="single" w:sz="12" w:space="0" w:color="000000"/>
            </w:tcBorders>
            <w:shd w:val="clear" w:color="auto" w:fill="FFFFFF"/>
            <w:hideMark/>
          </w:tcPr>
          <w:p w:rsidR="005179E7" w:rsidRPr="00AE4943" w:rsidRDefault="005179E7" w:rsidP="00AE4943">
            <w:pPr>
              <w:pStyle w:val="QUOTEINFOOTNOTE"/>
              <w:rPr>
                <w:sz w:val="16"/>
                <w:szCs w:val="16"/>
              </w:rPr>
            </w:pPr>
            <w:r w:rsidRPr="00AE4943">
              <w:rPr>
                <w:sz w:val="16"/>
                <w:szCs w:val="16"/>
              </w:rPr>
              <w:t>Five years</w:t>
            </w:r>
          </w:p>
        </w:tc>
      </w:tr>
    </w:tbl>
    <w:p w:rsidR="005179E7" w:rsidRPr="00AE4943" w:rsidRDefault="00AE4943" w:rsidP="00AE4943">
      <w:pPr>
        <w:pStyle w:val="FootnoteText"/>
        <w:tabs>
          <w:tab w:val="left" w:pos="5924"/>
        </w:tabs>
      </w:pPr>
      <w:r w:rsidRPr="00AE4943">
        <w:tab/>
      </w:r>
    </w:p>
  </w:footnote>
  <w:footnote w:id="6">
    <w:p w:rsidR="00B936C3" w:rsidRDefault="005179E7" w:rsidP="00B936C3">
      <w:pPr>
        <w:pStyle w:val="FootnoteText"/>
      </w:pPr>
      <w:r w:rsidRPr="00AE4943">
        <w:rPr>
          <w:rStyle w:val="FootnoteReference"/>
        </w:rPr>
        <w:footnoteRef/>
      </w:r>
      <w:r w:rsidRPr="00AE4943">
        <w:t xml:space="preserve"> </w:t>
      </w:r>
      <w:r w:rsidR="00C22C9C">
        <w:t>Section 120</w:t>
      </w:r>
      <w:r w:rsidR="00B936C3">
        <w:t xml:space="preserve"> states:</w:t>
      </w:r>
    </w:p>
    <w:p w:rsidR="00B936C3" w:rsidRDefault="00B936C3" w:rsidP="00B936C3">
      <w:pPr>
        <w:pStyle w:val="QUOTEINFOOTNOTE"/>
        <w:ind w:left="1440" w:hanging="720"/>
      </w:pPr>
      <w:r>
        <w:t>“(1)</w:t>
      </w:r>
      <w:r>
        <w:tab/>
        <w:t>A person is guilty of an offence if he or she contravenes or fails to comply with any—</w:t>
      </w:r>
    </w:p>
    <w:p w:rsidR="00B936C3" w:rsidRDefault="00B936C3" w:rsidP="00B936C3">
      <w:pPr>
        <w:pStyle w:val="QUOTEINFOOTNOTE"/>
        <w:ind w:left="1440"/>
      </w:pPr>
      <w:r>
        <w:t>(a)</w:t>
      </w:r>
      <w:r>
        <w:tab/>
        <w:t>provision of this Act.”</w:t>
      </w:r>
    </w:p>
    <w:p w:rsidR="005179E7" w:rsidRPr="00AE4943" w:rsidRDefault="00A61BC4" w:rsidP="008251D8">
      <w:pPr>
        <w:pStyle w:val="FootnoteText"/>
      </w:pPr>
      <w:r>
        <w:t xml:space="preserve">section </w:t>
      </w:r>
      <w:r w:rsidR="005179E7" w:rsidRPr="00AE4943">
        <w:t>121 states:</w:t>
      </w:r>
    </w:p>
    <w:p w:rsidR="005179E7" w:rsidRDefault="005179E7" w:rsidP="00AE4943">
      <w:pPr>
        <w:pStyle w:val="QUOTEINFOOTNOTE"/>
      </w:pPr>
      <w:r w:rsidRPr="00AE4943">
        <w:t>“Any person convicted of a contravention of or a failure to comply with any section mentioned in Column I of Schedule 4, may be sentenced to a fine or to imprisonment for a period not exceeding the period mentioned in Column 2 of that Schedule opposite the number of that section.”</w:t>
      </w:r>
    </w:p>
  </w:footnote>
  <w:footnote w:id="7">
    <w:p w:rsidR="005179E7" w:rsidRDefault="005179E7">
      <w:pPr>
        <w:pStyle w:val="FootnoteText"/>
      </w:pPr>
      <w:r>
        <w:rPr>
          <w:rStyle w:val="FootnoteReference"/>
        </w:rPr>
        <w:footnoteRef/>
      </w:r>
      <w:r>
        <w:t xml:space="preserve"> </w:t>
      </w:r>
      <w:r w:rsidRPr="00AE4943">
        <w:rPr>
          <w:i/>
        </w:rPr>
        <w:t>South African Hunters and Game Conservation Association v Minister of Safety and Security of the Republic of South Africa</w:t>
      </w:r>
      <w:r w:rsidRPr="00A21429">
        <w:t> 2017 (2) SACR 288 (GP)</w:t>
      </w:r>
      <w:r w:rsidR="00D52F9F">
        <w:t xml:space="preserve"> (High Court </w:t>
      </w:r>
      <w:r w:rsidR="0006668E">
        <w:t>j</w:t>
      </w:r>
      <w:r w:rsidR="00D52F9F">
        <w:t>udgment)</w:t>
      </w:r>
      <w:r w:rsidR="007E251C">
        <w:t>.</w:t>
      </w:r>
    </w:p>
  </w:footnote>
  <w:footnote w:id="8">
    <w:p w:rsidR="00884CCC" w:rsidRDefault="00884CCC">
      <w:pPr>
        <w:pStyle w:val="FootnoteText"/>
      </w:pPr>
      <w:r>
        <w:rPr>
          <w:rStyle w:val="FootnoteReference"/>
        </w:rPr>
        <w:footnoteRef/>
      </w:r>
      <w:r>
        <w:t xml:space="preserve"> Id </w:t>
      </w:r>
      <w:r w:rsidR="0006668E">
        <w:t xml:space="preserve">at </w:t>
      </w:r>
      <w:r>
        <w:t>para 40.</w:t>
      </w:r>
    </w:p>
  </w:footnote>
  <w:footnote w:id="9">
    <w:p w:rsidR="007E251C" w:rsidRDefault="007E251C">
      <w:pPr>
        <w:pStyle w:val="FootnoteText"/>
      </w:pPr>
      <w:r>
        <w:rPr>
          <w:rStyle w:val="FootnoteReference"/>
        </w:rPr>
        <w:footnoteRef/>
      </w:r>
      <w:r>
        <w:t xml:space="preserve"> Id at para 43.</w:t>
      </w:r>
    </w:p>
  </w:footnote>
  <w:footnote w:id="10">
    <w:p w:rsidR="00D52F9F" w:rsidRDefault="00D52F9F">
      <w:pPr>
        <w:pStyle w:val="FootnoteText"/>
      </w:pPr>
      <w:r>
        <w:rPr>
          <w:rStyle w:val="FootnoteReference"/>
        </w:rPr>
        <w:footnoteRef/>
      </w:r>
      <w:r>
        <w:t xml:space="preserve"> </w:t>
      </w:r>
      <w:r w:rsidRPr="00F15957">
        <w:rPr>
          <w:i/>
        </w:rPr>
        <w:t>First National Bank of SA Limited t/a Wesbank v Commissioner for the South African Revenue Services; First National Bank of SA Limited t/a Wesbank v Minister of Finance</w:t>
      </w:r>
      <w:r w:rsidRPr="00D52F9F">
        <w:t xml:space="preserve"> [2002] ZACC 5; 2002 (4) SA 768</w:t>
      </w:r>
      <w:r w:rsidR="005C3B11">
        <w:t xml:space="preserve"> (CC)</w:t>
      </w:r>
      <w:r w:rsidRPr="00D52F9F">
        <w:t>; 2002 (7) BCLR 702</w:t>
      </w:r>
      <w:r w:rsidR="005C3B11">
        <w:t xml:space="preserve"> (CC)</w:t>
      </w:r>
      <w:r>
        <w:t xml:space="preserve"> (</w:t>
      </w:r>
      <w:r w:rsidRPr="00F15957">
        <w:rPr>
          <w:i/>
        </w:rPr>
        <w:t>FNB</w:t>
      </w:r>
      <w:r>
        <w:t>) at para 100.</w:t>
      </w:r>
    </w:p>
  </w:footnote>
  <w:footnote w:id="11">
    <w:p w:rsidR="00D52F9F" w:rsidRDefault="00D52F9F">
      <w:pPr>
        <w:pStyle w:val="FootnoteText"/>
      </w:pPr>
      <w:r>
        <w:rPr>
          <w:rStyle w:val="FootnoteReference"/>
        </w:rPr>
        <w:footnoteRef/>
      </w:r>
      <w:r>
        <w:t xml:space="preserve"> </w:t>
      </w:r>
      <w:r w:rsidR="007E251C">
        <w:t xml:space="preserve">High Court </w:t>
      </w:r>
      <w:r w:rsidR="0006668E">
        <w:t>j</w:t>
      </w:r>
      <w:r w:rsidR="007E251C">
        <w:t xml:space="preserve">udgment above n 7 </w:t>
      </w:r>
      <w:r w:rsidR="0006668E">
        <w:t xml:space="preserve">at </w:t>
      </w:r>
      <w:r w:rsidR="007E251C">
        <w:t>paras 44-54.</w:t>
      </w:r>
    </w:p>
  </w:footnote>
  <w:footnote w:id="12">
    <w:p w:rsidR="005179E7" w:rsidRDefault="005179E7">
      <w:pPr>
        <w:pStyle w:val="FootnoteText"/>
      </w:pPr>
      <w:r>
        <w:rPr>
          <w:rStyle w:val="FootnoteReference"/>
        </w:rPr>
        <w:footnoteRef/>
      </w:r>
      <w:r>
        <w:t xml:space="preserve"> Section 167(5) of the Constitution.</w:t>
      </w:r>
    </w:p>
  </w:footnote>
  <w:footnote w:id="13">
    <w:p w:rsidR="005179E7" w:rsidRDefault="005179E7">
      <w:pPr>
        <w:pStyle w:val="FootnoteText"/>
      </w:pPr>
      <w:r>
        <w:rPr>
          <w:rStyle w:val="FootnoteReference"/>
        </w:rPr>
        <w:footnoteRef/>
      </w:r>
      <w:r>
        <w:t xml:space="preserve"> In terms of Rule 16(2) of the Court’s rules.</w:t>
      </w:r>
    </w:p>
  </w:footnote>
  <w:footnote w:id="14">
    <w:p w:rsidR="005179E7" w:rsidRDefault="005179E7">
      <w:pPr>
        <w:pStyle w:val="FootnoteText"/>
      </w:pPr>
      <w:r>
        <w:rPr>
          <w:rStyle w:val="FootnoteReference"/>
        </w:rPr>
        <w:footnoteRef/>
      </w:r>
      <w:r>
        <w:t xml:space="preserve"> A third, Gun Owners of South Africa, sought admission as an amicus at a late stage, but was refused.</w:t>
      </w:r>
    </w:p>
  </w:footnote>
  <w:footnote w:id="15">
    <w:p w:rsidR="005179E7" w:rsidRDefault="005179E7">
      <w:pPr>
        <w:pStyle w:val="FootnoteText"/>
      </w:pPr>
      <w:r>
        <w:rPr>
          <w:rStyle w:val="FootnoteReference"/>
        </w:rPr>
        <w:footnoteRef/>
      </w:r>
      <w:r>
        <w:t xml:space="preserve"> Arms and Ammunition Act 75 of 1969</w:t>
      </w:r>
      <w:r w:rsidR="0049469B">
        <w:t xml:space="preserve"> (previous Act)</w:t>
      </w:r>
      <w:r>
        <w:t>.</w:t>
      </w:r>
    </w:p>
  </w:footnote>
  <w:footnote w:id="16">
    <w:p w:rsidR="005179E7" w:rsidRDefault="005179E7">
      <w:pPr>
        <w:pStyle w:val="FootnoteText"/>
      </w:pPr>
      <w:r>
        <w:rPr>
          <w:rStyle w:val="FootnoteReference"/>
        </w:rPr>
        <w:footnoteRef/>
      </w:r>
      <w:r>
        <w:t xml:space="preserve"> Section 6(2)</w:t>
      </w:r>
      <w:r w:rsidR="00BA4D1D">
        <w:t xml:space="preserve"> </w:t>
      </w:r>
      <w:r w:rsidR="009C5CF2">
        <w:t xml:space="preserve">read with Section 9(2) </w:t>
      </w:r>
      <w:r w:rsidR="00BA4D1D">
        <w:t>of the Act</w:t>
      </w:r>
      <w:r w:rsidR="009C5CF2">
        <w:t xml:space="preserve"> provides that a</w:t>
      </w:r>
      <w:r w:rsidRPr="00164113">
        <w:t>n applicant must demonstrate that they are of a certain age; are not dependent on certain substances; have not been convicted of certain offences; and have passed tests on knowledge of the law and proficie</w:t>
      </w:r>
      <w:r>
        <w:t>ncy in the safe use of firearms.</w:t>
      </w:r>
    </w:p>
  </w:footnote>
  <w:footnote w:id="17">
    <w:p w:rsidR="005179E7" w:rsidRDefault="005179E7">
      <w:pPr>
        <w:pStyle w:val="FootnoteText"/>
      </w:pPr>
      <w:r>
        <w:rPr>
          <w:rStyle w:val="FootnoteReference"/>
        </w:rPr>
        <w:footnoteRef/>
      </w:r>
      <w:r>
        <w:t xml:space="preserve"> S</w:t>
      </w:r>
      <w:r w:rsidR="0049469B">
        <w:t>ee s</w:t>
      </w:r>
      <w:r>
        <w:t>ections 10(2) and 27</w:t>
      </w:r>
      <w:r w:rsidR="0049469B">
        <w:t xml:space="preserve"> of the Act</w:t>
      </w:r>
      <w:r>
        <w:t>.</w:t>
      </w:r>
    </w:p>
  </w:footnote>
  <w:footnote w:id="18">
    <w:p w:rsidR="005179E7" w:rsidRDefault="005179E7">
      <w:pPr>
        <w:pStyle w:val="FootnoteText"/>
      </w:pPr>
      <w:r>
        <w:rPr>
          <w:rStyle w:val="FootnoteReference"/>
        </w:rPr>
        <w:footnoteRef/>
      </w:r>
      <w:r>
        <w:t xml:space="preserve"> See order of the High Court per </w:t>
      </w:r>
      <w:r w:rsidR="001A644A">
        <w:t xml:space="preserve">Poswa </w:t>
      </w:r>
      <w:r>
        <w:t xml:space="preserve">J in </w:t>
      </w:r>
      <w:r w:rsidRPr="00AE4943">
        <w:rPr>
          <w:i/>
        </w:rPr>
        <w:t>South African Hunters and Game Conservation Association v Minister of Safety and Security</w:t>
      </w:r>
      <w:r w:rsidRPr="00AE4943">
        <w:t xml:space="preserve"> (33656/2009)</w:t>
      </w:r>
      <w:r w:rsidR="00A61BC4">
        <w:t>.</w:t>
      </w:r>
    </w:p>
  </w:footnote>
  <w:footnote w:id="19">
    <w:p w:rsidR="005179E7" w:rsidRDefault="005179E7">
      <w:pPr>
        <w:pStyle w:val="FootnoteText"/>
      </w:pPr>
      <w:r>
        <w:rPr>
          <w:rStyle w:val="FootnoteReference"/>
        </w:rPr>
        <w:footnoteRef/>
      </w:r>
      <w:r>
        <w:t xml:space="preserve"> See </w:t>
      </w:r>
      <w:r w:rsidR="00135B17" w:rsidRPr="00AE4943">
        <w:rPr>
          <w:i/>
        </w:rPr>
        <w:t xml:space="preserve">Affordable Medicines Trust v Minister of Health </w:t>
      </w:r>
      <w:r w:rsidR="00135B17" w:rsidRPr="00F46C03">
        <w:t>[2005] ZACC 3; 2006 (3) SA 247 (CC); 2005 (6) BCLR 529 (CC) </w:t>
      </w:r>
      <w:r w:rsidR="00135B17">
        <w:t>para</w:t>
      </w:r>
      <w:r w:rsidR="00A01C6C">
        <w:t>s</w:t>
      </w:r>
      <w:r w:rsidR="00135B17">
        <w:t xml:space="preserve"> </w:t>
      </w:r>
      <w:r w:rsidR="00A01C6C">
        <w:t>74-</w:t>
      </w:r>
      <w:r w:rsidR="00135B17">
        <w:t xml:space="preserve">5; </w:t>
      </w:r>
      <w:r w:rsidR="00135B17" w:rsidRPr="00AE4943">
        <w:rPr>
          <w:i/>
        </w:rPr>
        <w:t xml:space="preserve">United Democratic Movement v President of the Republic of South Africa (African Christian Democratic Party Intervening; Institute for Democracy in South Africa </w:t>
      </w:r>
      <w:r w:rsidR="00A01C6C">
        <w:rPr>
          <w:i/>
        </w:rPr>
        <w:t>as Amici</w:t>
      </w:r>
      <w:r w:rsidR="00135B17" w:rsidRPr="002A2533">
        <w:rPr>
          <w:i/>
        </w:rPr>
        <w:t xml:space="preserve"> Curiae)</w:t>
      </w:r>
      <w:r w:rsidR="00135B17">
        <w:t xml:space="preserve"> </w:t>
      </w:r>
      <w:r w:rsidR="00135B17" w:rsidRPr="00F46C03">
        <w:t>[2002] ZACC 21</w:t>
      </w:r>
      <w:r w:rsidR="00A01C6C">
        <w:t xml:space="preserve"> (CC)</w:t>
      </w:r>
      <w:r w:rsidR="00135B17" w:rsidRPr="00F46C03">
        <w:t xml:space="preserve">; 2003 </w:t>
      </w:r>
      <w:r w:rsidR="00135B17">
        <w:t>(1) SA 495</w:t>
      </w:r>
      <w:r w:rsidR="00A01C6C">
        <w:t xml:space="preserve"> (CC)</w:t>
      </w:r>
      <w:r w:rsidR="00135B17">
        <w:t>; 2002 (11) BCLR 1179</w:t>
      </w:r>
      <w:r w:rsidR="00A01C6C">
        <w:t xml:space="preserve"> (CC)</w:t>
      </w:r>
      <w:r w:rsidR="00135B17">
        <w:t xml:space="preserve"> para 55; and</w:t>
      </w:r>
      <w:r w:rsidR="00135B17" w:rsidRPr="00AE4943">
        <w:rPr>
          <w:i/>
        </w:rPr>
        <w:t xml:space="preserve"> </w:t>
      </w:r>
      <w:r w:rsidRPr="00AE4943">
        <w:rPr>
          <w:i/>
        </w:rPr>
        <w:t xml:space="preserve">New National Party v Government of the Republic of South Africa </w:t>
      </w:r>
      <w:r w:rsidRPr="00F46C03">
        <w:t>[1999] ZACC 5</w:t>
      </w:r>
      <w:r w:rsidR="00A01C6C">
        <w:t xml:space="preserve"> (CC)</w:t>
      </w:r>
      <w:r w:rsidRPr="00F46C03">
        <w:t>; 199</w:t>
      </w:r>
      <w:r>
        <w:t>9 (3) SA 191</w:t>
      </w:r>
      <w:r w:rsidR="00A01C6C">
        <w:t xml:space="preserve"> (CC)</w:t>
      </w:r>
      <w:r>
        <w:t xml:space="preserve">; 1999 (5) BCLR 489 </w:t>
      </w:r>
      <w:r w:rsidR="00A01C6C">
        <w:t xml:space="preserve">(CC) </w:t>
      </w:r>
      <w:r>
        <w:t>para 19.</w:t>
      </w:r>
    </w:p>
  </w:footnote>
  <w:footnote w:id="20">
    <w:p w:rsidR="005179E7" w:rsidRPr="007B7623" w:rsidRDefault="005179E7">
      <w:pPr>
        <w:pStyle w:val="FootnoteText"/>
      </w:pPr>
      <w:r>
        <w:rPr>
          <w:rStyle w:val="FootnoteReference"/>
        </w:rPr>
        <w:footnoteRef/>
      </w:r>
      <w:r>
        <w:t xml:space="preserve"> </w:t>
      </w:r>
      <w:r w:rsidR="00FF608D">
        <w:t>See case</w:t>
      </w:r>
      <w:r w:rsidR="0037790A">
        <w:t xml:space="preserve">s referred to </w:t>
      </w:r>
      <w:r w:rsidR="00FF608D">
        <w:t xml:space="preserve">in </w:t>
      </w:r>
      <w:r w:rsidR="00FF608D">
        <w:rPr>
          <w:i/>
        </w:rPr>
        <w:t>D</w:t>
      </w:r>
      <w:r w:rsidR="00520C34">
        <w:rPr>
          <w:i/>
        </w:rPr>
        <w:t>emocratic Alliance</w:t>
      </w:r>
      <w:r w:rsidR="00FF608D">
        <w:rPr>
          <w:i/>
        </w:rPr>
        <w:t xml:space="preserve"> v President </w:t>
      </w:r>
      <w:r w:rsidR="00BC2CE9">
        <w:rPr>
          <w:i/>
        </w:rPr>
        <w:t xml:space="preserve">of the </w:t>
      </w:r>
      <w:r w:rsidR="00FF608D">
        <w:rPr>
          <w:i/>
        </w:rPr>
        <w:t>R</w:t>
      </w:r>
      <w:r w:rsidR="0037790A">
        <w:rPr>
          <w:i/>
        </w:rPr>
        <w:t xml:space="preserve">epublic of </w:t>
      </w:r>
      <w:r w:rsidR="00FF608D">
        <w:rPr>
          <w:i/>
        </w:rPr>
        <w:t>S</w:t>
      </w:r>
      <w:r w:rsidR="0037790A">
        <w:rPr>
          <w:i/>
        </w:rPr>
        <w:t xml:space="preserve">outh </w:t>
      </w:r>
      <w:r w:rsidR="00FF608D">
        <w:rPr>
          <w:i/>
        </w:rPr>
        <w:t>A</w:t>
      </w:r>
      <w:r w:rsidR="0037790A">
        <w:rPr>
          <w:i/>
        </w:rPr>
        <w:t>frica</w:t>
      </w:r>
      <w:r w:rsidR="00FF608D">
        <w:rPr>
          <w:i/>
        </w:rPr>
        <w:t xml:space="preserve"> </w:t>
      </w:r>
      <w:r w:rsidR="00FF608D">
        <w:t>[2012] ZACC 24; 2013(1) SA 248 (CC);</w:t>
      </w:r>
      <w:r w:rsidR="00FF608D">
        <w:rPr>
          <w:rFonts w:ascii="Verdana-Bold" w:hAnsi="Verdana-Bold" w:cs="Verdana-Bold"/>
          <w:b/>
          <w:bCs/>
          <w:sz w:val="17"/>
          <w:szCs w:val="17"/>
        </w:rPr>
        <w:t xml:space="preserve"> </w:t>
      </w:r>
      <w:r w:rsidR="00FF608D">
        <w:rPr>
          <w:bCs/>
        </w:rPr>
        <w:t>2012 (12) BCLR 1297 (CC)</w:t>
      </w:r>
      <w:r w:rsidR="0037790A">
        <w:t xml:space="preserve"> at</w:t>
      </w:r>
      <w:r w:rsidR="00FF608D">
        <w:t xml:space="preserve"> paras 29-45.</w:t>
      </w:r>
    </w:p>
  </w:footnote>
  <w:footnote w:id="21">
    <w:p w:rsidR="0037790A" w:rsidRDefault="0037790A">
      <w:pPr>
        <w:pStyle w:val="FootnoteText"/>
      </w:pPr>
      <w:r>
        <w:rPr>
          <w:rStyle w:val="FootnoteReference"/>
        </w:rPr>
        <w:footnoteRef/>
      </w:r>
      <w:r>
        <w:t xml:space="preserve"> </w:t>
      </w:r>
      <w:r w:rsidRPr="0037790A">
        <w:rPr>
          <w:i/>
        </w:rPr>
        <w:t xml:space="preserve">Affordable Medicines Trust </w:t>
      </w:r>
      <w:r w:rsidRPr="0037790A">
        <w:t>above n 19 at para 108.</w:t>
      </w:r>
    </w:p>
  </w:footnote>
  <w:footnote w:id="22">
    <w:p w:rsidR="005179E7" w:rsidRDefault="005179E7">
      <w:pPr>
        <w:pStyle w:val="FootnoteText"/>
      </w:pPr>
      <w:r>
        <w:rPr>
          <w:rStyle w:val="FootnoteReference"/>
        </w:rPr>
        <w:footnoteRef/>
      </w:r>
      <w:r>
        <w:t xml:space="preserve"> S</w:t>
      </w:r>
      <w:r w:rsidR="00124F3D">
        <w:t>ee s</w:t>
      </w:r>
      <w:r>
        <w:t>ection 3(1)</w:t>
      </w:r>
      <w:r w:rsidR="00124F3D">
        <w:t xml:space="preserve"> of the Act</w:t>
      </w:r>
      <w:r>
        <w:t>.</w:t>
      </w:r>
    </w:p>
  </w:footnote>
  <w:footnote w:id="23">
    <w:p w:rsidR="005179E7" w:rsidRDefault="005179E7">
      <w:pPr>
        <w:pStyle w:val="FootnoteText"/>
      </w:pPr>
      <w:r>
        <w:rPr>
          <w:rStyle w:val="FootnoteReference"/>
        </w:rPr>
        <w:footnoteRef/>
      </w:r>
      <w:r>
        <w:t xml:space="preserve"> </w:t>
      </w:r>
      <w:r w:rsidR="00124F3D">
        <w:t>Id at s</w:t>
      </w:r>
      <w:r>
        <w:t>ection 24(1).</w:t>
      </w:r>
    </w:p>
  </w:footnote>
  <w:footnote w:id="24">
    <w:p w:rsidR="005179E7" w:rsidRDefault="005179E7">
      <w:pPr>
        <w:pStyle w:val="FootnoteText"/>
      </w:pPr>
      <w:r>
        <w:rPr>
          <w:rStyle w:val="FootnoteReference"/>
        </w:rPr>
        <w:footnoteRef/>
      </w:r>
      <w:r>
        <w:t xml:space="preserve"> </w:t>
      </w:r>
      <w:r w:rsidR="00124F3D">
        <w:t>Id at s</w:t>
      </w:r>
      <w:r>
        <w:t>ection 24(4).</w:t>
      </w:r>
    </w:p>
  </w:footnote>
  <w:footnote w:id="25">
    <w:p w:rsidR="005179E7" w:rsidRDefault="005179E7">
      <w:pPr>
        <w:pStyle w:val="FootnoteText"/>
      </w:pPr>
      <w:r>
        <w:rPr>
          <w:rStyle w:val="FootnoteReference"/>
        </w:rPr>
        <w:footnoteRef/>
      </w:r>
      <w:r>
        <w:t xml:space="preserve"> </w:t>
      </w:r>
      <w:r w:rsidR="00124F3D">
        <w:t>Id at s</w:t>
      </w:r>
      <w:r>
        <w:t>ection 28(1)(a).</w:t>
      </w:r>
    </w:p>
  </w:footnote>
  <w:footnote w:id="26">
    <w:p w:rsidR="005179E7" w:rsidRDefault="005179E7">
      <w:pPr>
        <w:pStyle w:val="FootnoteText"/>
      </w:pPr>
      <w:r>
        <w:rPr>
          <w:rStyle w:val="FootnoteReference"/>
        </w:rPr>
        <w:footnoteRef/>
      </w:r>
      <w:r>
        <w:t xml:space="preserve"> See above</w:t>
      </w:r>
      <w:r w:rsidR="00A01C6C">
        <w:t xml:space="preserve"> n 6</w:t>
      </w:r>
      <w:r>
        <w:t>.</w:t>
      </w:r>
    </w:p>
  </w:footnote>
  <w:footnote w:id="27">
    <w:p w:rsidR="005179E7" w:rsidRDefault="005179E7">
      <w:pPr>
        <w:pStyle w:val="FootnoteText"/>
      </w:pPr>
      <w:r>
        <w:rPr>
          <w:rStyle w:val="FootnoteReference"/>
        </w:rPr>
        <w:footnoteRef/>
      </w:r>
      <w:r>
        <w:t xml:space="preserve"> </w:t>
      </w:r>
      <w:r w:rsidR="00F826FB" w:rsidRPr="00BC147A">
        <w:t>Compare</w:t>
      </w:r>
      <w:r w:rsidR="00F826FB">
        <w:rPr>
          <w:i/>
        </w:rPr>
        <w:t xml:space="preserve"> </w:t>
      </w:r>
      <w:r w:rsidRPr="00AE4943">
        <w:rPr>
          <w:i/>
        </w:rPr>
        <w:t xml:space="preserve">S v Singo </w:t>
      </w:r>
      <w:r w:rsidRPr="00B52E2C">
        <w:t>[2002] ZACC 10; 2002 (4) SA 858</w:t>
      </w:r>
      <w:r>
        <w:t xml:space="preserve"> (CC)</w:t>
      </w:r>
      <w:r w:rsidRPr="00B52E2C">
        <w:t>; 2002 (8) BCLR 793</w:t>
      </w:r>
      <w:r>
        <w:t xml:space="preserve"> (CC) at para</w:t>
      </w:r>
      <w:r w:rsidR="009C5CF2">
        <w:t>s</w:t>
      </w:r>
      <w:r>
        <w:t xml:space="preserve"> 2</w:t>
      </w:r>
      <w:r w:rsidR="00D2433F">
        <w:t>5</w:t>
      </w:r>
      <w:r>
        <w:t>-</w:t>
      </w:r>
      <w:r w:rsidR="00D2433F">
        <w:t>6</w:t>
      </w:r>
      <w:r>
        <w:t xml:space="preserve"> </w:t>
      </w:r>
      <w:r w:rsidR="00124F3D">
        <w:t xml:space="preserve">which </w:t>
      </w:r>
      <w:r>
        <w:t>states that “s</w:t>
      </w:r>
      <w:r w:rsidRPr="00B52E2C">
        <w:t>tatutes that impose a legal burden, which has now becom</w:t>
      </w:r>
      <w:r>
        <w:t>e known as a reverse onus”, represents “</w:t>
      </w:r>
      <w:r w:rsidRPr="00B52E2C">
        <w:t xml:space="preserve">a radical departure from our law, which requires the </w:t>
      </w:r>
      <w:r w:rsidR="00124F3D">
        <w:t>s</w:t>
      </w:r>
      <w:r w:rsidRPr="00B52E2C">
        <w:t>tate to establish the guilt of the accused and not the accused to</w:t>
      </w:r>
      <w:r>
        <w:t xml:space="preserve"> establish his or her innocence”.  Furthermore</w:t>
      </w:r>
      <w:r w:rsidR="00F15957">
        <w:t>,</w:t>
      </w:r>
      <w:r>
        <w:t xml:space="preserve"> the state will have a difficult time proving beyond reasonable doubt culpability to commit an offence of possessing an unlawful firearm en route to disposing of the firearm in the lawful manner prescribe</w:t>
      </w:r>
      <w:r w:rsidR="00124F3D">
        <w:t>d</w:t>
      </w:r>
      <w:r>
        <w:t xml:space="preserve"> in terms of the Act, see</w:t>
      </w:r>
      <w:r w:rsidR="00C83F78">
        <w:t xml:space="preserve"> for example</w:t>
      </w:r>
      <w:r>
        <w:t xml:space="preserve"> </w:t>
      </w:r>
      <w:r w:rsidRPr="00AE4943">
        <w:rPr>
          <w:i/>
        </w:rPr>
        <w:t xml:space="preserve">S v Zuma </w:t>
      </w:r>
      <w:r w:rsidRPr="00D566E8">
        <w:t>[1995] ZACC 1; 1995 (2)</w:t>
      </w:r>
      <w:r>
        <w:t xml:space="preserve"> SA 642</w:t>
      </w:r>
      <w:r w:rsidR="00124F3D">
        <w:t xml:space="preserve"> (CC)</w:t>
      </w:r>
      <w:r>
        <w:t>; 1995 (4) BCLR 401</w:t>
      </w:r>
      <w:r w:rsidR="00124F3D">
        <w:t xml:space="preserve"> </w:t>
      </w:r>
      <w:r>
        <w:t>(SA)</w:t>
      </w:r>
      <w:r w:rsidR="00124F3D">
        <w:t xml:space="preserve"> (CC)</w:t>
      </w:r>
      <w:r w:rsidR="00D2433F">
        <w:t xml:space="preserve"> at</w:t>
      </w:r>
      <w:r w:rsidRPr="00D566E8">
        <w:t xml:space="preserve"> </w:t>
      </w:r>
      <w:r>
        <w:t>para 41</w:t>
      </w:r>
      <w:r w:rsidR="00A61BC4">
        <w:t>.</w:t>
      </w:r>
    </w:p>
  </w:footnote>
  <w:footnote w:id="28">
    <w:p w:rsidR="005179E7" w:rsidRDefault="005179E7">
      <w:pPr>
        <w:pStyle w:val="FootnoteText"/>
      </w:pPr>
      <w:r>
        <w:rPr>
          <w:rStyle w:val="FootnoteReference"/>
        </w:rPr>
        <w:footnoteRef/>
      </w:r>
      <w:r>
        <w:t xml:space="preserve"> </w:t>
      </w:r>
      <w:r w:rsidRPr="006B191A">
        <w:rPr>
          <w:i/>
        </w:rPr>
        <w:t xml:space="preserve">Harksen v Lane NO </w:t>
      </w:r>
      <w:r w:rsidRPr="006B191A">
        <w:t>[1997] ZACC 12;</w:t>
      </w:r>
      <w:r w:rsidR="008912FE" w:rsidRPr="008912FE">
        <w:t xml:space="preserve"> </w:t>
      </w:r>
      <w:r w:rsidR="008912FE" w:rsidRPr="006B191A">
        <w:t>1998 (1) SA 300</w:t>
      </w:r>
      <w:r w:rsidR="008912FE">
        <w:t xml:space="preserve"> (CC);</w:t>
      </w:r>
      <w:r w:rsidRPr="006B191A">
        <w:t xml:space="preserve"> 1997 (11) BCLR 1489</w:t>
      </w:r>
      <w:r w:rsidR="008912FE">
        <w:t xml:space="preserve"> (CC)</w:t>
      </w:r>
      <w:r>
        <w:t>.</w:t>
      </w:r>
    </w:p>
  </w:footnote>
  <w:footnote w:id="29">
    <w:p w:rsidR="005179E7" w:rsidRDefault="005179E7">
      <w:pPr>
        <w:pStyle w:val="FootnoteText"/>
      </w:pPr>
      <w:r>
        <w:rPr>
          <w:rStyle w:val="FootnoteReference"/>
        </w:rPr>
        <w:footnoteRef/>
      </w:r>
      <w:r>
        <w:t xml:space="preserve"> </w:t>
      </w:r>
      <w:r w:rsidRPr="006B191A">
        <w:rPr>
          <w:i/>
        </w:rPr>
        <w:t>AB v Minister of Social Development</w:t>
      </w:r>
      <w:r>
        <w:t xml:space="preserve"> </w:t>
      </w:r>
      <w:r w:rsidRPr="006B191A">
        <w:t xml:space="preserve">[2016] ZACC 43; </w:t>
      </w:r>
      <w:r w:rsidR="0037790A" w:rsidRPr="006B191A">
        <w:t>2017 (3) SA 570 (CC)</w:t>
      </w:r>
      <w:r w:rsidR="0037790A">
        <w:t>;</w:t>
      </w:r>
      <w:r w:rsidR="0037790A" w:rsidRPr="006B191A">
        <w:t xml:space="preserve"> </w:t>
      </w:r>
      <w:r w:rsidR="00AA108D">
        <w:t>2017 (3) BCLR 267 (CC)</w:t>
      </w:r>
      <w:r w:rsidRPr="006B191A">
        <w:t xml:space="preserve"> at paras 102</w:t>
      </w:r>
      <w:r w:rsidR="008A3262">
        <w:t>-</w:t>
      </w:r>
      <w:r w:rsidRPr="006B191A">
        <w:t>3</w:t>
      </w:r>
      <w:r w:rsidR="008A3262">
        <w:t xml:space="preserve"> and</w:t>
      </w:r>
      <w:r w:rsidRPr="006B191A">
        <w:t xml:space="preserve"> 105</w:t>
      </w:r>
      <w:r>
        <w:t>.</w:t>
      </w:r>
    </w:p>
  </w:footnote>
  <w:footnote w:id="30">
    <w:p w:rsidR="005179E7" w:rsidRDefault="005179E7">
      <w:pPr>
        <w:pStyle w:val="FootnoteText"/>
      </w:pPr>
      <w:r>
        <w:rPr>
          <w:rStyle w:val="FootnoteReference"/>
        </w:rPr>
        <w:footnoteRef/>
      </w:r>
      <w:r>
        <w:t xml:space="preserve"> S</w:t>
      </w:r>
      <w:r w:rsidR="00124F3D">
        <w:t>ee s</w:t>
      </w:r>
      <w:r>
        <w:t>ection 28(2)</w:t>
      </w:r>
      <w:r w:rsidR="004053B1">
        <w:t xml:space="preserve"> of the Act</w:t>
      </w:r>
      <w:r>
        <w:t>.</w:t>
      </w:r>
    </w:p>
  </w:footnote>
  <w:footnote w:id="31">
    <w:p w:rsidR="005179E7" w:rsidRDefault="005179E7">
      <w:pPr>
        <w:pStyle w:val="FootnoteText"/>
      </w:pPr>
      <w:r>
        <w:rPr>
          <w:rStyle w:val="FootnoteReference"/>
        </w:rPr>
        <w:footnoteRef/>
      </w:r>
      <w:r>
        <w:t xml:space="preserve"> Section 3</w:t>
      </w:r>
      <w:r w:rsidR="004053B1">
        <w:t xml:space="preserve"> of the Act</w:t>
      </w:r>
      <w:r>
        <w:t>.</w:t>
      </w:r>
    </w:p>
  </w:footnote>
  <w:footnote w:id="32">
    <w:p w:rsidR="005179E7" w:rsidRDefault="005179E7">
      <w:pPr>
        <w:pStyle w:val="FootnoteText"/>
      </w:pPr>
      <w:r>
        <w:rPr>
          <w:rStyle w:val="FootnoteReference"/>
        </w:rPr>
        <w:footnoteRef/>
      </w:r>
      <w:r>
        <w:t xml:space="preserve"> Sections 10(2) and 27</w:t>
      </w:r>
      <w:r w:rsidR="00A50FF8">
        <w:t xml:space="preserve"> of the Act</w:t>
      </w:r>
      <w:r>
        <w:t>.</w:t>
      </w:r>
    </w:p>
  </w:footnote>
  <w:footnote w:id="33">
    <w:p w:rsidR="005179E7" w:rsidRDefault="005179E7">
      <w:pPr>
        <w:pStyle w:val="FootnoteText"/>
      </w:pPr>
      <w:r>
        <w:rPr>
          <w:rStyle w:val="FootnoteReference"/>
        </w:rPr>
        <w:footnoteRef/>
      </w:r>
      <w:r>
        <w:t xml:space="preserve"> </w:t>
      </w:r>
      <w:r w:rsidR="00B74DA0">
        <w:t>S</w:t>
      </w:r>
      <w:r>
        <w:t>ections 134-7.</w:t>
      </w:r>
      <w:r w:rsidR="00F15957">
        <w:t xml:space="preserve"> </w:t>
      </w:r>
      <w:r w:rsidR="00B74DA0">
        <w:t xml:space="preserve"> </w:t>
      </w:r>
      <w:r w:rsidR="00F15957">
        <w:t xml:space="preserve">The constitutional validity of regulation 94(1) is not before us. </w:t>
      </w:r>
      <w:r w:rsidR="00AA108D">
        <w:t xml:space="preserve"> </w:t>
      </w:r>
      <w:r w:rsidR="00F15957">
        <w:t>The contents of a regulation cannot be used in the interpretation of empowering legislation</w:t>
      </w:r>
      <w:r w:rsidR="00162C39">
        <w:t>:</w:t>
      </w:r>
      <w:r w:rsidR="00F15957">
        <w:t xml:space="preserve"> </w:t>
      </w:r>
      <w:r w:rsidR="00162C39" w:rsidRPr="00162C39">
        <w:rPr>
          <w:i/>
        </w:rPr>
        <w:t>R v Singh</w:t>
      </w:r>
      <w:r w:rsidR="00162C39" w:rsidRPr="00162C39">
        <w:t xml:space="preserve"> 1944 AD 366 at 370</w:t>
      </w:r>
      <w:r w:rsidR="00162C39">
        <w:t>.</w:t>
      </w:r>
    </w:p>
  </w:footnote>
  <w:footnote w:id="34">
    <w:p w:rsidR="005179E7" w:rsidRPr="00F15957" w:rsidRDefault="005179E7">
      <w:pPr>
        <w:pStyle w:val="FootnoteText"/>
      </w:pPr>
      <w:r>
        <w:rPr>
          <w:rStyle w:val="FootnoteReference"/>
        </w:rPr>
        <w:footnoteRef/>
      </w:r>
      <w:r>
        <w:t xml:space="preserve"> </w:t>
      </w:r>
      <w:r w:rsidR="001C6D5E" w:rsidRPr="00F15957">
        <w:rPr>
          <w:i/>
        </w:rPr>
        <w:t>City of Tshwane Metropolitan Municipality v Link Africa (Pty) Ltd</w:t>
      </w:r>
      <w:r w:rsidR="001C6D5E" w:rsidRPr="00A4559C">
        <w:t xml:space="preserve"> [2015] ZACC 29; 2015 (6) SA 440 (CC); 2015 (11) BCLR 1265 (CC)</w:t>
      </w:r>
      <w:r w:rsidR="001C6D5E" w:rsidRPr="001C6D5E">
        <w:t xml:space="preserve">; </w:t>
      </w:r>
      <w:r w:rsidR="001C6D5E" w:rsidRPr="00F15957">
        <w:rPr>
          <w:i/>
        </w:rPr>
        <w:t xml:space="preserve">Shoprite Checkers (Pty) Limited v Member of the Executive Council for Economic Development, Environmental Affairs </w:t>
      </w:r>
      <w:r w:rsidR="00B31A49">
        <w:rPr>
          <w:i/>
        </w:rPr>
        <w:t>a</w:t>
      </w:r>
      <w:r w:rsidR="001C6D5E" w:rsidRPr="00F15957">
        <w:rPr>
          <w:i/>
        </w:rPr>
        <w:t>nd Tourism, Eastern Cape</w:t>
      </w:r>
      <w:r w:rsidR="001C6D5E" w:rsidRPr="00A4559C">
        <w:t xml:space="preserve"> [2015] ZACC 23; 2015 (6) SA 125 (CC); 2015 (9) BCLR 1052 (CC)</w:t>
      </w:r>
      <w:r w:rsidR="001C6D5E" w:rsidRPr="001C6D5E">
        <w:t xml:space="preserve">; </w:t>
      </w:r>
      <w:r w:rsidR="001C6D5E" w:rsidRPr="001C6D5E">
        <w:rPr>
          <w:i/>
          <w:iCs/>
        </w:rPr>
        <w:t>Reflect-All 1025 CC v MEC for Public Transport, Roads and Works</w:t>
      </w:r>
      <w:r w:rsidR="001C6D5E">
        <w:rPr>
          <w:i/>
          <w:iCs/>
        </w:rPr>
        <w:t xml:space="preserve">, Gauteng Provincial Government </w:t>
      </w:r>
      <w:r w:rsidR="001C6D5E" w:rsidRPr="00F15957">
        <w:t>[2009] ZACC 24</w:t>
      </w:r>
      <w:r w:rsidR="001C6D5E" w:rsidRPr="00A4559C">
        <w:t xml:space="preserve">; </w:t>
      </w:r>
      <w:r w:rsidR="001C6D5E" w:rsidRPr="00F15957">
        <w:t>2009 (6) SA 391</w:t>
      </w:r>
      <w:r w:rsidR="001C6D5E" w:rsidRPr="00A4559C">
        <w:t xml:space="preserve"> (CC); </w:t>
      </w:r>
      <w:r w:rsidR="001C6D5E" w:rsidRPr="00F15957">
        <w:t>2010 (1) BCLR 61</w:t>
      </w:r>
      <w:r w:rsidR="001C6D5E" w:rsidRPr="00A4559C">
        <w:t xml:space="preserve"> (CC)</w:t>
      </w:r>
      <w:r w:rsidR="001C6D5E" w:rsidRPr="001C6D5E">
        <w:t xml:space="preserve">; </w:t>
      </w:r>
      <w:r w:rsidR="001C6D5E" w:rsidRPr="001C6D5E">
        <w:rPr>
          <w:i/>
          <w:iCs/>
        </w:rPr>
        <w:t>Mkontwana v Nelson Mandela Metropolitan Municipality</w:t>
      </w:r>
      <w:r w:rsidR="001C6D5E">
        <w:t xml:space="preserve"> </w:t>
      </w:r>
      <w:r w:rsidR="001C6D5E" w:rsidRPr="00F15957">
        <w:t>[2004] ZACC 9</w:t>
      </w:r>
      <w:r w:rsidR="001C6D5E" w:rsidRPr="00A4559C">
        <w:t xml:space="preserve">; </w:t>
      </w:r>
      <w:r w:rsidR="001C6D5E" w:rsidRPr="00F15957">
        <w:t>2005 (1) SA 530</w:t>
      </w:r>
      <w:r w:rsidR="001C6D5E" w:rsidRPr="00A4559C">
        <w:t xml:space="preserve"> (CC); </w:t>
      </w:r>
      <w:r w:rsidR="001C6D5E" w:rsidRPr="00F15957">
        <w:t>2005 (2) BCLR 150</w:t>
      </w:r>
      <w:r w:rsidR="001C6D5E" w:rsidRPr="00A4559C">
        <w:t xml:space="preserve"> (CC)</w:t>
      </w:r>
      <w:r w:rsidR="001C6D5E" w:rsidRPr="001C6D5E">
        <w:t xml:space="preserve">; and </w:t>
      </w:r>
      <w:r w:rsidR="00B74DA0">
        <w:rPr>
          <w:i/>
        </w:rPr>
        <w:t xml:space="preserve">FNB </w:t>
      </w:r>
      <w:r w:rsidR="00B74DA0">
        <w:t>above n 10.</w:t>
      </w:r>
    </w:p>
  </w:footnote>
  <w:footnote w:id="35">
    <w:p w:rsidR="005179E7" w:rsidRDefault="005179E7">
      <w:pPr>
        <w:pStyle w:val="FootnoteText"/>
      </w:pPr>
      <w:r>
        <w:rPr>
          <w:rStyle w:val="FootnoteReference"/>
        </w:rPr>
        <w:footnoteRef/>
      </w:r>
      <w:r>
        <w:t xml:space="preserve"> </w:t>
      </w:r>
      <w:r w:rsidR="003A1304" w:rsidRPr="00F15957">
        <w:t xml:space="preserve">Rule 31 of the Rules of the </w:t>
      </w:r>
      <w:r w:rsidR="00F15957">
        <w:t>Constitutional Court.</w:t>
      </w:r>
    </w:p>
  </w:footnote>
  <w:footnote w:id="36">
    <w:p w:rsidR="005179E7" w:rsidRPr="00AE4943" w:rsidRDefault="005179E7">
      <w:pPr>
        <w:pStyle w:val="FootnoteText"/>
      </w:pPr>
      <w:r>
        <w:rPr>
          <w:rStyle w:val="FootnoteReference"/>
        </w:rPr>
        <w:footnoteRef/>
      </w:r>
      <w:r>
        <w:t xml:space="preserve"> </w:t>
      </w:r>
      <w:r w:rsidR="001C6D5E" w:rsidRPr="00392AD3">
        <w:rPr>
          <w:i/>
        </w:rPr>
        <w:t xml:space="preserve">Biowatch Trust v Registrar Genetic Resources </w:t>
      </w:r>
      <w:r w:rsidR="001C6D5E" w:rsidRPr="00963C10">
        <w:t>[2009</w:t>
      </w:r>
      <w:r w:rsidR="001C6D5E">
        <w:t>] ZACC 14; 2009 (6) SA 232 (CC)</w:t>
      </w:r>
      <w:r w:rsidR="001C6D5E" w:rsidRPr="00963C10">
        <w:t>; 2009 (10) BCLR 1014 (CC)</w:t>
      </w:r>
      <w:r w:rsidR="001C6D5E">
        <w:t xml:space="preserve"> at paras 23-4.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5661" w:rsidRDefault="00EF566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5661" w:rsidRDefault="00EF566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5661" w:rsidRDefault="00EF5661">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79E7" w:rsidRDefault="005179E7" w:rsidP="000F7521">
    <w:pPr>
      <w:pStyle w:val="Header"/>
      <w:tabs>
        <w:tab w:val="clear" w:pos="4680"/>
        <w:tab w:val="clear" w:pos="9360"/>
        <w:tab w:val="right" w:pos="9072"/>
      </w:tabs>
      <w:jc w:val="right"/>
    </w:pPr>
    <w:r>
      <w:t>FRONEMAN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79E7" w:rsidRDefault="005179E7"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A94EA4B0"/>
    <w:lvl w:ilvl="0" w:tplc="0CD23EA0">
      <w:start w:val="1"/>
      <w:numFmt w:val="decimal"/>
      <w:pStyle w:val="JUDGMENTNUMBERED"/>
      <w:lvlText w:val="[%1]"/>
      <w:lvlJc w:val="left"/>
      <w:pPr>
        <w:ind w:left="644"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A0DC8AF6">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A17750"/>
    <w:multiLevelType w:val="hybridMultilevel"/>
    <w:tmpl w:val="1DA2304C"/>
    <w:lvl w:ilvl="0" w:tplc="201ADB0E">
      <w:start w:val="1"/>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201ADB0E">
      <w:start w:val="1"/>
      <w:numFmt w:val="decimal"/>
      <w:lvlText w:val="%3."/>
      <w:lvlJc w:val="left"/>
      <w:pPr>
        <w:ind w:left="2880" w:hanging="180"/>
      </w:pPr>
      <w:rPr>
        <w:rFonts w:hint="default"/>
      </w:r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 w15:restartNumberingAfterBreak="0">
    <w:nsid w:val="1BFE17A5"/>
    <w:multiLevelType w:val="hybridMultilevel"/>
    <w:tmpl w:val="B4C2FB94"/>
    <w:lvl w:ilvl="0" w:tplc="50D808F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2AC04127"/>
    <w:multiLevelType w:val="hybridMultilevel"/>
    <w:tmpl w:val="CD90AAD2"/>
    <w:lvl w:ilvl="0" w:tplc="50D808FA">
      <w:start w:val="1"/>
      <w:numFmt w:val="lowerLetter"/>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2FA87365"/>
    <w:multiLevelType w:val="hybridMultilevel"/>
    <w:tmpl w:val="62FAA1F2"/>
    <w:lvl w:ilvl="0" w:tplc="201ADB0E">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15:restartNumberingAfterBreak="0">
    <w:nsid w:val="408F655C"/>
    <w:multiLevelType w:val="hybridMultilevel"/>
    <w:tmpl w:val="90CEB8F8"/>
    <w:lvl w:ilvl="0" w:tplc="201ADB0E">
      <w:start w:val="1"/>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7"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 w15:restartNumberingAfterBreak="0">
    <w:nsid w:val="4AA13CA5"/>
    <w:multiLevelType w:val="hybridMultilevel"/>
    <w:tmpl w:val="82184C5C"/>
    <w:lvl w:ilvl="0" w:tplc="1098D7B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15:restartNumberingAfterBreak="0">
    <w:nsid w:val="647B1E92"/>
    <w:multiLevelType w:val="hybridMultilevel"/>
    <w:tmpl w:val="C4BCDCCC"/>
    <w:lvl w:ilvl="0" w:tplc="D3D8C5C6">
      <w:start w:val="28"/>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15:restartNumberingAfterBreak="0">
    <w:nsid w:val="704D7E41"/>
    <w:multiLevelType w:val="hybridMultilevel"/>
    <w:tmpl w:val="B07C3804"/>
    <w:lvl w:ilvl="0" w:tplc="1352957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1" w15:restartNumberingAfterBreak="0">
    <w:nsid w:val="745F12EA"/>
    <w:multiLevelType w:val="hybridMultilevel"/>
    <w:tmpl w:val="31C62573"/>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7"/>
  </w:num>
  <w:num w:numId="3">
    <w:abstractNumId w:val="7"/>
  </w:num>
  <w:num w:numId="4">
    <w:abstractNumId w:val="7"/>
  </w:num>
  <w:num w:numId="5">
    <w:abstractNumId w:val="7"/>
  </w:num>
  <w:num w:numId="6">
    <w:abstractNumId w:val="7"/>
  </w:num>
  <w:num w:numId="7">
    <w:abstractNumId w:val="7"/>
  </w:num>
  <w:num w:numId="8">
    <w:abstractNumId w:val="7"/>
  </w:num>
  <w:num w:numId="9">
    <w:abstractNumId w:val="7"/>
  </w:num>
  <w:num w:numId="10">
    <w:abstractNumId w:val="7"/>
  </w:num>
  <w:num w:numId="11">
    <w:abstractNumId w:val="3"/>
  </w:num>
  <w:num w:numId="12">
    <w:abstractNumId w:val="3"/>
    <w:lvlOverride w:ilvl="0">
      <w:startOverride w:val="1"/>
    </w:lvlOverride>
  </w:num>
  <w:num w:numId="13">
    <w:abstractNumId w:val="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num>
  <w:num w:numId="16">
    <w:abstractNumId w:val="9"/>
  </w:num>
  <w:num w:numId="17">
    <w:abstractNumId w:val="8"/>
  </w:num>
  <w:num w:numId="18">
    <w:abstractNumId w:val="2"/>
  </w:num>
  <w:num w:numId="19">
    <w:abstractNumId w:val="11"/>
  </w:num>
  <w:num w:numId="20">
    <w:abstractNumId w:val="5"/>
  </w:num>
  <w:num w:numId="21">
    <w:abstractNumId w:val="4"/>
  </w:num>
  <w:num w:numId="22">
    <w:abstractNumId w:val="6"/>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removePersonalInformation/>
  <w:removeDateAndTime/>
  <w:hideSpellingErrors/>
  <w:hideGrammaticalErrors/>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4B1F"/>
    <w:rsid w:val="000013F5"/>
    <w:rsid w:val="00003278"/>
    <w:rsid w:val="00003EAB"/>
    <w:rsid w:val="00005B99"/>
    <w:rsid w:val="00016306"/>
    <w:rsid w:val="00021B45"/>
    <w:rsid w:val="00031172"/>
    <w:rsid w:val="0003222E"/>
    <w:rsid w:val="0003332C"/>
    <w:rsid w:val="0003374F"/>
    <w:rsid w:val="000570BC"/>
    <w:rsid w:val="000577D4"/>
    <w:rsid w:val="0006668E"/>
    <w:rsid w:val="000704F2"/>
    <w:rsid w:val="00076539"/>
    <w:rsid w:val="0008371B"/>
    <w:rsid w:val="0008721C"/>
    <w:rsid w:val="00095A15"/>
    <w:rsid w:val="000B0C92"/>
    <w:rsid w:val="000B1587"/>
    <w:rsid w:val="000B22E6"/>
    <w:rsid w:val="000B4518"/>
    <w:rsid w:val="000C38CF"/>
    <w:rsid w:val="000C6D54"/>
    <w:rsid w:val="000C78D0"/>
    <w:rsid w:val="000D2A0E"/>
    <w:rsid w:val="000E5D78"/>
    <w:rsid w:val="000F0692"/>
    <w:rsid w:val="000F0876"/>
    <w:rsid w:val="000F414C"/>
    <w:rsid w:val="000F7191"/>
    <w:rsid w:val="000F7521"/>
    <w:rsid w:val="001016AC"/>
    <w:rsid w:val="00114C0B"/>
    <w:rsid w:val="00124F3D"/>
    <w:rsid w:val="00132361"/>
    <w:rsid w:val="00135B17"/>
    <w:rsid w:val="00136E36"/>
    <w:rsid w:val="001523F4"/>
    <w:rsid w:val="001572F5"/>
    <w:rsid w:val="001611B1"/>
    <w:rsid w:val="00162C39"/>
    <w:rsid w:val="00164113"/>
    <w:rsid w:val="00174981"/>
    <w:rsid w:val="00183FC9"/>
    <w:rsid w:val="001927E9"/>
    <w:rsid w:val="00194B9C"/>
    <w:rsid w:val="001A644A"/>
    <w:rsid w:val="001B4C29"/>
    <w:rsid w:val="001C050A"/>
    <w:rsid w:val="001C407D"/>
    <w:rsid w:val="001C6D5E"/>
    <w:rsid w:val="001D31D7"/>
    <w:rsid w:val="001E1236"/>
    <w:rsid w:val="001E7124"/>
    <w:rsid w:val="00203B46"/>
    <w:rsid w:val="00214DB9"/>
    <w:rsid w:val="002208F2"/>
    <w:rsid w:val="00223E04"/>
    <w:rsid w:val="00227598"/>
    <w:rsid w:val="00232B8F"/>
    <w:rsid w:val="0023678E"/>
    <w:rsid w:val="00236F9A"/>
    <w:rsid w:val="002424D1"/>
    <w:rsid w:val="0024725F"/>
    <w:rsid w:val="00256932"/>
    <w:rsid w:val="00264486"/>
    <w:rsid w:val="00271812"/>
    <w:rsid w:val="00287753"/>
    <w:rsid w:val="00295C91"/>
    <w:rsid w:val="002A2533"/>
    <w:rsid w:val="002A68D3"/>
    <w:rsid w:val="002C5F97"/>
    <w:rsid w:val="002C7AC5"/>
    <w:rsid w:val="002D1FD9"/>
    <w:rsid w:val="002D6E04"/>
    <w:rsid w:val="002E1AA1"/>
    <w:rsid w:val="002E4857"/>
    <w:rsid w:val="002F6A17"/>
    <w:rsid w:val="00326649"/>
    <w:rsid w:val="00341131"/>
    <w:rsid w:val="0034255C"/>
    <w:rsid w:val="00346927"/>
    <w:rsid w:val="003529D2"/>
    <w:rsid w:val="003644DF"/>
    <w:rsid w:val="00366550"/>
    <w:rsid w:val="0037282A"/>
    <w:rsid w:val="00373E6F"/>
    <w:rsid w:val="00375C8B"/>
    <w:rsid w:val="0037790A"/>
    <w:rsid w:val="00381E96"/>
    <w:rsid w:val="003837F4"/>
    <w:rsid w:val="0038391E"/>
    <w:rsid w:val="00384CE2"/>
    <w:rsid w:val="00386F56"/>
    <w:rsid w:val="00386FCB"/>
    <w:rsid w:val="00387DDB"/>
    <w:rsid w:val="003A1304"/>
    <w:rsid w:val="003A18CF"/>
    <w:rsid w:val="003A3C4A"/>
    <w:rsid w:val="003A3E5C"/>
    <w:rsid w:val="003B12C2"/>
    <w:rsid w:val="003C42A6"/>
    <w:rsid w:val="003C5CF6"/>
    <w:rsid w:val="003C7B6C"/>
    <w:rsid w:val="003F6DB5"/>
    <w:rsid w:val="004053B1"/>
    <w:rsid w:val="004110F6"/>
    <w:rsid w:val="00432ABF"/>
    <w:rsid w:val="00432B96"/>
    <w:rsid w:val="00433E1D"/>
    <w:rsid w:val="0044313C"/>
    <w:rsid w:val="0044789D"/>
    <w:rsid w:val="0045643F"/>
    <w:rsid w:val="0046182E"/>
    <w:rsid w:val="004620BF"/>
    <w:rsid w:val="0046233D"/>
    <w:rsid w:val="00473A8B"/>
    <w:rsid w:val="0049243C"/>
    <w:rsid w:val="0049469B"/>
    <w:rsid w:val="004A14DE"/>
    <w:rsid w:val="004A6C45"/>
    <w:rsid w:val="004A7FAB"/>
    <w:rsid w:val="004C7588"/>
    <w:rsid w:val="004D02BA"/>
    <w:rsid w:val="004E00EA"/>
    <w:rsid w:val="004E3677"/>
    <w:rsid w:val="00503030"/>
    <w:rsid w:val="00506A16"/>
    <w:rsid w:val="005119A2"/>
    <w:rsid w:val="005179E7"/>
    <w:rsid w:val="00520C34"/>
    <w:rsid w:val="00526CE6"/>
    <w:rsid w:val="00526D46"/>
    <w:rsid w:val="0053110E"/>
    <w:rsid w:val="005314E0"/>
    <w:rsid w:val="00533037"/>
    <w:rsid w:val="005334EC"/>
    <w:rsid w:val="00535E74"/>
    <w:rsid w:val="00542F53"/>
    <w:rsid w:val="00557BE9"/>
    <w:rsid w:val="005627D3"/>
    <w:rsid w:val="0056742C"/>
    <w:rsid w:val="0058321D"/>
    <w:rsid w:val="00584C94"/>
    <w:rsid w:val="00590B22"/>
    <w:rsid w:val="005C29B3"/>
    <w:rsid w:val="005C3B11"/>
    <w:rsid w:val="005C7C2E"/>
    <w:rsid w:val="005E07C7"/>
    <w:rsid w:val="005E71D4"/>
    <w:rsid w:val="005F0FAC"/>
    <w:rsid w:val="005F25A8"/>
    <w:rsid w:val="005F2E61"/>
    <w:rsid w:val="005F6F85"/>
    <w:rsid w:val="00601A88"/>
    <w:rsid w:val="006172EB"/>
    <w:rsid w:val="00632023"/>
    <w:rsid w:val="00657B43"/>
    <w:rsid w:val="0067159E"/>
    <w:rsid w:val="006724E0"/>
    <w:rsid w:val="0067644D"/>
    <w:rsid w:val="00683EAB"/>
    <w:rsid w:val="00694195"/>
    <w:rsid w:val="006A6304"/>
    <w:rsid w:val="006B191A"/>
    <w:rsid w:val="006C2B94"/>
    <w:rsid w:val="006C4E10"/>
    <w:rsid w:val="006C61A8"/>
    <w:rsid w:val="006D21A9"/>
    <w:rsid w:val="006D5B9C"/>
    <w:rsid w:val="006E14BA"/>
    <w:rsid w:val="006E3711"/>
    <w:rsid w:val="006E752A"/>
    <w:rsid w:val="006F0F19"/>
    <w:rsid w:val="007038B4"/>
    <w:rsid w:val="00707C78"/>
    <w:rsid w:val="00730113"/>
    <w:rsid w:val="007459C4"/>
    <w:rsid w:val="007470A9"/>
    <w:rsid w:val="0074753B"/>
    <w:rsid w:val="00793F89"/>
    <w:rsid w:val="007947C8"/>
    <w:rsid w:val="007A7113"/>
    <w:rsid w:val="007B7623"/>
    <w:rsid w:val="007C21E2"/>
    <w:rsid w:val="007C2FC8"/>
    <w:rsid w:val="007C4840"/>
    <w:rsid w:val="007C4BF4"/>
    <w:rsid w:val="007D72E1"/>
    <w:rsid w:val="007D78AB"/>
    <w:rsid w:val="007E251C"/>
    <w:rsid w:val="007E403C"/>
    <w:rsid w:val="007F46A8"/>
    <w:rsid w:val="00807A5D"/>
    <w:rsid w:val="008251D8"/>
    <w:rsid w:val="00834803"/>
    <w:rsid w:val="00841581"/>
    <w:rsid w:val="00842678"/>
    <w:rsid w:val="00851D8D"/>
    <w:rsid w:val="00860C4E"/>
    <w:rsid w:val="0087217E"/>
    <w:rsid w:val="00884CCC"/>
    <w:rsid w:val="008912FE"/>
    <w:rsid w:val="00893F46"/>
    <w:rsid w:val="0089769F"/>
    <w:rsid w:val="00897B62"/>
    <w:rsid w:val="008A1A0B"/>
    <w:rsid w:val="008A3262"/>
    <w:rsid w:val="008A65D2"/>
    <w:rsid w:val="008B1882"/>
    <w:rsid w:val="008C727F"/>
    <w:rsid w:val="008D7E76"/>
    <w:rsid w:val="008E31EF"/>
    <w:rsid w:val="008E562C"/>
    <w:rsid w:val="008F1AED"/>
    <w:rsid w:val="00904282"/>
    <w:rsid w:val="00905178"/>
    <w:rsid w:val="00911782"/>
    <w:rsid w:val="00912568"/>
    <w:rsid w:val="00921CFB"/>
    <w:rsid w:val="00926F55"/>
    <w:rsid w:val="00934116"/>
    <w:rsid w:val="00937742"/>
    <w:rsid w:val="00940A0D"/>
    <w:rsid w:val="009559B5"/>
    <w:rsid w:val="00961C75"/>
    <w:rsid w:val="00962993"/>
    <w:rsid w:val="00970765"/>
    <w:rsid w:val="0098219B"/>
    <w:rsid w:val="009843AE"/>
    <w:rsid w:val="00987555"/>
    <w:rsid w:val="00987B57"/>
    <w:rsid w:val="009A2519"/>
    <w:rsid w:val="009C0CA5"/>
    <w:rsid w:val="009C3888"/>
    <w:rsid w:val="009C5CF2"/>
    <w:rsid w:val="009E0777"/>
    <w:rsid w:val="009E12A3"/>
    <w:rsid w:val="00A00975"/>
    <w:rsid w:val="00A01C6C"/>
    <w:rsid w:val="00A06576"/>
    <w:rsid w:val="00A203C4"/>
    <w:rsid w:val="00A21429"/>
    <w:rsid w:val="00A35CE0"/>
    <w:rsid w:val="00A42130"/>
    <w:rsid w:val="00A4559C"/>
    <w:rsid w:val="00A50FF8"/>
    <w:rsid w:val="00A61BC4"/>
    <w:rsid w:val="00A639AD"/>
    <w:rsid w:val="00A67D09"/>
    <w:rsid w:val="00A71ED6"/>
    <w:rsid w:val="00A81C1D"/>
    <w:rsid w:val="00A97332"/>
    <w:rsid w:val="00AA108D"/>
    <w:rsid w:val="00AA6741"/>
    <w:rsid w:val="00AA6755"/>
    <w:rsid w:val="00AC29A5"/>
    <w:rsid w:val="00AD2D1A"/>
    <w:rsid w:val="00AD35F4"/>
    <w:rsid w:val="00AE1728"/>
    <w:rsid w:val="00AE4943"/>
    <w:rsid w:val="00AE7143"/>
    <w:rsid w:val="00AE7602"/>
    <w:rsid w:val="00B05ED9"/>
    <w:rsid w:val="00B10B5F"/>
    <w:rsid w:val="00B31462"/>
    <w:rsid w:val="00B31A49"/>
    <w:rsid w:val="00B32AB4"/>
    <w:rsid w:val="00B52E2C"/>
    <w:rsid w:val="00B5330E"/>
    <w:rsid w:val="00B55E45"/>
    <w:rsid w:val="00B647A4"/>
    <w:rsid w:val="00B64ADD"/>
    <w:rsid w:val="00B64B95"/>
    <w:rsid w:val="00B66B78"/>
    <w:rsid w:val="00B7017B"/>
    <w:rsid w:val="00B74B1F"/>
    <w:rsid w:val="00B74DA0"/>
    <w:rsid w:val="00B81F77"/>
    <w:rsid w:val="00B8590B"/>
    <w:rsid w:val="00B92A9C"/>
    <w:rsid w:val="00B936C3"/>
    <w:rsid w:val="00B942DC"/>
    <w:rsid w:val="00B97ED9"/>
    <w:rsid w:val="00BA3BEF"/>
    <w:rsid w:val="00BA4D1D"/>
    <w:rsid w:val="00BB0654"/>
    <w:rsid w:val="00BB312F"/>
    <w:rsid w:val="00BB36C9"/>
    <w:rsid w:val="00BC147A"/>
    <w:rsid w:val="00BC15BF"/>
    <w:rsid w:val="00BC231D"/>
    <w:rsid w:val="00BC2CE9"/>
    <w:rsid w:val="00BD0174"/>
    <w:rsid w:val="00BE700A"/>
    <w:rsid w:val="00BF2DEE"/>
    <w:rsid w:val="00BF3824"/>
    <w:rsid w:val="00C066B6"/>
    <w:rsid w:val="00C1685B"/>
    <w:rsid w:val="00C22C9C"/>
    <w:rsid w:val="00C30559"/>
    <w:rsid w:val="00C44207"/>
    <w:rsid w:val="00C51413"/>
    <w:rsid w:val="00C6034D"/>
    <w:rsid w:val="00C63EC7"/>
    <w:rsid w:val="00C67D73"/>
    <w:rsid w:val="00C726B5"/>
    <w:rsid w:val="00C739DB"/>
    <w:rsid w:val="00C74761"/>
    <w:rsid w:val="00C83F78"/>
    <w:rsid w:val="00C958BE"/>
    <w:rsid w:val="00C95D7C"/>
    <w:rsid w:val="00CA3BF8"/>
    <w:rsid w:val="00CA4445"/>
    <w:rsid w:val="00CA6ACC"/>
    <w:rsid w:val="00CB0CB2"/>
    <w:rsid w:val="00CB1BA1"/>
    <w:rsid w:val="00CB63EA"/>
    <w:rsid w:val="00CC158D"/>
    <w:rsid w:val="00CC1781"/>
    <w:rsid w:val="00CC301A"/>
    <w:rsid w:val="00CC38E6"/>
    <w:rsid w:val="00CC6FCA"/>
    <w:rsid w:val="00CD7FD3"/>
    <w:rsid w:val="00CE5F9F"/>
    <w:rsid w:val="00CF0044"/>
    <w:rsid w:val="00CF75AD"/>
    <w:rsid w:val="00D000B7"/>
    <w:rsid w:val="00D033C4"/>
    <w:rsid w:val="00D048D9"/>
    <w:rsid w:val="00D0525F"/>
    <w:rsid w:val="00D20DA2"/>
    <w:rsid w:val="00D23DE1"/>
    <w:rsid w:val="00D2433F"/>
    <w:rsid w:val="00D26E10"/>
    <w:rsid w:val="00D33E54"/>
    <w:rsid w:val="00D369E6"/>
    <w:rsid w:val="00D52F9F"/>
    <w:rsid w:val="00D566E8"/>
    <w:rsid w:val="00D6661F"/>
    <w:rsid w:val="00D76A1F"/>
    <w:rsid w:val="00DA0847"/>
    <w:rsid w:val="00DA7CDD"/>
    <w:rsid w:val="00DB3839"/>
    <w:rsid w:val="00DB3FC8"/>
    <w:rsid w:val="00DB4070"/>
    <w:rsid w:val="00DC24C0"/>
    <w:rsid w:val="00DC6C01"/>
    <w:rsid w:val="00DD2056"/>
    <w:rsid w:val="00DE7926"/>
    <w:rsid w:val="00DE7E61"/>
    <w:rsid w:val="00E078D4"/>
    <w:rsid w:val="00E12D4B"/>
    <w:rsid w:val="00E210D3"/>
    <w:rsid w:val="00E230D7"/>
    <w:rsid w:val="00E26A24"/>
    <w:rsid w:val="00E45515"/>
    <w:rsid w:val="00E4607C"/>
    <w:rsid w:val="00E4636A"/>
    <w:rsid w:val="00E51128"/>
    <w:rsid w:val="00E52B6B"/>
    <w:rsid w:val="00E63C65"/>
    <w:rsid w:val="00E70761"/>
    <w:rsid w:val="00E91BA0"/>
    <w:rsid w:val="00E93A1B"/>
    <w:rsid w:val="00E9403A"/>
    <w:rsid w:val="00EA15B1"/>
    <w:rsid w:val="00EB397D"/>
    <w:rsid w:val="00EC17C2"/>
    <w:rsid w:val="00ED0FE3"/>
    <w:rsid w:val="00ED138B"/>
    <w:rsid w:val="00EE0329"/>
    <w:rsid w:val="00EF5661"/>
    <w:rsid w:val="00F008DA"/>
    <w:rsid w:val="00F12638"/>
    <w:rsid w:val="00F12F57"/>
    <w:rsid w:val="00F15957"/>
    <w:rsid w:val="00F245CE"/>
    <w:rsid w:val="00F27BCE"/>
    <w:rsid w:val="00F4228C"/>
    <w:rsid w:val="00F44521"/>
    <w:rsid w:val="00F45DC4"/>
    <w:rsid w:val="00F46C03"/>
    <w:rsid w:val="00F549F8"/>
    <w:rsid w:val="00F76D30"/>
    <w:rsid w:val="00F826FB"/>
    <w:rsid w:val="00F8303E"/>
    <w:rsid w:val="00F92A38"/>
    <w:rsid w:val="00F967A8"/>
    <w:rsid w:val="00FB1191"/>
    <w:rsid w:val="00FB308C"/>
    <w:rsid w:val="00FB51BE"/>
    <w:rsid w:val="00FC43A7"/>
    <w:rsid w:val="00FD61A0"/>
    <w:rsid w:val="00FE6B1B"/>
    <w:rsid w:val="00FF2CB8"/>
    <w:rsid w:val="00FF608D"/>
    <w:rsid w:val="00FF705D"/>
    <w:rsid w:val="00FF798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A21429"/>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styleId="Quote">
    <w:name w:val="Quote"/>
    <w:basedOn w:val="Normal"/>
    <w:next w:val="Normal"/>
    <w:link w:val="QuoteChar"/>
    <w:uiPriority w:val="29"/>
    <w:qFormat/>
    <w:rsid w:val="00B64B95"/>
    <w:pPr>
      <w:spacing w:after="240" w:line="360" w:lineRule="auto"/>
      <w:ind w:left="851" w:right="940"/>
    </w:pPr>
    <w:rPr>
      <w:rFonts w:eastAsiaTheme="minorHAnsi" w:cstheme="minorBidi"/>
      <w:iCs/>
      <w:color w:val="000000" w:themeColor="text1"/>
      <w:sz w:val="24"/>
      <w:szCs w:val="24"/>
      <w:lang w:eastAsia="en-ZA"/>
    </w:rPr>
  </w:style>
  <w:style w:type="character" w:customStyle="1" w:styleId="QuoteChar">
    <w:name w:val="Quote Char"/>
    <w:basedOn w:val="DefaultParagraphFont"/>
    <w:link w:val="Quote"/>
    <w:uiPriority w:val="29"/>
    <w:rsid w:val="00B64B95"/>
    <w:rPr>
      <w:rFonts w:ascii="Times New Roman" w:eastAsiaTheme="minorHAnsi" w:hAnsi="Times New Roman" w:cstheme="minorBidi"/>
      <w:iCs/>
      <w:color w:val="000000" w:themeColor="text1"/>
      <w:sz w:val="24"/>
      <w:szCs w:val="24"/>
      <w:lang w:val="en-ZA" w:eastAsia="en-ZA"/>
    </w:rPr>
  </w:style>
  <w:style w:type="character" w:styleId="CommentReference">
    <w:name w:val="annotation reference"/>
    <w:basedOn w:val="DefaultParagraphFont"/>
    <w:uiPriority w:val="99"/>
    <w:semiHidden/>
    <w:unhideWhenUsed/>
    <w:rsid w:val="005F6F85"/>
    <w:rPr>
      <w:sz w:val="16"/>
      <w:szCs w:val="16"/>
    </w:rPr>
  </w:style>
  <w:style w:type="paragraph" w:styleId="CommentText">
    <w:name w:val="annotation text"/>
    <w:basedOn w:val="Normal"/>
    <w:link w:val="CommentTextChar"/>
    <w:uiPriority w:val="99"/>
    <w:unhideWhenUsed/>
    <w:rsid w:val="005F6F85"/>
    <w:pPr>
      <w:spacing w:line="240" w:lineRule="auto"/>
    </w:pPr>
    <w:rPr>
      <w:sz w:val="20"/>
      <w:szCs w:val="20"/>
    </w:rPr>
  </w:style>
  <w:style w:type="character" w:customStyle="1" w:styleId="CommentTextChar">
    <w:name w:val="Comment Text Char"/>
    <w:basedOn w:val="DefaultParagraphFont"/>
    <w:link w:val="CommentText"/>
    <w:uiPriority w:val="99"/>
    <w:rsid w:val="005F6F85"/>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5F6F85"/>
    <w:rPr>
      <w:b/>
      <w:bCs/>
    </w:rPr>
  </w:style>
  <w:style w:type="character" w:customStyle="1" w:styleId="CommentSubjectChar">
    <w:name w:val="Comment Subject Char"/>
    <w:basedOn w:val="CommentTextChar"/>
    <w:link w:val="CommentSubject"/>
    <w:uiPriority w:val="99"/>
    <w:semiHidden/>
    <w:rsid w:val="005F6F85"/>
    <w:rPr>
      <w:rFonts w:ascii="Times New Roman" w:hAnsi="Times New Roman"/>
      <w:b/>
      <w:bCs/>
      <w:lang w:val="en-ZA"/>
    </w:rPr>
  </w:style>
  <w:style w:type="paragraph" w:styleId="Revision">
    <w:name w:val="Revision"/>
    <w:hidden/>
    <w:uiPriority w:val="99"/>
    <w:semiHidden/>
    <w:rsid w:val="005F6F85"/>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A21429"/>
    <w:rPr>
      <w:rFonts w:asciiTheme="majorHAnsi" w:eastAsiaTheme="majorEastAsia" w:hAnsiTheme="majorHAnsi" w:cstheme="majorBidi"/>
      <w:color w:val="365F91" w:themeColor="accent1" w:themeShade="BF"/>
      <w:sz w:val="26"/>
      <w:szCs w:val="26"/>
      <w:lang w:val="en-ZA"/>
    </w:rPr>
  </w:style>
  <w:style w:type="character" w:styleId="Hyperlink">
    <w:name w:val="Hyperlink"/>
    <w:basedOn w:val="DefaultParagraphFont"/>
    <w:uiPriority w:val="99"/>
    <w:unhideWhenUsed/>
    <w:rsid w:val="001C6D5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13672">
      <w:bodyDiv w:val="1"/>
      <w:marLeft w:val="0"/>
      <w:marRight w:val="0"/>
      <w:marTop w:val="0"/>
      <w:marBottom w:val="0"/>
      <w:divBdr>
        <w:top w:val="none" w:sz="0" w:space="0" w:color="auto"/>
        <w:left w:val="none" w:sz="0" w:space="0" w:color="auto"/>
        <w:bottom w:val="none" w:sz="0" w:space="0" w:color="auto"/>
        <w:right w:val="none" w:sz="0" w:space="0" w:color="auto"/>
      </w:divBdr>
    </w:div>
    <w:div w:id="92476430">
      <w:bodyDiv w:val="1"/>
      <w:marLeft w:val="0"/>
      <w:marRight w:val="0"/>
      <w:marTop w:val="0"/>
      <w:marBottom w:val="0"/>
      <w:divBdr>
        <w:top w:val="none" w:sz="0" w:space="0" w:color="auto"/>
        <w:left w:val="none" w:sz="0" w:space="0" w:color="auto"/>
        <w:bottom w:val="none" w:sz="0" w:space="0" w:color="auto"/>
        <w:right w:val="none" w:sz="0" w:space="0" w:color="auto"/>
      </w:divBdr>
    </w:div>
    <w:div w:id="154536461">
      <w:bodyDiv w:val="1"/>
      <w:marLeft w:val="0"/>
      <w:marRight w:val="0"/>
      <w:marTop w:val="0"/>
      <w:marBottom w:val="0"/>
      <w:divBdr>
        <w:top w:val="none" w:sz="0" w:space="0" w:color="auto"/>
        <w:left w:val="none" w:sz="0" w:space="0" w:color="auto"/>
        <w:bottom w:val="none" w:sz="0" w:space="0" w:color="auto"/>
        <w:right w:val="none" w:sz="0" w:space="0" w:color="auto"/>
      </w:divBdr>
    </w:div>
    <w:div w:id="164442090">
      <w:bodyDiv w:val="1"/>
      <w:marLeft w:val="0"/>
      <w:marRight w:val="0"/>
      <w:marTop w:val="0"/>
      <w:marBottom w:val="0"/>
      <w:divBdr>
        <w:top w:val="none" w:sz="0" w:space="0" w:color="auto"/>
        <w:left w:val="none" w:sz="0" w:space="0" w:color="auto"/>
        <w:bottom w:val="none" w:sz="0" w:space="0" w:color="auto"/>
        <w:right w:val="none" w:sz="0" w:space="0" w:color="auto"/>
      </w:divBdr>
    </w:div>
    <w:div w:id="232080427">
      <w:bodyDiv w:val="1"/>
      <w:marLeft w:val="0"/>
      <w:marRight w:val="0"/>
      <w:marTop w:val="0"/>
      <w:marBottom w:val="0"/>
      <w:divBdr>
        <w:top w:val="none" w:sz="0" w:space="0" w:color="auto"/>
        <w:left w:val="none" w:sz="0" w:space="0" w:color="auto"/>
        <w:bottom w:val="none" w:sz="0" w:space="0" w:color="auto"/>
        <w:right w:val="none" w:sz="0" w:space="0" w:color="auto"/>
      </w:divBdr>
    </w:div>
    <w:div w:id="254675216">
      <w:bodyDiv w:val="1"/>
      <w:marLeft w:val="0"/>
      <w:marRight w:val="0"/>
      <w:marTop w:val="0"/>
      <w:marBottom w:val="0"/>
      <w:divBdr>
        <w:top w:val="none" w:sz="0" w:space="0" w:color="auto"/>
        <w:left w:val="none" w:sz="0" w:space="0" w:color="auto"/>
        <w:bottom w:val="none" w:sz="0" w:space="0" w:color="auto"/>
        <w:right w:val="none" w:sz="0" w:space="0" w:color="auto"/>
      </w:divBdr>
    </w:div>
    <w:div w:id="316030644">
      <w:bodyDiv w:val="1"/>
      <w:marLeft w:val="0"/>
      <w:marRight w:val="0"/>
      <w:marTop w:val="0"/>
      <w:marBottom w:val="0"/>
      <w:divBdr>
        <w:top w:val="none" w:sz="0" w:space="0" w:color="auto"/>
        <w:left w:val="none" w:sz="0" w:space="0" w:color="auto"/>
        <w:bottom w:val="none" w:sz="0" w:space="0" w:color="auto"/>
        <w:right w:val="none" w:sz="0" w:space="0" w:color="auto"/>
      </w:divBdr>
    </w:div>
    <w:div w:id="356277788">
      <w:bodyDiv w:val="1"/>
      <w:marLeft w:val="0"/>
      <w:marRight w:val="0"/>
      <w:marTop w:val="0"/>
      <w:marBottom w:val="0"/>
      <w:divBdr>
        <w:top w:val="none" w:sz="0" w:space="0" w:color="auto"/>
        <w:left w:val="none" w:sz="0" w:space="0" w:color="auto"/>
        <w:bottom w:val="none" w:sz="0" w:space="0" w:color="auto"/>
        <w:right w:val="none" w:sz="0" w:space="0" w:color="auto"/>
      </w:divBdr>
    </w:div>
    <w:div w:id="429817358">
      <w:bodyDiv w:val="1"/>
      <w:marLeft w:val="0"/>
      <w:marRight w:val="0"/>
      <w:marTop w:val="0"/>
      <w:marBottom w:val="0"/>
      <w:divBdr>
        <w:top w:val="none" w:sz="0" w:space="0" w:color="auto"/>
        <w:left w:val="none" w:sz="0" w:space="0" w:color="auto"/>
        <w:bottom w:val="none" w:sz="0" w:space="0" w:color="auto"/>
        <w:right w:val="none" w:sz="0" w:space="0" w:color="auto"/>
      </w:divBdr>
    </w:div>
    <w:div w:id="439230245">
      <w:bodyDiv w:val="1"/>
      <w:marLeft w:val="0"/>
      <w:marRight w:val="0"/>
      <w:marTop w:val="0"/>
      <w:marBottom w:val="0"/>
      <w:divBdr>
        <w:top w:val="none" w:sz="0" w:space="0" w:color="auto"/>
        <w:left w:val="none" w:sz="0" w:space="0" w:color="auto"/>
        <w:bottom w:val="none" w:sz="0" w:space="0" w:color="auto"/>
        <w:right w:val="none" w:sz="0" w:space="0" w:color="auto"/>
      </w:divBdr>
    </w:div>
    <w:div w:id="466509464">
      <w:bodyDiv w:val="1"/>
      <w:marLeft w:val="0"/>
      <w:marRight w:val="0"/>
      <w:marTop w:val="0"/>
      <w:marBottom w:val="0"/>
      <w:divBdr>
        <w:top w:val="none" w:sz="0" w:space="0" w:color="auto"/>
        <w:left w:val="none" w:sz="0" w:space="0" w:color="auto"/>
        <w:bottom w:val="none" w:sz="0" w:space="0" w:color="auto"/>
        <w:right w:val="none" w:sz="0" w:space="0" w:color="auto"/>
      </w:divBdr>
    </w:div>
    <w:div w:id="612328032">
      <w:bodyDiv w:val="1"/>
      <w:marLeft w:val="0"/>
      <w:marRight w:val="0"/>
      <w:marTop w:val="0"/>
      <w:marBottom w:val="0"/>
      <w:divBdr>
        <w:top w:val="none" w:sz="0" w:space="0" w:color="auto"/>
        <w:left w:val="none" w:sz="0" w:space="0" w:color="auto"/>
        <w:bottom w:val="none" w:sz="0" w:space="0" w:color="auto"/>
        <w:right w:val="none" w:sz="0" w:space="0" w:color="auto"/>
      </w:divBdr>
    </w:div>
    <w:div w:id="623388151">
      <w:bodyDiv w:val="1"/>
      <w:marLeft w:val="0"/>
      <w:marRight w:val="0"/>
      <w:marTop w:val="0"/>
      <w:marBottom w:val="0"/>
      <w:divBdr>
        <w:top w:val="none" w:sz="0" w:space="0" w:color="auto"/>
        <w:left w:val="none" w:sz="0" w:space="0" w:color="auto"/>
        <w:bottom w:val="none" w:sz="0" w:space="0" w:color="auto"/>
        <w:right w:val="none" w:sz="0" w:space="0" w:color="auto"/>
      </w:divBdr>
    </w:div>
    <w:div w:id="646594335">
      <w:bodyDiv w:val="1"/>
      <w:marLeft w:val="0"/>
      <w:marRight w:val="0"/>
      <w:marTop w:val="0"/>
      <w:marBottom w:val="0"/>
      <w:divBdr>
        <w:top w:val="none" w:sz="0" w:space="0" w:color="auto"/>
        <w:left w:val="none" w:sz="0" w:space="0" w:color="auto"/>
        <w:bottom w:val="none" w:sz="0" w:space="0" w:color="auto"/>
        <w:right w:val="none" w:sz="0" w:space="0" w:color="auto"/>
      </w:divBdr>
    </w:div>
    <w:div w:id="714548280">
      <w:bodyDiv w:val="1"/>
      <w:marLeft w:val="0"/>
      <w:marRight w:val="0"/>
      <w:marTop w:val="0"/>
      <w:marBottom w:val="0"/>
      <w:divBdr>
        <w:top w:val="none" w:sz="0" w:space="0" w:color="auto"/>
        <w:left w:val="none" w:sz="0" w:space="0" w:color="auto"/>
        <w:bottom w:val="none" w:sz="0" w:space="0" w:color="auto"/>
        <w:right w:val="none" w:sz="0" w:space="0" w:color="auto"/>
      </w:divBdr>
    </w:div>
    <w:div w:id="717241903">
      <w:bodyDiv w:val="1"/>
      <w:marLeft w:val="0"/>
      <w:marRight w:val="0"/>
      <w:marTop w:val="0"/>
      <w:marBottom w:val="0"/>
      <w:divBdr>
        <w:top w:val="none" w:sz="0" w:space="0" w:color="auto"/>
        <w:left w:val="none" w:sz="0" w:space="0" w:color="auto"/>
        <w:bottom w:val="none" w:sz="0" w:space="0" w:color="auto"/>
        <w:right w:val="none" w:sz="0" w:space="0" w:color="auto"/>
      </w:divBdr>
    </w:div>
    <w:div w:id="742261581">
      <w:bodyDiv w:val="1"/>
      <w:marLeft w:val="0"/>
      <w:marRight w:val="0"/>
      <w:marTop w:val="0"/>
      <w:marBottom w:val="0"/>
      <w:divBdr>
        <w:top w:val="none" w:sz="0" w:space="0" w:color="auto"/>
        <w:left w:val="none" w:sz="0" w:space="0" w:color="auto"/>
        <w:bottom w:val="none" w:sz="0" w:space="0" w:color="auto"/>
        <w:right w:val="none" w:sz="0" w:space="0" w:color="auto"/>
      </w:divBdr>
      <w:divsChild>
        <w:div w:id="424769010">
          <w:marLeft w:val="0"/>
          <w:marRight w:val="0"/>
          <w:marTop w:val="240"/>
          <w:marBottom w:val="0"/>
          <w:divBdr>
            <w:top w:val="none" w:sz="0" w:space="0" w:color="auto"/>
            <w:left w:val="none" w:sz="0" w:space="0" w:color="auto"/>
            <w:bottom w:val="none" w:sz="0" w:space="0" w:color="auto"/>
            <w:right w:val="none" w:sz="0" w:space="0" w:color="auto"/>
          </w:divBdr>
        </w:div>
        <w:div w:id="1917593150">
          <w:marLeft w:val="0"/>
          <w:marRight w:val="0"/>
          <w:marTop w:val="120"/>
          <w:marBottom w:val="0"/>
          <w:divBdr>
            <w:top w:val="none" w:sz="0" w:space="0" w:color="auto"/>
            <w:left w:val="none" w:sz="0" w:space="0" w:color="auto"/>
            <w:bottom w:val="none" w:sz="0" w:space="0" w:color="auto"/>
            <w:right w:val="none" w:sz="0" w:space="0" w:color="auto"/>
          </w:divBdr>
        </w:div>
        <w:div w:id="460617630">
          <w:marLeft w:val="0"/>
          <w:marRight w:val="0"/>
          <w:marTop w:val="120"/>
          <w:marBottom w:val="0"/>
          <w:divBdr>
            <w:top w:val="none" w:sz="0" w:space="0" w:color="auto"/>
            <w:left w:val="none" w:sz="0" w:space="0" w:color="auto"/>
            <w:bottom w:val="none" w:sz="0" w:space="0" w:color="auto"/>
            <w:right w:val="none" w:sz="0" w:space="0" w:color="auto"/>
          </w:divBdr>
        </w:div>
        <w:div w:id="656422850">
          <w:marLeft w:val="1134"/>
          <w:marRight w:val="0"/>
          <w:marTop w:val="60"/>
          <w:marBottom w:val="0"/>
          <w:divBdr>
            <w:top w:val="none" w:sz="0" w:space="0" w:color="auto"/>
            <w:left w:val="none" w:sz="0" w:space="0" w:color="auto"/>
            <w:bottom w:val="none" w:sz="0" w:space="0" w:color="auto"/>
            <w:right w:val="none" w:sz="0" w:space="0" w:color="auto"/>
          </w:divBdr>
        </w:div>
        <w:div w:id="927421823">
          <w:marLeft w:val="1134"/>
          <w:marRight w:val="0"/>
          <w:marTop w:val="60"/>
          <w:marBottom w:val="0"/>
          <w:divBdr>
            <w:top w:val="none" w:sz="0" w:space="0" w:color="auto"/>
            <w:left w:val="none" w:sz="0" w:space="0" w:color="auto"/>
            <w:bottom w:val="none" w:sz="0" w:space="0" w:color="auto"/>
            <w:right w:val="none" w:sz="0" w:space="0" w:color="auto"/>
          </w:divBdr>
        </w:div>
        <w:div w:id="157424507">
          <w:marLeft w:val="0"/>
          <w:marRight w:val="0"/>
          <w:marTop w:val="120"/>
          <w:marBottom w:val="0"/>
          <w:divBdr>
            <w:top w:val="none" w:sz="0" w:space="0" w:color="auto"/>
            <w:left w:val="none" w:sz="0" w:space="0" w:color="auto"/>
            <w:bottom w:val="none" w:sz="0" w:space="0" w:color="auto"/>
            <w:right w:val="none" w:sz="0" w:space="0" w:color="auto"/>
          </w:divBdr>
        </w:div>
        <w:div w:id="1090933407">
          <w:marLeft w:val="0"/>
          <w:marRight w:val="0"/>
          <w:marTop w:val="120"/>
          <w:marBottom w:val="0"/>
          <w:divBdr>
            <w:top w:val="none" w:sz="0" w:space="0" w:color="auto"/>
            <w:left w:val="none" w:sz="0" w:space="0" w:color="auto"/>
            <w:bottom w:val="none" w:sz="0" w:space="0" w:color="auto"/>
            <w:right w:val="none" w:sz="0" w:space="0" w:color="auto"/>
          </w:divBdr>
        </w:div>
      </w:divsChild>
    </w:div>
    <w:div w:id="759451816">
      <w:bodyDiv w:val="1"/>
      <w:marLeft w:val="0"/>
      <w:marRight w:val="0"/>
      <w:marTop w:val="0"/>
      <w:marBottom w:val="0"/>
      <w:divBdr>
        <w:top w:val="none" w:sz="0" w:space="0" w:color="auto"/>
        <w:left w:val="none" w:sz="0" w:space="0" w:color="auto"/>
        <w:bottom w:val="none" w:sz="0" w:space="0" w:color="auto"/>
        <w:right w:val="none" w:sz="0" w:space="0" w:color="auto"/>
      </w:divBdr>
    </w:div>
    <w:div w:id="762341235">
      <w:bodyDiv w:val="1"/>
      <w:marLeft w:val="0"/>
      <w:marRight w:val="0"/>
      <w:marTop w:val="0"/>
      <w:marBottom w:val="0"/>
      <w:divBdr>
        <w:top w:val="none" w:sz="0" w:space="0" w:color="auto"/>
        <w:left w:val="none" w:sz="0" w:space="0" w:color="auto"/>
        <w:bottom w:val="none" w:sz="0" w:space="0" w:color="auto"/>
        <w:right w:val="none" w:sz="0" w:space="0" w:color="auto"/>
      </w:divBdr>
    </w:div>
    <w:div w:id="820652855">
      <w:bodyDiv w:val="1"/>
      <w:marLeft w:val="0"/>
      <w:marRight w:val="0"/>
      <w:marTop w:val="0"/>
      <w:marBottom w:val="0"/>
      <w:divBdr>
        <w:top w:val="none" w:sz="0" w:space="0" w:color="auto"/>
        <w:left w:val="none" w:sz="0" w:space="0" w:color="auto"/>
        <w:bottom w:val="none" w:sz="0" w:space="0" w:color="auto"/>
        <w:right w:val="none" w:sz="0" w:space="0" w:color="auto"/>
      </w:divBdr>
    </w:div>
    <w:div w:id="832113097">
      <w:bodyDiv w:val="1"/>
      <w:marLeft w:val="0"/>
      <w:marRight w:val="0"/>
      <w:marTop w:val="0"/>
      <w:marBottom w:val="0"/>
      <w:divBdr>
        <w:top w:val="none" w:sz="0" w:space="0" w:color="auto"/>
        <w:left w:val="none" w:sz="0" w:space="0" w:color="auto"/>
        <w:bottom w:val="none" w:sz="0" w:space="0" w:color="auto"/>
        <w:right w:val="none" w:sz="0" w:space="0" w:color="auto"/>
      </w:divBdr>
    </w:div>
    <w:div w:id="895356433">
      <w:bodyDiv w:val="1"/>
      <w:marLeft w:val="0"/>
      <w:marRight w:val="0"/>
      <w:marTop w:val="0"/>
      <w:marBottom w:val="0"/>
      <w:divBdr>
        <w:top w:val="none" w:sz="0" w:space="0" w:color="auto"/>
        <w:left w:val="none" w:sz="0" w:space="0" w:color="auto"/>
        <w:bottom w:val="none" w:sz="0" w:space="0" w:color="auto"/>
        <w:right w:val="none" w:sz="0" w:space="0" w:color="auto"/>
      </w:divBdr>
    </w:div>
    <w:div w:id="940916183">
      <w:bodyDiv w:val="1"/>
      <w:marLeft w:val="0"/>
      <w:marRight w:val="0"/>
      <w:marTop w:val="0"/>
      <w:marBottom w:val="0"/>
      <w:divBdr>
        <w:top w:val="none" w:sz="0" w:space="0" w:color="auto"/>
        <w:left w:val="none" w:sz="0" w:space="0" w:color="auto"/>
        <w:bottom w:val="none" w:sz="0" w:space="0" w:color="auto"/>
        <w:right w:val="none" w:sz="0" w:space="0" w:color="auto"/>
      </w:divBdr>
    </w:div>
    <w:div w:id="1002899589">
      <w:bodyDiv w:val="1"/>
      <w:marLeft w:val="0"/>
      <w:marRight w:val="0"/>
      <w:marTop w:val="0"/>
      <w:marBottom w:val="0"/>
      <w:divBdr>
        <w:top w:val="none" w:sz="0" w:space="0" w:color="auto"/>
        <w:left w:val="none" w:sz="0" w:space="0" w:color="auto"/>
        <w:bottom w:val="none" w:sz="0" w:space="0" w:color="auto"/>
        <w:right w:val="none" w:sz="0" w:space="0" w:color="auto"/>
      </w:divBdr>
    </w:div>
    <w:div w:id="1087076561">
      <w:bodyDiv w:val="1"/>
      <w:marLeft w:val="0"/>
      <w:marRight w:val="0"/>
      <w:marTop w:val="0"/>
      <w:marBottom w:val="0"/>
      <w:divBdr>
        <w:top w:val="none" w:sz="0" w:space="0" w:color="auto"/>
        <w:left w:val="none" w:sz="0" w:space="0" w:color="auto"/>
        <w:bottom w:val="none" w:sz="0" w:space="0" w:color="auto"/>
        <w:right w:val="none" w:sz="0" w:space="0" w:color="auto"/>
      </w:divBdr>
    </w:div>
    <w:div w:id="1097167232">
      <w:bodyDiv w:val="1"/>
      <w:marLeft w:val="0"/>
      <w:marRight w:val="0"/>
      <w:marTop w:val="0"/>
      <w:marBottom w:val="0"/>
      <w:divBdr>
        <w:top w:val="none" w:sz="0" w:space="0" w:color="auto"/>
        <w:left w:val="none" w:sz="0" w:space="0" w:color="auto"/>
        <w:bottom w:val="none" w:sz="0" w:space="0" w:color="auto"/>
        <w:right w:val="none" w:sz="0" w:space="0" w:color="auto"/>
      </w:divBdr>
    </w:div>
    <w:div w:id="1131823478">
      <w:bodyDiv w:val="1"/>
      <w:marLeft w:val="0"/>
      <w:marRight w:val="0"/>
      <w:marTop w:val="0"/>
      <w:marBottom w:val="0"/>
      <w:divBdr>
        <w:top w:val="none" w:sz="0" w:space="0" w:color="auto"/>
        <w:left w:val="none" w:sz="0" w:space="0" w:color="auto"/>
        <w:bottom w:val="none" w:sz="0" w:space="0" w:color="auto"/>
        <w:right w:val="none" w:sz="0" w:space="0" w:color="auto"/>
      </w:divBdr>
    </w:div>
    <w:div w:id="1172985746">
      <w:bodyDiv w:val="1"/>
      <w:marLeft w:val="0"/>
      <w:marRight w:val="0"/>
      <w:marTop w:val="0"/>
      <w:marBottom w:val="0"/>
      <w:divBdr>
        <w:top w:val="none" w:sz="0" w:space="0" w:color="auto"/>
        <w:left w:val="none" w:sz="0" w:space="0" w:color="auto"/>
        <w:bottom w:val="none" w:sz="0" w:space="0" w:color="auto"/>
        <w:right w:val="none" w:sz="0" w:space="0" w:color="auto"/>
      </w:divBdr>
    </w:div>
    <w:div w:id="1176117506">
      <w:bodyDiv w:val="1"/>
      <w:marLeft w:val="0"/>
      <w:marRight w:val="0"/>
      <w:marTop w:val="0"/>
      <w:marBottom w:val="0"/>
      <w:divBdr>
        <w:top w:val="none" w:sz="0" w:space="0" w:color="auto"/>
        <w:left w:val="none" w:sz="0" w:space="0" w:color="auto"/>
        <w:bottom w:val="none" w:sz="0" w:space="0" w:color="auto"/>
        <w:right w:val="none" w:sz="0" w:space="0" w:color="auto"/>
      </w:divBdr>
    </w:div>
    <w:div w:id="1192765185">
      <w:bodyDiv w:val="1"/>
      <w:marLeft w:val="0"/>
      <w:marRight w:val="0"/>
      <w:marTop w:val="0"/>
      <w:marBottom w:val="0"/>
      <w:divBdr>
        <w:top w:val="none" w:sz="0" w:space="0" w:color="auto"/>
        <w:left w:val="none" w:sz="0" w:space="0" w:color="auto"/>
        <w:bottom w:val="none" w:sz="0" w:space="0" w:color="auto"/>
        <w:right w:val="none" w:sz="0" w:space="0" w:color="auto"/>
      </w:divBdr>
    </w:div>
    <w:div w:id="1314674774">
      <w:bodyDiv w:val="1"/>
      <w:marLeft w:val="0"/>
      <w:marRight w:val="0"/>
      <w:marTop w:val="0"/>
      <w:marBottom w:val="0"/>
      <w:divBdr>
        <w:top w:val="none" w:sz="0" w:space="0" w:color="auto"/>
        <w:left w:val="none" w:sz="0" w:space="0" w:color="auto"/>
        <w:bottom w:val="none" w:sz="0" w:space="0" w:color="auto"/>
        <w:right w:val="none" w:sz="0" w:space="0" w:color="auto"/>
      </w:divBdr>
    </w:div>
    <w:div w:id="1320228340">
      <w:bodyDiv w:val="1"/>
      <w:marLeft w:val="0"/>
      <w:marRight w:val="0"/>
      <w:marTop w:val="0"/>
      <w:marBottom w:val="0"/>
      <w:divBdr>
        <w:top w:val="none" w:sz="0" w:space="0" w:color="auto"/>
        <w:left w:val="none" w:sz="0" w:space="0" w:color="auto"/>
        <w:bottom w:val="none" w:sz="0" w:space="0" w:color="auto"/>
        <w:right w:val="none" w:sz="0" w:space="0" w:color="auto"/>
      </w:divBdr>
    </w:div>
    <w:div w:id="1344547192">
      <w:bodyDiv w:val="1"/>
      <w:marLeft w:val="0"/>
      <w:marRight w:val="0"/>
      <w:marTop w:val="0"/>
      <w:marBottom w:val="0"/>
      <w:divBdr>
        <w:top w:val="none" w:sz="0" w:space="0" w:color="auto"/>
        <w:left w:val="none" w:sz="0" w:space="0" w:color="auto"/>
        <w:bottom w:val="none" w:sz="0" w:space="0" w:color="auto"/>
        <w:right w:val="none" w:sz="0" w:space="0" w:color="auto"/>
      </w:divBdr>
    </w:div>
    <w:div w:id="1363045203">
      <w:bodyDiv w:val="1"/>
      <w:marLeft w:val="0"/>
      <w:marRight w:val="0"/>
      <w:marTop w:val="0"/>
      <w:marBottom w:val="0"/>
      <w:divBdr>
        <w:top w:val="none" w:sz="0" w:space="0" w:color="auto"/>
        <w:left w:val="none" w:sz="0" w:space="0" w:color="auto"/>
        <w:bottom w:val="none" w:sz="0" w:space="0" w:color="auto"/>
        <w:right w:val="none" w:sz="0" w:space="0" w:color="auto"/>
      </w:divBdr>
    </w:div>
    <w:div w:id="1369334593">
      <w:bodyDiv w:val="1"/>
      <w:marLeft w:val="0"/>
      <w:marRight w:val="0"/>
      <w:marTop w:val="0"/>
      <w:marBottom w:val="0"/>
      <w:divBdr>
        <w:top w:val="none" w:sz="0" w:space="0" w:color="auto"/>
        <w:left w:val="none" w:sz="0" w:space="0" w:color="auto"/>
        <w:bottom w:val="none" w:sz="0" w:space="0" w:color="auto"/>
        <w:right w:val="none" w:sz="0" w:space="0" w:color="auto"/>
      </w:divBdr>
    </w:div>
    <w:div w:id="1428305731">
      <w:bodyDiv w:val="1"/>
      <w:marLeft w:val="0"/>
      <w:marRight w:val="0"/>
      <w:marTop w:val="0"/>
      <w:marBottom w:val="0"/>
      <w:divBdr>
        <w:top w:val="none" w:sz="0" w:space="0" w:color="auto"/>
        <w:left w:val="none" w:sz="0" w:space="0" w:color="auto"/>
        <w:bottom w:val="none" w:sz="0" w:space="0" w:color="auto"/>
        <w:right w:val="none" w:sz="0" w:space="0" w:color="auto"/>
      </w:divBdr>
    </w:div>
    <w:div w:id="1448814742">
      <w:bodyDiv w:val="1"/>
      <w:marLeft w:val="0"/>
      <w:marRight w:val="0"/>
      <w:marTop w:val="0"/>
      <w:marBottom w:val="0"/>
      <w:divBdr>
        <w:top w:val="none" w:sz="0" w:space="0" w:color="auto"/>
        <w:left w:val="none" w:sz="0" w:space="0" w:color="auto"/>
        <w:bottom w:val="none" w:sz="0" w:space="0" w:color="auto"/>
        <w:right w:val="none" w:sz="0" w:space="0" w:color="auto"/>
      </w:divBdr>
    </w:div>
    <w:div w:id="1509520184">
      <w:bodyDiv w:val="1"/>
      <w:marLeft w:val="0"/>
      <w:marRight w:val="0"/>
      <w:marTop w:val="0"/>
      <w:marBottom w:val="0"/>
      <w:divBdr>
        <w:top w:val="none" w:sz="0" w:space="0" w:color="auto"/>
        <w:left w:val="none" w:sz="0" w:space="0" w:color="auto"/>
        <w:bottom w:val="none" w:sz="0" w:space="0" w:color="auto"/>
        <w:right w:val="none" w:sz="0" w:space="0" w:color="auto"/>
      </w:divBdr>
    </w:div>
    <w:div w:id="1522669629">
      <w:bodyDiv w:val="1"/>
      <w:marLeft w:val="0"/>
      <w:marRight w:val="0"/>
      <w:marTop w:val="0"/>
      <w:marBottom w:val="0"/>
      <w:divBdr>
        <w:top w:val="none" w:sz="0" w:space="0" w:color="auto"/>
        <w:left w:val="none" w:sz="0" w:space="0" w:color="auto"/>
        <w:bottom w:val="none" w:sz="0" w:space="0" w:color="auto"/>
        <w:right w:val="none" w:sz="0" w:space="0" w:color="auto"/>
      </w:divBdr>
    </w:div>
    <w:div w:id="1678343147">
      <w:bodyDiv w:val="1"/>
      <w:marLeft w:val="0"/>
      <w:marRight w:val="0"/>
      <w:marTop w:val="0"/>
      <w:marBottom w:val="0"/>
      <w:divBdr>
        <w:top w:val="none" w:sz="0" w:space="0" w:color="auto"/>
        <w:left w:val="none" w:sz="0" w:space="0" w:color="auto"/>
        <w:bottom w:val="none" w:sz="0" w:space="0" w:color="auto"/>
        <w:right w:val="none" w:sz="0" w:space="0" w:color="auto"/>
      </w:divBdr>
    </w:div>
    <w:div w:id="1739589977">
      <w:bodyDiv w:val="1"/>
      <w:marLeft w:val="0"/>
      <w:marRight w:val="0"/>
      <w:marTop w:val="0"/>
      <w:marBottom w:val="0"/>
      <w:divBdr>
        <w:top w:val="none" w:sz="0" w:space="0" w:color="auto"/>
        <w:left w:val="none" w:sz="0" w:space="0" w:color="auto"/>
        <w:bottom w:val="none" w:sz="0" w:space="0" w:color="auto"/>
        <w:right w:val="none" w:sz="0" w:space="0" w:color="auto"/>
      </w:divBdr>
    </w:div>
    <w:div w:id="1747916056">
      <w:bodyDiv w:val="1"/>
      <w:marLeft w:val="0"/>
      <w:marRight w:val="0"/>
      <w:marTop w:val="0"/>
      <w:marBottom w:val="0"/>
      <w:divBdr>
        <w:top w:val="none" w:sz="0" w:space="0" w:color="auto"/>
        <w:left w:val="none" w:sz="0" w:space="0" w:color="auto"/>
        <w:bottom w:val="none" w:sz="0" w:space="0" w:color="auto"/>
        <w:right w:val="none" w:sz="0" w:space="0" w:color="auto"/>
      </w:divBdr>
    </w:div>
    <w:div w:id="1761103168">
      <w:bodyDiv w:val="1"/>
      <w:marLeft w:val="0"/>
      <w:marRight w:val="0"/>
      <w:marTop w:val="0"/>
      <w:marBottom w:val="0"/>
      <w:divBdr>
        <w:top w:val="none" w:sz="0" w:space="0" w:color="auto"/>
        <w:left w:val="none" w:sz="0" w:space="0" w:color="auto"/>
        <w:bottom w:val="none" w:sz="0" w:space="0" w:color="auto"/>
        <w:right w:val="none" w:sz="0" w:space="0" w:color="auto"/>
      </w:divBdr>
      <w:divsChild>
        <w:div w:id="1681470080">
          <w:marLeft w:val="0"/>
          <w:marRight w:val="0"/>
          <w:marTop w:val="240"/>
          <w:marBottom w:val="0"/>
          <w:divBdr>
            <w:top w:val="none" w:sz="0" w:space="0" w:color="auto"/>
            <w:left w:val="none" w:sz="0" w:space="0" w:color="auto"/>
            <w:bottom w:val="none" w:sz="0" w:space="0" w:color="auto"/>
            <w:right w:val="none" w:sz="0" w:space="0" w:color="auto"/>
          </w:divBdr>
        </w:div>
        <w:div w:id="1860387132">
          <w:marLeft w:val="0"/>
          <w:marRight w:val="0"/>
          <w:marTop w:val="120"/>
          <w:marBottom w:val="0"/>
          <w:divBdr>
            <w:top w:val="none" w:sz="0" w:space="0" w:color="auto"/>
            <w:left w:val="none" w:sz="0" w:space="0" w:color="auto"/>
            <w:bottom w:val="none" w:sz="0" w:space="0" w:color="auto"/>
            <w:right w:val="none" w:sz="0" w:space="0" w:color="auto"/>
          </w:divBdr>
        </w:div>
        <w:div w:id="732462683">
          <w:marLeft w:val="1134"/>
          <w:marRight w:val="0"/>
          <w:marTop w:val="60"/>
          <w:marBottom w:val="0"/>
          <w:divBdr>
            <w:top w:val="none" w:sz="0" w:space="0" w:color="auto"/>
            <w:left w:val="none" w:sz="0" w:space="0" w:color="auto"/>
            <w:bottom w:val="none" w:sz="0" w:space="0" w:color="auto"/>
            <w:right w:val="none" w:sz="0" w:space="0" w:color="auto"/>
          </w:divBdr>
        </w:div>
        <w:div w:id="511378855">
          <w:marLeft w:val="1134"/>
          <w:marRight w:val="0"/>
          <w:marTop w:val="60"/>
          <w:marBottom w:val="0"/>
          <w:divBdr>
            <w:top w:val="none" w:sz="0" w:space="0" w:color="auto"/>
            <w:left w:val="none" w:sz="0" w:space="0" w:color="auto"/>
            <w:bottom w:val="none" w:sz="0" w:space="0" w:color="auto"/>
            <w:right w:val="none" w:sz="0" w:space="0" w:color="auto"/>
          </w:divBdr>
        </w:div>
        <w:div w:id="1398698899">
          <w:marLeft w:val="1134"/>
          <w:marRight w:val="0"/>
          <w:marTop w:val="60"/>
          <w:marBottom w:val="0"/>
          <w:divBdr>
            <w:top w:val="none" w:sz="0" w:space="0" w:color="auto"/>
            <w:left w:val="none" w:sz="0" w:space="0" w:color="auto"/>
            <w:bottom w:val="none" w:sz="0" w:space="0" w:color="auto"/>
            <w:right w:val="none" w:sz="0" w:space="0" w:color="auto"/>
          </w:divBdr>
        </w:div>
        <w:div w:id="1830056844">
          <w:marLeft w:val="1134"/>
          <w:marRight w:val="0"/>
          <w:marTop w:val="60"/>
          <w:marBottom w:val="0"/>
          <w:divBdr>
            <w:top w:val="none" w:sz="0" w:space="0" w:color="auto"/>
            <w:left w:val="none" w:sz="0" w:space="0" w:color="auto"/>
            <w:bottom w:val="none" w:sz="0" w:space="0" w:color="auto"/>
            <w:right w:val="none" w:sz="0" w:space="0" w:color="auto"/>
          </w:divBdr>
        </w:div>
        <w:div w:id="1960530825">
          <w:marLeft w:val="0"/>
          <w:marRight w:val="0"/>
          <w:marTop w:val="120"/>
          <w:marBottom w:val="0"/>
          <w:divBdr>
            <w:top w:val="none" w:sz="0" w:space="0" w:color="auto"/>
            <w:left w:val="none" w:sz="0" w:space="0" w:color="auto"/>
            <w:bottom w:val="none" w:sz="0" w:space="0" w:color="auto"/>
            <w:right w:val="none" w:sz="0" w:space="0" w:color="auto"/>
          </w:divBdr>
        </w:div>
        <w:div w:id="1560745925">
          <w:marLeft w:val="1134"/>
          <w:marRight w:val="0"/>
          <w:marTop w:val="60"/>
          <w:marBottom w:val="0"/>
          <w:divBdr>
            <w:top w:val="none" w:sz="0" w:space="0" w:color="auto"/>
            <w:left w:val="none" w:sz="0" w:space="0" w:color="auto"/>
            <w:bottom w:val="none" w:sz="0" w:space="0" w:color="auto"/>
            <w:right w:val="none" w:sz="0" w:space="0" w:color="auto"/>
          </w:divBdr>
        </w:div>
        <w:div w:id="1675766670">
          <w:marLeft w:val="1134"/>
          <w:marRight w:val="0"/>
          <w:marTop w:val="60"/>
          <w:marBottom w:val="0"/>
          <w:divBdr>
            <w:top w:val="none" w:sz="0" w:space="0" w:color="auto"/>
            <w:left w:val="none" w:sz="0" w:space="0" w:color="auto"/>
            <w:bottom w:val="none" w:sz="0" w:space="0" w:color="auto"/>
            <w:right w:val="none" w:sz="0" w:space="0" w:color="auto"/>
          </w:divBdr>
        </w:div>
        <w:div w:id="83964928">
          <w:marLeft w:val="0"/>
          <w:marRight w:val="0"/>
          <w:marTop w:val="120"/>
          <w:marBottom w:val="0"/>
          <w:divBdr>
            <w:top w:val="none" w:sz="0" w:space="0" w:color="auto"/>
            <w:left w:val="none" w:sz="0" w:space="0" w:color="auto"/>
            <w:bottom w:val="none" w:sz="0" w:space="0" w:color="auto"/>
            <w:right w:val="none" w:sz="0" w:space="0" w:color="auto"/>
          </w:divBdr>
        </w:div>
        <w:div w:id="12271577">
          <w:marLeft w:val="1134"/>
          <w:marRight w:val="0"/>
          <w:marTop w:val="60"/>
          <w:marBottom w:val="0"/>
          <w:divBdr>
            <w:top w:val="none" w:sz="0" w:space="0" w:color="auto"/>
            <w:left w:val="none" w:sz="0" w:space="0" w:color="auto"/>
            <w:bottom w:val="none" w:sz="0" w:space="0" w:color="auto"/>
            <w:right w:val="none" w:sz="0" w:space="0" w:color="auto"/>
          </w:divBdr>
        </w:div>
        <w:div w:id="1903830861">
          <w:marLeft w:val="1134"/>
          <w:marRight w:val="0"/>
          <w:marTop w:val="60"/>
          <w:marBottom w:val="0"/>
          <w:divBdr>
            <w:top w:val="none" w:sz="0" w:space="0" w:color="auto"/>
            <w:left w:val="none" w:sz="0" w:space="0" w:color="auto"/>
            <w:bottom w:val="none" w:sz="0" w:space="0" w:color="auto"/>
            <w:right w:val="none" w:sz="0" w:space="0" w:color="auto"/>
          </w:divBdr>
        </w:div>
        <w:div w:id="1002396781">
          <w:marLeft w:val="0"/>
          <w:marRight w:val="0"/>
          <w:marTop w:val="120"/>
          <w:marBottom w:val="0"/>
          <w:divBdr>
            <w:top w:val="none" w:sz="0" w:space="0" w:color="auto"/>
            <w:left w:val="none" w:sz="0" w:space="0" w:color="auto"/>
            <w:bottom w:val="none" w:sz="0" w:space="0" w:color="auto"/>
            <w:right w:val="none" w:sz="0" w:space="0" w:color="auto"/>
          </w:divBdr>
        </w:div>
        <w:div w:id="1689797480">
          <w:marLeft w:val="0"/>
          <w:marRight w:val="0"/>
          <w:marTop w:val="60"/>
          <w:marBottom w:val="0"/>
          <w:divBdr>
            <w:top w:val="none" w:sz="0" w:space="0" w:color="auto"/>
            <w:left w:val="none" w:sz="0" w:space="0" w:color="auto"/>
            <w:bottom w:val="none" w:sz="0" w:space="0" w:color="auto"/>
            <w:right w:val="none" w:sz="0" w:space="0" w:color="auto"/>
          </w:divBdr>
        </w:div>
        <w:div w:id="2123769789">
          <w:marLeft w:val="0"/>
          <w:marRight w:val="0"/>
          <w:marTop w:val="120"/>
          <w:marBottom w:val="0"/>
          <w:divBdr>
            <w:top w:val="none" w:sz="0" w:space="0" w:color="auto"/>
            <w:left w:val="none" w:sz="0" w:space="0" w:color="auto"/>
            <w:bottom w:val="none" w:sz="0" w:space="0" w:color="auto"/>
            <w:right w:val="none" w:sz="0" w:space="0" w:color="auto"/>
          </w:divBdr>
        </w:div>
        <w:div w:id="6374314">
          <w:marLeft w:val="0"/>
          <w:marRight w:val="0"/>
          <w:marTop w:val="120"/>
          <w:marBottom w:val="0"/>
          <w:divBdr>
            <w:top w:val="none" w:sz="0" w:space="0" w:color="auto"/>
            <w:left w:val="none" w:sz="0" w:space="0" w:color="auto"/>
            <w:bottom w:val="none" w:sz="0" w:space="0" w:color="auto"/>
            <w:right w:val="none" w:sz="0" w:space="0" w:color="auto"/>
          </w:divBdr>
        </w:div>
      </w:divsChild>
    </w:div>
    <w:div w:id="1869489252">
      <w:bodyDiv w:val="1"/>
      <w:marLeft w:val="0"/>
      <w:marRight w:val="0"/>
      <w:marTop w:val="0"/>
      <w:marBottom w:val="0"/>
      <w:divBdr>
        <w:top w:val="none" w:sz="0" w:space="0" w:color="auto"/>
        <w:left w:val="none" w:sz="0" w:space="0" w:color="auto"/>
        <w:bottom w:val="none" w:sz="0" w:space="0" w:color="auto"/>
        <w:right w:val="none" w:sz="0" w:space="0" w:color="auto"/>
      </w:divBdr>
    </w:div>
    <w:div w:id="1997411743">
      <w:bodyDiv w:val="1"/>
      <w:marLeft w:val="0"/>
      <w:marRight w:val="0"/>
      <w:marTop w:val="0"/>
      <w:marBottom w:val="0"/>
      <w:divBdr>
        <w:top w:val="none" w:sz="0" w:space="0" w:color="auto"/>
        <w:left w:val="none" w:sz="0" w:space="0" w:color="auto"/>
        <w:bottom w:val="none" w:sz="0" w:space="0" w:color="auto"/>
        <w:right w:val="none" w:sz="0" w:space="0" w:color="auto"/>
      </w:divBdr>
    </w:div>
    <w:div w:id="2027705371">
      <w:bodyDiv w:val="1"/>
      <w:marLeft w:val="0"/>
      <w:marRight w:val="0"/>
      <w:marTop w:val="0"/>
      <w:marBottom w:val="0"/>
      <w:divBdr>
        <w:top w:val="none" w:sz="0" w:space="0" w:color="auto"/>
        <w:left w:val="none" w:sz="0" w:space="0" w:color="auto"/>
        <w:bottom w:val="none" w:sz="0" w:space="0" w:color="auto"/>
        <w:right w:val="none" w:sz="0" w:space="0" w:color="auto"/>
      </w:divBdr>
    </w:div>
    <w:div w:id="2033459271">
      <w:bodyDiv w:val="1"/>
      <w:marLeft w:val="0"/>
      <w:marRight w:val="0"/>
      <w:marTop w:val="0"/>
      <w:marBottom w:val="0"/>
      <w:divBdr>
        <w:top w:val="none" w:sz="0" w:space="0" w:color="auto"/>
        <w:left w:val="none" w:sz="0" w:space="0" w:color="auto"/>
        <w:bottom w:val="none" w:sz="0" w:space="0" w:color="auto"/>
        <w:right w:val="none" w:sz="0" w:space="0" w:color="auto"/>
      </w:divBdr>
    </w:div>
    <w:div w:id="2045398213">
      <w:bodyDiv w:val="1"/>
      <w:marLeft w:val="0"/>
      <w:marRight w:val="0"/>
      <w:marTop w:val="0"/>
      <w:marBottom w:val="0"/>
      <w:divBdr>
        <w:top w:val="none" w:sz="0" w:space="0" w:color="auto"/>
        <w:left w:val="none" w:sz="0" w:space="0" w:color="auto"/>
        <w:bottom w:val="none" w:sz="0" w:space="0" w:color="auto"/>
        <w:right w:val="none" w:sz="0" w:space="0" w:color="auto"/>
      </w:divBdr>
    </w:div>
    <w:div w:id="2055033352">
      <w:bodyDiv w:val="1"/>
      <w:marLeft w:val="0"/>
      <w:marRight w:val="0"/>
      <w:marTop w:val="0"/>
      <w:marBottom w:val="0"/>
      <w:divBdr>
        <w:top w:val="none" w:sz="0" w:space="0" w:color="auto"/>
        <w:left w:val="none" w:sz="0" w:space="0" w:color="auto"/>
        <w:bottom w:val="none" w:sz="0" w:space="0" w:color="auto"/>
        <w:right w:val="none" w:sz="0" w:space="0" w:color="auto"/>
      </w:divBdr>
    </w:div>
    <w:div w:id="2083093857">
      <w:bodyDiv w:val="1"/>
      <w:marLeft w:val="0"/>
      <w:marRight w:val="0"/>
      <w:marTop w:val="0"/>
      <w:marBottom w:val="0"/>
      <w:divBdr>
        <w:top w:val="none" w:sz="0" w:space="0" w:color="auto"/>
        <w:left w:val="none" w:sz="0" w:space="0" w:color="auto"/>
        <w:bottom w:val="none" w:sz="0" w:space="0" w:color="auto"/>
        <w:right w:val="none" w:sz="0" w:space="0" w:color="auto"/>
      </w:divBdr>
    </w:div>
    <w:div w:id="2100247329">
      <w:bodyDiv w:val="1"/>
      <w:marLeft w:val="0"/>
      <w:marRight w:val="0"/>
      <w:marTop w:val="0"/>
      <w:marBottom w:val="0"/>
      <w:divBdr>
        <w:top w:val="none" w:sz="0" w:space="0" w:color="auto"/>
        <w:left w:val="none" w:sz="0" w:space="0" w:color="auto"/>
        <w:bottom w:val="none" w:sz="0" w:space="0" w:color="auto"/>
        <w:right w:val="none" w:sz="0" w:space="0" w:color="auto"/>
      </w:divBdr>
    </w:div>
    <w:div w:id="2128348127">
      <w:bodyDiv w:val="1"/>
      <w:marLeft w:val="0"/>
      <w:marRight w:val="0"/>
      <w:marTop w:val="0"/>
      <w:marBottom w:val="0"/>
      <w:divBdr>
        <w:top w:val="none" w:sz="0" w:space="0" w:color="auto"/>
        <w:left w:val="none" w:sz="0" w:space="0" w:color="auto"/>
        <w:bottom w:val="none" w:sz="0" w:space="0" w:color="auto"/>
        <w:right w:val="none" w:sz="0" w:space="0" w:color="auto"/>
      </w:divBdr>
    </w:div>
    <w:div w:id="2144929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A8E30F-B9CC-4856-A182-7A4ADB156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3070</Words>
  <Characters>17504</Characters>
  <Application>Microsoft Office Word</Application>
  <DocSecurity>0</DocSecurity>
  <Lines>145</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2018-06-07T06:48:00Z</dcterms:created>
  <dcterms:modified xsi:type="dcterms:W3CDTF">2018-06-07T06:48:00Z</dcterms:modified>
</cp:coreProperties>
</file>