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FD692D">
        <w:t>48</w:t>
      </w:r>
      <w:r w:rsidR="00ED75E2">
        <w:t>/17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ED75E2" w:rsidRPr="00ED75E2" w:rsidRDefault="00ED75E2" w:rsidP="00ED75E2">
      <w:pPr>
        <w:tabs>
          <w:tab w:val="right" w:pos="9026"/>
        </w:tabs>
        <w:spacing w:line="276" w:lineRule="auto"/>
        <w:jc w:val="left"/>
        <w:rPr>
          <w:color w:val="000000"/>
          <w:szCs w:val="26"/>
        </w:rPr>
      </w:pPr>
      <w:r w:rsidRPr="00ED75E2">
        <w:rPr>
          <w:b/>
          <w:color w:val="000000"/>
          <w:szCs w:val="26"/>
        </w:rPr>
        <w:t>BLACK SASH TRUST</w:t>
      </w:r>
      <w:r w:rsidRPr="00ED75E2">
        <w:rPr>
          <w:b/>
          <w:color w:val="000000"/>
          <w:szCs w:val="26"/>
        </w:rPr>
        <w:tab/>
      </w:r>
      <w:r w:rsidRPr="00ED75E2">
        <w:rPr>
          <w:color w:val="000000"/>
          <w:szCs w:val="26"/>
        </w:rPr>
        <w:t>Applicant</w:t>
      </w:r>
    </w:p>
    <w:p w:rsidR="00ED75E2" w:rsidRPr="00ED75E2" w:rsidRDefault="00ED75E2" w:rsidP="00ED75E2">
      <w:pPr>
        <w:tabs>
          <w:tab w:val="right" w:pos="9026"/>
        </w:tabs>
        <w:spacing w:line="276" w:lineRule="auto"/>
        <w:jc w:val="left"/>
        <w:rPr>
          <w:color w:val="000000"/>
          <w:szCs w:val="26"/>
        </w:rPr>
      </w:pPr>
    </w:p>
    <w:p w:rsidR="00ED75E2" w:rsidRPr="00ED75E2" w:rsidRDefault="00ED75E2" w:rsidP="00ED75E2">
      <w:pPr>
        <w:tabs>
          <w:tab w:val="right" w:pos="9070"/>
        </w:tabs>
        <w:spacing w:line="276" w:lineRule="auto"/>
        <w:jc w:val="left"/>
        <w:rPr>
          <w:color w:val="000000"/>
          <w:szCs w:val="26"/>
        </w:rPr>
      </w:pPr>
      <w:r w:rsidRPr="00ED75E2">
        <w:rPr>
          <w:b/>
          <w:color w:val="000000"/>
          <w:szCs w:val="26"/>
        </w:rPr>
        <w:t>FREEDOM UNDER LAW</w:t>
      </w:r>
      <w:r w:rsidR="00CB1951">
        <w:rPr>
          <w:b/>
          <w:color w:val="000000"/>
          <w:szCs w:val="26"/>
        </w:rPr>
        <w:t xml:space="preserve"> NPC</w:t>
      </w:r>
      <w:r w:rsidRPr="00ED75E2">
        <w:rPr>
          <w:b/>
          <w:color w:val="000000"/>
          <w:szCs w:val="26"/>
        </w:rPr>
        <w:tab/>
      </w:r>
      <w:r w:rsidRPr="00ED75E2">
        <w:rPr>
          <w:color w:val="000000"/>
          <w:szCs w:val="26"/>
        </w:rPr>
        <w:t>Intervening Party</w:t>
      </w:r>
    </w:p>
    <w:p w:rsidR="00ED75E2" w:rsidRPr="00ED75E2" w:rsidRDefault="00ED75E2" w:rsidP="00ED75E2">
      <w:pPr>
        <w:tabs>
          <w:tab w:val="right" w:pos="9026"/>
        </w:tabs>
        <w:spacing w:line="276" w:lineRule="auto"/>
        <w:jc w:val="left"/>
        <w:rPr>
          <w:color w:val="000000"/>
          <w:szCs w:val="26"/>
        </w:rPr>
      </w:pPr>
    </w:p>
    <w:p w:rsidR="00ED75E2" w:rsidRPr="00ED75E2" w:rsidRDefault="00ED75E2" w:rsidP="00ED75E2">
      <w:pPr>
        <w:tabs>
          <w:tab w:val="right" w:pos="9026"/>
        </w:tabs>
        <w:spacing w:line="276" w:lineRule="auto"/>
        <w:jc w:val="left"/>
        <w:rPr>
          <w:color w:val="000000"/>
          <w:szCs w:val="26"/>
        </w:rPr>
      </w:pPr>
      <w:r w:rsidRPr="00ED75E2">
        <w:rPr>
          <w:color w:val="000000"/>
          <w:szCs w:val="26"/>
        </w:rPr>
        <w:t>and</w:t>
      </w:r>
    </w:p>
    <w:p w:rsidR="00ED75E2" w:rsidRPr="00ED75E2" w:rsidRDefault="00ED75E2" w:rsidP="00ED75E2">
      <w:pPr>
        <w:tabs>
          <w:tab w:val="right" w:pos="9026"/>
        </w:tabs>
        <w:spacing w:line="276" w:lineRule="auto"/>
        <w:jc w:val="left"/>
        <w:rPr>
          <w:color w:val="000000"/>
          <w:szCs w:val="26"/>
        </w:rPr>
      </w:pPr>
    </w:p>
    <w:p w:rsidR="00ED75E2" w:rsidRPr="00ED75E2" w:rsidRDefault="00ED75E2" w:rsidP="00ED75E2">
      <w:pPr>
        <w:tabs>
          <w:tab w:val="right" w:pos="9026"/>
        </w:tabs>
        <w:spacing w:line="276" w:lineRule="auto"/>
        <w:jc w:val="left"/>
        <w:rPr>
          <w:color w:val="000000"/>
          <w:szCs w:val="26"/>
        </w:rPr>
      </w:pPr>
      <w:r w:rsidRPr="00ED75E2">
        <w:rPr>
          <w:b/>
          <w:color w:val="000000"/>
          <w:szCs w:val="26"/>
        </w:rPr>
        <w:t>MINISTER OF SOCIAL DEVELOPMENT</w:t>
      </w:r>
      <w:r w:rsidRPr="00ED75E2">
        <w:rPr>
          <w:b/>
          <w:color w:val="000000"/>
          <w:szCs w:val="26"/>
        </w:rPr>
        <w:tab/>
      </w:r>
      <w:r w:rsidRPr="00ED75E2">
        <w:rPr>
          <w:color w:val="000000"/>
          <w:szCs w:val="26"/>
        </w:rPr>
        <w:t>First Respondent</w:t>
      </w:r>
    </w:p>
    <w:p w:rsidR="00ED75E2" w:rsidRPr="00ED75E2" w:rsidRDefault="00ED75E2" w:rsidP="00ED75E2">
      <w:pPr>
        <w:tabs>
          <w:tab w:val="right" w:pos="9026"/>
        </w:tabs>
        <w:spacing w:line="276" w:lineRule="auto"/>
        <w:jc w:val="left"/>
        <w:rPr>
          <w:b/>
          <w:color w:val="000000"/>
          <w:szCs w:val="26"/>
        </w:rPr>
      </w:pPr>
    </w:p>
    <w:p w:rsidR="00ED75E2" w:rsidRPr="00ED75E2" w:rsidRDefault="00ED75E2" w:rsidP="00ED75E2">
      <w:pPr>
        <w:tabs>
          <w:tab w:val="right" w:pos="9026"/>
        </w:tabs>
        <w:spacing w:line="276" w:lineRule="auto"/>
        <w:jc w:val="left"/>
        <w:rPr>
          <w:b/>
          <w:color w:val="000000"/>
          <w:szCs w:val="26"/>
        </w:rPr>
      </w:pPr>
      <w:r w:rsidRPr="00ED75E2">
        <w:rPr>
          <w:b/>
          <w:color w:val="000000"/>
          <w:szCs w:val="26"/>
        </w:rPr>
        <w:t xml:space="preserve">CHIEF EXECUTIVE OFFICER OF THE </w:t>
      </w:r>
    </w:p>
    <w:p w:rsidR="00ED75E2" w:rsidRPr="00ED75E2" w:rsidRDefault="00ED75E2" w:rsidP="00ED75E2">
      <w:pPr>
        <w:tabs>
          <w:tab w:val="right" w:pos="9026"/>
        </w:tabs>
        <w:spacing w:line="276" w:lineRule="auto"/>
        <w:jc w:val="left"/>
        <w:rPr>
          <w:color w:val="000000"/>
          <w:szCs w:val="26"/>
        </w:rPr>
      </w:pPr>
      <w:r w:rsidRPr="00ED75E2">
        <w:rPr>
          <w:b/>
          <w:color w:val="000000"/>
          <w:szCs w:val="26"/>
        </w:rPr>
        <w:t>SOUTH AFRICAN SOCIAL SECURITY AGENCY</w:t>
      </w:r>
      <w:r w:rsidRPr="00ED75E2">
        <w:rPr>
          <w:b/>
          <w:color w:val="000000"/>
          <w:szCs w:val="26"/>
        </w:rPr>
        <w:tab/>
      </w:r>
      <w:r w:rsidRPr="00ED75E2">
        <w:rPr>
          <w:color w:val="000000"/>
          <w:szCs w:val="26"/>
        </w:rPr>
        <w:t>Second Respondent</w:t>
      </w:r>
    </w:p>
    <w:p w:rsidR="00ED75E2" w:rsidRPr="00ED75E2" w:rsidRDefault="00ED75E2" w:rsidP="00ED75E2">
      <w:pPr>
        <w:tabs>
          <w:tab w:val="right" w:pos="9026"/>
        </w:tabs>
        <w:spacing w:line="276" w:lineRule="auto"/>
        <w:jc w:val="left"/>
        <w:rPr>
          <w:b/>
          <w:color w:val="000000"/>
          <w:szCs w:val="26"/>
        </w:rPr>
      </w:pPr>
    </w:p>
    <w:p w:rsidR="00ED75E2" w:rsidRPr="00ED75E2" w:rsidRDefault="00ED75E2" w:rsidP="00ED75E2">
      <w:pPr>
        <w:tabs>
          <w:tab w:val="right" w:pos="9026"/>
        </w:tabs>
        <w:spacing w:line="276" w:lineRule="auto"/>
        <w:jc w:val="left"/>
        <w:rPr>
          <w:color w:val="000000"/>
          <w:szCs w:val="26"/>
        </w:rPr>
      </w:pPr>
      <w:r w:rsidRPr="00ED75E2">
        <w:rPr>
          <w:b/>
          <w:color w:val="000000"/>
          <w:szCs w:val="26"/>
        </w:rPr>
        <w:t>SOUTH AFRICAN SOCIAL SECURITY AGENCY</w:t>
      </w:r>
      <w:r w:rsidRPr="00ED75E2">
        <w:rPr>
          <w:color w:val="000000"/>
          <w:szCs w:val="26"/>
        </w:rPr>
        <w:tab/>
        <w:t>Third Respondent</w:t>
      </w:r>
    </w:p>
    <w:p w:rsidR="00ED75E2" w:rsidRPr="00ED75E2" w:rsidRDefault="00ED75E2" w:rsidP="00ED75E2">
      <w:pPr>
        <w:tabs>
          <w:tab w:val="right" w:pos="9026"/>
        </w:tabs>
        <w:spacing w:line="276" w:lineRule="auto"/>
        <w:jc w:val="left"/>
        <w:rPr>
          <w:b/>
          <w:color w:val="000000"/>
          <w:szCs w:val="26"/>
        </w:rPr>
      </w:pPr>
    </w:p>
    <w:p w:rsidR="00ED75E2" w:rsidRPr="00ED75E2" w:rsidRDefault="00ED75E2" w:rsidP="00ED75E2">
      <w:pPr>
        <w:tabs>
          <w:tab w:val="right" w:pos="9026"/>
        </w:tabs>
        <w:spacing w:line="276" w:lineRule="auto"/>
        <w:jc w:val="left"/>
        <w:rPr>
          <w:color w:val="000000"/>
          <w:szCs w:val="26"/>
        </w:rPr>
      </w:pPr>
      <w:r w:rsidRPr="00ED75E2">
        <w:rPr>
          <w:b/>
          <w:color w:val="000000"/>
          <w:szCs w:val="26"/>
        </w:rPr>
        <w:t>MINISTER OF FINANCE</w:t>
      </w:r>
      <w:r w:rsidRPr="00ED75E2">
        <w:rPr>
          <w:color w:val="000000"/>
          <w:szCs w:val="26"/>
        </w:rPr>
        <w:tab/>
        <w:t>Fourth Respondent</w:t>
      </w:r>
    </w:p>
    <w:p w:rsidR="00ED75E2" w:rsidRPr="00ED75E2" w:rsidRDefault="00ED75E2" w:rsidP="00ED75E2">
      <w:pPr>
        <w:tabs>
          <w:tab w:val="right" w:pos="9026"/>
        </w:tabs>
        <w:spacing w:line="276" w:lineRule="auto"/>
        <w:jc w:val="left"/>
        <w:rPr>
          <w:b/>
          <w:color w:val="000000"/>
          <w:szCs w:val="26"/>
        </w:rPr>
      </w:pPr>
    </w:p>
    <w:p w:rsidR="00ED75E2" w:rsidRPr="00ED75E2" w:rsidRDefault="00ED75E2" w:rsidP="00ED75E2">
      <w:pPr>
        <w:tabs>
          <w:tab w:val="right" w:pos="9026"/>
        </w:tabs>
        <w:spacing w:line="276" w:lineRule="auto"/>
        <w:jc w:val="left"/>
        <w:rPr>
          <w:color w:val="000000"/>
          <w:szCs w:val="26"/>
        </w:rPr>
      </w:pPr>
      <w:r w:rsidRPr="00ED75E2">
        <w:rPr>
          <w:b/>
          <w:color w:val="000000"/>
          <w:szCs w:val="26"/>
        </w:rPr>
        <w:t>NATIONAL TREASURY</w:t>
      </w:r>
      <w:r w:rsidRPr="00ED75E2">
        <w:rPr>
          <w:color w:val="000000"/>
          <w:szCs w:val="26"/>
        </w:rPr>
        <w:tab/>
        <w:t>Fifth Respondent</w:t>
      </w:r>
    </w:p>
    <w:p w:rsidR="00ED75E2" w:rsidRPr="00ED75E2" w:rsidRDefault="00ED75E2" w:rsidP="00ED75E2">
      <w:pPr>
        <w:tabs>
          <w:tab w:val="right" w:pos="9026"/>
        </w:tabs>
        <w:spacing w:line="276" w:lineRule="auto"/>
        <w:jc w:val="left"/>
        <w:rPr>
          <w:b/>
          <w:color w:val="000000"/>
          <w:szCs w:val="26"/>
        </w:rPr>
      </w:pPr>
    </w:p>
    <w:p w:rsidR="00ED75E2" w:rsidRPr="00ED75E2" w:rsidRDefault="00ED75E2" w:rsidP="00ED75E2">
      <w:pPr>
        <w:tabs>
          <w:tab w:val="right" w:pos="9026"/>
        </w:tabs>
        <w:spacing w:line="276" w:lineRule="auto"/>
        <w:jc w:val="left"/>
        <w:rPr>
          <w:color w:val="000000"/>
          <w:szCs w:val="26"/>
        </w:rPr>
      </w:pPr>
      <w:r w:rsidRPr="00ED75E2">
        <w:rPr>
          <w:b/>
          <w:color w:val="000000"/>
          <w:szCs w:val="26"/>
        </w:rPr>
        <w:t>CASH PAYMASTER SERVICES (PTY) LIMITED</w:t>
      </w:r>
      <w:r w:rsidRPr="00ED75E2">
        <w:rPr>
          <w:color w:val="000000"/>
          <w:szCs w:val="26"/>
        </w:rPr>
        <w:tab/>
        <w:t>Sixth Respondent</w:t>
      </w:r>
    </w:p>
    <w:p w:rsidR="00ED75E2" w:rsidRPr="00ED75E2" w:rsidRDefault="00ED75E2" w:rsidP="00ED75E2">
      <w:pPr>
        <w:tabs>
          <w:tab w:val="right" w:pos="9026"/>
        </w:tabs>
        <w:spacing w:line="276" w:lineRule="auto"/>
        <w:jc w:val="left"/>
        <w:rPr>
          <w:b/>
          <w:color w:val="000000"/>
          <w:szCs w:val="26"/>
        </w:rPr>
      </w:pPr>
    </w:p>
    <w:p w:rsidR="00ED75E2" w:rsidRPr="00ED75E2" w:rsidRDefault="00ED75E2" w:rsidP="00ED75E2">
      <w:pPr>
        <w:tabs>
          <w:tab w:val="right" w:pos="9026"/>
        </w:tabs>
        <w:spacing w:line="276" w:lineRule="auto"/>
        <w:jc w:val="left"/>
        <w:rPr>
          <w:color w:val="000000"/>
          <w:szCs w:val="26"/>
        </w:rPr>
      </w:pPr>
      <w:r w:rsidRPr="00ED75E2">
        <w:rPr>
          <w:b/>
          <w:color w:val="000000"/>
          <w:szCs w:val="26"/>
        </w:rPr>
        <w:t>INFORMATION REGULATOR</w:t>
      </w:r>
      <w:r w:rsidRPr="00ED75E2">
        <w:rPr>
          <w:color w:val="000000"/>
          <w:szCs w:val="26"/>
        </w:rPr>
        <w:tab/>
        <w:t>Seventh Respondent</w:t>
      </w:r>
    </w:p>
    <w:p w:rsidR="003B5B29" w:rsidRDefault="003B5B29" w:rsidP="003B5B29">
      <w:pPr>
        <w:tabs>
          <w:tab w:val="right" w:pos="9029"/>
        </w:tabs>
        <w:spacing w:line="240" w:lineRule="auto"/>
        <w:rPr>
          <w:b/>
          <w:szCs w:val="26"/>
        </w:rPr>
      </w:pPr>
    </w:p>
    <w:p w:rsidR="002F1C39" w:rsidRPr="009342C2" w:rsidRDefault="002F1C39" w:rsidP="002F1C39">
      <w:pPr>
        <w:tabs>
          <w:tab w:val="right" w:pos="9029"/>
        </w:tabs>
        <w:spacing w:line="240" w:lineRule="auto"/>
        <w:rPr>
          <w:b/>
          <w:szCs w:val="26"/>
        </w:rPr>
      </w:pPr>
      <w:r w:rsidRPr="009342C2">
        <w:rPr>
          <w:b/>
          <w:szCs w:val="26"/>
        </w:rPr>
        <w:t xml:space="preserve">BATHABILE </w:t>
      </w:r>
      <w:r w:rsidR="00F757C4">
        <w:rPr>
          <w:b/>
          <w:szCs w:val="26"/>
        </w:rPr>
        <w:t xml:space="preserve">OLIVE </w:t>
      </w:r>
      <w:r w:rsidRPr="009342C2">
        <w:rPr>
          <w:b/>
          <w:szCs w:val="26"/>
        </w:rPr>
        <w:t>DLAMINI</w:t>
      </w:r>
      <w:r w:rsidRPr="009342C2">
        <w:rPr>
          <w:b/>
          <w:szCs w:val="26"/>
        </w:rPr>
        <w:tab/>
      </w:r>
      <w:r w:rsidRPr="007A038C">
        <w:rPr>
          <w:szCs w:val="26"/>
        </w:rPr>
        <w:t>Eighth Respondent</w:t>
      </w:r>
    </w:p>
    <w:p w:rsidR="002F1C39" w:rsidRDefault="002F1C39" w:rsidP="002F1C39">
      <w:pPr>
        <w:tabs>
          <w:tab w:val="right" w:pos="9029"/>
        </w:tabs>
        <w:spacing w:line="240" w:lineRule="auto"/>
        <w:rPr>
          <w:szCs w:val="26"/>
        </w:rPr>
      </w:pPr>
      <w:r w:rsidRPr="005B5461">
        <w:rPr>
          <w:szCs w:val="26"/>
        </w:rPr>
        <w:tab/>
      </w:r>
    </w:p>
    <w:p w:rsidR="002F1C39" w:rsidRDefault="002F1C39" w:rsidP="002F1C39">
      <w:pPr>
        <w:tabs>
          <w:tab w:val="right" w:pos="9029"/>
        </w:tabs>
        <w:spacing w:line="240" w:lineRule="auto"/>
        <w:rPr>
          <w:szCs w:val="26"/>
        </w:rPr>
      </w:pPr>
      <w:r>
        <w:rPr>
          <w:szCs w:val="26"/>
        </w:rPr>
        <w:t>and</w:t>
      </w:r>
    </w:p>
    <w:p w:rsidR="002F1C39" w:rsidRDefault="002F1C39" w:rsidP="002F1C39">
      <w:pPr>
        <w:tabs>
          <w:tab w:val="right" w:pos="9029"/>
        </w:tabs>
        <w:spacing w:line="240" w:lineRule="auto"/>
        <w:rPr>
          <w:szCs w:val="26"/>
        </w:rPr>
      </w:pPr>
    </w:p>
    <w:p w:rsidR="002F1C39" w:rsidRDefault="002F1C39" w:rsidP="002F1C39">
      <w:pPr>
        <w:tabs>
          <w:tab w:val="right" w:pos="9029"/>
        </w:tabs>
        <w:spacing w:line="240" w:lineRule="auto"/>
        <w:rPr>
          <w:szCs w:val="26"/>
        </w:rPr>
      </w:pPr>
      <w:r>
        <w:rPr>
          <w:b/>
          <w:szCs w:val="26"/>
        </w:rPr>
        <w:t>CORRUPTION WATCH (NPC) RF</w:t>
      </w:r>
      <w:r>
        <w:rPr>
          <w:b/>
          <w:szCs w:val="26"/>
        </w:rPr>
        <w:tab/>
      </w:r>
      <w:r>
        <w:rPr>
          <w:szCs w:val="26"/>
        </w:rPr>
        <w:t>First Amicus Curiae</w:t>
      </w:r>
    </w:p>
    <w:p w:rsidR="002F1C39" w:rsidRDefault="002F1C39" w:rsidP="002F1C39">
      <w:pPr>
        <w:tabs>
          <w:tab w:val="right" w:pos="9029"/>
        </w:tabs>
        <w:spacing w:line="240" w:lineRule="auto"/>
        <w:rPr>
          <w:szCs w:val="26"/>
        </w:rPr>
      </w:pPr>
    </w:p>
    <w:p w:rsidR="002F1C39" w:rsidRPr="007A038C" w:rsidRDefault="002F1C39" w:rsidP="002F1C39">
      <w:pPr>
        <w:tabs>
          <w:tab w:val="right" w:pos="9029"/>
        </w:tabs>
        <w:spacing w:line="240" w:lineRule="auto"/>
        <w:rPr>
          <w:b/>
          <w:szCs w:val="26"/>
        </w:rPr>
      </w:pPr>
      <w:r>
        <w:rPr>
          <w:b/>
          <w:szCs w:val="26"/>
        </w:rPr>
        <w:t>SOUTH AFRICAN POST OFFICE SOC LIMITED</w:t>
      </w:r>
      <w:r>
        <w:rPr>
          <w:b/>
          <w:szCs w:val="26"/>
        </w:rPr>
        <w:tab/>
      </w:r>
      <w:r w:rsidRPr="00A14DCC">
        <w:rPr>
          <w:szCs w:val="26"/>
        </w:rPr>
        <w:t>Second Amicus Curiae</w:t>
      </w:r>
    </w:p>
    <w:p w:rsidR="002F1C39" w:rsidRPr="005B5461" w:rsidRDefault="002F1C39" w:rsidP="003B5B29">
      <w:pPr>
        <w:tabs>
          <w:tab w:val="right" w:pos="9029"/>
        </w:tabs>
        <w:spacing w:line="240" w:lineRule="auto"/>
        <w:rPr>
          <w:b/>
          <w:szCs w:val="26"/>
        </w:rPr>
      </w:pPr>
    </w:p>
    <w:p w:rsidR="005B5461" w:rsidRPr="00EE02D5" w:rsidRDefault="005B5461" w:rsidP="005B5461">
      <w:pPr>
        <w:tabs>
          <w:tab w:val="right" w:pos="9029"/>
        </w:tabs>
        <w:spacing w:line="240" w:lineRule="auto"/>
        <w:rPr>
          <w:szCs w:val="26"/>
        </w:rPr>
      </w:pPr>
      <w:r w:rsidRPr="005B5461">
        <w:rPr>
          <w:szCs w:val="26"/>
        </w:rPr>
        <w:tab/>
      </w:r>
    </w:p>
    <w:p w:rsidR="003A18CF" w:rsidRPr="009C3888" w:rsidRDefault="003A18CF" w:rsidP="003A18CF">
      <w:pPr>
        <w:spacing w:line="240" w:lineRule="auto"/>
      </w:pPr>
    </w:p>
    <w:p w:rsidR="003A18CF" w:rsidRPr="00F05BBD" w:rsidRDefault="003A18CF" w:rsidP="005B5461">
      <w:pPr>
        <w:spacing w:line="240" w:lineRule="auto"/>
        <w:ind w:left="2160" w:hanging="2160"/>
      </w:pPr>
      <w:r w:rsidRPr="008B40EE">
        <w:rPr>
          <w:b/>
        </w:rPr>
        <w:lastRenderedPageBreak/>
        <w:t>Neutral citation:</w:t>
      </w:r>
      <w:r>
        <w:tab/>
        <w:t>[</w:t>
      </w:r>
      <w:r w:rsidR="0052260D">
        <w:t>2017</w:t>
      </w:r>
      <w:r>
        <w:t xml:space="preserve">] ZACC </w:t>
      </w:r>
      <w:r w:rsidR="00BD342C">
        <w:t>20</w:t>
      </w:r>
    </w:p>
    <w:p w:rsidR="003A18CF" w:rsidRDefault="003A18CF" w:rsidP="003A18CF">
      <w:pPr>
        <w:spacing w:line="240" w:lineRule="auto"/>
      </w:pPr>
    </w:p>
    <w:p w:rsidR="003A18CF" w:rsidRDefault="003A18CF" w:rsidP="003A18CF">
      <w:pPr>
        <w:spacing w:line="240" w:lineRule="auto"/>
        <w:ind w:left="2160" w:hanging="2160"/>
      </w:pPr>
      <w:r w:rsidRPr="008B40EE">
        <w:rPr>
          <w:b/>
        </w:rPr>
        <w:t>Coram:</w:t>
      </w:r>
      <w:r>
        <w:tab/>
      </w:r>
      <w:r w:rsidR="00FD692D" w:rsidRPr="0063247C">
        <w:t xml:space="preserve">Mogoeng CJ, </w:t>
      </w:r>
      <w:r w:rsidR="005B5461" w:rsidRPr="0063247C">
        <w:rPr>
          <w:szCs w:val="26"/>
        </w:rPr>
        <w:t>Nkabinde</w:t>
      </w:r>
      <w:r w:rsidR="00366550" w:rsidRPr="0063247C">
        <w:rPr>
          <w:szCs w:val="26"/>
        </w:rPr>
        <w:t xml:space="preserve"> </w:t>
      </w:r>
      <w:r w:rsidR="005B5461" w:rsidRPr="0063247C">
        <w:rPr>
          <w:szCs w:val="26"/>
        </w:rPr>
        <w:t>A</w:t>
      </w:r>
      <w:r w:rsidR="00FD692D" w:rsidRPr="0063247C">
        <w:rPr>
          <w:szCs w:val="26"/>
        </w:rPr>
        <w:t>D</w:t>
      </w:r>
      <w:r w:rsidR="005B5461" w:rsidRPr="0063247C">
        <w:rPr>
          <w:szCs w:val="26"/>
        </w:rPr>
        <w:t>CJ</w:t>
      </w:r>
      <w:r w:rsidR="00366550" w:rsidRPr="0063247C">
        <w:rPr>
          <w:szCs w:val="26"/>
        </w:rPr>
        <w:t>, Cameron J, Froneman J, Jafta J, Khampepe J,</w:t>
      </w:r>
      <w:r w:rsidR="00FD692D" w:rsidRPr="0063247C">
        <w:rPr>
          <w:szCs w:val="26"/>
        </w:rPr>
        <w:t xml:space="preserve"> </w:t>
      </w:r>
      <w:r w:rsidR="00366550" w:rsidRPr="0063247C">
        <w:rPr>
          <w:szCs w:val="26"/>
        </w:rPr>
        <w:t xml:space="preserve">Madlanga J, </w:t>
      </w:r>
      <w:r w:rsidR="005B5461" w:rsidRPr="0063247C">
        <w:rPr>
          <w:szCs w:val="26"/>
        </w:rPr>
        <w:t>Mhlantla</w:t>
      </w:r>
      <w:r w:rsidR="00366550" w:rsidRPr="0063247C">
        <w:rPr>
          <w:szCs w:val="26"/>
        </w:rPr>
        <w:t xml:space="preserve"> J</w:t>
      </w:r>
      <w:r w:rsidR="00FD692D" w:rsidRPr="0063247C">
        <w:rPr>
          <w:szCs w:val="26"/>
        </w:rPr>
        <w:t>,</w:t>
      </w:r>
      <w:r w:rsidR="00366550" w:rsidRPr="0063247C">
        <w:rPr>
          <w:szCs w:val="26"/>
        </w:rPr>
        <w:t xml:space="preserve"> </w:t>
      </w:r>
      <w:r w:rsidR="00432927" w:rsidRPr="0063247C">
        <w:rPr>
          <w:szCs w:val="26"/>
        </w:rPr>
        <w:t xml:space="preserve">Mojapelo AJ, </w:t>
      </w:r>
      <w:r w:rsidR="00FD692D" w:rsidRPr="0063247C">
        <w:rPr>
          <w:szCs w:val="26"/>
        </w:rPr>
        <w:t xml:space="preserve">Pretorius AJ, </w:t>
      </w:r>
      <w:r w:rsidR="00366550" w:rsidRPr="0063247C">
        <w:rPr>
          <w:szCs w:val="26"/>
        </w:rPr>
        <w:t>and Zondo J</w:t>
      </w:r>
    </w:p>
    <w:p w:rsidR="003A18CF" w:rsidRDefault="003A18CF" w:rsidP="003A18CF">
      <w:pPr>
        <w:spacing w:line="240" w:lineRule="auto"/>
      </w:pPr>
    </w:p>
    <w:p w:rsidR="00ED75E2" w:rsidRDefault="002F1C39" w:rsidP="002F1C39">
      <w:pPr>
        <w:spacing w:line="240" w:lineRule="auto"/>
        <w:ind w:left="2160" w:hanging="2160"/>
      </w:pPr>
      <w:r>
        <w:rPr>
          <w:b/>
        </w:rPr>
        <w:t>Judgment</w:t>
      </w:r>
      <w:r w:rsidR="00AE7143" w:rsidRPr="008B40EE">
        <w:rPr>
          <w:b/>
        </w:rPr>
        <w:t>:</w:t>
      </w:r>
      <w:r w:rsidR="00AE7143">
        <w:tab/>
      </w:r>
      <w:r w:rsidR="00FD692D">
        <w:t>Froneman J</w:t>
      </w:r>
      <w:r w:rsidR="00AE7143">
        <w:t xml:space="preserve"> </w:t>
      </w:r>
      <w:r w:rsidR="00432927">
        <w:t>(</w:t>
      </w:r>
      <w:r>
        <w:t>unanimous</w:t>
      </w:r>
      <w:r w:rsidR="00FD692D">
        <w:t>)</w:t>
      </w:r>
    </w:p>
    <w:p w:rsidR="00ED75E2" w:rsidRDefault="00ED75E2" w:rsidP="0044313C">
      <w:pPr>
        <w:spacing w:line="240" w:lineRule="auto"/>
        <w:ind w:left="2160" w:hanging="2160"/>
        <w:rPr>
          <w:b/>
        </w:rPr>
      </w:pPr>
    </w:p>
    <w:p w:rsidR="003A18CF" w:rsidRPr="00A97C7D" w:rsidRDefault="003A18CF" w:rsidP="0044313C">
      <w:pPr>
        <w:spacing w:line="240" w:lineRule="auto"/>
        <w:ind w:left="2160" w:hanging="2160"/>
      </w:pPr>
      <w:r w:rsidRPr="008B40EE">
        <w:rPr>
          <w:b/>
        </w:rPr>
        <w:t>Decided on:</w:t>
      </w:r>
      <w:r>
        <w:tab/>
      </w:r>
      <w:r w:rsidR="00432927" w:rsidRPr="00A97C7D">
        <w:t>15 June 2017</w:t>
      </w:r>
    </w:p>
    <w:p w:rsidR="004110F6" w:rsidRPr="00A97C7D" w:rsidRDefault="004110F6" w:rsidP="003A18CF">
      <w:pPr>
        <w:spacing w:line="240" w:lineRule="auto"/>
      </w:pPr>
    </w:p>
    <w:p w:rsidR="004D02BA" w:rsidRPr="00E965C5" w:rsidRDefault="004D02BA" w:rsidP="00FD692D">
      <w:pPr>
        <w:spacing w:line="240" w:lineRule="auto"/>
        <w:ind w:left="2160" w:hanging="2160"/>
      </w:pPr>
      <w:r w:rsidRPr="00A97C7D">
        <w:rPr>
          <w:b/>
        </w:rPr>
        <w:t>Summary:</w:t>
      </w:r>
      <w:r w:rsidRPr="00A97C7D">
        <w:rPr>
          <w:b/>
        </w:rPr>
        <w:tab/>
      </w:r>
      <w:r w:rsidR="00A14DCC" w:rsidRPr="00A97C7D">
        <w:t xml:space="preserve">Joinder — </w:t>
      </w:r>
      <w:r w:rsidR="00DF35DC">
        <w:t>p</w:t>
      </w:r>
      <w:r w:rsidR="00E965C5" w:rsidRPr="00A97C7D">
        <w:t>ersona</w:t>
      </w:r>
      <w:r w:rsidR="00A14DCC" w:rsidRPr="00A97C7D">
        <w:t>l liability of state officials —</w:t>
      </w:r>
      <w:r w:rsidR="00E965C5" w:rsidRPr="00A97C7D">
        <w:t xml:space="preserve"> </w:t>
      </w:r>
      <w:r w:rsidR="00DF35DC">
        <w:t>d</w:t>
      </w:r>
      <w:r w:rsidR="00E965C5" w:rsidRPr="00A97C7D">
        <w:t>isputed facts on</w:t>
      </w:r>
      <w:r w:rsidR="00A14DCC" w:rsidRPr="00A97C7D">
        <w:t xml:space="preserve"> affidavit before this Court —</w:t>
      </w:r>
      <w:r w:rsidR="002F1C39" w:rsidRPr="00A97C7D">
        <w:t xml:space="preserve"> </w:t>
      </w:r>
      <w:r w:rsidR="00DF35DC">
        <w:t>s</w:t>
      </w:r>
      <w:r w:rsidR="00E965C5" w:rsidRPr="00A97C7D">
        <w:t>ection 38 of the Superior Courts Act</w:t>
      </w:r>
    </w:p>
    <w:p w:rsidR="004D02BA" w:rsidRDefault="004D02BA" w:rsidP="004D02BA">
      <w:pPr>
        <w:spacing w:line="240" w:lineRule="auto"/>
      </w:pPr>
    </w:p>
    <w:p w:rsidR="004D02BA" w:rsidRDefault="004D02BA" w:rsidP="004D02BA">
      <w:pPr>
        <w:spacing w:line="240" w:lineRule="auto"/>
      </w:pPr>
    </w:p>
    <w:p w:rsidR="00462494" w:rsidRDefault="00462494" w:rsidP="004D02BA">
      <w:pPr>
        <w:spacing w:line="240" w:lineRule="auto"/>
        <w:sectPr w:rsidR="00462494" w:rsidSect="00462494">
          <w:footerReference w:type="default" r:id="rId8"/>
          <w:type w:val="continuous"/>
          <w:pgSz w:w="11907" w:h="16839" w:code="9"/>
          <w:pgMar w:top="1440" w:right="1440" w:bottom="1440" w:left="1440" w:header="708" w:footer="708" w:gutter="0"/>
          <w:pgNumType w:start="1"/>
          <w:cols w:space="708"/>
          <w:titlePg/>
          <w:docGrid w:linePitch="360"/>
        </w:sectPr>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AA77A6" w:rsidRDefault="00AA77A6" w:rsidP="003A18CF">
      <w:pPr>
        <w:spacing w:line="240" w:lineRule="auto"/>
      </w:pPr>
    </w:p>
    <w:p w:rsidR="00AA77A6" w:rsidRDefault="00AA77A6" w:rsidP="003A18CF">
      <w:pPr>
        <w:spacing w:line="240" w:lineRule="auto"/>
      </w:pPr>
    </w:p>
    <w:p w:rsidR="00AA77A6" w:rsidRDefault="00AA77A6" w:rsidP="0063247C">
      <w:pPr>
        <w:pStyle w:val="ORDER"/>
        <w:spacing w:after="60"/>
        <w:ind w:left="0" w:firstLine="0"/>
      </w:pPr>
      <w:r>
        <w:t>The following order is made:</w:t>
      </w:r>
    </w:p>
    <w:p w:rsidR="00E74811" w:rsidRPr="0007030F" w:rsidRDefault="00E74811" w:rsidP="0063247C">
      <w:pPr>
        <w:pStyle w:val="ORDER"/>
      </w:pPr>
      <w:r w:rsidRPr="00AA77A6">
        <w:t>1</w:t>
      </w:r>
      <w:r w:rsidR="00AA77A6" w:rsidRPr="00AA77A6">
        <w:t>.</w:t>
      </w:r>
      <w:r w:rsidR="00AA77A6" w:rsidRPr="00AA77A6">
        <w:tab/>
      </w:r>
      <w:r w:rsidRPr="00AA77A6">
        <w:t>The Minister is joined as a party to the proceedings</w:t>
      </w:r>
      <w:r w:rsidR="00D60E0D">
        <w:t xml:space="preserve"> </w:t>
      </w:r>
      <w:r w:rsidR="00D60E0D" w:rsidRPr="0007030F">
        <w:t>in her personal capacity</w:t>
      </w:r>
      <w:r w:rsidRPr="0007030F">
        <w:t>.</w:t>
      </w:r>
    </w:p>
    <w:p w:rsidR="00E74811" w:rsidRPr="00AA77A6" w:rsidRDefault="00E74811" w:rsidP="0063247C">
      <w:pPr>
        <w:pStyle w:val="ORDER"/>
      </w:pPr>
      <w:r w:rsidRPr="0007030F">
        <w:t>2</w:t>
      </w:r>
      <w:r w:rsidR="00AA77A6" w:rsidRPr="0007030F">
        <w:t>.</w:t>
      </w:r>
      <w:r w:rsidR="00AA77A6" w:rsidRPr="0007030F">
        <w:tab/>
      </w:r>
      <w:r w:rsidRPr="0007030F">
        <w:t>The parties must, within 14 days</w:t>
      </w:r>
      <w:r w:rsidR="00D60E0D" w:rsidRPr="0007030F">
        <w:t xml:space="preserve"> from the date of this judgment</w:t>
      </w:r>
      <w:r w:rsidR="00DF3779">
        <w:t>,</w:t>
      </w:r>
      <w:r w:rsidRPr="00AA77A6">
        <w:t xml:space="preserve"> report to this Court whether they have agreed to a process in terms of section 38 of the Superior Courts Act </w:t>
      </w:r>
      <w:r w:rsidR="00773CF2">
        <w:t xml:space="preserve">10 of 2013 </w:t>
      </w:r>
      <w:r w:rsidRPr="00AA77A6">
        <w:t xml:space="preserve">in order to determine the issues relating to the Minister’s role and responsibility in the establishment and functioning of the work streams referred to in the affidavits filed by </w:t>
      </w:r>
      <w:r w:rsidR="00833173" w:rsidRPr="00AA77A6">
        <w:t>the Minister, Mr Magwaza and Mr </w:t>
      </w:r>
      <w:r w:rsidRPr="00AA77A6">
        <w:t>Dangor.</w:t>
      </w:r>
    </w:p>
    <w:p w:rsidR="00E74811" w:rsidRDefault="00E74811" w:rsidP="0063247C">
      <w:pPr>
        <w:pStyle w:val="ORDER"/>
      </w:pPr>
      <w:r w:rsidRPr="00AA77A6">
        <w:t>3</w:t>
      </w:r>
      <w:r w:rsidR="00AA77A6" w:rsidRPr="00AA77A6">
        <w:t>.</w:t>
      </w:r>
      <w:r w:rsidR="00AA77A6" w:rsidRPr="00AA77A6">
        <w:tab/>
      </w:r>
      <w:r w:rsidRPr="00AA77A6">
        <w:t>Failing agreement the Court will issue directions determining the process.</w:t>
      </w:r>
    </w:p>
    <w:p w:rsidR="00AA77A6" w:rsidRDefault="00AA77A6" w:rsidP="0063247C">
      <w:pPr>
        <w:spacing w:line="240" w:lineRule="auto"/>
      </w:pPr>
    </w:p>
    <w:p w:rsidR="00AA77A6" w:rsidRPr="00AA77A6" w:rsidRDefault="00AA77A6" w:rsidP="0063247C">
      <w:pPr>
        <w:spacing w:line="240" w:lineRule="auto"/>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r w:rsidR="00AE1AC3">
        <w:rPr>
          <w:b/>
        </w:rPr>
        <w:t xml:space="preserve"> </w:t>
      </w:r>
    </w:p>
    <w:p w:rsidR="000704F2" w:rsidRPr="009C3888" w:rsidRDefault="000704F2" w:rsidP="000704F2">
      <w:pPr>
        <w:pBdr>
          <w:top w:val="single" w:sz="4" w:space="1" w:color="auto"/>
          <w:bottom w:val="single" w:sz="4" w:space="1" w:color="auto"/>
        </w:pBdr>
        <w:spacing w:line="240" w:lineRule="auto"/>
        <w:jc w:val="center"/>
      </w:pPr>
    </w:p>
    <w:p w:rsidR="005219FC" w:rsidRDefault="005219FC" w:rsidP="000704F2">
      <w:pPr>
        <w:spacing w:line="240" w:lineRule="auto"/>
      </w:pPr>
    </w:p>
    <w:p w:rsidR="005219FC" w:rsidRPr="009C3888" w:rsidRDefault="005219FC" w:rsidP="000704F2">
      <w:pPr>
        <w:spacing w:line="240" w:lineRule="auto"/>
      </w:pPr>
    </w:p>
    <w:p w:rsidR="000704F2" w:rsidRPr="009C3888" w:rsidRDefault="00FD692D" w:rsidP="001C050A">
      <w:pPr>
        <w:spacing w:line="240" w:lineRule="auto"/>
        <w:outlineLvl w:val="0"/>
      </w:pPr>
      <w:r>
        <w:t>FRONEMAN</w:t>
      </w:r>
      <w:r w:rsidR="0059723A">
        <w:t xml:space="preserve"> </w:t>
      </w:r>
      <w:r w:rsidR="00AE7602" w:rsidRPr="009C3888">
        <w:t>J</w:t>
      </w:r>
      <w:r w:rsidR="003644DF">
        <w:t xml:space="preserve"> (</w:t>
      </w:r>
      <w:r w:rsidR="00F41BCE">
        <w:t>Mogoeng CJ, Nkabinde ADCJ, Cameron J, Jafta J, Khampepe J, Madlanga J, Mhlantla J, Mojapelo AJ, Pretorius AJ and Zondo J</w:t>
      </w:r>
      <w:r w:rsidR="00805761">
        <w:t xml:space="preserve"> </w:t>
      </w:r>
      <w:r w:rsidR="00C739DB" w:rsidRPr="00C739DB">
        <w:t>concurring</w:t>
      </w:r>
      <w:r w:rsidR="003644DF">
        <w:t>)</w:t>
      </w:r>
      <w:r w:rsidR="0063247C">
        <w:t>:</w:t>
      </w:r>
    </w:p>
    <w:p w:rsidR="00AA77A6" w:rsidRDefault="00AA77A6" w:rsidP="000704F2">
      <w:pPr>
        <w:spacing w:line="240" w:lineRule="auto"/>
        <w:sectPr w:rsidR="00AA77A6" w:rsidSect="00462494">
          <w:headerReference w:type="default" r:id="rId9"/>
          <w:type w:val="continuous"/>
          <w:pgSz w:w="11907" w:h="16839" w:code="9"/>
          <w:pgMar w:top="1440" w:right="1440" w:bottom="1440" w:left="1440" w:header="708" w:footer="708" w:gutter="0"/>
          <w:cols w:space="708"/>
          <w:docGrid w:linePitch="360"/>
        </w:sectPr>
      </w:pPr>
    </w:p>
    <w:p w:rsidR="00AE7602" w:rsidRDefault="00AE7602" w:rsidP="000704F2">
      <w:pPr>
        <w:spacing w:line="240" w:lineRule="auto"/>
      </w:pPr>
    </w:p>
    <w:p w:rsidR="00491698" w:rsidRPr="009C3888" w:rsidRDefault="00491698" w:rsidP="000704F2">
      <w:pPr>
        <w:spacing w:line="240" w:lineRule="auto"/>
      </w:pPr>
    </w:p>
    <w:p w:rsidR="003B5B29" w:rsidRDefault="00976245" w:rsidP="00075F16">
      <w:pPr>
        <w:pStyle w:val="HEADING"/>
      </w:pPr>
      <w:r>
        <w:t>Introduction</w:t>
      </w:r>
    </w:p>
    <w:p w:rsidR="00CA4FF9" w:rsidRDefault="00FC5698" w:rsidP="00CA4FF9">
      <w:pPr>
        <w:pStyle w:val="JUDGMENTNUMBERED"/>
      </w:pPr>
      <w:r>
        <w:t>In the main judgment</w:t>
      </w:r>
      <w:r>
        <w:rPr>
          <w:rStyle w:val="FootnoteReference"/>
        </w:rPr>
        <w:footnoteReference w:id="1"/>
      </w:r>
      <w:r>
        <w:t xml:space="preserve"> the first respondent (Minister) was called upon to show cause on affidavit why she should not be joined </w:t>
      </w:r>
      <w:r w:rsidRPr="00B860C5">
        <w:t>to</w:t>
      </w:r>
      <w:r w:rsidR="00F66F83">
        <w:t xml:space="preserve"> </w:t>
      </w:r>
      <w:r>
        <w:t xml:space="preserve">the proceedings in her personal capacity and why she should not be ordered to pay the costs of the application out of her own pocket. </w:t>
      </w:r>
      <w:r w:rsidR="00AF0FE5">
        <w:t xml:space="preserve"> </w:t>
      </w:r>
      <w:r>
        <w:t xml:space="preserve">She </w:t>
      </w:r>
      <w:r w:rsidR="00E12092">
        <w:t xml:space="preserve">filed an affidavit. </w:t>
      </w:r>
      <w:r>
        <w:t xml:space="preserve"> </w:t>
      </w:r>
      <w:r w:rsidR="00E12092">
        <w:t>I</w:t>
      </w:r>
      <w:r>
        <w:t xml:space="preserve">n the main </w:t>
      </w:r>
      <w:r w:rsidR="00AF0FE5">
        <w:t xml:space="preserve">she </w:t>
      </w:r>
      <w:r>
        <w:t>sought to place the blame for what went wrong on officials from the third respondent (SASSA)</w:t>
      </w:r>
      <w:r w:rsidR="00CA4FF9">
        <w:t xml:space="preserve"> and the Department of Social Development (Department)</w:t>
      </w:r>
      <w:r>
        <w:t>.</w:t>
      </w:r>
    </w:p>
    <w:p w:rsidR="00CA4FF9" w:rsidRDefault="00CA4FF9" w:rsidP="00CA4FF9">
      <w:pPr>
        <w:pStyle w:val="JUDGMENTNUMBERED"/>
        <w:numPr>
          <w:ilvl w:val="0"/>
          <w:numId w:val="0"/>
        </w:numPr>
      </w:pPr>
    </w:p>
    <w:p w:rsidR="00CA4FF9" w:rsidRDefault="00CA4FF9" w:rsidP="00CA4FF9">
      <w:pPr>
        <w:pStyle w:val="JUDGMENTNUMBERED"/>
      </w:pPr>
      <w:r>
        <w:t>Two of these officials</w:t>
      </w:r>
      <w:r w:rsidR="00FC5698">
        <w:t xml:space="preserve">, the current Chief Executive Officer </w:t>
      </w:r>
      <w:r>
        <w:t>of SASSA (Mr</w:t>
      </w:r>
      <w:r w:rsidR="00335D54">
        <w:t> </w:t>
      </w:r>
      <w:r>
        <w:t xml:space="preserve">Magwaza) and the erstwhile Director-General of the Department (Mr Dangor), then sought </w:t>
      </w:r>
      <w:r w:rsidR="00D52E9C">
        <w:t xml:space="preserve">and were granted </w:t>
      </w:r>
      <w:r>
        <w:t xml:space="preserve">leave to file affidavits to defend themselves. </w:t>
      </w:r>
      <w:r w:rsidR="00166B38">
        <w:t xml:space="preserve"> </w:t>
      </w:r>
      <w:r>
        <w:t>The thrust of their affidavits is that the Minister had established parallel decision</w:t>
      </w:r>
      <w:r w:rsidR="00D52E9C">
        <w:t>-</w:t>
      </w:r>
      <w:r>
        <w:t xml:space="preserve">making and communications processes that bypassed SASSA and Department officials. </w:t>
      </w:r>
      <w:r w:rsidR="00166B38">
        <w:t xml:space="preserve"> </w:t>
      </w:r>
      <w:r w:rsidR="0006652C">
        <w:t>The Minister said little, if anything, of this in her own affidavit.</w:t>
      </w:r>
    </w:p>
    <w:p w:rsidR="0006652C" w:rsidRDefault="0006652C" w:rsidP="0006652C">
      <w:pPr>
        <w:pStyle w:val="JUDGMENTCONTINUED"/>
      </w:pPr>
    </w:p>
    <w:p w:rsidR="0006652C" w:rsidRPr="0007030F" w:rsidRDefault="0006652C" w:rsidP="0006652C">
      <w:pPr>
        <w:pStyle w:val="JUDGMENTNUMBERED"/>
      </w:pPr>
      <w:r w:rsidRPr="0007030F">
        <w:t>Before dealing with the content</w:t>
      </w:r>
      <w:r w:rsidR="00162F26" w:rsidRPr="0007030F">
        <w:t>s</w:t>
      </w:r>
      <w:r w:rsidRPr="0007030F">
        <w:t xml:space="preserve"> of the affidavits it is, however, necessary to determine whether our law allows for a state official to be personally joined as a party in a matter involving the </w:t>
      </w:r>
      <w:r w:rsidR="00A016DB" w:rsidRPr="0007030F">
        <w:t xml:space="preserve">performance </w:t>
      </w:r>
      <w:r w:rsidRPr="0007030F">
        <w:t>of official duties</w:t>
      </w:r>
      <w:r w:rsidR="00F53E26" w:rsidRPr="0007030F">
        <w:t xml:space="preserve"> and to be personally mulcted in costs in relation </w:t>
      </w:r>
      <w:r w:rsidR="00A016DB" w:rsidRPr="0007030F">
        <w:t xml:space="preserve">to </w:t>
      </w:r>
      <w:r w:rsidR="00F53E26" w:rsidRPr="0007030F">
        <w:t xml:space="preserve">the </w:t>
      </w:r>
      <w:r w:rsidR="00A016DB" w:rsidRPr="0007030F">
        <w:t xml:space="preserve">performance </w:t>
      </w:r>
      <w:r w:rsidR="00F53E26" w:rsidRPr="0007030F">
        <w:t>of those duties</w:t>
      </w:r>
      <w:r w:rsidR="00D60E0D" w:rsidRPr="0007030F">
        <w:t xml:space="preserve"> and in the conduct of litigation in relation thereto</w:t>
      </w:r>
      <w:r w:rsidR="00F53E26" w:rsidRPr="0007030F">
        <w:t>.</w:t>
      </w:r>
    </w:p>
    <w:p w:rsidR="00F53E26" w:rsidRDefault="00F53E26" w:rsidP="00F53E26">
      <w:pPr>
        <w:pStyle w:val="JUDGMENTCONTINUED"/>
      </w:pPr>
    </w:p>
    <w:p w:rsidR="00F53E26" w:rsidRDefault="00F53E26" w:rsidP="0063247C">
      <w:pPr>
        <w:pStyle w:val="HEADING"/>
      </w:pPr>
      <w:r>
        <w:t>Joinder</w:t>
      </w:r>
    </w:p>
    <w:p w:rsidR="00F53E26" w:rsidRDefault="00F53E26" w:rsidP="00F53E26">
      <w:pPr>
        <w:pStyle w:val="JUDGMENTNUMBERED"/>
      </w:pPr>
      <w:r>
        <w:t xml:space="preserve">Joinder is the easier issue to resolve. </w:t>
      </w:r>
      <w:r w:rsidR="00CE670A">
        <w:t xml:space="preserve"> </w:t>
      </w:r>
      <w:r>
        <w:t xml:space="preserve">If the possibility of a personal costs order against a state official exists, it stands to good reason that she must be made aware of the risk and should be given an opportunity to advance reasons why the order should not be granted. </w:t>
      </w:r>
      <w:r w:rsidR="00CE670A">
        <w:t xml:space="preserve"> </w:t>
      </w:r>
      <w:r>
        <w:t>Joinder as a formal party to the proceedings and knowledge of the basis from which the risk of the personal cost</w:t>
      </w:r>
      <w:r w:rsidR="001677CD">
        <w:t>s</w:t>
      </w:r>
      <w:r>
        <w:t xml:space="preserve"> order may arise is one way </w:t>
      </w:r>
      <w:r w:rsidR="00696DD8">
        <w:t xml:space="preserve">– and the safest – </w:t>
      </w:r>
      <w:r>
        <w:t>to achieve this.</w:t>
      </w:r>
      <w:r>
        <w:rPr>
          <w:rStyle w:val="FootnoteReference"/>
        </w:rPr>
        <w:footnoteReference w:id="2"/>
      </w:r>
    </w:p>
    <w:p w:rsidR="00F53E26" w:rsidRDefault="00F53E26" w:rsidP="00F53E26">
      <w:pPr>
        <w:pStyle w:val="JUDGMENTCONTINUED"/>
      </w:pPr>
    </w:p>
    <w:p w:rsidR="00F53E26" w:rsidRDefault="00F53E26" w:rsidP="00B860C5">
      <w:pPr>
        <w:pStyle w:val="HEADING"/>
      </w:pPr>
      <w:r>
        <w:t>Personal costs orders</w:t>
      </w:r>
    </w:p>
    <w:p w:rsidR="003C47D9" w:rsidRPr="0080145B" w:rsidRDefault="00596E59" w:rsidP="003C47D9">
      <w:pPr>
        <w:pStyle w:val="JUDGMENTNUMBERED"/>
      </w:pPr>
      <w:r>
        <w:t xml:space="preserve">The common-law rules for </w:t>
      </w:r>
      <w:r w:rsidR="001D3CFA">
        <w:t xml:space="preserve">granting </w:t>
      </w:r>
      <w:r>
        <w:t>a personal costs order against persons acting in a representative capacity w</w:t>
      </w:r>
      <w:r w:rsidR="000A351A">
        <w:t>ere</w:t>
      </w:r>
      <w:r>
        <w:t xml:space="preserve"> based on what this Court in </w:t>
      </w:r>
      <w:r>
        <w:rPr>
          <w:i/>
        </w:rPr>
        <w:t>Swartbooi</w:t>
      </w:r>
      <w:r>
        <w:t xml:space="preserve"> described as conduct that was “motivated by malice or amount[ed] to improper conduct”.</w:t>
      </w:r>
      <w:r>
        <w:rPr>
          <w:rStyle w:val="FootnoteReference"/>
        </w:rPr>
        <w:footnoteReference w:id="3"/>
      </w:r>
      <w:r w:rsidR="0080145B">
        <w:t xml:space="preserve"> </w:t>
      </w:r>
      <w:r w:rsidR="00CE670A">
        <w:t xml:space="preserve"> </w:t>
      </w:r>
      <w:r w:rsidR="0080145B">
        <w:t xml:space="preserve">In many cases the formulation of Innes CJ in </w:t>
      </w:r>
      <w:r w:rsidR="0080145B">
        <w:rPr>
          <w:i/>
        </w:rPr>
        <w:t xml:space="preserve">Vermaak’s </w:t>
      </w:r>
      <w:r w:rsidR="0080145B" w:rsidRPr="0080145B">
        <w:rPr>
          <w:i/>
        </w:rPr>
        <w:t>Executor</w:t>
      </w:r>
      <w:r w:rsidR="0080145B">
        <w:t>,</w:t>
      </w:r>
      <w:r w:rsidR="0080145B" w:rsidRPr="0080145B">
        <w:rPr>
          <w:rStyle w:val="FootnoteReference"/>
        </w:rPr>
        <w:footnoteReference w:id="4"/>
      </w:r>
      <w:r w:rsidR="0080145B">
        <w:rPr>
          <w:i/>
        </w:rPr>
        <w:t xml:space="preserve"> </w:t>
      </w:r>
      <w:r w:rsidR="0080145B">
        <w:t xml:space="preserve">that the representative’s “conduct in connection with the litigation in question must have been </w:t>
      </w:r>
      <w:r w:rsidR="0080145B">
        <w:rPr>
          <w:i/>
        </w:rPr>
        <w:t>mala fide</w:t>
      </w:r>
      <w:r w:rsidR="0080145B">
        <w:t>, negligent or unreasonable”, has been followed</w:t>
      </w:r>
      <w:r w:rsidR="0080145B" w:rsidRPr="00B860C5">
        <w:t>.</w:t>
      </w:r>
      <w:r w:rsidR="0080145B" w:rsidRPr="00B860C5">
        <w:rPr>
          <w:rStyle w:val="FootnoteReference"/>
        </w:rPr>
        <w:footnoteReference w:id="5"/>
      </w:r>
    </w:p>
    <w:p w:rsidR="003C47D9" w:rsidRPr="003C47D9" w:rsidRDefault="003C47D9" w:rsidP="003C47D9">
      <w:pPr>
        <w:pStyle w:val="JUDGMENTCONTINUED"/>
      </w:pPr>
    </w:p>
    <w:p w:rsidR="00C64B3D" w:rsidRDefault="0080145B" w:rsidP="00B860C5">
      <w:pPr>
        <w:pStyle w:val="JUDGMENTNUMBERED"/>
      </w:pPr>
      <w:r w:rsidRPr="00335D54">
        <w:t>When</w:t>
      </w:r>
      <w:r>
        <w:t xml:space="preserve"> public officials were guilty of acting in </w:t>
      </w:r>
      <w:r w:rsidR="004120AA">
        <w:rPr>
          <w:i/>
        </w:rPr>
        <w:t xml:space="preserve">mala fides </w:t>
      </w:r>
      <w:r w:rsidR="004120AA">
        <w:t>(</w:t>
      </w:r>
      <w:r>
        <w:t>bad faith</w:t>
      </w:r>
      <w:r w:rsidR="004120AA">
        <w:t>)</w:t>
      </w:r>
      <w:r>
        <w:t xml:space="preserve">, courts have in the past made personal costs orders against them. </w:t>
      </w:r>
      <w:r w:rsidR="00A618F5">
        <w:t xml:space="preserve"> </w:t>
      </w:r>
      <w:r w:rsidR="00666FDA">
        <w:t xml:space="preserve">Costs orders have been given against judicial officers where they have acted in bad faith. </w:t>
      </w:r>
      <w:r w:rsidR="00A618F5">
        <w:t xml:space="preserve"> </w:t>
      </w:r>
      <w:r w:rsidR="001B3C83">
        <w:t xml:space="preserve">In </w:t>
      </w:r>
      <w:r w:rsidR="001B3C83" w:rsidRPr="0080145B">
        <w:rPr>
          <w:i/>
        </w:rPr>
        <w:t>Regional Magistrate</w:t>
      </w:r>
      <w:r w:rsidR="004120AA">
        <w:t xml:space="preserve"> Van </w:t>
      </w:r>
      <w:r w:rsidR="001B3C83">
        <w:t xml:space="preserve">Winsen AJ held that it </w:t>
      </w:r>
      <w:r w:rsidR="009B70A7">
        <w:t>“</w:t>
      </w:r>
      <w:r w:rsidR="001B3C83">
        <w:t xml:space="preserve">is the existence of </w:t>
      </w:r>
      <w:r w:rsidR="001B3C83" w:rsidRPr="0080145B">
        <w:rPr>
          <w:i/>
        </w:rPr>
        <w:t>mala fides</w:t>
      </w:r>
      <w:r w:rsidR="001B3C83">
        <w:t xml:space="preserve"> on the part of the judicial officer that introduces the risk of an order of costs </w:t>
      </w:r>
      <w:r w:rsidR="001B3C83" w:rsidRPr="0080145B">
        <w:rPr>
          <w:i/>
        </w:rPr>
        <w:t>de bonis propriis</w:t>
      </w:r>
      <w:r w:rsidR="001B3C83">
        <w:t xml:space="preserve"> being given against him</w:t>
      </w:r>
      <w:r w:rsidR="009B70A7">
        <w:t>”</w:t>
      </w:r>
      <w:r w:rsidR="001B3C83">
        <w:t>.</w:t>
      </w:r>
      <w:r w:rsidR="001B3C83">
        <w:rPr>
          <w:rStyle w:val="FootnoteReference"/>
        </w:rPr>
        <w:footnoteReference w:id="6"/>
      </w:r>
      <w:r w:rsidR="001B3C83">
        <w:t xml:space="preserve"> </w:t>
      </w:r>
      <w:r w:rsidR="00A618F5">
        <w:t xml:space="preserve"> </w:t>
      </w:r>
      <w:r w:rsidR="001B3C83">
        <w:t xml:space="preserve">A similar approach was taken in </w:t>
      </w:r>
      <w:r w:rsidR="001B3C83" w:rsidRPr="0080145B">
        <w:rPr>
          <w:i/>
        </w:rPr>
        <w:t>Moeca</w:t>
      </w:r>
      <w:r w:rsidR="001B3C83" w:rsidRPr="001B3C83">
        <w:rPr>
          <w:rStyle w:val="FootnoteReference"/>
        </w:rPr>
        <w:footnoteReference w:id="7"/>
      </w:r>
      <w:r w:rsidR="001B3C83" w:rsidRPr="0080145B">
        <w:rPr>
          <w:i/>
        </w:rPr>
        <w:t xml:space="preserve"> </w:t>
      </w:r>
      <w:r w:rsidR="001B3C83">
        <w:t xml:space="preserve">in which an order </w:t>
      </w:r>
      <w:r w:rsidR="009B70A7">
        <w:t xml:space="preserve">to pay </w:t>
      </w:r>
      <w:r w:rsidR="001B3C83">
        <w:t xml:space="preserve">costs </w:t>
      </w:r>
      <w:r w:rsidR="004120AA">
        <w:rPr>
          <w:i/>
        </w:rPr>
        <w:t>de </w:t>
      </w:r>
      <w:r w:rsidR="001B3C83" w:rsidRPr="0080145B">
        <w:rPr>
          <w:i/>
        </w:rPr>
        <w:t>bonis propriis</w:t>
      </w:r>
      <w:r w:rsidR="001B3C83">
        <w:t xml:space="preserve"> </w:t>
      </w:r>
      <w:r w:rsidR="009B70A7">
        <w:t xml:space="preserve">(from his or her own pocket) </w:t>
      </w:r>
      <w:r w:rsidR="001B3C83">
        <w:t xml:space="preserve">was made against an administrative official. </w:t>
      </w:r>
      <w:r w:rsidR="00A618F5">
        <w:t xml:space="preserve"> </w:t>
      </w:r>
      <w:r w:rsidR="001B3C83">
        <w:t xml:space="preserve">He had handled this enquiry so badly and had made an order so inappropriate that the </w:t>
      </w:r>
      <w:r w:rsidR="00D35F3A">
        <w:t>C</w:t>
      </w:r>
      <w:r w:rsidR="001B3C83">
        <w:t xml:space="preserve">ourt held that, on the assumption that </w:t>
      </w:r>
      <w:r w:rsidR="001B3C83" w:rsidRPr="0080145B">
        <w:rPr>
          <w:i/>
        </w:rPr>
        <w:t>mala fides</w:t>
      </w:r>
      <w:r w:rsidR="001B3C83">
        <w:t xml:space="preserve"> must be shown, that </w:t>
      </w:r>
      <w:r w:rsidR="00D35F3A">
        <w:t xml:space="preserve">it </w:t>
      </w:r>
      <w:r w:rsidR="001B3C83">
        <w:t>had.</w:t>
      </w:r>
      <w:r w:rsidR="001B3C83">
        <w:rPr>
          <w:rStyle w:val="FootnoteReference"/>
        </w:rPr>
        <w:footnoteReference w:id="8"/>
      </w:r>
    </w:p>
    <w:p w:rsidR="00AA77A6" w:rsidRPr="00AA77A6" w:rsidRDefault="00AA77A6" w:rsidP="0063247C">
      <w:pPr>
        <w:pStyle w:val="JUDGMENTCONTINUED"/>
      </w:pPr>
    </w:p>
    <w:p w:rsidR="00FF3428" w:rsidRDefault="004B42CD" w:rsidP="00FF3428">
      <w:pPr>
        <w:pStyle w:val="JUDGMENTNUMBERED"/>
      </w:pPr>
      <w:r>
        <w:t xml:space="preserve">These rules are now buttressed by the Constitution. </w:t>
      </w:r>
      <w:r w:rsidR="00A618F5">
        <w:t xml:space="preserve"> </w:t>
      </w:r>
      <w:r>
        <w:t>A</w:t>
      </w:r>
      <w:r w:rsidR="00C64B3D">
        <w:t xml:space="preserve">ccountability and responsiveness </w:t>
      </w:r>
      <w:r>
        <w:t xml:space="preserve">are </w:t>
      </w:r>
      <w:r w:rsidR="00C64B3D">
        <w:t>fo</w:t>
      </w:r>
      <w:r>
        <w:t>unding values of our democracy</w:t>
      </w:r>
      <w:r w:rsidR="00C64B3D">
        <w:t>.</w:t>
      </w:r>
      <w:r>
        <w:rPr>
          <w:rStyle w:val="FootnoteReference"/>
        </w:rPr>
        <w:footnoteReference w:id="9"/>
      </w:r>
      <w:r>
        <w:t xml:space="preserve">  All organs of state must</w:t>
      </w:r>
      <w:r w:rsidR="00C64B3D">
        <w:t xml:space="preserve"> provide effect</w:t>
      </w:r>
      <w:r>
        <w:t>ive and accountable government.</w:t>
      </w:r>
      <w:r>
        <w:rPr>
          <w:rStyle w:val="FootnoteReference"/>
        </w:rPr>
        <w:footnoteReference w:id="10"/>
      </w:r>
      <w:r>
        <w:t xml:space="preserve"> </w:t>
      </w:r>
      <w:r w:rsidR="00A618F5">
        <w:t xml:space="preserve"> </w:t>
      </w:r>
      <w:r>
        <w:t>The basic values and principles governin</w:t>
      </w:r>
      <w:r w:rsidR="00B730C9">
        <w:t>g public administration</w:t>
      </w:r>
      <w:r>
        <w:t xml:space="preserve"> include</w:t>
      </w:r>
      <w:r w:rsidR="00B730C9">
        <w:t>: the promotion and maintenance of</w:t>
      </w:r>
      <w:r>
        <w:t xml:space="preserve"> a high standard of professional ethics</w:t>
      </w:r>
      <w:r w:rsidR="00B730C9">
        <w:t>; the promotion of efficient, economic and effective use of resources; public administration must be development-orient</w:t>
      </w:r>
      <w:r w:rsidR="0085313D">
        <w:t>at</w:t>
      </w:r>
      <w:r w:rsidR="00B730C9">
        <w:t>ed; people’s needs must be responded to; public administration must be accountable; and transparency must be fostered by providing the public with timely, accessible and accurate information.</w:t>
      </w:r>
      <w:r w:rsidR="00B730C9">
        <w:rPr>
          <w:rStyle w:val="FootnoteReference"/>
        </w:rPr>
        <w:footnoteReference w:id="11"/>
      </w:r>
      <w:r w:rsidR="00B730C9">
        <w:t xml:space="preserve"> </w:t>
      </w:r>
      <w:r w:rsidR="00A618F5">
        <w:t xml:space="preserve"> </w:t>
      </w:r>
      <w:r w:rsidR="00B730C9">
        <w:t>Cabinet members are responsible for the powers and functions of the executive assigned to them</w:t>
      </w:r>
      <w:r w:rsidR="00FF3428">
        <w:t xml:space="preserve"> by the President</w:t>
      </w:r>
      <w:r w:rsidR="00B730C9">
        <w:rPr>
          <w:rStyle w:val="FootnoteReference"/>
        </w:rPr>
        <w:footnoteReference w:id="12"/>
      </w:r>
      <w:r w:rsidR="00FF3428">
        <w:t xml:space="preserve"> and they must act in accordance with the Constitution.</w:t>
      </w:r>
      <w:r w:rsidR="00FF3428">
        <w:rPr>
          <w:rStyle w:val="FootnoteReference"/>
        </w:rPr>
        <w:footnoteReference w:id="13"/>
      </w:r>
      <w:r w:rsidR="00FF3428">
        <w:t xml:space="preserve"> </w:t>
      </w:r>
      <w:r w:rsidR="00A618F5">
        <w:t xml:space="preserve"> </w:t>
      </w:r>
      <w:r w:rsidR="00FF3428">
        <w:t>A</w:t>
      </w:r>
      <w:r w:rsidR="00C64B3D">
        <w:t>ll constitutional obligations must be performe</w:t>
      </w:r>
      <w:r>
        <w:t>d diligently and without delay</w:t>
      </w:r>
      <w:r w:rsidR="00FF3428">
        <w:t>.</w:t>
      </w:r>
      <w:r w:rsidR="00FF3428">
        <w:rPr>
          <w:rStyle w:val="FootnoteReference"/>
        </w:rPr>
        <w:footnoteReference w:id="14"/>
      </w:r>
    </w:p>
    <w:p w:rsidR="00FF3428" w:rsidRDefault="00FF3428" w:rsidP="00FF3428">
      <w:pPr>
        <w:pStyle w:val="JUDGMENTNUMBERED"/>
        <w:numPr>
          <w:ilvl w:val="0"/>
          <w:numId w:val="0"/>
        </w:numPr>
      </w:pPr>
    </w:p>
    <w:p w:rsidR="00AE0B2E" w:rsidRDefault="00FF3428" w:rsidP="008638A4">
      <w:pPr>
        <w:pStyle w:val="JUDGMENTNUMBERED"/>
      </w:pPr>
      <w:r>
        <w:t>The question of what would constitute improper conduct can be answered with reference to two linked issues: institutional competence and constitutional obligations.  From</w:t>
      </w:r>
      <w:r w:rsidR="00FF06C7">
        <w:t xml:space="preserve"> an institutional perspective, </w:t>
      </w:r>
      <w:r>
        <w:t>public official</w:t>
      </w:r>
      <w:r w:rsidR="00FF06C7">
        <w:t xml:space="preserve">s occupying </w:t>
      </w:r>
      <w:r>
        <w:t>certain position</w:t>
      </w:r>
      <w:r w:rsidR="00FF06C7">
        <w:t>s would</w:t>
      </w:r>
      <w:r>
        <w:t xml:space="preserve"> be expected to act in a certain manner because of their e</w:t>
      </w:r>
      <w:r w:rsidR="00FF06C7">
        <w:t>xpertise and dedication to that</w:t>
      </w:r>
      <w:r w:rsidR="004F1315">
        <w:t xml:space="preserve"> position.</w:t>
      </w:r>
      <w:r w:rsidR="008638A4">
        <w:rPr>
          <w:rStyle w:val="FootnoteReference"/>
        </w:rPr>
        <w:footnoteReference w:id="15"/>
      </w:r>
      <w:r w:rsidR="004F1315">
        <w:t xml:space="preserve"> </w:t>
      </w:r>
      <w:r w:rsidR="00A618F5">
        <w:t xml:space="preserve"> </w:t>
      </w:r>
      <w:r w:rsidR="004F1315">
        <w:t>Where specific</w:t>
      </w:r>
      <w:r>
        <w:t xml:space="preserve"> constitutional </w:t>
      </w:r>
      <w:r w:rsidR="004F1315">
        <w:t xml:space="preserve">and statutory obligations </w:t>
      </w:r>
      <w:r>
        <w:t>exist</w:t>
      </w:r>
      <w:r w:rsidR="004F1315">
        <w:t xml:space="preserve"> the proper foundatio</w:t>
      </w:r>
      <w:r w:rsidR="008638A4">
        <w:t>n for personal costs orders may</w:t>
      </w:r>
      <w:r w:rsidR="004F1315">
        <w:t xml:space="preserve"> lie in the </w:t>
      </w:r>
      <w:r w:rsidR="008638A4">
        <w:t>vindication of the Constitution,</w:t>
      </w:r>
      <w:r w:rsidR="008638A4">
        <w:rPr>
          <w:rStyle w:val="FootnoteReference"/>
        </w:rPr>
        <w:footnoteReference w:id="16"/>
      </w:r>
      <w:r w:rsidR="008638A4">
        <w:t xml:space="preserve"> </w:t>
      </w:r>
      <w:r>
        <w:t>but in most cases there will be an overlap.</w:t>
      </w:r>
      <w:r>
        <w:rPr>
          <w:rStyle w:val="FootnoteReference"/>
        </w:rPr>
        <w:footnoteReference w:id="17"/>
      </w:r>
    </w:p>
    <w:p w:rsidR="00FF06C7" w:rsidRDefault="00FF06C7" w:rsidP="00FF06C7">
      <w:pPr>
        <w:pStyle w:val="JUDGMENTCONTINUED"/>
      </w:pPr>
    </w:p>
    <w:p w:rsidR="00FF06C7" w:rsidRDefault="00FF06C7" w:rsidP="00FF06C7">
      <w:pPr>
        <w:pStyle w:val="JUDGMENTNUMBERED"/>
      </w:pPr>
      <w:r>
        <w:t>Within that constitutional context the test</w:t>
      </w:r>
      <w:r w:rsidR="00067D75">
        <w:t>s</w:t>
      </w:r>
      <w:r>
        <w:t xml:space="preserve"> o</w:t>
      </w:r>
      <w:r w:rsidR="008638A4">
        <w:t xml:space="preserve">f bad faith </w:t>
      </w:r>
      <w:r w:rsidR="000D2F60">
        <w:t xml:space="preserve">and </w:t>
      </w:r>
      <w:r w:rsidR="00E9622B">
        <w:t xml:space="preserve">gross </w:t>
      </w:r>
      <w:r w:rsidR="000D2F60">
        <w:t xml:space="preserve">negligence </w:t>
      </w:r>
      <w:r w:rsidR="008638A4">
        <w:t>in connection with the litigation</w:t>
      </w:r>
      <w:r>
        <w:t xml:space="preserve">, applied on a case by case basis, </w:t>
      </w:r>
      <w:r w:rsidR="008C4739">
        <w:t>remain well founded.</w:t>
      </w:r>
      <w:r w:rsidR="009B70A7">
        <w:t xml:space="preserve">  These tests are also applicable when a public official’s conduct of his or her </w:t>
      </w:r>
      <w:r w:rsidR="009B70A7" w:rsidRPr="0007030F">
        <w:t>duties</w:t>
      </w:r>
      <w:r w:rsidR="00D60E0D" w:rsidRPr="0007030F">
        <w:t>, or the conduct of litigation,</w:t>
      </w:r>
      <w:r w:rsidR="009B70A7">
        <w:t xml:space="preserve"> may give rise to a costs order.</w:t>
      </w:r>
    </w:p>
    <w:p w:rsidR="00067D75" w:rsidRDefault="00067D75" w:rsidP="00067D75">
      <w:pPr>
        <w:pStyle w:val="JUDGMENTCONTINUED"/>
      </w:pPr>
    </w:p>
    <w:p w:rsidR="00067D75" w:rsidRDefault="00067D75" w:rsidP="00B860C5">
      <w:pPr>
        <w:pStyle w:val="HEADING"/>
      </w:pPr>
      <w:r>
        <w:t>The affidavits</w:t>
      </w:r>
    </w:p>
    <w:p w:rsidR="00067D75" w:rsidRDefault="00067D75" w:rsidP="00067D75">
      <w:pPr>
        <w:pStyle w:val="JUDGMENTNUMBERED"/>
      </w:pPr>
      <w:r>
        <w:t>The Minister seeks to explain her conduct as not being wilful and does not address any other degree of possible irregularity on her part.</w:t>
      </w:r>
      <w:r w:rsidR="00AE2531">
        <w:t xml:space="preserve"> </w:t>
      </w:r>
      <w:r w:rsidR="00A618F5">
        <w:t xml:space="preserve"> </w:t>
      </w:r>
      <w:r w:rsidR="00AE2531">
        <w:t xml:space="preserve">She identifies and deals with eight aspects of the main judgment that </w:t>
      </w:r>
      <w:r w:rsidR="00621274">
        <w:t xml:space="preserve">are </w:t>
      </w:r>
      <w:r w:rsidR="00AE2531">
        <w:t xml:space="preserve">said to require an answer from her. </w:t>
      </w:r>
      <w:r w:rsidR="00A618F5">
        <w:t xml:space="preserve"> </w:t>
      </w:r>
      <w:r w:rsidR="00AE2531">
        <w:t xml:space="preserve">Underlying all of them is her understanding of the factual background, which she sets out in her affidavit. </w:t>
      </w:r>
      <w:r w:rsidR="00A618F5">
        <w:t xml:space="preserve"> </w:t>
      </w:r>
      <w:r w:rsidR="00AE2531">
        <w:t>The important part is, of course, what transpired after this Court discharged its supervisory order on 25 November 2015.</w:t>
      </w:r>
    </w:p>
    <w:p w:rsidR="00AE2531" w:rsidRDefault="00AE2531" w:rsidP="00AE2531">
      <w:pPr>
        <w:pStyle w:val="JUDGMENTCONTINUED"/>
      </w:pPr>
    </w:p>
    <w:p w:rsidR="00AE2531" w:rsidRDefault="00AE2531" w:rsidP="00AE2531">
      <w:pPr>
        <w:pStyle w:val="JUDGMENTNUMBERED"/>
      </w:pPr>
      <w:r>
        <w:t xml:space="preserve">In September 2014 the Minister personally appointed a Ministerial Advisory Committee </w:t>
      </w:r>
      <w:r w:rsidR="00DF3779">
        <w:t xml:space="preserve">(Ministerial Committee) </w:t>
      </w:r>
      <w:r>
        <w:t>to advise her on the best way to give effect to the promise m</w:t>
      </w:r>
      <w:r w:rsidR="00FF5387">
        <w:t>ade to the Court that SASSA would</w:t>
      </w:r>
      <w:r>
        <w:t xml:space="preserve"> perform the payment of social grants after 31 March</w:t>
      </w:r>
      <w:r w:rsidR="00341567">
        <w:t> </w:t>
      </w:r>
      <w:r>
        <w:t>201</w:t>
      </w:r>
      <w:r w:rsidR="00BA3710">
        <w:t>7</w:t>
      </w:r>
      <w:r>
        <w:t>.</w:t>
      </w:r>
      <w:r w:rsidR="00FE714E">
        <w:t xml:space="preserve"> </w:t>
      </w:r>
      <w:r w:rsidR="00A618F5">
        <w:t xml:space="preserve"> </w:t>
      </w:r>
      <w:r w:rsidR="00FE714E">
        <w:t>The Ministerial Committee’s final recommendations were ma</w:t>
      </w:r>
      <w:r w:rsidR="00FF5387">
        <w:t>de in a report dated 31 October </w:t>
      </w:r>
      <w:r w:rsidR="00FE714E">
        <w:t>2014 “in terms of which the Committee identified the creation o</w:t>
      </w:r>
      <w:r w:rsidR="00FF5387">
        <w:t>f work </w:t>
      </w:r>
      <w:r w:rsidR="00FE714E">
        <w:t>streams designed to focus on specific deliverables to ensure that SASSA would meet the court imposed deadline”.</w:t>
      </w:r>
      <w:r w:rsidR="00FE714E">
        <w:rPr>
          <w:rStyle w:val="FootnoteReference"/>
        </w:rPr>
        <w:footnoteReference w:id="18"/>
      </w:r>
      <w:r w:rsidR="00FE714E">
        <w:t xml:space="preserve"> </w:t>
      </w:r>
      <w:r w:rsidR="00A618F5">
        <w:t xml:space="preserve"> </w:t>
      </w:r>
      <w:r w:rsidR="00FE714E">
        <w:t xml:space="preserve">The involvement of these </w:t>
      </w:r>
      <w:r w:rsidR="0055639F">
        <w:t>“</w:t>
      </w:r>
      <w:r w:rsidR="00FE714E">
        <w:t>work</w:t>
      </w:r>
      <w:r w:rsidR="0055639F">
        <w:t xml:space="preserve"> </w:t>
      </w:r>
      <w:r w:rsidR="00FE714E">
        <w:t>streams</w:t>
      </w:r>
      <w:r w:rsidR="0055639F">
        <w:t>”</w:t>
      </w:r>
      <w:r w:rsidR="00FE714E">
        <w:t xml:space="preserve"> will become a crucial and disputed part of what happened next.</w:t>
      </w:r>
    </w:p>
    <w:p w:rsidR="00FE714E" w:rsidRDefault="00FE714E" w:rsidP="00FE714E">
      <w:pPr>
        <w:pStyle w:val="JUDGMENTCONTINUED"/>
      </w:pPr>
    </w:p>
    <w:p w:rsidR="00250E2C" w:rsidRDefault="00FE714E" w:rsidP="00250E2C">
      <w:pPr>
        <w:pStyle w:val="JUDGMENTNUMBERED"/>
      </w:pPr>
      <w:r>
        <w:t>The Minister is rather coy about her personal involvement in the pro</w:t>
      </w:r>
      <w:r w:rsidR="00BA3710">
        <w:t>c</w:t>
      </w:r>
      <w:r>
        <w:t xml:space="preserve">ess. </w:t>
      </w:r>
      <w:r w:rsidR="00BA3710">
        <w:t xml:space="preserve"> </w:t>
      </w:r>
      <w:r>
        <w:t>She refers t</w:t>
      </w:r>
      <w:r w:rsidR="008E15DB">
        <w:t>o the minutes of the SASSA Execu</w:t>
      </w:r>
      <w:r>
        <w:t>tive Committee</w:t>
      </w:r>
      <w:r w:rsidR="008E15DB">
        <w:t xml:space="preserve"> up to April</w:t>
      </w:r>
      <w:r w:rsidR="00341567">
        <w:t> </w:t>
      </w:r>
      <w:r w:rsidR="008E15DB">
        <w:t xml:space="preserve">2016 to indicate what progress was being made. </w:t>
      </w:r>
      <w:r w:rsidR="00A618F5">
        <w:t xml:space="preserve"> </w:t>
      </w:r>
      <w:r w:rsidR="008E15DB">
        <w:t>She states that during April</w:t>
      </w:r>
      <w:r w:rsidR="00341567">
        <w:t> </w:t>
      </w:r>
      <w:r w:rsidR="008E15DB">
        <w:t xml:space="preserve">2016, in preparation for this deadline, she met with SASSA officials and the government printing works regarding the printing of beneficiary cards. </w:t>
      </w:r>
      <w:r w:rsidR="00A618F5">
        <w:t xml:space="preserve"> </w:t>
      </w:r>
      <w:r w:rsidR="008E15DB">
        <w:t>Notwithstanding this, however, it was clear to SASSA officials that</w:t>
      </w:r>
      <w:r w:rsidR="00FC7B44">
        <w:t>,</w:t>
      </w:r>
      <w:r w:rsidR="008E15DB">
        <w:t xml:space="preserve"> based on their progress at that stage, SASSA would not be able to meet the 1 April 2017 deadline.</w:t>
      </w:r>
      <w:r w:rsidR="00250E2C">
        <w:t xml:space="preserve"> </w:t>
      </w:r>
      <w:r w:rsidR="00A618F5">
        <w:t xml:space="preserve"> </w:t>
      </w:r>
      <w:r w:rsidR="00250E2C">
        <w:t xml:space="preserve">They obtained legal advice to approach this Court to request directions as to whether it wished to resume its supervisory jurisdiction. </w:t>
      </w:r>
      <w:r w:rsidR="00A618F5">
        <w:t xml:space="preserve"> </w:t>
      </w:r>
      <w:r w:rsidR="00250E2C">
        <w:t xml:space="preserve">That legal opinion was received by the project manager of the work streams on 10 June 2016, but the Minister </w:t>
      </w:r>
      <w:r w:rsidR="006D37BA">
        <w:t xml:space="preserve">says she never </w:t>
      </w:r>
      <w:r w:rsidR="00250E2C">
        <w:t xml:space="preserve">saw it </w:t>
      </w:r>
      <w:r w:rsidR="00341567">
        <w:t>“</w:t>
      </w:r>
      <w:r w:rsidR="00250E2C">
        <w:t>until after October 2016</w:t>
      </w:r>
      <w:r w:rsidR="00341567">
        <w:t>”</w:t>
      </w:r>
      <w:r w:rsidR="00250E2C">
        <w:t>.</w:t>
      </w:r>
    </w:p>
    <w:p w:rsidR="00250E2C" w:rsidRDefault="00250E2C" w:rsidP="00250E2C">
      <w:pPr>
        <w:pStyle w:val="JUDGMENTCONTINUED"/>
      </w:pPr>
    </w:p>
    <w:p w:rsidR="00250E2C" w:rsidRDefault="00250E2C" w:rsidP="00250E2C">
      <w:pPr>
        <w:pStyle w:val="JUDGMENTNUMBERED"/>
      </w:pPr>
      <w:r>
        <w:t xml:space="preserve">There is no indication in the Minister’s affidavit what, if anything, she did to keep up to date with progress between April </w:t>
      </w:r>
      <w:r w:rsidR="00363ED7">
        <w:t xml:space="preserve">and </w:t>
      </w:r>
      <w:r>
        <w:t xml:space="preserve">October 2016. </w:t>
      </w:r>
      <w:r w:rsidR="007F78FB">
        <w:t xml:space="preserve"> </w:t>
      </w:r>
      <w:r>
        <w:t xml:space="preserve">On her version she did not do anything because she </w:t>
      </w:r>
      <w:r w:rsidR="00166B38">
        <w:t>“</w:t>
      </w:r>
      <w:r>
        <w:t xml:space="preserve">assumed that the existing reporting chain and communication channels were working and that </w:t>
      </w:r>
      <w:r w:rsidR="007F78FB">
        <w:t>[she]</w:t>
      </w:r>
      <w:r>
        <w:t xml:space="preserve"> would be informed if anything of consequence arose</w:t>
      </w:r>
      <w:r w:rsidR="00166B38">
        <w:t>”</w:t>
      </w:r>
      <w:r>
        <w:t>.</w:t>
      </w:r>
      <w:r w:rsidR="00D87AF1">
        <w:t xml:space="preserve"> </w:t>
      </w:r>
      <w:r w:rsidR="00166B38">
        <w:t xml:space="preserve"> </w:t>
      </w:r>
      <w:r w:rsidR="00D87AF1">
        <w:t>On her version this was never done, despite SASSA officials becoming aware in April 2016 that the deadline could not be met; that legal opinion suggested seeking further directions from this Court; and that the work streams were formally appointed in June 2016.</w:t>
      </w:r>
    </w:p>
    <w:p w:rsidR="00A618F5" w:rsidRPr="00A618F5" w:rsidRDefault="00A618F5" w:rsidP="00B860C5">
      <w:pPr>
        <w:pStyle w:val="JUDGMENTCONTINUED"/>
      </w:pPr>
    </w:p>
    <w:p w:rsidR="00D87AF1" w:rsidRDefault="00D87AF1" w:rsidP="00D87AF1">
      <w:pPr>
        <w:pStyle w:val="JUDGMENTNUMBERED"/>
      </w:pPr>
      <w:r>
        <w:t xml:space="preserve">Her affidavit contains more detail of what she did after October 2016. </w:t>
      </w:r>
      <w:r w:rsidR="00A618F5">
        <w:t xml:space="preserve"> </w:t>
      </w:r>
      <w:r>
        <w:t>It apparently became clearer that the deadline would not be met</w:t>
      </w:r>
      <w:r w:rsidR="00DE289B">
        <w:t xml:space="preserve">, but again this came to her attention </w:t>
      </w:r>
      <w:r w:rsidR="00472B38">
        <w:t xml:space="preserve">only </w:t>
      </w:r>
      <w:r w:rsidR="00DE289B">
        <w:t xml:space="preserve">towards the end of October 2016. </w:t>
      </w:r>
      <w:r w:rsidR="00A618F5">
        <w:t xml:space="preserve"> </w:t>
      </w:r>
      <w:r w:rsidR="00DE289B">
        <w:t xml:space="preserve">On 1 November </w:t>
      </w:r>
      <w:r w:rsidR="00E64E40">
        <w:t xml:space="preserve">2016 </w:t>
      </w:r>
      <w:r w:rsidR="004820F4">
        <w:t>Mr M</w:t>
      </w:r>
      <w:r w:rsidR="00DE289B">
        <w:t>agwaza officially commenced as the new Chief Executive Officer</w:t>
      </w:r>
      <w:r w:rsidR="004820F4">
        <w:t xml:space="preserve"> (CEO)</w:t>
      </w:r>
      <w:r w:rsidR="00DE289B">
        <w:t xml:space="preserve"> of SASSA. </w:t>
      </w:r>
      <w:r w:rsidR="00A618F5">
        <w:t xml:space="preserve"> </w:t>
      </w:r>
      <w:r w:rsidR="00DE289B">
        <w:t>In December</w:t>
      </w:r>
      <w:r w:rsidR="00A446E8">
        <w:t> </w:t>
      </w:r>
      <w:r w:rsidR="00DE289B">
        <w:t xml:space="preserve">2016 she urged him to report to </w:t>
      </w:r>
      <w:r w:rsidR="00476FE0">
        <w:t xml:space="preserve">this </w:t>
      </w:r>
      <w:r w:rsidR="00DE289B">
        <w:t xml:space="preserve">Court that SASSA would not be able to pay the grants, but he refused to file an affidavit in December 2016 and indicated that he needed more time and that he would rather report to the Court in January 2017. </w:t>
      </w:r>
      <w:r w:rsidR="00A618F5">
        <w:t xml:space="preserve"> </w:t>
      </w:r>
      <w:r w:rsidR="00DE289B">
        <w:t>Despite this</w:t>
      </w:r>
      <w:r w:rsidR="00C33383">
        <w:t>,</w:t>
      </w:r>
      <w:r w:rsidR="00DE289B">
        <w:t xml:space="preserve"> she continued to explore further possibilities </w:t>
      </w:r>
      <w:r w:rsidR="00ED2A00">
        <w:t>“</w:t>
      </w:r>
      <w:r w:rsidR="00DE289B">
        <w:t>and remained conscious that the approach to the Court may require deviation as well as a defined alternative to the November 2015 pla</w:t>
      </w:r>
      <w:r w:rsidR="00ED2A00">
        <w:t>n”</w:t>
      </w:r>
      <w:r w:rsidR="00DE289B">
        <w:t>.</w:t>
      </w:r>
    </w:p>
    <w:p w:rsidR="00DE289B" w:rsidRDefault="00DE289B" w:rsidP="00DE289B">
      <w:pPr>
        <w:pStyle w:val="JUDGMENTCONTINUED"/>
      </w:pPr>
    </w:p>
    <w:p w:rsidR="00DE289B" w:rsidRDefault="00DE289B" w:rsidP="00DE289B">
      <w:pPr>
        <w:pStyle w:val="JUDGMENTNUMBERED"/>
      </w:pPr>
      <w:r>
        <w:t xml:space="preserve">On 22 February 2017 the Minister informed Parliament that SASSA would not make an application to </w:t>
      </w:r>
      <w:r w:rsidR="001D6D96">
        <w:t xml:space="preserve">this </w:t>
      </w:r>
      <w:r>
        <w:t>Court</w:t>
      </w:r>
      <w:r w:rsidR="00711EA0">
        <w:t>, but would report to this Court before 31</w:t>
      </w:r>
      <w:r w:rsidR="00A446E8">
        <w:t> </w:t>
      </w:r>
      <w:r w:rsidR="00711EA0">
        <w:t>March</w:t>
      </w:r>
      <w:r w:rsidR="00AA77A6">
        <w:t> </w:t>
      </w:r>
      <w:r w:rsidR="00711EA0">
        <w:t>2017 in relation to the stat</w:t>
      </w:r>
      <w:r w:rsidR="001D7C7B">
        <w:t>e</w:t>
      </w:r>
      <w:r w:rsidR="00711EA0">
        <w:t xml:space="preserve"> of affairs at SASSA. </w:t>
      </w:r>
      <w:r w:rsidR="00A618F5">
        <w:t xml:space="preserve"> </w:t>
      </w:r>
      <w:r w:rsidR="00711EA0">
        <w:t xml:space="preserve">Before </w:t>
      </w:r>
      <w:r w:rsidR="009B1BFB">
        <w:t xml:space="preserve">any report, </w:t>
      </w:r>
      <w:r w:rsidR="00711EA0">
        <w:t>Mr</w:t>
      </w:r>
      <w:r w:rsidR="00AA77A6">
        <w:t> </w:t>
      </w:r>
      <w:r w:rsidR="00711EA0">
        <w:t>Magwaza, without consulting her, instituted an application on 28</w:t>
      </w:r>
      <w:r w:rsidR="00A446E8">
        <w:t> </w:t>
      </w:r>
      <w:r w:rsidR="00711EA0">
        <w:t xml:space="preserve">February 2017 </w:t>
      </w:r>
      <w:r w:rsidR="00C23708">
        <w:t xml:space="preserve">in </w:t>
      </w:r>
      <w:r w:rsidR="00711EA0">
        <w:t xml:space="preserve">this Court requesting its assistance in ensuring that Cash Paymaster Services </w:t>
      </w:r>
      <w:r w:rsidR="00E64E40">
        <w:t xml:space="preserve">(Pty) Limited (CPS) </w:t>
      </w:r>
      <w:r w:rsidR="00711EA0">
        <w:t xml:space="preserve">could continue making payment of the grants after 1 April 2017 for a further period of one year. </w:t>
      </w:r>
      <w:r w:rsidR="00A618F5">
        <w:t xml:space="preserve"> </w:t>
      </w:r>
      <w:r w:rsidR="00711EA0">
        <w:t xml:space="preserve">She instructed </w:t>
      </w:r>
      <w:r w:rsidR="004820F4">
        <w:t xml:space="preserve">that </w:t>
      </w:r>
      <w:r w:rsidR="00711EA0">
        <w:t xml:space="preserve">the application be withdrawn. </w:t>
      </w:r>
      <w:r w:rsidR="00A618F5">
        <w:t xml:space="preserve"> </w:t>
      </w:r>
      <w:r w:rsidR="00711EA0">
        <w:t xml:space="preserve">Black Sash </w:t>
      </w:r>
      <w:r w:rsidR="00E64E40">
        <w:t xml:space="preserve">Trust </w:t>
      </w:r>
      <w:r w:rsidR="00711EA0">
        <w:t>instituted proceedings on 28</w:t>
      </w:r>
      <w:r w:rsidR="00AA77A6">
        <w:t> </w:t>
      </w:r>
      <w:r w:rsidR="00711EA0">
        <w:t>February</w:t>
      </w:r>
      <w:r w:rsidR="00AA77A6">
        <w:t> </w:t>
      </w:r>
      <w:r w:rsidR="00711EA0">
        <w:t>2017.</w:t>
      </w:r>
    </w:p>
    <w:p w:rsidR="00711EA0" w:rsidRDefault="00711EA0" w:rsidP="00711EA0">
      <w:pPr>
        <w:pStyle w:val="JUDGMENTCONTINUED"/>
      </w:pPr>
    </w:p>
    <w:p w:rsidR="0088165F" w:rsidRDefault="0088165F" w:rsidP="0088165F">
      <w:pPr>
        <w:pStyle w:val="JUDGMENTNUMBERED"/>
      </w:pPr>
      <w:r>
        <w:t xml:space="preserve">The Minister also urges the Court to take into account the </w:t>
      </w:r>
      <w:r w:rsidR="00A618F5">
        <w:t>“</w:t>
      </w:r>
      <w:r>
        <w:t>turnover of leadership at SASSA between 2012 and 2016</w:t>
      </w:r>
      <w:r w:rsidR="00A618F5">
        <w:t>”</w:t>
      </w:r>
      <w:r>
        <w:t xml:space="preserve">. </w:t>
      </w:r>
      <w:r w:rsidR="00A618F5">
        <w:t xml:space="preserve"> </w:t>
      </w:r>
      <w:r>
        <w:t>In May 2016 the then CEO stepped down and an acting appointment was made until 31 October</w:t>
      </w:r>
      <w:r w:rsidR="002D4091">
        <w:t xml:space="preserve"> 2016</w:t>
      </w:r>
      <w:r>
        <w:t>, before Mr</w:t>
      </w:r>
      <w:r w:rsidR="00AA77A6">
        <w:t> </w:t>
      </w:r>
      <w:r>
        <w:t xml:space="preserve">Magwaza took over. </w:t>
      </w:r>
      <w:r w:rsidR="00A618F5">
        <w:t xml:space="preserve"> </w:t>
      </w:r>
      <w:r>
        <w:t xml:space="preserve">His failure </w:t>
      </w:r>
      <w:r w:rsidR="00A618F5">
        <w:t>“</w:t>
      </w:r>
      <w:r>
        <w:t>to engage comprehensively</w:t>
      </w:r>
      <w:r w:rsidR="00A618F5">
        <w:t>”</w:t>
      </w:r>
      <w:r>
        <w:t xml:space="preserve"> with her during this critical time contributed, in the Minister’s view</w:t>
      </w:r>
      <w:r w:rsidR="00472B38">
        <w:t>,</w:t>
      </w:r>
      <w:r>
        <w:t xml:space="preserve"> to the delays in implementation.</w:t>
      </w:r>
    </w:p>
    <w:p w:rsidR="0088165F" w:rsidRDefault="0088165F" w:rsidP="0088165F">
      <w:pPr>
        <w:pStyle w:val="JUDGMENTCONTINUED"/>
      </w:pPr>
    </w:p>
    <w:p w:rsidR="0088165F" w:rsidRDefault="0088165F" w:rsidP="0088165F">
      <w:pPr>
        <w:pStyle w:val="JUDGMENTNUMBERED"/>
      </w:pPr>
      <w:r>
        <w:t xml:space="preserve">Enter Mr Magwaza himself, with leave of the </w:t>
      </w:r>
      <w:r w:rsidR="00472B38">
        <w:t>C</w:t>
      </w:r>
      <w:r>
        <w:t xml:space="preserve">ourt to </w:t>
      </w:r>
      <w:r w:rsidR="002164A9">
        <w:t xml:space="preserve">join </w:t>
      </w:r>
      <w:r>
        <w:t>the fray.</w:t>
      </w:r>
      <w:r>
        <w:rPr>
          <w:rStyle w:val="FootnoteReference"/>
        </w:rPr>
        <w:footnoteReference w:id="19"/>
      </w:r>
      <w:r>
        <w:t xml:space="preserve"> </w:t>
      </w:r>
      <w:r w:rsidR="00A618F5">
        <w:t xml:space="preserve"> </w:t>
      </w:r>
      <w:r>
        <w:t xml:space="preserve">He starts off with something the Minister did not deal with in her affidavit, namely her personal decision to appoint work streams and work stream leaders. </w:t>
      </w:r>
      <w:r w:rsidR="00A618F5">
        <w:t xml:space="preserve"> </w:t>
      </w:r>
      <w:r>
        <w:t>In support of the allegation a letter from her to the previous CEO, dated 9 July 2015, was attached to his affidavit.</w:t>
      </w:r>
      <w:r>
        <w:rPr>
          <w:rStyle w:val="FootnoteReference"/>
        </w:rPr>
        <w:footnoteReference w:id="20"/>
      </w:r>
      <w:r>
        <w:t xml:space="preserve"> </w:t>
      </w:r>
      <w:r w:rsidR="00A618F5">
        <w:t xml:space="preserve"> </w:t>
      </w:r>
      <w:r>
        <w:t xml:space="preserve">From this letter it appears that the Minister appointed individuals as part of the work streams and that they reported directly to her, and not to the executive board of SASSA. </w:t>
      </w:r>
      <w:r w:rsidR="00A618F5">
        <w:t xml:space="preserve"> </w:t>
      </w:r>
      <w:r>
        <w:t xml:space="preserve">Mr Magwaza asserts that the process to implement SASSA’s plan to pay the social grants itself </w:t>
      </w:r>
      <w:r w:rsidR="00A618F5">
        <w:t>“</w:t>
      </w:r>
      <w:r w:rsidRPr="00AC4010">
        <w:t xml:space="preserve">was derailed once the Minister directed SASSA to appoint the work streams in accordance with her directive </w:t>
      </w:r>
      <w:r w:rsidRPr="00A866AC">
        <w:t>set out in her letter of 9</w:t>
      </w:r>
      <w:r w:rsidR="00A446E8">
        <w:t> </w:t>
      </w:r>
      <w:r w:rsidRPr="00A866AC">
        <w:t>July</w:t>
      </w:r>
      <w:r w:rsidR="00A446E8">
        <w:t> </w:t>
      </w:r>
      <w:r w:rsidRPr="00A866AC">
        <w:t>2015</w:t>
      </w:r>
      <w:r w:rsidR="00A618F5">
        <w:t>”</w:t>
      </w:r>
      <w:r>
        <w:t>.</w:t>
      </w:r>
      <w:r w:rsidR="00A618F5">
        <w:t xml:space="preserve"> </w:t>
      </w:r>
      <w:r>
        <w:t xml:space="preserve"> He also directly dispute</w:t>
      </w:r>
      <w:r w:rsidR="002B55DB">
        <w:t>s</w:t>
      </w:r>
      <w:r>
        <w:t xml:space="preserve"> other aspects of the Minister’s affidavit.</w:t>
      </w:r>
    </w:p>
    <w:p w:rsidR="0088165F" w:rsidRDefault="0088165F" w:rsidP="0088165F">
      <w:pPr>
        <w:pStyle w:val="JUDGMENTCONTINUED"/>
      </w:pPr>
    </w:p>
    <w:p w:rsidR="0088165F" w:rsidRDefault="0088165F" w:rsidP="0088165F">
      <w:pPr>
        <w:pStyle w:val="JUDGMENTNUMBERED"/>
      </w:pPr>
      <w:r>
        <w:t xml:space="preserve">Mr Magwaza </w:t>
      </w:r>
      <w:r w:rsidR="00DF35DC">
        <w:t xml:space="preserve">said that he </w:t>
      </w:r>
      <w:r>
        <w:t xml:space="preserve">called upon Mr Dangor to file an affidavit to assist the Court in coming to a </w:t>
      </w:r>
      <w:r w:rsidR="00A618F5">
        <w:t>“</w:t>
      </w:r>
      <w:r>
        <w:t>just and equitable decision</w:t>
      </w:r>
      <w:r w:rsidR="00A618F5">
        <w:t>”</w:t>
      </w:r>
      <w:r>
        <w:t xml:space="preserve">. </w:t>
      </w:r>
      <w:r w:rsidR="00A618F5">
        <w:t xml:space="preserve"> </w:t>
      </w:r>
      <w:r>
        <w:t xml:space="preserve">Mr Dangor’s affidavit confirms that the work streams differed from the governance protocol </w:t>
      </w:r>
      <w:r w:rsidR="00A618F5">
        <w:t>“</w:t>
      </w:r>
      <w:r>
        <w:t>insofar as it by-passed the SASSA executive committee including the acting CEO by giving Ms Mvulane</w:t>
      </w:r>
      <w:r w:rsidR="009D0FEA">
        <w:t xml:space="preserve"> [project manager]</w:t>
      </w:r>
      <w:r>
        <w:t xml:space="preserve"> and the independent consultants direct access to the Minister. </w:t>
      </w:r>
      <w:r w:rsidR="00A618F5">
        <w:t xml:space="preserve"> </w:t>
      </w:r>
      <w:r>
        <w:t>This created parallel reporting structures</w:t>
      </w:r>
      <w:r w:rsidR="00A618F5">
        <w:t>”</w:t>
      </w:r>
      <w:r>
        <w:t>.</w:t>
      </w:r>
    </w:p>
    <w:p w:rsidR="0088165F" w:rsidRDefault="0088165F" w:rsidP="0088165F">
      <w:pPr>
        <w:pStyle w:val="JUDGMENTCONTINUED"/>
      </w:pPr>
    </w:p>
    <w:p w:rsidR="0088165F" w:rsidRDefault="0088165F" w:rsidP="0088165F">
      <w:pPr>
        <w:pStyle w:val="JUDGMENTNUMBERED"/>
      </w:pPr>
      <w:r>
        <w:t>After setting out a fairly detailed version of the events between October 2016 and March 2017, Mr Dangor states:</w:t>
      </w:r>
    </w:p>
    <w:p w:rsidR="00A618F5" w:rsidRPr="00A618F5" w:rsidRDefault="00A618F5" w:rsidP="00B860C5">
      <w:pPr>
        <w:pStyle w:val="QUOTATION"/>
      </w:pPr>
    </w:p>
    <w:p w:rsidR="0088165F" w:rsidRDefault="0088165F">
      <w:pPr>
        <w:pStyle w:val="QUOTATION"/>
      </w:pPr>
      <w:r>
        <w:t>“These processes serve to confirm that Mr M</w:t>
      </w:r>
      <w:r w:rsidR="009D0FEA">
        <w:t>agwaza cannot be blamed for non</w:t>
      </w:r>
      <w:r w:rsidR="009D0FEA">
        <w:noBreakHyphen/>
      </w:r>
      <w:r>
        <w:t>compliance with filing a document with the Constitutional Court as suggested in the Minister’s affidavit.</w:t>
      </w:r>
      <w:r w:rsidR="00A618F5">
        <w:t xml:space="preserve">  </w:t>
      </w:r>
      <w:r>
        <w:t>It further serves to strengthen the views that Mr</w:t>
      </w:r>
      <w:r w:rsidR="00DF35DC">
        <w:t>. </w:t>
      </w:r>
      <w:r>
        <w:t>Magwaza, others and I held that the parallel decision-making</w:t>
      </w:r>
      <w:r w:rsidR="009D0FEA">
        <w:t xml:space="preserve"> structures in the form of work</w:t>
      </w:r>
      <w:r w:rsidR="009D0FEA">
        <w:noBreakHyphen/>
      </w:r>
      <w:r>
        <w:t>streams may have been deliberate to ensure a continued relationship with CPS under conditions favourable to CPS, through a self-created emergency.”</w:t>
      </w:r>
    </w:p>
    <w:p w:rsidR="00A618F5" w:rsidRPr="00A618F5" w:rsidRDefault="00A618F5" w:rsidP="00B860C5">
      <w:pPr>
        <w:pStyle w:val="JUDGMENTCONTINUED"/>
      </w:pPr>
    </w:p>
    <w:p w:rsidR="0088165F" w:rsidRDefault="0088165F" w:rsidP="0088165F">
      <w:pPr>
        <w:pStyle w:val="JUDGMENTCONTINUED"/>
      </w:pPr>
      <w:r>
        <w:t>Mr Dangor’s affidavit also refers to other instances show</w:t>
      </w:r>
      <w:r w:rsidR="00841DA9">
        <w:t>ing</w:t>
      </w:r>
      <w:r>
        <w:t xml:space="preserve"> that the Minister must have been aware of the inability of SASSA to comply with the 31 March 2017 deadline earlier than October 2016.</w:t>
      </w:r>
    </w:p>
    <w:p w:rsidR="0088165F" w:rsidRDefault="0088165F" w:rsidP="0088165F">
      <w:pPr>
        <w:pStyle w:val="JUDGMENTCONTINUED"/>
      </w:pPr>
    </w:p>
    <w:p w:rsidR="0088165F" w:rsidRDefault="0088165F" w:rsidP="0088165F">
      <w:pPr>
        <w:pStyle w:val="JUDGMENTNUMBERED"/>
      </w:pPr>
      <w:r>
        <w:t xml:space="preserve">These are serious allegations. </w:t>
      </w:r>
      <w:r w:rsidR="00A618F5">
        <w:t xml:space="preserve"> </w:t>
      </w:r>
      <w:r>
        <w:t>If it is correct that the Minister appointed the members of the work streams and that they reported directly to her in contravention of governance protocol, then her failure to disclose this to the Court bears strongly on whether she has acted in good faith or not.</w:t>
      </w:r>
      <w:r w:rsidR="00A618F5">
        <w:t xml:space="preserve"> </w:t>
      </w:r>
      <w:r w:rsidR="00B860C5">
        <w:t xml:space="preserve"> </w:t>
      </w:r>
      <w:r>
        <w:t xml:space="preserve">For the moment, however, the allegations stand untested. </w:t>
      </w:r>
      <w:r w:rsidR="00A618F5">
        <w:t xml:space="preserve"> </w:t>
      </w:r>
      <w:r>
        <w:t>That raises the question</w:t>
      </w:r>
      <w:r w:rsidR="00695141">
        <w:t xml:space="preserve">: </w:t>
      </w:r>
      <w:r>
        <w:t xml:space="preserve">how </w:t>
      </w:r>
      <w:r w:rsidR="00695141">
        <w:t xml:space="preserve">must </w:t>
      </w:r>
      <w:r>
        <w:t>the affidavit evidence before us be approached in determining whether a personal cost</w:t>
      </w:r>
      <w:r w:rsidR="00695141">
        <w:t>s</w:t>
      </w:r>
      <w:r>
        <w:t xml:space="preserve"> order against the Minister is justified</w:t>
      </w:r>
      <w:r w:rsidR="00E73647">
        <w:t>?</w:t>
      </w:r>
    </w:p>
    <w:p w:rsidR="0088165F" w:rsidRDefault="0088165F" w:rsidP="0088165F">
      <w:pPr>
        <w:pStyle w:val="JUDGMENTCONTINUED"/>
      </w:pPr>
    </w:p>
    <w:p w:rsidR="0088165F" w:rsidRDefault="0088165F" w:rsidP="00B860C5">
      <w:pPr>
        <w:pStyle w:val="HEADING"/>
      </w:pPr>
      <w:r>
        <w:t>Approach to undisputed and disputed allegations</w:t>
      </w:r>
    </w:p>
    <w:p w:rsidR="0088165F" w:rsidRDefault="00457CB4" w:rsidP="0088165F">
      <w:pPr>
        <w:pStyle w:val="JUDGMENTNUMBERED"/>
      </w:pPr>
      <w:r>
        <w:t>T</w:t>
      </w:r>
      <w:r w:rsidR="0088165F">
        <w:t xml:space="preserve">his Court cannot make an order adverse to the Minister on the basis of allegations that are untested and which she has not had an opportunity to challenge. </w:t>
      </w:r>
      <w:r w:rsidR="00A618F5">
        <w:t xml:space="preserve"> </w:t>
      </w:r>
      <w:r w:rsidR="0088165F">
        <w:t>It was argued in written submissions, however, that her own undisputed version is in itself sufficient to conclude that she acted in bad faith or, at the very least, in flagrant disregard of her statutory and constitutional obligations.</w:t>
      </w:r>
    </w:p>
    <w:p w:rsidR="0088165F" w:rsidRDefault="0088165F" w:rsidP="0088165F">
      <w:pPr>
        <w:pStyle w:val="JUDGMENTCONTINUED"/>
      </w:pPr>
    </w:p>
    <w:p w:rsidR="0088165F" w:rsidRDefault="0088165F" w:rsidP="0088165F">
      <w:pPr>
        <w:pStyle w:val="JUDGMENTNUMBERED"/>
      </w:pPr>
      <w:r>
        <w:t xml:space="preserve">There may be merit in these submissions, but it is not advisable to dispose of the matter piecemeal. </w:t>
      </w:r>
      <w:r w:rsidR="00A618F5">
        <w:t xml:space="preserve"> </w:t>
      </w:r>
      <w:r>
        <w:t>The issue of the Minister</w:t>
      </w:r>
      <w:r w:rsidR="00773CF2">
        <w:t>’s conduct surrounding the work </w:t>
      </w:r>
      <w:r>
        <w:t>streams need</w:t>
      </w:r>
      <w:r w:rsidR="0062376B">
        <w:t>s</w:t>
      </w:r>
      <w:r>
        <w:t xml:space="preserve"> to be resolved before coming to a final decision. </w:t>
      </w:r>
      <w:r w:rsidR="00A618F5">
        <w:t xml:space="preserve"> </w:t>
      </w:r>
      <w:r>
        <w:t xml:space="preserve">The question whether a Cabinet member may have acted in bad faith when called upon to explain her conduct to this Court cannot be left alone. </w:t>
      </w:r>
      <w:r w:rsidR="00A618F5">
        <w:t xml:space="preserve"> </w:t>
      </w:r>
      <w:r>
        <w:t>It must be resolved.</w:t>
      </w:r>
    </w:p>
    <w:p w:rsidR="0088165F" w:rsidRDefault="0088165F" w:rsidP="0088165F">
      <w:pPr>
        <w:pStyle w:val="JUDGMENTCONTINUED"/>
      </w:pPr>
    </w:p>
    <w:p w:rsidR="0088165F" w:rsidRDefault="0088165F" w:rsidP="0088165F">
      <w:pPr>
        <w:pStyle w:val="JUDGMENTNUMBERED"/>
      </w:pPr>
      <w:r>
        <w:t>In order to do that the parties will be given an opportunity to agree to a process under section 38 of the Superior Courts Act</w:t>
      </w:r>
      <w:r w:rsidR="00F20430">
        <w:rPr>
          <w:rStyle w:val="FootnoteReference"/>
        </w:rPr>
        <w:footnoteReference w:id="21"/>
      </w:r>
      <w:r>
        <w:t xml:space="preserve"> to resolve the issue, failing which the Court will determine the process to be followed.</w:t>
      </w:r>
      <w:r w:rsidR="006C7215">
        <w:rPr>
          <w:rStyle w:val="FootnoteReference"/>
        </w:rPr>
        <w:footnoteReference w:id="22"/>
      </w:r>
    </w:p>
    <w:p w:rsidR="0088165F" w:rsidRDefault="0088165F" w:rsidP="0088165F">
      <w:pPr>
        <w:pStyle w:val="JUDGMENTNUMBERED"/>
        <w:numPr>
          <w:ilvl w:val="0"/>
          <w:numId w:val="0"/>
        </w:numPr>
        <w:rPr>
          <w:i/>
        </w:rPr>
      </w:pPr>
    </w:p>
    <w:p w:rsidR="0088165F" w:rsidRDefault="0088165F" w:rsidP="00B860C5">
      <w:pPr>
        <w:pStyle w:val="HEADING"/>
      </w:pPr>
      <w:r>
        <w:t>Order</w:t>
      </w:r>
    </w:p>
    <w:p w:rsidR="0088165F" w:rsidRDefault="0088165F" w:rsidP="00B860C5">
      <w:pPr>
        <w:pStyle w:val="JUDGMENTNUMBERED"/>
        <w:spacing w:after="120"/>
      </w:pPr>
      <w:r>
        <w:t>The following order is made:</w:t>
      </w:r>
    </w:p>
    <w:p w:rsidR="0088165F" w:rsidRPr="00BA4FDC" w:rsidRDefault="0088165F" w:rsidP="0063247C">
      <w:pPr>
        <w:pStyle w:val="ORDER"/>
      </w:pPr>
      <w:r>
        <w:t>1</w:t>
      </w:r>
      <w:r w:rsidR="00AA77A6" w:rsidRPr="00BA4FDC">
        <w:t>.</w:t>
      </w:r>
      <w:r w:rsidR="00AA77A6">
        <w:tab/>
      </w:r>
      <w:r w:rsidRPr="00BA4FDC">
        <w:t xml:space="preserve">The Minister is joined as a party </w:t>
      </w:r>
      <w:r w:rsidRPr="00B860C5">
        <w:t>to</w:t>
      </w:r>
      <w:r w:rsidRPr="00BA4FDC">
        <w:t xml:space="preserve"> the proceedings</w:t>
      </w:r>
      <w:r w:rsidR="0007030F">
        <w:t xml:space="preserve"> in her personal capacity</w:t>
      </w:r>
      <w:r w:rsidRPr="00BA4FDC">
        <w:t>.</w:t>
      </w:r>
    </w:p>
    <w:p w:rsidR="0088165F" w:rsidRPr="00A866AC" w:rsidRDefault="0088165F" w:rsidP="0063247C">
      <w:pPr>
        <w:pStyle w:val="ORDER"/>
      </w:pPr>
      <w:r w:rsidRPr="00FE0D2B">
        <w:t>2</w:t>
      </w:r>
      <w:r w:rsidR="00AA77A6" w:rsidRPr="00FE0D2B">
        <w:t>.</w:t>
      </w:r>
      <w:r w:rsidR="00AA77A6">
        <w:tab/>
      </w:r>
      <w:r w:rsidRPr="00FE0D2B">
        <w:t>The parties must</w:t>
      </w:r>
      <w:r w:rsidR="000B7376" w:rsidRPr="00FE0D2B">
        <w:t>,</w:t>
      </w:r>
      <w:r w:rsidRPr="00FE0D2B">
        <w:t xml:space="preserve"> within 14 days</w:t>
      </w:r>
      <w:r w:rsidR="0007030F">
        <w:t xml:space="preserve"> of this judgment</w:t>
      </w:r>
      <w:r w:rsidR="00DF3779">
        <w:t>,</w:t>
      </w:r>
      <w:r w:rsidRPr="00FE0D2B">
        <w:t xml:space="preserve"> report to th</w:t>
      </w:r>
      <w:r w:rsidR="003B10B3" w:rsidRPr="00FE0D2B">
        <w:t>is</w:t>
      </w:r>
      <w:r w:rsidRPr="00AC4010">
        <w:t xml:space="preserve"> Court whether they have agreed to a process in terms of section 38 of the Superior Courts Act </w:t>
      </w:r>
      <w:r w:rsidR="00773CF2">
        <w:t xml:space="preserve">10 of 2013 </w:t>
      </w:r>
      <w:r w:rsidRPr="00AC4010">
        <w:t>in order to determine the issues relating to the Minister’s role and responsibility in the establishment and functioning of the w</w:t>
      </w:r>
      <w:r w:rsidRPr="00A866AC">
        <w:t>ork streams referred to in the affidavits filed by the Minister, Mr Magwaza and Mr</w:t>
      </w:r>
      <w:r w:rsidR="00AA77A6">
        <w:t> </w:t>
      </w:r>
      <w:r w:rsidRPr="00A866AC">
        <w:t>Dangor.</w:t>
      </w:r>
    </w:p>
    <w:p w:rsidR="0088165F" w:rsidRPr="00BA4FDC" w:rsidRDefault="0088165F" w:rsidP="0063247C">
      <w:pPr>
        <w:pStyle w:val="ORDER"/>
      </w:pPr>
      <w:r w:rsidRPr="00BA4FDC">
        <w:t>3</w:t>
      </w:r>
      <w:r w:rsidR="00AA77A6" w:rsidRPr="00BA4FDC">
        <w:t>.</w:t>
      </w:r>
      <w:r w:rsidR="00AA77A6">
        <w:tab/>
      </w:r>
      <w:r w:rsidRPr="00BA4FDC">
        <w:t>Failing agreement the Court will issue directions</w:t>
      </w:r>
      <w:r w:rsidR="008034CB" w:rsidRPr="00BA4FDC">
        <w:t xml:space="preserve"> determining the process</w:t>
      </w:r>
      <w:r w:rsidRPr="00BA4FDC">
        <w:t>.</w:t>
      </w:r>
    </w:p>
    <w:p w:rsidR="0088165F" w:rsidRDefault="0088165F" w:rsidP="0088165F">
      <w:pPr>
        <w:rPr>
          <w:lang w:val="en-AU"/>
        </w:rPr>
      </w:pPr>
    </w:p>
    <w:p w:rsidR="00FF06C7" w:rsidRDefault="00FF06C7" w:rsidP="0088165F">
      <w:pPr>
        <w:pStyle w:val="JUDGMENTNUMBERED"/>
        <w:numPr>
          <w:ilvl w:val="0"/>
          <w:numId w:val="0"/>
        </w:numPr>
        <w:rPr>
          <w:lang w:val="en-AU"/>
        </w:rPr>
        <w:sectPr w:rsidR="00FF06C7" w:rsidSect="00462494">
          <w:headerReference w:type="default" r:id="rId10"/>
          <w:footerReference w:type="default" r:id="rId11"/>
          <w:type w:val="continuous"/>
          <w:pgSz w:w="11907" w:h="16839" w:code="9"/>
          <w:pgMar w:top="1440" w:right="1440" w:bottom="1440" w:left="1440" w:header="708" w:footer="708" w:gutter="0"/>
          <w:cols w:space="708"/>
          <w:docGrid w:linePitch="360"/>
        </w:sectPr>
      </w:pPr>
    </w:p>
    <w:p w:rsidR="004D4A7F" w:rsidRDefault="004D4A7F" w:rsidP="0012145D">
      <w:pPr>
        <w:pStyle w:val="COUNSELDETAILS"/>
      </w:pPr>
      <w:r>
        <w:t>For the Applicant:</w:t>
      </w:r>
    </w:p>
    <w:p w:rsidR="004D4A7F" w:rsidRDefault="004D4A7F" w:rsidP="0012145D">
      <w:pPr>
        <w:pStyle w:val="COUNSELDETAILS"/>
      </w:pPr>
    </w:p>
    <w:p w:rsidR="004D4A7F" w:rsidRDefault="004D4A7F" w:rsidP="0012145D">
      <w:pPr>
        <w:pStyle w:val="COUNSELDETAILS"/>
      </w:pPr>
    </w:p>
    <w:p w:rsidR="004D4A7F" w:rsidRDefault="004D4A7F" w:rsidP="0012145D">
      <w:pPr>
        <w:pStyle w:val="COUNSELDETAILS"/>
      </w:pPr>
    </w:p>
    <w:p w:rsidR="004D4A7F" w:rsidRDefault="004D4A7F" w:rsidP="0012145D">
      <w:pPr>
        <w:pStyle w:val="COUNSELDETAILS"/>
      </w:pPr>
    </w:p>
    <w:p w:rsidR="0012145D" w:rsidRPr="00F22F98" w:rsidRDefault="0012145D" w:rsidP="0012145D">
      <w:pPr>
        <w:pStyle w:val="COUNSELDETAILS"/>
      </w:pPr>
      <w:r w:rsidRPr="00F22F98">
        <w:t>For the Intervening party:</w:t>
      </w: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r w:rsidRPr="00F22F98">
        <w:t>For the First Respondent:</w:t>
      </w: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r w:rsidRPr="00F22F98">
        <w:t>For the First Amicus Curiae:</w:t>
      </w: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4D4A7F" w:rsidRDefault="004D4A7F" w:rsidP="0012145D">
      <w:pPr>
        <w:pStyle w:val="COUNSELDETAILS"/>
        <w:jc w:val="left"/>
        <w:rPr>
          <w:lang w:val="af-ZA"/>
        </w:rPr>
      </w:pPr>
      <w:r>
        <w:rPr>
          <w:lang w:val="af-ZA"/>
        </w:rPr>
        <w:t>G Budle</w:t>
      </w:r>
      <w:r w:rsidR="00491543">
        <w:rPr>
          <w:lang w:val="af-ZA"/>
        </w:rPr>
        <w:t xml:space="preserve">nder SC, G Snyman and </w:t>
      </w:r>
      <w:r w:rsidR="00DF35DC">
        <w:rPr>
          <w:lang w:val="af-ZA"/>
        </w:rPr>
        <w:t>Z </w:t>
      </w:r>
      <w:r w:rsidR="00491543">
        <w:rPr>
          <w:lang w:val="af-ZA"/>
        </w:rPr>
        <w:t xml:space="preserve">Ngwenya </w:t>
      </w:r>
      <w:r>
        <w:rPr>
          <w:lang w:val="af-ZA"/>
        </w:rPr>
        <w:t>instructed by the Centre for Applied Legal Studies</w:t>
      </w:r>
    </w:p>
    <w:p w:rsidR="004D4A7F" w:rsidRDefault="004D4A7F" w:rsidP="0012145D">
      <w:pPr>
        <w:pStyle w:val="COUNSELDETAILS"/>
        <w:jc w:val="left"/>
        <w:rPr>
          <w:lang w:val="af-ZA"/>
        </w:rPr>
      </w:pPr>
    </w:p>
    <w:p w:rsidR="004D4A7F" w:rsidRDefault="004D4A7F" w:rsidP="0012145D">
      <w:pPr>
        <w:pStyle w:val="COUNSELDETAILS"/>
        <w:jc w:val="left"/>
        <w:rPr>
          <w:lang w:val="af-ZA"/>
        </w:rPr>
      </w:pPr>
    </w:p>
    <w:p w:rsidR="0012145D" w:rsidRPr="00F22F98" w:rsidRDefault="0012145D" w:rsidP="0012145D">
      <w:pPr>
        <w:pStyle w:val="COUNSELDETAILS"/>
        <w:jc w:val="left"/>
        <w:rPr>
          <w:lang w:val="af-ZA"/>
        </w:rPr>
      </w:pPr>
      <w:r w:rsidRPr="00F22F98">
        <w:rPr>
          <w:lang w:val="af-ZA"/>
        </w:rPr>
        <w:t>D U</w:t>
      </w:r>
      <w:r w:rsidR="004D4A7F">
        <w:rPr>
          <w:lang w:val="af-ZA"/>
        </w:rPr>
        <w:t>nterhalter SC, A Coutsoudis and X </w:t>
      </w:r>
      <w:r w:rsidRPr="00F22F98">
        <w:rPr>
          <w:lang w:val="af-ZA"/>
        </w:rPr>
        <w:t>Hilita instructed by Nortons Incorporated</w:t>
      </w: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491543" w:rsidP="0012145D">
      <w:pPr>
        <w:pStyle w:val="COUNSELDETAILS"/>
        <w:jc w:val="left"/>
        <w:rPr>
          <w:lang w:val="af-ZA"/>
        </w:rPr>
      </w:pPr>
      <w:r>
        <w:rPr>
          <w:lang w:val="af-ZA"/>
        </w:rPr>
        <w:t xml:space="preserve">IAM Semenya SC and S Kazee </w:t>
      </w:r>
      <w:r w:rsidR="0012145D" w:rsidRPr="00F22F98">
        <w:rPr>
          <w:lang w:val="af-ZA"/>
        </w:rPr>
        <w:t>instructed by Harris Nupen Molebatsi Incorporated</w:t>
      </w: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12145D" w:rsidRPr="00F22F98" w:rsidRDefault="00DF35DC" w:rsidP="0012145D">
      <w:pPr>
        <w:pStyle w:val="COUNSELDETAILS"/>
        <w:jc w:val="left"/>
        <w:rPr>
          <w:lang w:val="af-ZA"/>
        </w:rPr>
      </w:pPr>
      <w:r>
        <w:rPr>
          <w:lang w:val="af-ZA"/>
        </w:rPr>
        <w:t>S Budlender, L Kelly and K Van </w:t>
      </w:r>
      <w:r w:rsidR="00CE238A">
        <w:rPr>
          <w:lang w:val="af-ZA"/>
        </w:rPr>
        <w:t>Heerden instructed by Van </w:t>
      </w:r>
      <w:r w:rsidR="0012145D" w:rsidRPr="00F22F98">
        <w:rPr>
          <w:lang w:val="af-ZA"/>
        </w:rPr>
        <w:t>Hulsteyns Attorneys</w:t>
      </w:r>
    </w:p>
    <w:p w:rsidR="0012145D" w:rsidRPr="00F22F98" w:rsidRDefault="0012145D" w:rsidP="0012145D">
      <w:pPr>
        <w:pStyle w:val="COUNSELDETAILS"/>
        <w:jc w:val="left"/>
        <w:rPr>
          <w:lang w:val="af-ZA"/>
        </w:rPr>
      </w:pPr>
    </w:p>
    <w:p w:rsidR="0012145D" w:rsidRPr="00F22F98" w:rsidRDefault="0012145D" w:rsidP="0012145D">
      <w:pPr>
        <w:pStyle w:val="COUNSELDETAILS"/>
        <w:jc w:val="left"/>
        <w:rPr>
          <w:lang w:val="af-ZA"/>
        </w:rPr>
      </w:pPr>
    </w:p>
    <w:p w:rsidR="00BE7EB3" w:rsidRPr="0059723A" w:rsidRDefault="00BE7EB3" w:rsidP="00AA77A6">
      <w:pPr>
        <w:pStyle w:val="COUNSELDETAILS"/>
        <w:jc w:val="left"/>
        <w:rPr>
          <w:lang w:val="af-ZA"/>
        </w:rPr>
      </w:pPr>
    </w:p>
    <w:sectPr w:rsidR="00BE7EB3" w:rsidRPr="0059723A" w:rsidSect="00CE2AE0">
      <w:headerReference w:type="default" r:id="rId12"/>
      <w:footerReference w:type="default" r:id="rId13"/>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294D" w:rsidRDefault="008F294D" w:rsidP="00E4607C">
      <w:pPr>
        <w:spacing w:line="240" w:lineRule="auto"/>
      </w:pPr>
      <w:r>
        <w:separator/>
      </w:r>
    </w:p>
  </w:endnote>
  <w:endnote w:type="continuationSeparator" w:id="0">
    <w:p w:rsidR="008F294D" w:rsidRDefault="008F294D"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788679"/>
      <w:docPartObj>
        <w:docPartGallery w:val="Page Numbers (Bottom of Page)"/>
        <w:docPartUnique/>
      </w:docPartObj>
    </w:sdtPr>
    <w:sdtEndPr/>
    <w:sdtContent>
      <w:p w:rsidR="00462494" w:rsidRDefault="00295404">
        <w:pPr>
          <w:pStyle w:val="Footer"/>
          <w:jc w:val="center"/>
        </w:pPr>
        <w:r>
          <w:fldChar w:fldCharType="begin"/>
        </w:r>
        <w:r>
          <w:instrText xml:space="preserve"> PAGE   \* MERGEFORMAT </w:instrText>
        </w:r>
        <w:r>
          <w:fldChar w:fldCharType="separate"/>
        </w:r>
        <w:r w:rsidR="00A16B15">
          <w:rPr>
            <w:noProof/>
          </w:rPr>
          <w:t>3</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779553"/>
      <w:docPartObj>
        <w:docPartGallery w:val="Page Numbers (Bottom of Page)"/>
        <w:docPartUnique/>
      </w:docPartObj>
    </w:sdtPr>
    <w:sdtEndPr/>
    <w:sdtContent>
      <w:p w:rsidR="00462494" w:rsidRDefault="00295404">
        <w:pPr>
          <w:pStyle w:val="Footer"/>
          <w:jc w:val="center"/>
        </w:pPr>
        <w:r>
          <w:fldChar w:fldCharType="begin"/>
        </w:r>
        <w:r>
          <w:instrText xml:space="preserve"> PAGE   \* MERGEFORMAT </w:instrText>
        </w:r>
        <w:r>
          <w:fldChar w:fldCharType="separate"/>
        </w:r>
        <w:r w:rsidR="00A16B15">
          <w:rPr>
            <w:noProof/>
          </w:rPr>
          <w:t>12</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494" w:rsidRDefault="00462494"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294D" w:rsidRDefault="008F294D" w:rsidP="00E4607C">
      <w:pPr>
        <w:spacing w:line="240" w:lineRule="auto"/>
      </w:pPr>
      <w:r>
        <w:separator/>
      </w:r>
    </w:p>
  </w:footnote>
  <w:footnote w:type="continuationSeparator" w:id="0">
    <w:p w:rsidR="008F294D" w:rsidRDefault="008F294D" w:rsidP="00E4607C">
      <w:pPr>
        <w:spacing w:line="240" w:lineRule="auto"/>
      </w:pPr>
      <w:r>
        <w:continuationSeparator/>
      </w:r>
    </w:p>
  </w:footnote>
  <w:footnote w:id="1">
    <w:p w:rsidR="00462494" w:rsidRDefault="00462494">
      <w:pPr>
        <w:pStyle w:val="FootnoteText"/>
      </w:pPr>
      <w:r>
        <w:rPr>
          <w:rStyle w:val="FootnoteReference"/>
        </w:rPr>
        <w:footnoteRef/>
      </w:r>
      <w:r w:rsidRPr="00335D54">
        <w:rPr>
          <w:i/>
        </w:rPr>
        <w:t xml:space="preserve"> </w:t>
      </w:r>
      <w:r w:rsidRPr="00632B05">
        <w:rPr>
          <w:i/>
        </w:rPr>
        <w:t xml:space="preserve">Black Sash Trust v Minister of Social Development </w:t>
      </w:r>
      <w:r w:rsidRPr="00632B05">
        <w:t>[2017] ZACC 8; 2017 (5) BCLR 543 (CC)</w:t>
      </w:r>
      <w:r>
        <w:t>.</w:t>
      </w:r>
    </w:p>
  </w:footnote>
  <w:footnote w:id="2">
    <w:p w:rsidR="00462494" w:rsidRPr="00425C82" w:rsidRDefault="00462494">
      <w:pPr>
        <w:pStyle w:val="FootnoteText"/>
        <w:rPr>
          <w:i/>
        </w:rPr>
      </w:pPr>
      <w:r w:rsidRPr="00425C82">
        <w:rPr>
          <w:rStyle w:val="FootnoteReference"/>
        </w:rPr>
        <w:footnoteRef/>
      </w:r>
      <w:r>
        <w:t xml:space="preserve"> </w:t>
      </w:r>
      <w:r w:rsidRPr="001345CA">
        <w:rPr>
          <w:i/>
        </w:rPr>
        <w:t>Pheko v Ekurhuleni Metropolitan Municipality (No 2)</w:t>
      </w:r>
      <w:r w:rsidRPr="001345CA">
        <w:t xml:space="preserve"> [2015] ZACC 10; 2015 (5) SA 600 (CC); 2015 (6) BCLR 711 (CC)</w:t>
      </w:r>
      <w:r w:rsidR="00295404">
        <w:t xml:space="preserve"> at paras 14-5 and </w:t>
      </w:r>
      <w:r w:rsidR="00295404" w:rsidRPr="00295404">
        <w:rPr>
          <w:i/>
        </w:rPr>
        <w:t>Member of the Executive Council for Health, Gauteng v Lushaba</w:t>
      </w:r>
      <w:r w:rsidR="00295404" w:rsidRPr="00295404">
        <w:t xml:space="preserve"> [2016] ZACC 16; 2016 (8) BCLR 1069 (CC); 2017 (1) SA 106 (CC)</w:t>
      </w:r>
      <w:r w:rsidR="00295404">
        <w:t xml:space="preserve"> at paras 18-9</w:t>
      </w:r>
      <w:r>
        <w:t xml:space="preserve">.  See also </w:t>
      </w:r>
      <w:r>
        <w:rPr>
          <w:i/>
        </w:rPr>
        <w:t>Home Sites (Pty) Ltd v Senekal</w:t>
      </w:r>
      <w:r>
        <w:t xml:space="preserve"> 1948 (3) SA 514 (A) and </w:t>
      </w:r>
      <w:r>
        <w:rPr>
          <w:i/>
        </w:rPr>
        <w:t xml:space="preserve">Occupiers of Erf 101, 102, 104 and 112, Short Retreat Pietermaritzburg v Daisy Dear Investments (Pty) Ltd </w:t>
      </w:r>
      <w:r w:rsidRPr="00914281">
        <w:t xml:space="preserve">[2009] ZASCA 80; 2010 </w:t>
      </w:r>
      <w:r>
        <w:t>(4) BCLR 355 (SCA) at paras 11-</w:t>
      </w:r>
      <w:r w:rsidRPr="00914281">
        <w:t>2</w:t>
      </w:r>
      <w:r>
        <w:t>.</w:t>
      </w:r>
    </w:p>
  </w:footnote>
  <w:footnote w:id="3">
    <w:p w:rsidR="00462494" w:rsidRPr="00596E59" w:rsidRDefault="00462494">
      <w:pPr>
        <w:pStyle w:val="FootnoteText"/>
      </w:pPr>
      <w:r>
        <w:rPr>
          <w:rStyle w:val="FootnoteReference"/>
        </w:rPr>
        <w:footnoteRef/>
      </w:r>
      <w:r>
        <w:t xml:space="preserve"> </w:t>
      </w:r>
      <w:r>
        <w:rPr>
          <w:i/>
        </w:rPr>
        <w:t xml:space="preserve">Swartbooi v Brink </w:t>
      </w:r>
      <w:r>
        <w:t>[2003] ZACC 25; 2006 (1) SA 203 (CC); 2003 (5) BCLR 502 (CC) at para 7.</w:t>
      </w:r>
    </w:p>
  </w:footnote>
  <w:footnote w:id="4">
    <w:p w:rsidR="00462494" w:rsidRPr="0080145B" w:rsidRDefault="00462494">
      <w:pPr>
        <w:pStyle w:val="FootnoteText"/>
      </w:pPr>
      <w:r>
        <w:rPr>
          <w:rStyle w:val="FootnoteReference"/>
        </w:rPr>
        <w:footnoteRef/>
      </w:r>
      <w:r>
        <w:t xml:space="preserve"> </w:t>
      </w:r>
      <w:r>
        <w:rPr>
          <w:i/>
        </w:rPr>
        <w:t xml:space="preserve">Vermaak’s Executor v Vermaak’s Heirs </w:t>
      </w:r>
      <w:r w:rsidRPr="0080145B">
        <w:t>1909 TS 679 at 691.</w:t>
      </w:r>
    </w:p>
  </w:footnote>
  <w:footnote w:id="5">
    <w:p w:rsidR="00462494" w:rsidRDefault="00462494">
      <w:pPr>
        <w:pStyle w:val="FootnoteText"/>
      </w:pPr>
      <w:r>
        <w:rPr>
          <w:rStyle w:val="FootnoteReference"/>
        </w:rPr>
        <w:footnoteRef/>
      </w:r>
      <w:r>
        <w:t xml:space="preserve"> See, for example, </w:t>
      </w:r>
      <w:r w:rsidRPr="00B860C5">
        <w:rPr>
          <w:i/>
        </w:rPr>
        <w:t>Retief v Du Preez t/a Ardu Transport</w:t>
      </w:r>
      <w:r w:rsidRPr="007B092A">
        <w:t xml:space="preserve"> [2005] ZAGPHC 84</w:t>
      </w:r>
      <w:r>
        <w:t xml:space="preserve">; </w:t>
      </w:r>
      <w:r w:rsidRPr="00B860C5">
        <w:rPr>
          <w:i/>
        </w:rPr>
        <w:t>Baphalane ba Ramokoka Community v Minister of Agriculture and Land Affairs</w:t>
      </w:r>
      <w:r>
        <w:t xml:space="preserve"> </w:t>
      </w:r>
      <w:r w:rsidRPr="007B092A">
        <w:t>[2010] ZALCC 29</w:t>
      </w:r>
      <w:r>
        <w:t xml:space="preserve">; </w:t>
      </w:r>
      <w:r w:rsidRPr="00B860C5">
        <w:rPr>
          <w:i/>
        </w:rPr>
        <w:t>Brown v Papadatis And Another NNO</w:t>
      </w:r>
      <w:r w:rsidRPr="007B092A">
        <w:t xml:space="preserve"> 2009 (3) SA 542 (C) at 545J-546D</w:t>
      </w:r>
      <w:r>
        <w:t xml:space="preserve">; and </w:t>
      </w:r>
      <w:r w:rsidRPr="00112FEF">
        <w:rPr>
          <w:i/>
        </w:rPr>
        <w:t xml:space="preserve">Blom v Brown </w:t>
      </w:r>
      <w:r w:rsidRPr="00112FEF">
        <w:t>[2011] ZASCA 54</w:t>
      </w:r>
      <w:r>
        <w:t>; [2011] 3 All SA 223 (SCA).</w:t>
      </w:r>
    </w:p>
  </w:footnote>
  <w:footnote w:id="6">
    <w:p w:rsidR="00462494" w:rsidRDefault="00462494">
      <w:pPr>
        <w:pStyle w:val="FootnoteText"/>
      </w:pPr>
      <w:r>
        <w:rPr>
          <w:rStyle w:val="FootnoteReference"/>
        </w:rPr>
        <w:footnoteRef/>
      </w:r>
      <w:r>
        <w:t xml:space="preserve"> </w:t>
      </w:r>
      <w:r>
        <w:rPr>
          <w:i/>
        </w:rPr>
        <w:t xml:space="preserve">Regional Magistrate Du Preez v Walker </w:t>
      </w:r>
      <w:r>
        <w:t>1976 (4) SA 849 (A) at 853H (</w:t>
      </w:r>
      <w:r>
        <w:rPr>
          <w:i/>
        </w:rPr>
        <w:t>Regional Magistrate</w:t>
      </w:r>
      <w:r>
        <w:t xml:space="preserve">).  </w:t>
      </w:r>
      <w:r w:rsidRPr="001B3C83">
        <w:t xml:space="preserve">See </w:t>
      </w:r>
      <w:r>
        <w:t>also</w:t>
      </w:r>
      <w:r w:rsidRPr="001B3C83">
        <w:t xml:space="preserve"> </w:t>
      </w:r>
      <w:r w:rsidRPr="001B3C83">
        <w:rPr>
          <w:i/>
        </w:rPr>
        <w:t>Credex Finance (Pty) Ltd v Kuhn</w:t>
      </w:r>
      <w:r>
        <w:rPr>
          <w:i/>
        </w:rPr>
        <w:t xml:space="preserve"> </w:t>
      </w:r>
      <w:r w:rsidRPr="001B3C83">
        <w:t>1977 (3) SA</w:t>
      </w:r>
      <w:r>
        <w:t xml:space="preserve"> 482 (N) at 485D-C and 485G-486A.</w:t>
      </w:r>
    </w:p>
  </w:footnote>
  <w:footnote w:id="7">
    <w:p w:rsidR="00462494" w:rsidRDefault="00462494">
      <w:pPr>
        <w:pStyle w:val="FootnoteText"/>
      </w:pPr>
      <w:r>
        <w:rPr>
          <w:rStyle w:val="FootnoteReference"/>
        </w:rPr>
        <w:footnoteRef/>
      </w:r>
      <w:r>
        <w:t xml:space="preserve"> </w:t>
      </w:r>
      <w:r>
        <w:rPr>
          <w:i/>
        </w:rPr>
        <w:t xml:space="preserve">Moeca v Addisionele Kommissaris, Bloemfontein </w:t>
      </w:r>
      <w:r>
        <w:t>1981 (2) SA 357 (O).</w:t>
      </w:r>
    </w:p>
  </w:footnote>
  <w:footnote w:id="8">
    <w:p w:rsidR="00462494" w:rsidRDefault="00462494">
      <w:pPr>
        <w:pStyle w:val="FootnoteText"/>
      </w:pPr>
      <w:r>
        <w:rPr>
          <w:rStyle w:val="FootnoteReference"/>
        </w:rPr>
        <w:footnoteRef/>
      </w:r>
      <w:r>
        <w:t xml:space="preserve"> </w:t>
      </w:r>
      <w:r w:rsidRPr="00B860C5">
        <w:t>Id</w:t>
      </w:r>
      <w:r>
        <w:rPr>
          <w:i/>
        </w:rPr>
        <w:t xml:space="preserve"> </w:t>
      </w:r>
      <w:r>
        <w:t>at 366B-</w:t>
      </w:r>
      <w:r w:rsidRPr="001B3C83">
        <w:t>C</w:t>
      </w:r>
      <w:r>
        <w:t>.</w:t>
      </w:r>
    </w:p>
  </w:footnote>
  <w:footnote w:id="9">
    <w:p w:rsidR="00462494" w:rsidRDefault="00462494" w:rsidP="00335D54">
      <w:pPr>
        <w:pStyle w:val="FootnoteText"/>
      </w:pPr>
      <w:r>
        <w:rPr>
          <w:rStyle w:val="FootnoteReference"/>
        </w:rPr>
        <w:footnoteRef/>
      </w:r>
      <w:r>
        <w:t xml:space="preserve"> Section 1(d) of the Constitution reads:</w:t>
      </w:r>
    </w:p>
    <w:p w:rsidR="00462494" w:rsidRDefault="00462494" w:rsidP="00335D54">
      <w:pPr>
        <w:pStyle w:val="QUOTEINFOOTNOTE"/>
      </w:pPr>
      <w:r>
        <w:t>“The Republic of South Africa is one, sovereign, democratic state founded on the following values:</w:t>
      </w:r>
    </w:p>
    <w:p w:rsidR="00462494" w:rsidRPr="00462494" w:rsidRDefault="00462494" w:rsidP="00462494">
      <w:pPr>
        <w:pStyle w:val="QUOTEINFOOTNOTE"/>
        <w:ind w:left="1440" w:hanging="720"/>
      </w:pPr>
      <w:r>
        <w:t>. . .</w:t>
      </w:r>
    </w:p>
    <w:p w:rsidR="00462494" w:rsidRDefault="00462494" w:rsidP="00462494">
      <w:pPr>
        <w:pStyle w:val="QUOTEINFOOTNOTE"/>
        <w:ind w:left="1440" w:hanging="720"/>
      </w:pPr>
      <w:r>
        <w:t>(d)</w:t>
      </w:r>
      <w:r>
        <w:tab/>
        <w:t>Universal adult suffrage, a national common voters roll, regular elections, and a multi-party system of democratic government to ensure accountability, responsiveness and openness.”</w:t>
      </w:r>
    </w:p>
  </w:footnote>
  <w:footnote w:id="10">
    <w:p w:rsidR="00462494" w:rsidRDefault="00462494">
      <w:pPr>
        <w:pStyle w:val="FootnoteText"/>
      </w:pPr>
      <w:r>
        <w:rPr>
          <w:rStyle w:val="FootnoteReference"/>
        </w:rPr>
        <w:footnoteRef/>
      </w:r>
      <w:r>
        <w:t xml:space="preserve"> </w:t>
      </w:r>
      <w:r w:rsidRPr="00B860C5">
        <w:t>Section 41(1)(c)</w:t>
      </w:r>
      <w:r>
        <w:t xml:space="preserve"> of the Constitution.</w:t>
      </w:r>
    </w:p>
  </w:footnote>
  <w:footnote w:id="11">
    <w:p w:rsidR="00462494" w:rsidRDefault="00462494" w:rsidP="00335D54">
      <w:pPr>
        <w:pStyle w:val="FootnoteText"/>
      </w:pPr>
      <w:r>
        <w:rPr>
          <w:rStyle w:val="FootnoteReference"/>
        </w:rPr>
        <w:footnoteRef/>
      </w:r>
      <w:r>
        <w:t xml:space="preserve"> Section 195(1) of the Constitution, in relevant part, reads:</w:t>
      </w:r>
    </w:p>
    <w:p w:rsidR="00462494" w:rsidRDefault="00462494" w:rsidP="00335D54">
      <w:pPr>
        <w:pStyle w:val="QUOTEINFOOTNOTE"/>
      </w:pPr>
      <w:r>
        <w:t>“Public administration must be governed by the democratic values and principles enshrined in the Constitution, including the following principles:</w:t>
      </w:r>
    </w:p>
    <w:p w:rsidR="00462494" w:rsidRDefault="00462494" w:rsidP="00462494">
      <w:pPr>
        <w:pStyle w:val="QUOTEINFOOTNOTE"/>
        <w:ind w:left="1440" w:hanging="720"/>
      </w:pPr>
      <w:r>
        <w:t>(a)</w:t>
      </w:r>
      <w:r>
        <w:tab/>
        <w:t>A high standard of professional ethics must be promoted and maintained.</w:t>
      </w:r>
    </w:p>
    <w:p w:rsidR="00462494" w:rsidRDefault="00462494" w:rsidP="00462494">
      <w:pPr>
        <w:pStyle w:val="QUOTEINFOOTNOTE"/>
        <w:ind w:left="1440" w:hanging="720"/>
      </w:pPr>
      <w:r>
        <w:t>(b)</w:t>
      </w:r>
      <w:r>
        <w:tab/>
        <w:t>Efficient, economic and effective use of resources must be promoted.</w:t>
      </w:r>
    </w:p>
    <w:p w:rsidR="00462494" w:rsidRDefault="00462494" w:rsidP="00462494">
      <w:pPr>
        <w:pStyle w:val="QUOTEINFOOTNOTE"/>
        <w:ind w:left="1440" w:hanging="720"/>
      </w:pPr>
      <w:r>
        <w:t>(c)</w:t>
      </w:r>
      <w:r>
        <w:tab/>
        <w:t>. . .</w:t>
      </w:r>
    </w:p>
    <w:p w:rsidR="00462494" w:rsidRDefault="00462494" w:rsidP="00462494">
      <w:pPr>
        <w:pStyle w:val="QUOTEINFOOTNOTE"/>
        <w:ind w:left="1440" w:hanging="720"/>
      </w:pPr>
      <w:r>
        <w:t>(d)</w:t>
      </w:r>
      <w:r>
        <w:tab/>
        <w:t>Services must be provided impartially, fairly, equitably and without bias.</w:t>
      </w:r>
    </w:p>
    <w:p w:rsidR="00462494" w:rsidRDefault="00462494" w:rsidP="00462494">
      <w:pPr>
        <w:pStyle w:val="QUOTEINFOOTNOTE"/>
        <w:ind w:left="1440" w:hanging="720"/>
      </w:pPr>
      <w:r>
        <w:t>(e)</w:t>
      </w:r>
      <w:r>
        <w:tab/>
        <w:t>. . .</w:t>
      </w:r>
    </w:p>
    <w:p w:rsidR="00462494" w:rsidRDefault="00462494" w:rsidP="00462494">
      <w:pPr>
        <w:pStyle w:val="QUOTEINFOOTNOTE"/>
        <w:ind w:left="1440" w:hanging="720"/>
      </w:pPr>
      <w:r>
        <w:t>(f)</w:t>
      </w:r>
      <w:r>
        <w:tab/>
        <w:t>Public administration must be accountable.</w:t>
      </w:r>
    </w:p>
    <w:p w:rsidR="00462494" w:rsidRDefault="00462494" w:rsidP="00462494">
      <w:pPr>
        <w:pStyle w:val="QUOTEINFOOTNOTE"/>
        <w:ind w:left="1440" w:hanging="720"/>
      </w:pPr>
      <w:r>
        <w:t>(g)</w:t>
      </w:r>
      <w:r>
        <w:tab/>
        <w:t>Transparency must be fostered by providing the public with timely, accessible and accurate information.”</w:t>
      </w:r>
    </w:p>
  </w:footnote>
  <w:footnote w:id="12">
    <w:p w:rsidR="00462494" w:rsidRDefault="00462494">
      <w:pPr>
        <w:pStyle w:val="FootnoteText"/>
      </w:pPr>
      <w:r>
        <w:rPr>
          <w:rStyle w:val="FootnoteReference"/>
        </w:rPr>
        <w:footnoteRef/>
      </w:r>
      <w:r>
        <w:t xml:space="preserve"> Section 92(2) of the Constitution.</w:t>
      </w:r>
    </w:p>
  </w:footnote>
  <w:footnote w:id="13">
    <w:p w:rsidR="00462494" w:rsidRDefault="00462494">
      <w:pPr>
        <w:pStyle w:val="FootnoteText"/>
      </w:pPr>
      <w:r>
        <w:rPr>
          <w:rStyle w:val="FootnoteReference"/>
        </w:rPr>
        <w:footnoteRef/>
      </w:r>
      <w:r>
        <w:t xml:space="preserve"> Section 92(3)(a) of the Constitution.</w:t>
      </w:r>
    </w:p>
  </w:footnote>
  <w:footnote w:id="14">
    <w:p w:rsidR="00462494" w:rsidRDefault="00462494">
      <w:pPr>
        <w:pStyle w:val="FootnoteText"/>
      </w:pPr>
      <w:r>
        <w:rPr>
          <w:rStyle w:val="FootnoteReference"/>
        </w:rPr>
        <w:footnoteRef/>
      </w:r>
      <w:r>
        <w:t xml:space="preserve"> Section 237 of the Constitution.</w:t>
      </w:r>
    </w:p>
  </w:footnote>
  <w:footnote w:id="15">
    <w:p w:rsidR="00462494" w:rsidRDefault="00462494">
      <w:pPr>
        <w:pStyle w:val="FootnoteText"/>
      </w:pPr>
      <w:r>
        <w:rPr>
          <w:rStyle w:val="FootnoteReference"/>
        </w:rPr>
        <w:footnoteRef/>
      </w:r>
      <w:r>
        <w:t xml:space="preserve"> </w:t>
      </w:r>
      <w:r w:rsidRPr="00A62734">
        <w:rPr>
          <w:i/>
        </w:rPr>
        <w:t>MEC for the Department of Welfare v Kate</w:t>
      </w:r>
      <w:r w:rsidRPr="00A62734">
        <w:t xml:space="preserve"> [2006] </w:t>
      </w:r>
      <w:r>
        <w:t>ZASCA 49; 2006 (4) SA 478 (SCA)</w:t>
      </w:r>
      <w:r w:rsidRPr="00A62734">
        <w:t>; [2006] 2 All SA 455 (SCA)</w:t>
      </w:r>
      <w:r>
        <w:t xml:space="preserve"> at paras 3 and 6.</w:t>
      </w:r>
    </w:p>
  </w:footnote>
  <w:footnote w:id="16">
    <w:p w:rsidR="00462494" w:rsidRPr="008638A4" w:rsidRDefault="00462494" w:rsidP="008638A4">
      <w:pPr>
        <w:pStyle w:val="FootnoteText"/>
        <w:rPr>
          <w:i/>
        </w:rPr>
      </w:pPr>
      <w:r>
        <w:rPr>
          <w:rStyle w:val="FootnoteReference"/>
        </w:rPr>
        <w:footnoteRef/>
      </w:r>
      <w:r>
        <w:t xml:space="preserve"> Compare </w:t>
      </w:r>
      <w:r w:rsidRPr="008638A4">
        <w:t>Plasket</w:t>
      </w:r>
      <w:r>
        <w:t xml:space="preserve"> “</w:t>
      </w:r>
      <w:r w:rsidRPr="00DF3779">
        <w:t>Protecting the Public Purse: Appropriate Relief and Costs Orders Against Officials</w:t>
      </w:r>
      <w:r>
        <w:t>”</w:t>
      </w:r>
      <w:r>
        <w:rPr>
          <w:i/>
        </w:rPr>
        <w:t xml:space="preserve"> </w:t>
      </w:r>
      <w:r>
        <w:t xml:space="preserve">(2000) </w:t>
      </w:r>
      <w:r w:rsidRPr="00B860C5">
        <w:rPr>
          <w:i/>
        </w:rPr>
        <w:t>SALJ</w:t>
      </w:r>
      <w:r>
        <w:t xml:space="preserve"> 151.</w:t>
      </w:r>
    </w:p>
  </w:footnote>
  <w:footnote w:id="17">
    <w:p w:rsidR="00462494" w:rsidRDefault="00462494" w:rsidP="00FF3428">
      <w:pPr>
        <w:pStyle w:val="FootnoteText"/>
      </w:pPr>
      <w:r>
        <w:rPr>
          <w:rStyle w:val="FootnoteReference"/>
        </w:rPr>
        <w:footnoteRef/>
      </w:r>
      <w:r>
        <w:t xml:space="preserve"> For example, state officials who act in a “high-handed manner” or who “play the victim in litigation” might be held personally liable, and this would not necessarily or always be linked to a “flagrant disregard of constitutional norms”.  See </w:t>
      </w:r>
      <w:r w:rsidRPr="00FF3428">
        <w:rPr>
          <w:i/>
        </w:rPr>
        <w:t>Gauteng Gambling Board v MEC for Economic Development</w:t>
      </w:r>
      <w:r>
        <w:t xml:space="preserve"> [2013] ZASCA 13; 2013 (5) SA (SCA) at para 54.</w:t>
      </w:r>
    </w:p>
  </w:footnote>
  <w:footnote w:id="18">
    <w:p w:rsidR="00462494" w:rsidRDefault="00462494">
      <w:pPr>
        <w:pStyle w:val="FootnoteText"/>
      </w:pPr>
      <w:r>
        <w:rPr>
          <w:rStyle w:val="FootnoteReference"/>
        </w:rPr>
        <w:footnoteRef/>
      </w:r>
      <w:r>
        <w:t xml:space="preserve"> It is to be noted that the Court did not impose this deadline – it accepted the assurance from SASSA that it would be able take over the payments of social grants by the date indicated by SASSA.</w:t>
      </w:r>
    </w:p>
  </w:footnote>
  <w:footnote w:id="19">
    <w:p w:rsidR="00462494" w:rsidRDefault="00462494" w:rsidP="00FE0D2B">
      <w:pPr>
        <w:pStyle w:val="FootnoteText"/>
      </w:pPr>
      <w:r>
        <w:rPr>
          <w:rStyle w:val="FootnoteReference"/>
        </w:rPr>
        <w:footnoteRef/>
      </w:r>
      <w:r>
        <w:t xml:space="preserve"> The Chief Justice issued the following directions, dated 5 April 2017:</w:t>
      </w:r>
    </w:p>
    <w:p w:rsidR="00462494" w:rsidRPr="00EE02D5" w:rsidRDefault="00462494" w:rsidP="00A62734">
      <w:pPr>
        <w:pStyle w:val="FootnoteText"/>
        <w:ind w:left="1077" w:hanging="510"/>
      </w:pPr>
      <w:r>
        <w:t>“1.</w:t>
      </w:r>
      <w:r>
        <w:tab/>
        <w:t xml:space="preserve">The Chief Executive Officer of the South African Social Security Agency, Mr Thokazani Magwaza, may, if so advised, file an affidavit in response to the First Respondent’s affidavit, dated </w:t>
      </w:r>
      <w:r w:rsidRPr="00156C3F">
        <w:t>29 March 2017,</w:t>
      </w:r>
      <w:r>
        <w:t xml:space="preserve"> by 12h00 on Friday, 7 April 2017.</w:t>
      </w:r>
    </w:p>
    <w:p w:rsidR="00462494" w:rsidRDefault="00462494" w:rsidP="00A62734">
      <w:pPr>
        <w:pStyle w:val="QUOTEINFOOTNOTE"/>
        <w:numPr>
          <w:ilvl w:val="0"/>
          <w:numId w:val="58"/>
        </w:numPr>
      </w:pPr>
      <w:r>
        <w:t>All parties may, if so advised, file written submissions of no longer than ten pages by 15h00 on Wednesday, 12 April 2017, on the issues of joinder of the Minister in her personal capacity and her personal liability for the costs of the application.</w:t>
      </w:r>
    </w:p>
    <w:p w:rsidR="00462494" w:rsidRDefault="00462494" w:rsidP="00A62734">
      <w:pPr>
        <w:pStyle w:val="QUOTEINFOOTNOTE"/>
        <w:numPr>
          <w:ilvl w:val="0"/>
          <w:numId w:val="58"/>
        </w:numPr>
      </w:pPr>
      <w:r>
        <w:t>F</w:t>
      </w:r>
      <w:r w:rsidRPr="00EE02D5">
        <w:t>urther directions may be issued.</w:t>
      </w:r>
      <w:r>
        <w:t>”</w:t>
      </w:r>
    </w:p>
  </w:footnote>
  <w:footnote w:id="20">
    <w:p w:rsidR="00462494" w:rsidRDefault="00462494" w:rsidP="00223FA9">
      <w:pPr>
        <w:pStyle w:val="FootnoteText"/>
      </w:pPr>
      <w:r>
        <w:rPr>
          <w:rStyle w:val="FootnoteReference"/>
        </w:rPr>
        <w:footnoteRef/>
      </w:r>
      <w:r>
        <w:t xml:space="preserve"> This letter reads:</w:t>
      </w:r>
    </w:p>
    <w:p w:rsidR="00462494" w:rsidRPr="00462494" w:rsidRDefault="00462494" w:rsidP="00462494">
      <w:pPr>
        <w:pStyle w:val="QUOTEINFOOTNOTE"/>
        <w:spacing w:after="160"/>
        <w:rPr>
          <w:szCs w:val="20"/>
        </w:rPr>
      </w:pPr>
      <w:r>
        <w:t>“</w:t>
      </w:r>
      <w:r w:rsidRPr="00462494">
        <w:rPr>
          <w:szCs w:val="20"/>
        </w:rPr>
        <w:t>Dear Ms Petersen</w:t>
      </w:r>
    </w:p>
    <w:p w:rsidR="00462494" w:rsidRPr="00462494" w:rsidRDefault="00462494" w:rsidP="00223FA9">
      <w:pPr>
        <w:pStyle w:val="QUOTEINFOOTNOTE"/>
        <w:rPr>
          <w:b/>
          <w:szCs w:val="20"/>
        </w:rPr>
      </w:pPr>
      <w:r w:rsidRPr="00462494">
        <w:rPr>
          <w:b/>
          <w:szCs w:val="20"/>
        </w:rPr>
        <w:t xml:space="preserve">IMPLEMENTATION OF THE </w:t>
      </w:r>
      <w:r w:rsidR="00E86230" w:rsidRPr="00462494">
        <w:rPr>
          <w:b/>
          <w:szCs w:val="20"/>
        </w:rPr>
        <w:t>RECOMMENDATIONS</w:t>
      </w:r>
      <w:r w:rsidRPr="00462494">
        <w:rPr>
          <w:b/>
          <w:szCs w:val="20"/>
        </w:rPr>
        <w:t xml:space="preserve"> OF THE [MINISTERIAL] ADVISORY COMMITTEE ON THE FUTURE PAYMENT [SYSTEM] OF SOCIAL GRANTS FOR SOUTH AFRICA</w:t>
      </w:r>
    </w:p>
    <w:p w:rsidR="00462494" w:rsidRPr="00462494" w:rsidRDefault="00462494" w:rsidP="00223FA9">
      <w:pPr>
        <w:pStyle w:val="QUOTEINFOOTNOTE"/>
        <w:rPr>
          <w:szCs w:val="20"/>
        </w:rPr>
      </w:pPr>
      <w:r w:rsidRPr="00462494">
        <w:rPr>
          <w:szCs w:val="20"/>
        </w:rPr>
        <w:t>The above subject matters refers.</w:t>
      </w:r>
    </w:p>
    <w:p w:rsidR="00462494" w:rsidRPr="00462494" w:rsidRDefault="00462494" w:rsidP="00223FA9">
      <w:pPr>
        <w:pStyle w:val="QUOTEINFOOTNOTE"/>
        <w:rPr>
          <w:szCs w:val="20"/>
        </w:rPr>
      </w:pPr>
      <w:r w:rsidRPr="00462494">
        <w:rPr>
          <w:szCs w:val="20"/>
        </w:rPr>
        <w:t xml:space="preserve">As you are aware, the last meeting of the Ministerial Advisory Committee (Committee) held jointly with the Executive Management of SASSA on 21 May 2015 agreed to proceed with the implementation of the recommendations of the Committee as set out in the document entitled: </w:t>
      </w:r>
      <w:r w:rsidRPr="00462494">
        <w:rPr>
          <w:i/>
          <w:szCs w:val="20"/>
        </w:rPr>
        <w:t xml:space="preserve">Final Report and Recommendations for Way Forward, </w:t>
      </w:r>
      <w:r w:rsidRPr="00462494">
        <w:rPr>
          <w:szCs w:val="20"/>
        </w:rPr>
        <w:t>dated December 2014.</w:t>
      </w:r>
    </w:p>
    <w:p w:rsidR="00462494" w:rsidRPr="00462494" w:rsidRDefault="00462494" w:rsidP="00223FA9">
      <w:pPr>
        <w:pStyle w:val="QUOTEINFOOTNOTE"/>
        <w:rPr>
          <w:szCs w:val="20"/>
        </w:rPr>
      </w:pPr>
      <w:r w:rsidRPr="00462494">
        <w:rPr>
          <w:szCs w:val="20"/>
        </w:rPr>
        <w:t>As you will recall, it was agreed in the aforementioned meeting that to expedite the implementation of the Committee’s recommendations, we must establish various work streams that will focus on key aspects.</w:t>
      </w:r>
    </w:p>
    <w:p w:rsidR="00462494" w:rsidRPr="00462494" w:rsidRDefault="00462494" w:rsidP="00223FA9">
      <w:pPr>
        <w:pStyle w:val="QUOTEINFOOTNOTE"/>
        <w:rPr>
          <w:szCs w:val="20"/>
        </w:rPr>
      </w:pPr>
      <w:r w:rsidRPr="00462494">
        <w:rPr>
          <w:szCs w:val="20"/>
        </w:rPr>
        <w:t>Given the foregoing and the challenges confronting the Agency on all fronts, including but not limited to the Constitutional Court processes, I am of the firm view that critical steps for the implementation of the Committee’s recommendations without any further delays.</w:t>
      </w:r>
    </w:p>
    <w:p w:rsidR="00462494" w:rsidRPr="00462494" w:rsidRDefault="00462494" w:rsidP="00223FA9">
      <w:pPr>
        <w:pStyle w:val="QUOTEINFOOTNOTE"/>
        <w:rPr>
          <w:szCs w:val="20"/>
        </w:rPr>
      </w:pPr>
      <w:r w:rsidRPr="00462494">
        <w:rPr>
          <w:szCs w:val="20"/>
        </w:rPr>
        <w:t>I have decided that in order to roll out implementation process diligently, we need to retain the collective knowledge and institutional memory of the key members of the Committee.  Given their knowledge and expertise, these members will lead the work streams and work jointly with you and the SASSA Executive Management team so as to ensure that the various work streams are adequately resourced to executive (sic) their respective mandates in a speedy manner without any disruption, and to minimise delays in the implementation of the third recommendations.</w:t>
      </w:r>
    </w:p>
    <w:p w:rsidR="00462494" w:rsidRPr="00462494" w:rsidRDefault="00462494" w:rsidP="00223FA9">
      <w:pPr>
        <w:pStyle w:val="QUOTEINFOOTNOTE"/>
        <w:rPr>
          <w:szCs w:val="20"/>
        </w:rPr>
      </w:pPr>
      <w:r w:rsidRPr="00462494">
        <w:rPr>
          <w:szCs w:val="20"/>
        </w:rPr>
        <w:t>To this end, I have decided to retain the services of the following individuals who were part of the Committee for the implementation of the third recommendations: Mr Andile Nyonyha (Team Leader), Mr Tim Suzuki (Legal), Ms Tankiso Parkies (Social Benefits), Mr Sizwe Shezi (Economic Development) and Mr Patrick Monyeki (Information Communication Technology).  Although tis panel will account directly to me during the implementation process, I request SASSA appoints hosts, provide resources and compensates the panel on behalf of the Department, subject to the applicable laws.</w:t>
      </w:r>
    </w:p>
    <w:p w:rsidR="00462494" w:rsidRPr="00462494" w:rsidRDefault="00462494" w:rsidP="00223FA9">
      <w:pPr>
        <w:pStyle w:val="QUOTEINFOOTNOTE"/>
        <w:rPr>
          <w:szCs w:val="20"/>
        </w:rPr>
      </w:pPr>
      <w:r w:rsidRPr="00462494">
        <w:rPr>
          <w:szCs w:val="20"/>
        </w:rPr>
        <w:t>I envisage that the implementation will take place over a 3-year period, and as such the aforesaid individuals must be appointed for the duration of that period.  This process must be actioned with immediate effect so as to enable the panel to immediately assume the task at hand.</w:t>
      </w:r>
    </w:p>
    <w:p w:rsidR="00462494" w:rsidRPr="00462494" w:rsidRDefault="00462494" w:rsidP="00223FA9">
      <w:pPr>
        <w:pStyle w:val="QUOTEINFOOTNOTE"/>
        <w:rPr>
          <w:szCs w:val="20"/>
        </w:rPr>
      </w:pPr>
      <w:r w:rsidRPr="00462494">
        <w:rPr>
          <w:szCs w:val="20"/>
        </w:rPr>
        <w:t>I trust that all is in order and I [a]wait your immediate response to the issues raised in this letter.</w:t>
      </w:r>
    </w:p>
    <w:p w:rsidR="00462494" w:rsidRPr="00223FA9" w:rsidRDefault="00462494" w:rsidP="00462494">
      <w:pPr>
        <w:pStyle w:val="QUOTEINFOOTNOTE"/>
        <w:spacing w:after="0"/>
      </w:pPr>
    </w:p>
    <w:p w:rsidR="00462494" w:rsidRPr="00223FA9" w:rsidRDefault="00462494" w:rsidP="00462494">
      <w:pPr>
        <w:pStyle w:val="QUOTEINFOOTNOTE"/>
        <w:spacing w:after="0"/>
      </w:pPr>
      <w:r w:rsidRPr="00223FA9">
        <w:t>Yours sincerely</w:t>
      </w:r>
    </w:p>
    <w:p w:rsidR="00462494" w:rsidRPr="00223FA9" w:rsidRDefault="00462494" w:rsidP="00462494">
      <w:pPr>
        <w:pStyle w:val="QUOTEINFOOTNOTE"/>
        <w:spacing w:after="0"/>
      </w:pPr>
      <w:r w:rsidRPr="00223FA9">
        <w:t>Ms BO Dlamini, MP</w:t>
      </w:r>
    </w:p>
    <w:p w:rsidR="00462494" w:rsidRPr="00223FA9" w:rsidRDefault="00462494" w:rsidP="00462494">
      <w:pPr>
        <w:pStyle w:val="QUOTEINFOOTNOTE"/>
        <w:spacing w:after="0"/>
      </w:pPr>
      <w:r w:rsidRPr="00223FA9">
        <w:t>Minister of Social Development</w:t>
      </w:r>
    </w:p>
    <w:p w:rsidR="00462494" w:rsidRDefault="00462494" w:rsidP="00462494">
      <w:pPr>
        <w:pStyle w:val="QUOTEINFOOTNOTE"/>
        <w:spacing w:after="0"/>
      </w:pPr>
      <w:r w:rsidRPr="00223FA9">
        <w:t>Date 09.07.15</w:t>
      </w:r>
      <w:r>
        <w:t>”</w:t>
      </w:r>
    </w:p>
  </w:footnote>
  <w:footnote w:id="21">
    <w:p w:rsidR="00462494" w:rsidRDefault="00462494">
      <w:pPr>
        <w:pStyle w:val="FootnoteText"/>
      </w:pPr>
      <w:r>
        <w:rPr>
          <w:rStyle w:val="FootnoteReference"/>
        </w:rPr>
        <w:footnoteRef/>
      </w:r>
      <w:r>
        <w:t xml:space="preserve"> 10 of 2013.</w:t>
      </w:r>
    </w:p>
  </w:footnote>
  <w:footnote w:id="22">
    <w:p w:rsidR="00462494" w:rsidRDefault="00462494" w:rsidP="006C7215">
      <w:pPr>
        <w:pStyle w:val="FootnoteText"/>
      </w:pPr>
      <w:r>
        <w:rPr>
          <w:rStyle w:val="FootnoteReference"/>
        </w:rPr>
        <w:footnoteRef/>
      </w:r>
      <w:r>
        <w:t xml:space="preserve"> Section </w:t>
      </w:r>
      <w:r w:rsidRPr="006C7215">
        <w:t>38</w:t>
      </w:r>
      <w:r>
        <w:t xml:space="preserve"> of the Superior Courts Act reads:</w:t>
      </w:r>
    </w:p>
    <w:p w:rsidR="00462494" w:rsidRPr="006C7215" w:rsidRDefault="00462494" w:rsidP="00B860C5">
      <w:pPr>
        <w:pStyle w:val="FootnoteText"/>
        <w:ind w:left="1440" w:hanging="731"/>
      </w:pPr>
      <w:r>
        <w:t>“(1)</w:t>
      </w:r>
      <w:r>
        <w:tab/>
      </w:r>
      <w:r w:rsidRPr="006C7215">
        <w:t>The Constitutional Court and, in any civil proceedings, any Division may, with the consent of the parties, refer―</w:t>
      </w:r>
    </w:p>
    <w:p w:rsidR="00462494" w:rsidRDefault="00462494" w:rsidP="0063247C">
      <w:pPr>
        <w:pStyle w:val="FootnoteText"/>
        <w:numPr>
          <w:ilvl w:val="0"/>
          <w:numId w:val="53"/>
        </w:numPr>
        <w:ind w:left="2160" w:hanging="720"/>
      </w:pPr>
      <w:r w:rsidRPr="006C7215">
        <w:t>any matter which requires extensive examination of documents or a scientific, technical or local investigation which in the opinion of the court cannot be conveniently conducted by it; or</w:t>
      </w:r>
    </w:p>
    <w:p w:rsidR="00462494" w:rsidRDefault="00462494" w:rsidP="0063247C">
      <w:pPr>
        <w:pStyle w:val="FootnoteText"/>
        <w:numPr>
          <w:ilvl w:val="0"/>
          <w:numId w:val="53"/>
        </w:numPr>
        <w:ind w:left="2160" w:hanging="720"/>
      </w:pPr>
      <w:r w:rsidRPr="006C7215">
        <w:t>any matter which relates wholly or in part to accounts; or</w:t>
      </w:r>
    </w:p>
    <w:p w:rsidR="00462494" w:rsidRDefault="00462494" w:rsidP="0063247C">
      <w:pPr>
        <w:pStyle w:val="FootnoteText"/>
        <w:numPr>
          <w:ilvl w:val="0"/>
          <w:numId w:val="53"/>
        </w:numPr>
        <w:ind w:left="2160" w:hanging="720"/>
      </w:pPr>
      <w:r w:rsidRPr="006C7215">
        <w:t>any other matter arising in such proceedings,</w:t>
      </w:r>
    </w:p>
    <w:p w:rsidR="00462494" w:rsidRPr="006C7215" w:rsidRDefault="00462494" w:rsidP="00B860C5">
      <w:pPr>
        <w:pStyle w:val="FootnoteText"/>
        <w:ind w:left="1418"/>
      </w:pPr>
      <w:r w:rsidRPr="006C7215">
        <w:t>for enquiry and report to a referee appointed by the parties, and the court may adopt the report of any such referee, either wholly or in part, and either with or without modifications, or may remit such report for further enquiry or report or consideration by such referee, or make such other order in regard thereto as may be necessary or desirable.</w:t>
      </w:r>
    </w:p>
    <w:p w:rsidR="00462494" w:rsidRDefault="00462494" w:rsidP="0063247C">
      <w:pPr>
        <w:pStyle w:val="FootnoteText"/>
        <w:numPr>
          <w:ilvl w:val="0"/>
          <w:numId w:val="55"/>
        </w:numPr>
        <w:ind w:left="1418" w:hanging="698"/>
      </w:pPr>
      <w:r w:rsidRPr="006C7215">
        <w:t>Any such report or any part thereof which is adopted by the court may adopt the report of any such referee, either wholly or in part, and either with or without modifications, shall have effect as if it were a finding by the court in the proceedings in question.</w:t>
      </w:r>
    </w:p>
    <w:p w:rsidR="00462494" w:rsidRDefault="00462494" w:rsidP="0063247C">
      <w:pPr>
        <w:pStyle w:val="FootnoteText"/>
        <w:numPr>
          <w:ilvl w:val="0"/>
          <w:numId w:val="55"/>
        </w:numPr>
        <w:ind w:left="1440" w:hanging="720"/>
      </w:pPr>
      <w:r w:rsidRPr="006C7215">
        <w:t>Any such referee shall for the purpose of such enquiry have such powers and must conduct the enquiry in such manner as may be prescribed by a special order of the court or by the rules of the court.</w:t>
      </w:r>
    </w:p>
    <w:p w:rsidR="00462494" w:rsidRDefault="00462494" w:rsidP="0063247C">
      <w:pPr>
        <w:pStyle w:val="FootnoteText"/>
        <w:numPr>
          <w:ilvl w:val="0"/>
          <w:numId w:val="55"/>
        </w:numPr>
        <w:ind w:left="1440" w:hanging="720"/>
      </w:pPr>
      <w:r w:rsidRPr="006C7215">
        <w:t>For the purpose of procuring the attendance of any witness (including any witness detained in custody un</w:t>
      </w:r>
      <w:r>
        <w:t>der any</w:t>
      </w:r>
      <w:r w:rsidRPr="006C7215">
        <w:t xml:space="preserve"> law) and the production of any document or thing before a referee, an enquiry under this section shall be deemed to be civil proceedings.</w:t>
      </w:r>
    </w:p>
    <w:p w:rsidR="00462494" w:rsidRDefault="00462494" w:rsidP="0063247C">
      <w:pPr>
        <w:pStyle w:val="FootnoteText"/>
        <w:numPr>
          <w:ilvl w:val="0"/>
          <w:numId w:val="55"/>
        </w:numPr>
        <w:spacing w:after="0"/>
        <w:ind w:left="1440" w:hanging="720"/>
      </w:pPr>
      <w:r>
        <w:t>(a)</w:t>
      </w:r>
      <w:r>
        <w:tab/>
        <w:t>A</w:t>
      </w:r>
      <w:r w:rsidRPr="006C7215">
        <w:t>ny person summoned to attend as a witness or to produce any document or thing</w:t>
      </w:r>
    </w:p>
    <w:p w:rsidR="00462494" w:rsidRPr="006C7215" w:rsidRDefault="00462494" w:rsidP="0063247C">
      <w:pPr>
        <w:pStyle w:val="FootnoteText"/>
        <w:ind w:left="2160"/>
      </w:pPr>
      <w:r w:rsidRPr="006C7215">
        <w:t>before a referee and who, without sufficient cause―</w:t>
      </w:r>
    </w:p>
    <w:p w:rsidR="00462494" w:rsidRDefault="00462494" w:rsidP="0063247C">
      <w:pPr>
        <w:pStyle w:val="FootnoteText"/>
        <w:numPr>
          <w:ilvl w:val="1"/>
          <w:numId w:val="57"/>
        </w:numPr>
        <w:ind w:left="2835" w:hanging="708"/>
      </w:pPr>
      <w:r>
        <w:t>f</w:t>
      </w:r>
      <w:r w:rsidRPr="006C7215">
        <w:t>ails to attend at the time and place specified;</w:t>
      </w:r>
    </w:p>
    <w:p w:rsidR="00462494" w:rsidRDefault="00462494" w:rsidP="0063247C">
      <w:pPr>
        <w:pStyle w:val="FootnoteText"/>
        <w:numPr>
          <w:ilvl w:val="1"/>
          <w:numId w:val="57"/>
        </w:numPr>
        <w:ind w:left="2835" w:hanging="708"/>
      </w:pPr>
      <w:r>
        <w:t>f</w:t>
      </w:r>
      <w:r w:rsidRPr="006C7215">
        <w:t>ails to remain in attendance until the conclusion of the enquiry or until he or she is excused by the referee from further attendance;</w:t>
      </w:r>
    </w:p>
    <w:p w:rsidR="00462494" w:rsidRDefault="00462494" w:rsidP="0063247C">
      <w:pPr>
        <w:pStyle w:val="FootnoteText"/>
        <w:numPr>
          <w:ilvl w:val="1"/>
          <w:numId w:val="57"/>
        </w:numPr>
        <w:ind w:left="2835" w:hanging="708"/>
      </w:pPr>
      <w:r>
        <w:t>r</w:t>
      </w:r>
      <w:r w:rsidRPr="006C7215">
        <w:t>efuses to take an oath or to make an affirmation as a witness; or</w:t>
      </w:r>
    </w:p>
    <w:p w:rsidR="00462494" w:rsidRPr="006C7215" w:rsidRDefault="00462494" w:rsidP="0063247C">
      <w:pPr>
        <w:pStyle w:val="FootnoteText"/>
        <w:numPr>
          <w:ilvl w:val="1"/>
          <w:numId w:val="57"/>
        </w:numPr>
        <w:ind w:left="2835" w:hanging="708"/>
      </w:pPr>
      <w:r>
        <w:t>h</w:t>
      </w:r>
      <w:r w:rsidRPr="006C7215">
        <w:t>aving taken an oath or</w:t>
      </w:r>
      <w:r>
        <w:t xml:space="preserve"> made an affirmation, fails to—</w:t>
      </w:r>
    </w:p>
    <w:p w:rsidR="00462494" w:rsidRDefault="00462494" w:rsidP="00B860C5">
      <w:pPr>
        <w:pStyle w:val="FootnoteText"/>
        <w:ind w:left="2880"/>
      </w:pPr>
      <w:r w:rsidRPr="006C7215">
        <w:t>(aa)</w:t>
      </w:r>
      <w:r>
        <w:tab/>
      </w:r>
      <w:r w:rsidRPr="006C7215">
        <w:t>answer fully and satisfactorily any question put to him or her; or</w:t>
      </w:r>
    </w:p>
    <w:p w:rsidR="00462494" w:rsidRPr="006C7215" w:rsidRDefault="00462494" w:rsidP="0063247C">
      <w:pPr>
        <w:pStyle w:val="FootnoteText"/>
        <w:ind w:left="3600" w:hanging="720"/>
      </w:pPr>
      <w:r w:rsidRPr="006C7215">
        <w:t>(bb)</w:t>
      </w:r>
      <w:r>
        <w:tab/>
      </w:r>
      <w:r w:rsidRPr="006C7215">
        <w:t>produce any document or thing in his or her possession or custody, or under his or her control, which he or she was summoned to produce,</w:t>
      </w:r>
    </w:p>
    <w:p w:rsidR="00462494" w:rsidRPr="006C7215" w:rsidRDefault="00462494" w:rsidP="0063247C">
      <w:pPr>
        <w:pStyle w:val="FootnoteText"/>
        <w:ind w:left="2160"/>
      </w:pPr>
      <w:r>
        <w:t>i</w:t>
      </w:r>
      <w:r w:rsidRPr="006C7215">
        <w:t>s guilty of an offence and liable on conviction to a fine or to imprisonment for a period not exceeding three months.</w:t>
      </w:r>
    </w:p>
    <w:p w:rsidR="00462494" w:rsidRPr="006C7215" w:rsidRDefault="00462494" w:rsidP="0063247C">
      <w:pPr>
        <w:pStyle w:val="FootnoteText"/>
        <w:ind w:left="2160" w:hanging="720"/>
      </w:pPr>
      <w:r w:rsidRPr="006C7215">
        <w:t>(b)</w:t>
      </w:r>
      <w:r>
        <w:tab/>
      </w:r>
      <w:r w:rsidRPr="006C7215">
        <w:t xml:space="preserve">Any person who, after having taken an oath or having made an affirmation ,gives false evidence before a referee at an enquiry, knowing such evidence to be false or not knowing or believing it to be true, is guilty of an offence and liable on conviction to the penalties prescribed by law </w:t>
      </w:r>
      <w:r>
        <w:t>f</w:t>
      </w:r>
      <w:r w:rsidRPr="006C7215">
        <w:t>or perjury.</w:t>
      </w:r>
    </w:p>
    <w:p w:rsidR="00462494" w:rsidRDefault="00462494" w:rsidP="00E86230">
      <w:pPr>
        <w:pStyle w:val="FootnoteText"/>
        <w:numPr>
          <w:ilvl w:val="0"/>
          <w:numId w:val="55"/>
        </w:numPr>
        <w:ind w:left="1442" w:hanging="722"/>
      </w:pPr>
      <w:r w:rsidRPr="006C7215">
        <w:t>Any referee is entitled to such remuneration as may be prescribed by the rules or, if not such remuneration has been so prescribe</w:t>
      </w:r>
      <w:r>
        <w:t>d</w:t>
      </w:r>
      <w:r w:rsidRPr="006C7215">
        <w:t>, as the court may determine and to any reasonable expenditure incurred by him or her for the purposes of the enquiry, and any such remuneration and expenditure must be taxed by the taxing master of the court and shall be costs in the cause.</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494" w:rsidRDefault="00462494" w:rsidP="000F7521">
    <w:pPr>
      <w:pStyle w:val="Header"/>
      <w:tabs>
        <w:tab w:val="clear" w:pos="4680"/>
        <w:tab w:val="clear" w:pos="9360"/>
        <w:tab w:val="right" w:pos="9072"/>
      </w:tabs>
      <w:jc w:val="right"/>
    </w:pPr>
    <w:r>
      <w:t>FRONEMAN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494" w:rsidRDefault="00462494" w:rsidP="000F7521">
    <w:pPr>
      <w:pStyle w:val="Header"/>
      <w:tabs>
        <w:tab w:val="clear" w:pos="4680"/>
        <w:tab w:val="clear" w:pos="9360"/>
        <w:tab w:val="right" w:pos="9072"/>
      </w:tabs>
      <w:jc w:val="right"/>
    </w:pPr>
    <w:r>
      <w:t>FRONEMAN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494" w:rsidRDefault="00462494"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A3E08"/>
    <w:multiLevelType w:val="hybridMultilevel"/>
    <w:tmpl w:val="3E489FAA"/>
    <w:lvl w:ilvl="0" w:tplc="645806E8">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1345FB5"/>
    <w:multiLevelType w:val="hybridMultilevel"/>
    <w:tmpl w:val="A34C04F4"/>
    <w:lvl w:ilvl="0" w:tplc="6B3A1700">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056408E4"/>
    <w:multiLevelType w:val="hybridMultilevel"/>
    <w:tmpl w:val="7EDC1FC8"/>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095A7A26"/>
    <w:multiLevelType w:val="hybridMultilevel"/>
    <w:tmpl w:val="9D263F96"/>
    <w:lvl w:ilvl="0" w:tplc="C19646C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463CE7"/>
    <w:multiLevelType w:val="hybridMultilevel"/>
    <w:tmpl w:val="DE782572"/>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C121FE2"/>
    <w:multiLevelType w:val="hybridMultilevel"/>
    <w:tmpl w:val="6A1E6026"/>
    <w:lvl w:ilvl="0" w:tplc="51245384">
      <w:start w:val="1"/>
      <w:numFmt w:val="decimal"/>
      <w:lvlText w:val="%1."/>
      <w:lvlJc w:val="left"/>
      <w:pPr>
        <w:ind w:left="1440" w:hanging="72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6" w15:restartNumberingAfterBreak="0">
    <w:nsid w:val="1EAA1687"/>
    <w:multiLevelType w:val="hybridMultilevel"/>
    <w:tmpl w:val="C094A34E"/>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5D05D9F"/>
    <w:multiLevelType w:val="hybridMultilevel"/>
    <w:tmpl w:val="DB9C7606"/>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26A368AC"/>
    <w:multiLevelType w:val="hybridMultilevel"/>
    <w:tmpl w:val="253243C6"/>
    <w:lvl w:ilvl="0" w:tplc="A27280B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75360C9"/>
    <w:multiLevelType w:val="hybridMultilevel"/>
    <w:tmpl w:val="D6749BB0"/>
    <w:lvl w:ilvl="0" w:tplc="A3241E54">
      <w:start w:val="2"/>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2BF80F49"/>
    <w:multiLevelType w:val="hybridMultilevel"/>
    <w:tmpl w:val="99A49C7C"/>
    <w:lvl w:ilvl="0" w:tplc="1A1878D2">
      <w:start w:val="1"/>
      <w:numFmt w:val="lowerLetter"/>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2" w15:restartNumberingAfterBreak="0">
    <w:nsid w:val="2C7E0B50"/>
    <w:multiLevelType w:val="hybridMultilevel"/>
    <w:tmpl w:val="2A5EE410"/>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36DD67FB"/>
    <w:multiLevelType w:val="hybridMultilevel"/>
    <w:tmpl w:val="502C2088"/>
    <w:lvl w:ilvl="0" w:tplc="5BB4A45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36EF402E"/>
    <w:multiLevelType w:val="hybridMultilevel"/>
    <w:tmpl w:val="3F24C786"/>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15:restartNumberingAfterBreak="0">
    <w:nsid w:val="40A83756"/>
    <w:multiLevelType w:val="hybridMultilevel"/>
    <w:tmpl w:val="2F0086BE"/>
    <w:lvl w:ilvl="0" w:tplc="1C09001B">
      <w:start w:val="1"/>
      <w:numFmt w:val="lowerRoman"/>
      <w:lvlText w:val="%1."/>
      <w:lvlJc w:val="right"/>
      <w:pPr>
        <w:ind w:left="1778" w:hanging="360"/>
      </w:pPr>
      <w:rPr>
        <w:rFonts w:hint="default"/>
      </w:rPr>
    </w:lvl>
    <w:lvl w:ilvl="1" w:tplc="1C090019" w:tentative="1">
      <w:start w:val="1"/>
      <w:numFmt w:val="lowerLetter"/>
      <w:lvlText w:val="%2."/>
      <w:lvlJc w:val="left"/>
      <w:pPr>
        <w:ind w:left="2138" w:hanging="360"/>
      </w:pPr>
    </w:lvl>
    <w:lvl w:ilvl="2" w:tplc="1C09001B" w:tentative="1">
      <w:start w:val="1"/>
      <w:numFmt w:val="lowerRoman"/>
      <w:lvlText w:val="%3."/>
      <w:lvlJc w:val="right"/>
      <w:pPr>
        <w:ind w:left="2858" w:hanging="180"/>
      </w:pPr>
    </w:lvl>
    <w:lvl w:ilvl="3" w:tplc="1C09000F" w:tentative="1">
      <w:start w:val="1"/>
      <w:numFmt w:val="decimal"/>
      <w:lvlText w:val="%4."/>
      <w:lvlJc w:val="left"/>
      <w:pPr>
        <w:ind w:left="3578" w:hanging="360"/>
      </w:pPr>
    </w:lvl>
    <w:lvl w:ilvl="4" w:tplc="1C090019" w:tentative="1">
      <w:start w:val="1"/>
      <w:numFmt w:val="lowerLetter"/>
      <w:lvlText w:val="%5."/>
      <w:lvlJc w:val="left"/>
      <w:pPr>
        <w:ind w:left="4298" w:hanging="360"/>
      </w:pPr>
    </w:lvl>
    <w:lvl w:ilvl="5" w:tplc="1C09001B" w:tentative="1">
      <w:start w:val="1"/>
      <w:numFmt w:val="lowerRoman"/>
      <w:lvlText w:val="%6."/>
      <w:lvlJc w:val="right"/>
      <w:pPr>
        <w:ind w:left="5018" w:hanging="180"/>
      </w:pPr>
    </w:lvl>
    <w:lvl w:ilvl="6" w:tplc="1C09000F" w:tentative="1">
      <w:start w:val="1"/>
      <w:numFmt w:val="decimal"/>
      <w:lvlText w:val="%7."/>
      <w:lvlJc w:val="left"/>
      <w:pPr>
        <w:ind w:left="5738" w:hanging="360"/>
      </w:pPr>
    </w:lvl>
    <w:lvl w:ilvl="7" w:tplc="1C090019" w:tentative="1">
      <w:start w:val="1"/>
      <w:numFmt w:val="lowerLetter"/>
      <w:lvlText w:val="%8."/>
      <w:lvlJc w:val="left"/>
      <w:pPr>
        <w:ind w:left="6458" w:hanging="360"/>
      </w:pPr>
    </w:lvl>
    <w:lvl w:ilvl="8" w:tplc="1C09001B" w:tentative="1">
      <w:start w:val="1"/>
      <w:numFmt w:val="lowerRoman"/>
      <w:lvlText w:val="%9."/>
      <w:lvlJc w:val="right"/>
      <w:pPr>
        <w:ind w:left="7178" w:hanging="180"/>
      </w:pPr>
    </w:lvl>
  </w:abstractNum>
  <w:abstractNum w:abstractNumId="16" w15:restartNumberingAfterBreak="0">
    <w:nsid w:val="423F28E7"/>
    <w:multiLevelType w:val="hybridMultilevel"/>
    <w:tmpl w:val="DC066E18"/>
    <w:lvl w:ilvl="0" w:tplc="5BB4A45E">
      <w:start w:val="1"/>
      <w:numFmt w:val="lowerLetter"/>
      <w:lvlText w:val="(%1)"/>
      <w:lvlJc w:val="left"/>
      <w:pPr>
        <w:ind w:left="10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42C37819"/>
    <w:multiLevelType w:val="hybridMultilevel"/>
    <w:tmpl w:val="6A1E6026"/>
    <w:lvl w:ilvl="0" w:tplc="51245384">
      <w:start w:val="1"/>
      <w:numFmt w:val="decimal"/>
      <w:lvlText w:val="%1."/>
      <w:lvlJc w:val="left"/>
      <w:pPr>
        <w:ind w:left="1440" w:hanging="72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18" w15:restartNumberingAfterBreak="0">
    <w:nsid w:val="44A93A87"/>
    <w:multiLevelType w:val="hybridMultilevel"/>
    <w:tmpl w:val="27764100"/>
    <w:lvl w:ilvl="0" w:tplc="AFC46DD6">
      <w:start w:val="1"/>
      <w:numFmt w:val="decimal"/>
      <w:lvlText w:val="(%1)"/>
      <w:lvlJc w:val="left"/>
      <w:pPr>
        <w:ind w:left="928" w:hanging="360"/>
      </w:pPr>
    </w:lvl>
    <w:lvl w:ilvl="1" w:tplc="3F285D82">
      <w:start w:val="1"/>
      <w:numFmt w:val="lowerRoman"/>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19" w15:restartNumberingAfterBreak="0">
    <w:nsid w:val="4507707A"/>
    <w:multiLevelType w:val="hybridMultilevel"/>
    <w:tmpl w:val="6A1E6026"/>
    <w:lvl w:ilvl="0" w:tplc="51245384">
      <w:start w:val="1"/>
      <w:numFmt w:val="decimal"/>
      <w:lvlText w:val="%1."/>
      <w:lvlJc w:val="left"/>
      <w:pPr>
        <w:ind w:left="1440" w:hanging="72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20"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4B443D7A"/>
    <w:multiLevelType w:val="hybridMultilevel"/>
    <w:tmpl w:val="B2306E94"/>
    <w:lvl w:ilvl="0" w:tplc="5A0AA710">
      <w:start w:val="1"/>
      <w:numFmt w:val="lowerLetter"/>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2" w15:restartNumberingAfterBreak="0">
    <w:nsid w:val="4D8E14D9"/>
    <w:multiLevelType w:val="hybridMultilevel"/>
    <w:tmpl w:val="D78A821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DD47488"/>
    <w:multiLevelType w:val="hybridMultilevel"/>
    <w:tmpl w:val="987446CE"/>
    <w:lvl w:ilvl="0" w:tplc="9A7C2324">
      <w:start w:val="2"/>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51D926F4"/>
    <w:multiLevelType w:val="hybridMultilevel"/>
    <w:tmpl w:val="B0124494"/>
    <w:lvl w:ilvl="0" w:tplc="C5667D6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5978130F"/>
    <w:multiLevelType w:val="multilevel"/>
    <w:tmpl w:val="B18CDF9C"/>
    <w:lvl w:ilvl="0">
      <w:start w:val="1"/>
      <w:numFmt w:val="lowerLetter"/>
      <w:lvlText w:val="%1."/>
      <w:lvlJc w:val="lef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FC558AB"/>
    <w:multiLevelType w:val="hybridMultilevel"/>
    <w:tmpl w:val="BC8E244A"/>
    <w:lvl w:ilvl="0" w:tplc="9A7C2324">
      <w:start w:val="2"/>
      <w:numFmt w:val="decimal"/>
      <w:lvlText w:val="(%1)"/>
      <w:lvlJc w:val="left"/>
      <w:pPr>
        <w:ind w:left="720" w:hanging="360"/>
      </w:pPr>
      <w:rPr>
        <w:rFonts w:hint="default"/>
      </w:rPr>
    </w:lvl>
    <w:lvl w:ilvl="1" w:tplc="3F285D82">
      <w:start w:val="1"/>
      <w:numFmt w:val="lowerRoman"/>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61792450"/>
    <w:multiLevelType w:val="hybridMultilevel"/>
    <w:tmpl w:val="C3AAD940"/>
    <w:lvl w:ilvl="0" w:tplc="B764EED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8" w15:restartNumberingAfterBreak="0">
    <w:nsid w:val="6AE946EB"/>
    <w:multiLevelType w:val="hybridMultilevel"/>
    <w:tmpl w:val="EBF0E5D6"/>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9" w15:restartNumberingAfterBreak="0">
    <w:nsid w:val="6C5D0BD9"/>
    <w:multiLevelType w:val="hybridMultilevel"/>
    <w:tmpl w:val="6A1E6026"/>
    <w:lvl w:ilvl="0" w:tplc="51245384">
      <w:start w:val="1"/>
      <w:numFmt w:val="decimal"/>
      <w:lvlText w:val="%1."/>
      <w:lvlJc w:val="left"/>
      <w:pPr>
        <w:ind w:left="1440" w:hanging="72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30" w15:restartNumberingAfterBreak="0">
    <w:nsid w:val="6D1216B4"/>
    <w:multiLevelType w:val="multilevel"/>
    <w:tmpl w:val="2F2C32E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6EF87A05"/>
    <w:multiLevelType w:val="hybridMultilevel"/>
    <w:tmpl w:val="A3F0B318"/>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2" w15:restartNumberingAfterBreak="0">
    <w:nsid w:val="75340FA9"/>
    <w:multiLevelType w:val="hybridMultilevel"/>
    <w:tmpl w:val="B41AF37A"/>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3" w15:restartNumberingAfterBreak="0">
    <w:nsid w:val="754B1D5F"/>
    <w:multiLevelType w:val="hybridMultilevel"/>
    <w:tmpl w:val="408E1942"/>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4" w15:restartNumberingAfterBreak="0">
    <w:nsid w:val="76432D1F"/>
    <w:multiLevelType w:val="hybridMultilevel"/>
    <w:tmpl w:val="B71C507C"/>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5" w15:restartNumberingAfterBreak="0">
    <w:nsid w:val="76C531A7"/>
    <w:multiLevelType w:val="hybridMultilevel"/>
    <w:tmpl w:val="E9CE058E"/>
    <w:lvl w:ilvl="0" w:tplc="1C090019">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6" w15:restartNumberingAfterBreak="0">
    <w:nsid w:val="790B7E5B"/>
    <w:multiLevelType w:val="hybridMultilevel"/>
    <w:tmpl w:val="1FE8690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7" w15:restartNumberingAfterBreak="0">
    <w:nsid w:val="7C151382"/>
    <w:multiLevelType w:val="hybridMultilevel"/>
    <w:tmpl w:val="BA92F05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38" w15:restartNumberingAfterBreak="0">
    <w:nsid w:val="7F314126"/>
    <w:multiLevelType w:val="hybridMultilevel"/>
    <w:tmpl w:val="502C2088"/>
    <w:lvl w:ilvl="0" w:tplc="5BB4A45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9" w15:restartNumberingAfterBreak="0">
    <w:nsid w:val="7FD26E1E"/>
    <w:multiLevelType w:val="hybridMultilevel"/>
    <w:tmpl w:val="0FFE0880"/>
    <w:lvl w:ilvl="0" w:tplc="76F64E32">
      <w:start w:val="1"/>
      <w:numFmt w:val="decimal"/>
      <w:lvlText w:val="[%1]"/>
      <w:lvlJc w:val="left"/>
      <w:pPr>
        <w:ind w:left="1080" w:hanging="360"/>
      </w:pPr>
      <w:rPr>
        <w:rFonts w:hint="default"/>
        <w:i w:val="0"/>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3"/>
  </w:num>
  <w:num w:numId="2">
    <w:abstractNumId w:val="20"/>
  </w:num>
  <w:num w:numId="3">
    <w:abstractNumId w:val="20"/>
  </w:num>
  <w:num w:numId="4">
    <w:abstractNumId w:val="20"/>
  </w:num>
  <w:num w:numId="5">
    <w:abstractNumId w:val="20"/>
  </w:num>
  <w:num w:numId="6">
    <w:abstractNumId w:val="20"/>
  </w:num>
  <w:num w:numId="7">
    <w:abstractNumId w:val="20"/>
  </w:num>
  <w:num w:numId="8">
    <w:abstractNumId w:val="20"/>
  </w:num>
  <w:num w:numId="9">
    <w:abstractNumId w:val="20"/>
  </w:num>
  <w:num w:numId="10">
    <w:abstractNumId w:val="20"/>
  </w:num>
  <w:num w:numId="11">
    <w:abstractNumId w:val="7"/>
  </w:num>
  <w:num w:numId="12">
    <w:abstractNumId w:val="7"/>
    <w:lvlOverride w:ilvl="0">
      <w:startOverride w:val="1"/>
    </w:lvlOverride>
  </w:num>
  <w:num w:numId="13">
    <w:abstractNumId w:val="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19"/>
  </w:num>
  <w:num w:numId="18">
    <w:abstractNumId w:val="3"/>
  </w:num>
  <w:num w:numId="19">
    <w:abstractNumId w:val="3"/>
  </w:num>
  <w:num w:numId="20">
    <w:abstractNumId w:val="3"/>
  </w:num>
  <w:num w:numId="21">
    <w:abstractNumId w:val="39"/>
  </w:num>
  <w:num w:numId="22">
    <w:abstractNumId w:val="22"/>
  </w:num>
  <w:num w:numId="23">
    <w:abstractNumId w:val="9"/>
  </w:num>
  <w:num w:numId="24">
    <w:abstractNumId w:val="5"/>
  </w:num>
  <w:num w:numId="25">
    <w:abstractNumId w:val="3"/>
  </w:num>
  <w:num w:numId="26">
    <w:abstractNumId w:val="2"/>
  </w:num>
  <w:num w:numId="27">
    <w:abstractNumId w:val="8"/>
  </w:num>
  <w:num w:numId="28">
    <w:abstractNumId w:val="6"/>
  </w:num>
  <w:num w:numId="29">
    <w:abstractNumId w:val="33"/>
  </w:num>
  <w:num w:numId="30">
    <w:abstractNumId w:val="35"/>
  </w:num>
  <w:num w:numId="31">
    <w:abstractNumId w:val="14"/>
  </w:num>
  <w:num w:numId="32">
    <w:abstractNumId w:val="34"/>
  </w:num>
  <w:num w:numId="33">
    <w:abstractNumId w:val="4"/>
  </w:num>
  <w:num w:numId="34">
    <w:abstractNumId w:val="15"/>
  </w:num>
  <w:num w:numId="35">
    <w:abstractNumId w:val="38"/>
  </w:num>
  <w:num w:numId="36">
    <w:abstractNumId w:val="13"/>
  </w:num>
  <w:num w:numId="37">
    <w:abstractNumId w:val="32"/>
  </w:num>
  <w:num w:numId="38">
    <w:abstractNumId w:val="31"/>
  </w:num>
  <w:num w:numId="39">
    <w:abstractNumId w:val="28"/>
  </w:num>
  <w:num w:numId="40">
    <w:abstractNumId w:val="12"/>
  </w:num>
  <w:num w:numId="41">
    <w:abstractNumId w:val="16"/>
  </w:num>
  <w:num w:numId="42">
    <w:abstractNumId w:val="29"/>
  </w:num>
  <w:num w:numId="43">
    <w:abstractNumId w:val="30"/>
  </w:num>
  <w:num w:numId="44">
    <w:abstractNumId w:val="27"/>
  </w:num>
  <w:num w:numId="45">
    <w:abstractNumId w:val="25"/>
  </w:num>
  <w:num w:numId="46">
    <w:abstractNumId w:val="1"/>
  </w:num>
  <w:num w:numId="47">
    <w:abstractNumId w:val="0"/>
  </w:num>
  <w:num w:numId="48">
    <w:abstractNumId w:val="24"/>
  </w:num>
  <w:num w:numId="49">
    <w:abstractNumId w:val="37"/>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6"/>
  </w:num>
  <w:num w:numId="52">
    <w:abstractNumId w:val="18"/>
  </w:num>
  <w:num w:numId="5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8"/>
  </w:num>
  <w:num w:numId="55">
    <w:abstractNumId w:val="23"/>
  </w:num>
  <w:num w:numId="56">
    <w:abstractNumId w:val="11"/>
  </w:num>
  <w:num w:numId="57">
    <w:abstractNumId w:val="26"/>
  </w:num>
  <w:num w:numId="58">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mailMerge>
    <w:mainDocumentType w:val="email"/>
    <w:dataType w:val="textFile"/>
    <w:activeRecord w:val="-1"/>
  </w:mailMerge>
  <w:defaultTabStop w:val="720"/>
  <w:drawingGridHorizontalSpacing w:val="13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2"/>
  </w:compat>
  <w:rsids>
    <w:rsidRoot w:val="003B5B29"/>
    <w:rsid w:val="00001CE5"/>
    <w:rsid w:val="00003278"/>
    <w:rsid w:val="00006D16"/>
    <w:rsid w:val="00011FD2"/>
    <w:rsid w:val="00012B40"/>
    <w:rsid w:val="00016B08"/>
    <w:rsid w:val="00021379"/>
    <w:rsid w:val="00021B45"/>
    <w:rsid w:val="00023761"/>
    <w:rsid w:val="00031833"/>
    <w:rsid w:val="00031CED"/>
    <w:rsid w:val="0003222E"/>
    <w:rsid w:val="0003332C"/>
    <w:rsid w:val="0003374F"/>
    <w:rsid w:val="00036FFB"/>
    <w:rsid w:val="00041DCC"/>
    <w:rsid w:val="000507B1"/>
    <w:rsid w:val="000570BC"/>
    <w:rsid w:val="0006107C"/>
    <w:rsid w:val="00061EAC"/>
    <w:rsid w:val="00065C4F"/>
    <w:rsid w:val="0006652C"/>
    <w:rsid w:val="00067D75"/>
    <w:rsid w:val="0007030F"/>
    <w:rsid w:val="000704F2"/>
    <w:rsid w:val="00072121"/>
    <w:rsid w:val="000730C6"/>
    <w:rsid w:val="0007356B"/>
    <w:rsid w:val="000756A3"/>
    <w:rsid w:val="00075F16"/>
    <w:rsid w:val="00077691"/>
    <w:rsid w:val="0007798E"/>
    <w:rsid w:val="0008067A"/>
    <w:rsid w:val="00080726"/>
    <w:rsid w:val="00080C0D"/>
    <w:rsid w:val="000821C8"/>
    <w:rsid w:val="0008371B"/>
    <w:rsid w:val="00083EC9"/>
    <w:rsid w:val="00084F50"/>
    <w:rsid w:val="000867F6"/>
    <w:rsid w:val="00091C76"/>
    <w:rsid w:val="00095A15"/>
    <w:rsid w:val="00097130"/>
    <w:rsid w:val="000A0CC6"/>
    <w:rsid w:val="000A306F"/>
    <w:rsid w:val="000A351A"/>
    <w:rsid w:val="000A5AEE"/>
    <w:rsid w:val="000A662E"/>
    <w:rsid w:val="000A6882"/>
    <w:rsid w:val="000A6887"/>
    <w:rsid w:val="000B0C92"/>
    <w:rsid w:val="000B22E6"/>
    <w:rsid w:val="000B6125"/>
    <w:rsid w:val="000B63AE"/>
    <w:rsid w:val="000B7376"/>
    <w:rsid w:val="000C0D47"/>
    <w:rsid w:val="000C2BD8"/>
    <w:rsid w:val="000C38CF"/>
    <w:rsid w:val="000C398A"/>
    <w:rsid w:val="000C5923"/>
    <w:rsid w:val="000D04D7"/>
    <w:rsid w:val="000D110E"/>
    <w:rsid w:val="000D1671"/>
    <w:rsid w:val="000D2F60"/>
    <w:rsid w:val="000D34E5"/>
    <w:rsid w:val="000D62CA"/>
    <w:rsid w:val="000D76DA"/>
    <w:rsid w:val="000E56D9"/>
    <w:rsid w:val="000E5A1C"/>
    <w:rsid w:val="000E6D0A"/>
    <w:rsid w:val="000E7F6C"/>
    <w:rsid w:val="000F511C"/>
    <w:rsid w:val="000F52F8"/>
    <w:rsid w:val="000F58D6"/>
    <w:rsid w:val="000F7521"/>
    <w:rsid w:val="000F7927"/>
    <w:rsid w:val="001016AC"/>
    <w:rsid w:val="00102FD1"/>
    <w:rsid w:val="00104E28"/>
    <w:rsid w:val="001053F2"/>
    <w:rsid w:val="00107531"/>
    <w:rsid w:val="00107F4D"/>
    <w:rsid w:val="001100B6"/>
    <w:rsid w:val="00114DC1"/>
    <w:rsid w:val="00115B1C"/>
    <w:rsid w:val="00116A28"/>
    <w:rsid w:val="001206FA"/>
    <w:rsid w:val="0012145D"/>
    <w:rsid w:val="00123930"/>
    <w:rsid w:val="00124403"/>
    <w:rsid w:val="001266F4"/>
    <w:rsid w:val="001309A4"/>
    <w:rsid w:val="0014030C"/>
    <w:rsid w:val="00144B9D"/>
    <w:rsid w:val="00147BEF"/>
    <w:rsid w:val="00153733"/>
    <w:rsid w:val="00155CD2"/>
    <w:rsid w:val="001611B1"/>
    <w:rsid w:val="00161942"/>
    <w:rsid w:val="00162DBE"/>
    <w:rsid w:val="00162F26"/>
    <w:rsid w:val="00163C7B"/>
    <w:rsid w:val="00165F17"/>
    <w:rsid w:val="00166B38"/>
    <w:rsid w:val="001677CD"/>
    <w:rsid w:val="0017200A"/>
    <w:rsid w:val="00174981"/>
    <w:rsid w:val="00174F44"/>
    <w:rsid w:val="001807DC"/>
    <w:rsid w:val="0018164E"/>
    <w:rsid w:val="00183FC9"/>
    <w:rsid w:val="001927E9"/>
    <w:rsid w:val="00194B9C"/>
    <w:rsid w:val="00195160"/>
    <w:rsid w:val="001A0D92"/>
    <w:rsid w:val="001A400C"/>
    <w:rsid w:val="001A412C"/>
    <w:rsid w:val="001A7414"/>
    <w:rsid w:val="001B3C83"/>
    <w:rsid w:val="001B4C29"/>
    <w:rsid w:val="001B5F51"/>
    <w:rsid w:val="001B76FE"/>
    <w:rsid w:val="001C050A"/>
    <w:rsid w:val="001C2B17"/>
    <w:rsid w:val="001D1604"/>
    <w:rsid w:val="001D2AC4"/>
    <w:rsid w:val="001D31D7"/>
    <w:rsid w:val="001D3CFA"/>
    <w:rsid w:val="001D6D96"/>
    <w:rsid w:val="001D7C7B"/>
    <w:rsid w:val="001E2207"/>
    <w:rsid w:val="001E3B1E"/>
    <w:rsid w:val="001E71C7"/>
    <w:rsid w:val="00204176"/>
    <w:rsid w:val="002147C9"/>
    <w:rsid w:val="002164A9"/>
    <w:rsid w:val="00216750"/>
    <w:rsid w:val="00216BC6"/>
    <w:rsid w:val="002208F2"/>
    <w:rsid w:val="00223284"/>
    <w:rsid w:val="00223FA9"/>
    <w:rsid w:val="00226855"/>
    <w:rsid w:val="0023137B"/>
    <w:rsid w:val="002320DE"/>
    <w:rsid w:val="00232157"/>
    <w:rsid w:val="00232B8F"/>
    <w:rsid w:val="00236F9A"/>
    <w:rsid w:val="0023792A"/>
    <w:rsid w:val="002405B9"/>
    <w:rsid w:val="00242C20"/>
    <w:rsid w:val="0024725F"/>
    <w:rsid w:val="00250E2C"/>
    <w:rsid w:val="00252DEF"/>
    <w:rsid w:val="002560AC"/>
    <w:rsid w:val="002574FB"/>
    <w:rsid w:val="00261446"/>
    <w:rsid w:val="00265C01"/>
    <w:rsid w:val="002668B6"/>
    <w:rsid w:val="00267A94"/>
    <w:rsid w:val="00271DDD"/>
    <w:rsid w:val="00272E47"/>
    <w:rsid w:val="00275A0A"/>
    <w:rsid w:val="00275C89"/>
    <w:rsid w:val="0028257F"/>
    <w:rsid w:val="00286023"/>
    <w:rsid w:val="0028647A"/>
    <w:rsid w:val="00286AAC"/>
    <w:rsid w:val="00287753"/>
    <w:rsid w:val="002921CF"/>
    <w:rsid w:val="00295404"/>
    <w:rsid w:val="00295C91"/>
    <w:rsid w:val="002B2F18"/>
    <w:rsid w:val="002B55DB"/>
    <w:rsid w:val="002B6664"/>
    <w:rsid w:val="002C5F97"/>
    <w:rsid w:val="002C65B6"/>
    <w:rsid w:val="002C75F5"/>
    <w:rsid w:val="002C7AC5"/>
    <w:rsid w:val="002D1FD9"/>
    <w:rsid w:val="002D4091"/>
    <w:rsid w:val="002D5A4C"/>
    <w:rsid w:val="002D6E04"/>
    <w:rsid w:val="002E1AA1"/>
    <w:rsid w:val="002E34DB"/>
    <w:rsid w:val="002E4857"/>
    <w:rsid w:val="002E6A64"/>
    <w:rsid w:val="002F01B1"/>
    <w:rsid w:val="002F0D8C"/>
    <w:rsid w:val="002F17C1"/>
    <w:rsid w:val="002F1C39"/>
    <w:rsid w:val="002F6A17"/>
    <w:rsid w:val="00302251"/>
    <w:rsid w:val="00306CFC"/>
    <w:rsid w:val="00312E2D"/>
    <w:rsid w:val="00317658"/>
    <w:rsid w:val="00322265"/>
    <w:rsid w:val="003262B1"/>
    <w:rsid w:val="00326649"/>
    <w:rsid w:val="00327DE7"/>
    <w:rsid w:val="00332013"/>
    <w:rsid w:val="00333512"/>
    <w:rsid w:val="0033476A"/>
    <w:rsid w:val="00335703"/>
    <w:rsid w:val="00335D54"/>
    <w:rsid w:val="00341131"/>
    <w:rsid w:val="00341567"/>
    <w:rsid w:val="00344C2D"/>
    <w:rsid w:val="00346927"/>
    <w:rsid w:val="003505A7"/>
    <w:rsid w:val="00355F20"/>
    <w:rsid w:val="00360F64"/>
    <w:rsid w:val="00361490"/>
    <w:rsid w:val="00363ED7"/>
    <w:rsid w:val="003641BE"/>
    <w:rsid w:val="003644DF"/>
    <w:rsid w:val="00365BF5"/>
    <w:rsid w:val="00366550"/>
    <w:rsid w:val="00366D4E"/>
    <w:rsid w:val="003677BE"/>
    <w:rsid w:val="0037078B"/>
    <w:rsid w:val="00371524"/>
    <w:rsid w:val="003804D0"/>
    <w:rsid w:val="00380F4D"/>
    <w:rsid w:val="00381E96"/>
    <w:rsid w:val="003837F4"/>
    <w:rsid w:val="00383AB0"/>
    <w:rsid w:val="00386F56"/>
    <w:rsid w:val="00386FCB"/>
    <w:rsid w:val="003954C8"/>
    <w:rsid w:val="00395842"/>
    <w:rsid w:val="00395EE1"/>
    <w:rsid w:val="00396B0C"/>
    <w:rsid w:val="003A1208"/>
    <w:rsid w:val="003A18CF"/>
    <w:rsid w:val="003A32F8"/>
    <w:rsid w:val="003A36F7"/>
    <w:rsid w:val="003A3C4A"/>
    <w:rsid w:val="003A3E5C"/>
    <w:rsid w:val="003B10B3"/>
    <w:rsid w:val="003B12C2"/>
    <w:rsid w:val="003B5B29"/>
    <w:rsid w:val="003C1615"/>
    <w:rsid w:val="003C2FA3"/>
    <w:rsid w:val="003C2FBC"/>
    <w:rsid w:val="003C47D9"/>
    <w:rsid w:val="003C5091"/>
    <w:rsid w:val="003C5CF6"/>
    <w:rsid w:val="003C5D6F"/>
    <w:rsid w:val="003C5FAF"/>
    <w:rsid w:val="003C7B6C"/>
    <w:rsid w:val="003D1D65"/>
    <w:rsid w:val="003D2D07"/>
    <w:rsid w:val="003D4A07"/>
    <w:rsid w:val="003E1840"/>
    <w:rsid w:val="003E267C"/>
    <w:rsid w:val="003E3E82"/>
    <w:rsid w:val="003F6E82"/>
    <w:rsid w:val="0040294A"/>
    <w:rsid w:val="004110F6"/>
    <w:rsid w:val="004120AA"/>
    <w:rsid w:val="00412522"/>
    <w:rsid w:val="00414CE0"/>
    <w:rsid w:val="00417B3D"/>
    <w:rsid w:val="00425C82"/>
    <w:rsid w:val="004303BC"/>
    <w:rsid w:val="0043208C"/>
    <w:rsid w:val="00432927"/>
    <w:rsid w:val="00432ABF"/>
    <w:rsid w:val="00436E83"/>
    <w:rsid w:val="0044313C"/>
    <w:rsid w:val="00445AC8"/>
    <w:rsid w:val="004467D0"/>
    <w:rsid w:val="0044739D"/>
    <w:rsid w:val="0044789D"/>
    <w:rsid w:val="0045050F"/>
    <w:rsid w:val="00453419"/>
    <w:rsid w:val="00456016"/>
    <w:rsid w:val="00457CB4"/>
    <w:rsid w:val="0046182E"/>
    <w:rsid w:val="004620BF"/>
    <w:rsid w:val="00462494"/>
    <w:rsid w:val="00464CF0"/>
    <w:rsid w:val="00465093"/>
    <w:rsid w:val="00470F9D"/>
    <w:rsid w:val="00472B38"/>
    <w:rsid w:val="00474565"/>
    <w:rsid w:val="004761B8"/>
    <w:rsid w:val="00476FE0"/>
    <w:rsid w:val="004816E1"/>
    <w:rsid w:val="004820F4"/>
    <w:rsid w:val="00483BC4"/>
    <w:rsid w:val="00483F1E"/>
    <w:rsid w:val="00484339"/>
    <w:rsid w:val="00487668"/>
    <w:rsid w:val="00491543"/>
    <w:rsid w:val="00491698"/>
    <w:rsid w:val="004A14DE"/>
    <w:rsid w:val="004A495A"/>
    <w:rsid w:val="004A5297"/>
    <w:rsid w:val="004B3BCE"/>
    <w:rsid w:val="004B42CD"/>
    <w:rsid w:val="004C42ED"/>
    <w:rsid w:val="004C60AD"/>
    <w:rsid w:val="004C73C1"/>
    <w:rsid w:val="004C7588"/>
    <w:rsid w:val="004D02BA"/>
    <w:rsid w:val="004D0D5F"/>
    <w:rsid w:val="004D4A7F"/>
    <w:rsid w:val="004D7341"/>
    <w:rsid w:val="004E00EA"/>
    <w:rsid w:val="004E3677"/>
    <w:rsid w:val="004E53F0"/>
    <w:rsid w:val="004F058F"/>
    <w:rsid w:val="004F10A9"/>
    <w:rsid w:val="004F11C6"/>
    <w:rsid w:val="004F1315"/>
    <w:rsid w:val="00503030"/>
    <w:rsid w:val="00505232"/>
    <w:rsid w:val="00505EA1"/>
    <w:rsid w:val="00507491"/>
    <w:rsid w:val="00507B74"/>
    <w:rsid w:val="0051230D"/>
    <w:rsid w:val="00512FB9"/>
    <w:rsid w:val="005130B7"/>
    <w:rsid w:val="00514550"/>
    <w:rsid w:val="0052022B"/>
    <w:rsid w:val="00520C64"/>
    <w:rsid w:val="005219FC"/>
    <w:rsid w:val="0052260D"/>
    <w:rsid w:val="005235A4"/>
    <w:rsid w:val="00523C61"/>
    <w:rsid w:val="00525D97"/>
    <w:rsid w:val="00526CE6"/>
    <w:rsid w:val="00530570"/>
    <w:rsid w:val="00530F1E"/>
    <w:rsid w:val="005314E0"/>
    <w:rsid w:val="0053255B"/>
    <w:rsid w:val="00532951"/>
    <w:rsid w:val="00533037"/>
    <w:rsid w:val="00535E74"/>
    <w:rsid w:val="00540BF6"/>
    <w:rsid w:val="00541393"/>
    <w:rsid w:val="00542F53"/>
    <w:rsid w:val="00543B82"/>
    <w:rsid w:val="0055184B"/>
    <w:rsid w:val="0055458A"/>
    <w:rsid w:val="00555FF1"/>
    <w:rsid w:val="0055639F"/>
    <w:rsid w:val="0055740F"/>
    <w:rsid w:val="005622FA"/>
    <w:rsid w:val="005627D3"/>
    <w:rsid w:val="00563797"/>
    <w:rsid w:val="005639E7"/>
    <w:rsid w:val="00566B52"/>
    <w:rsid w:val="0056742C"/>
    <w:rsid w:val="00570B12"/>
    <w:rsid w:val="00581F4D"/>
    <w:rsid w:val="00583FC0"/>
    <w:rsid w:val="00584BBF"/>
    <w:rsid w:val="005863C9"/>
    <w:rsid w:val="00590B22"/>
    <w:rsid w:val="0059136B"/>
    <w:rsid w:val="00593B46"/>
    <w:rsid w:val="00595938"/>
    <w:rsid w:val="00596E59"/>
    <w:rsid w:val="0059723A"/>
    <w:rsid w:val="005979ED"/>
    <w:rsid w:val="005A1BDA"/>
    <w:rsid w:val="005B1924"/>
    <w:rsid w:val="005B5461"/>
    <w:rsid w:val="005B551C"/>
    <w:rsid w:val="005B792A"/>
    <w:rsid w:val="005C6098"/>
    <w:rsid w:val="005C6E33"/>
    <w:rsid w:val="005C7D26"/>
    <w:rsid w:val="005D5EB3"/>
    <w:rsid w:val="005E07C7"/>
    <w:rsid w:val="005E40B8"/>
    <w:rsid w:val="005F007E"/>
    <w:rsid w:val="005F25A8"/>
    <w:rsid w:val="005F44BF"/>
    <w:rsid w:val="005F6F74"/>
    <w:rsid w:val="005F7AB8"/>
    <w:rsid w:val="00601A88"/>
    <w:rsid w:val="00603C4C"/>
    <w:rsid w:val="0060617C"/>
    <w:rsid w:val="00614989"/>
    <w:rsid w:val="00621274"/>
    <w:rsid w:val="00621B0F"/>
    <w:rsid w:val="0062376B"/>
    <w:rsid w:val="0062556D"/>
    <w:rsid w:val="00625808"/>
    <w:rsid w:val="00630086"/>
    <w:rsid w:val="0063247C"/>
    <w:rsid w:val="006341DB"/>
    <w:rsid w:val="00636998"/>
    <w:rsid w:val="00640C84"/>
    <w:rsid w:val="006426C5"/>
    <w:rsid w:val="00645851"/>
    <w:rsid w:val="00657392"/>
    <w:rsid w:val="00657B43"/>
    <w:rsid w:val="006646FE"/>
    <w:rsid w:val="0066593F"/>
    <w:rsid w:val="00666C8D"/>
    <w:rsid w:val="00666FDA"/>
    <w:rsid w:val="00671045"/>
    <w:rsid w:val="0067159E"/>
    <w:rsid w:val="00671F5C"/>
    <w:rsid w:val="006724E0"/>
    <w:rsid w:val="0067644D"/>
    <w:rsid w:val="00676B0D"/>
    <w:rsid w:val="00676FDD"/>
    <w:rsid w:val="0068006F"/>
    <w:rsid w:val="00681825"/>
    <w:rsid w:val="00683077"/>
    <w:rsid w:val="00684343"/>
    <w:rsid w:val="0068776C"/>
    <w:rsid w:val="00692261"/>
    <w:rsid w:val="006925EE"/>
    <w:rsid w:val="00693178"/>
    <w:rsid w:val="00695141"/>
    <w:rsid w:val="00696803"/>
    <w:rsid w:val="00696DD8"/>
    <w:rsid w:val="006A027C"/>
    <w:rsid w:val="006A1AE8"/>
    <w:rsid w:val="006A317E"/>
    <w:rsid w:val="006A5ADC"/>
    <w:rsid w:val="006A6304"/>
    <w:rsid w:val="006B0604"/>
    <w:rsid w:val="006B4FE9"/>
    <w:rsid w:val="006C3253"/>
    <w:rsid w:val="006C5D38"/>
    <w:rsid w:val="006C7215"/>
    <w:rsid w:val="006D21A9"/>
    <w:rsid w:val="006D267F"/>
    <w:rsid w:val="006D37BA"/>
    <w:rsid w:val="006D4447"/>
    <w:rsid w:val="006E182D"/>
    <w:rsid w:val="006E3711"/>
    <w:rsid w:val="006E3E75"/>
    <w:rsid w:val="006E710E"/>
    <w:rsid w:val="006F26C6"/>
    <w:rsid w:val="006F4A2F"/>
    <w:rsid w:val="006F58CC"/>
    <w:rsid w:val="006F6B2D"/>
    <w:rsid w:val="007038B4"/>
    <w:rsid w:val="007040B6"/>
    <w:rsid w:val="0070624D"/>
    <w:rsid w:val="00707C78"/>
    <w:rsid w:val="00711EA0"/>
    <w:rsid w:val="00714115"/>
    <w:rsid w:val="007149EE"/>
    <w:rsid w:val="0071519A"/>
    <w:rsid w:val="007209A2"/>
    <w:rsid w:val="00722E3C"/>
    <w:rsid w:val="00730113"/>
    <w:rsid w:val="00730B2B"/>
    <w:rsid w:val="0073147E"/>
    <w:rsid w:val="00732625"/>
    <w:rsid w:val="0073289B"/>
    <w:rsid w:val="007360F1"/>
    <w:rsid w:val="0074194D"/>
    <w:rsid w:val="007426F0"/>
    <w:rsid w:val="00742C3B"/>
    <w:rsid w:val="007459C4"/>
    <w:rsid w:val="0074753B"/>
    <w:rsid w:val="00750DA9"/>
    <w:rsid w:val="00751E46"/>
    <w:rsid w:val="00755789"/>
    <w:rsid w:val="007573D1"/>
    <w:rsid w:val="007574A0"/>
    <w:rsid w:val="0076402D"/>
    <w:rsid w:val="007663BA"/>
    <w:rsid w:val="00773CF2"/>
    <w:rsid w:val="00776040"/>
    <w:rsid w:val="007771CB"/>
    <w:rsid w:val="00777F96"/>
    <w:rsid w:val="00791AF6"/>
    <w:rsid w:val="00792EAF"/>
    <w:rsid w:val="00793F89"/>
    <w:rsid w:val="007947C8"/>
    <w:rsid w:val="0079533A"/>
    <w:rsid w:val="007A4A5E"/>
    <w:rsid w:val="007A6116"/>
    <w:rsid w:val="007A6B20"/>
    <w:rsid w:val="007A7E34"/>
    <w:rsid w:val="007B0799"/>
    <w:rsid w:val="007B092A"/>
    <w:rsid w:val="007B50F0"/>
    <w:rsid w:val="007B653E"/>
    <w:rsid w:val="007B6CF9"/>
    <w:rsid w:val="007B79A4"/>
    <w:rsid w:val="007C2119"/>
    <w:rsid w:val="007C252D"/>
    <w:rsid w:val="007C2FC8"/>
    <w:rsid w:val="007C4840"/>
    <w:rsid w:val="007C5482"/>
    <w:rsid w:val="007C6676"/>
    <w:rsid w:val="007C6AEA"/>
    <w:rsid w:val="007C7559"/>
    <w:rsid w:val="007D05C2"/>
    <w:rsid w:val="007D1425"/>
    <w:rsid w:val="007D264B"/>
    <w:rsid w:val="007D64F2"/>
    <w:rsid w:val="007D68DD"/>
    <w:rsid w:val="007E041F"/>
    <w:rsid w:val="007E3927"/>
    <w:rsid w:val="007E403C"/>
    <w:rsid w:val="007E4844"/>
    <w:rsid w:val="007F2535"/>
    <w:rsid w:val="007F277C"/>
    <w:rsid w:val="007F4902"/>
    <w:rsid w:val="007F78FB"/>
    <w:rsid w:val="0080145B"/>
    <w:rsid w:val="008034CB"/>
    <w:rsid w:val="00805761"/>
    <w:rsid w:val="00807A5D"/>
    <w:rsid w:val="008141F7"/>
    <w:rsid w:val="008251FB"/>
    <w:rsid w:val="008259AB"/>
    <w:rsid w:val="00826045"/>
    <w:rsid w:val="0083097D"/>
    <w:rsid w:val="00833173"/>
    <w:rsid w:val="00833A36"/>
    <w:rsid w:val="00833E06"/>
    <w:rsid w:val="00833F3B"/>
    <w:rsid w:val="00834803"/>
    <w:rsid w:val="00841DA9"/>
    <w:rsid w:val="00842678"/>
    <w:rsid w:val="00845FC4"/>
    <w:rsid w:val="008504C8"/>
    <w:rsid w:val="008512C1"/>
    <w:rsid w:val="00851D8D"/>
    <w:rsid w:val="00852E34"/>
    <w:rsid w:val="0085313D"/>
    <w:rsid w:val="008546FA"/>
    <w:rsid w:val="00857447"/>
    <w:rsid w:val="00860C4E"/>
    <w:rsid w:val="00861665"/>
    <w:rsid w:val="008624BA"/>
    <w:rsid w:val="008638A4"/>
    <w:rsid w:val="0087217E"/>
    <w:rsid w:val="0088165F"/>
    <w:rsid w:val="00893F46"/>
    <w:rsid w:val="00896AB0"/>
    <w:rsid w:val="00897B62"/>
    <w:rsid w:val="008A2959"/>
    <w:rsid w:val="008A30E9"/>
    <w:rsid w:val="008A361B"/>
    <w:rsid w:val="008A5FAB"/>
    <w:rsid w:val="008A61BC"/>
    <w:rsid w:val="008A65D2"/>
    <w:rsid w:val="008A72A1"/>
    <w:rsid w:val="008A7FD7"/>
    <w:rsid w:val="008B1882"/>
    <w:rsid w:val="008B4E7D"/>
    <w:rsid w:val="008B5756"/>
    <w:rsid w:val="008B6DF6"/>
    <w:rsid w:val="008C2F17"/>
    <w:rsid w:val="008C4739"/>
    <w:rsid w:val="008C727F"/>
    <w:rsid w:val="008D0723"/>
    <w:rsid w:val="008D0C82"/>
    <w:rsid w:val="008D0DF1"/>
    <w:rsid w:val="008D45F8"/>
    <w:rsid w:val="008D47CE"/>
    <w:rsid w:val="008D6852"/>
    <w:rsid w:val="008D70F9"/>
    <w:rsid w:val="008E11F3"/>
    <w:rsid w:val="008E15DB"/>
    <w:rsid w:val="008E1F35"/>
    <w:rsid w:val="008E31EF"/>
    <w:rsid w:val="008E562C"/>
    <w:rsid w:val="008F1AED"/>
    <w:rsid w:val="008F28D3"/>
    <w:rsid w:val="008F294D"/>
    <w:rsid w:val="008F371E"/>
    <w:rsid w:val="008F415D"/>
    <w:rsid w:val="008F68B8"/>
    <w:rsid w:val="00900AB1"/>
    <w:rsid w:val="00903E00"/>
    <w:rsid w:val="00905EC4"/>
    <w:rsid w:val="00911782"/>
    <w:rsid w:val="00913626"/>
    <w:rsid w:val="009147A3"/>
    <w:rsid w:val="00914891"/>
    <w:rsid w:val="00917371"/>
    <w:rsid w:val="0091744A"/>
    <w:rsid w:val="009224DF"/>
    <w:rsid w:val="00927ACE"/>
    <w:rsid w:val="009314A7"/>
    <w:rsid w:val="00932E5C"/>
    <w:rsid w:val="00937742"/>
    <w:rsid w:val="00940A0D"/>
    <w:rsid w:val="00943F5F"/>
    <w:rsid w:val="00944C40"/>
    <w:rsid w:val="00944F08"/>
    <w:rsid w:val="00946D9F"/>
    <w:rsid w:val="009520EF"/>
    <w:rsid w:val="00952362"/>
    <w:rsid w:val="009559B5"/>
    <w:rsid w:val="00960A2C"/>
    <w:rsid w:val="00964DD1"/>
    <w:rsid w:val="00964EE2"/>
    <w:rsid w:val="00967360"/>
    <w:rsid w:val="0097074E"/>
    <w:rsid w:val="009737F5"/>
    <w:rsid w:val="009749B6"/>
    <w:rsid w:val="00976245"/>
    <w:rsid w:val="0098012B"/>
    <w:rsid w:val="009803B3"/>
    <w:rsid w:val="00981E29"/>
    <w:rsid w:val="0098219B"/>
    <w:rsid w:val="009852F9"/>
    <w:rsid w:val="00987555"/>
    <w:rsid w:val="00987B57"/>
    <w:rsid w:val="009A322E"/>
    <w:rsid w:val="009B0F8A"/>
    <w:rsid w:val="009B15F1"/>
    <w:rsid w:val="009B1BFB"/>
    <w:rsid w:val="009B4903"/>
    <w:rsid w:val="009B591D"/>
    <w:rsid w:val="009B70A7"/>
    <w:rsid w:val="009C247C"/>
    <w:rsid w:val="009C3888"/>
    <w:rsid w:val="009C4999"/>
    <w:rsid w:val="009C49A0"/>
    <w:rsid w:val="009C50E1"/>
    <w:rsid w:val="009D0FEA"/>
    <w:rsid w:val="009D3B80"/>
    <w:rsid w:val="009D51ED"/>
    <w:rsid w:val="009E0183"/>
    <w:rsid w:val="009E12A3"/>
    <w:rsid w:val="009E1426"/>
    <w:rsid w:val="009E360A"/>
    <w:rsid w:val="009E3780"/>
    <w:rsid w:val="009F0704"/>
    <w:rsid w:val="009F5830"/>
    <w:rsid w:val="009F6D84"/>
    <w:rsid w:val="009F7FCF"/>
    <w:rsid w:val="00A01486"/>
    <w:rsid w:val="00A016DB"/>
    <w:rsid w:val="00A02912"/>
    <w:rsid w:val="00A05809"/>
    <w:rsid w:val="00A05F3D"/>
    <w:rsid w:val="00A0795B"/>
    <w:rsid w:val="00A1069E"/>
    <w:rsid w:val="00A12CEC"/>
    <w:rsid w:val="00A14337"/>
    <w:rsid w:val="00A14DCC"/>
    <w:rsid w:val="00A164D9"/>
    <w:rsid w:val="00A16B15"/>
    <w:rsid w:val="00A17123"/>
    <w:rsid w:val="00A203C4"/>
    <w:rsid w:val="00A208D4"/>
    <w:rsid w:val="00A22190"/>
    <w:rsid w:val="00A349AC"/>
    <w:rsid w:val="00A35CE0"/>
    <w:rsid w:val="00A40D63"/>
    <w:rsid w:val="00A4367A"/>
    <w:rsid w:val="00A446E8"/>
    <w:rsid w:val="00A4599C"/>
    <w:rsid w:val="00A50F44"/>
    <w:rsid w:val="00A523EF"/>
    <w:rsid w:val="00A531AD"/>
    <w:rsid w:val="00A54CD6"/>
    <w:rsid w:val="00A57185"/>
    <w:rsid w:val="00A618F5"/>
    <w:rsid w:val="00A62734"/>
    <w:rsid w:val="00A643A0"/>
    <w:rsid w:val="00A66D52"/>
    <w:rsid w:val="00A66E94"/>
    <w:rsid w:val="00A71039"/>
    <w:rsid w:val="00A818DF"/>
    <w:rsid w:val="00A81B27"/>
    <w:rsid w:val="00A81C1D"/>
    <w:rsid w:val="00A82E36"/>
    <w:rsid w:val="00A8356F"/>
    <w:rsid w:val="00A866AC"/>
    <w:rsid w:val="00A87D75"/>
    <w:rsid w:val="00A91C20"/>
    <w:rsid w:val="00A9281B"/>
    <w:rsid w:val="00A93C65"/>
    <w:rsid w:val="00A97332"/>
    <w:rsid w:val="00A97391"/>
    <w:rsid w:val="00A97C1E"/>
    <w:rsid w:val="00A97C7D"/>
    <w:rsid w:val="00AA131A"/>
    <w:rsid w:val="00AA6755"/>
    <w:rsid w:val="00AA77A6"/>
    <w:rsid w:val="00AB2721"/>
    <w:rsid w:val="00AB4555"/>
    <w:rsid w:val="00AB4BA8"/>
    <w:rsid w:val="00AC4010"/>
    <w:rsid w:val="00AC67EC"/>
    <w:rsid w:val="00AC6FFD"/>
    <w:rsid w:val="00AC7004"/>
    <w:rsid w:val="00AC7CCD"/>
    <w:rsid w:val="00AD03BA"/>
    <w:rsid w:val="00AD2D1A"/>
    <w:rsid w:val="00AD2E0D"/>
    <w:rsid w:val="00AD35F4"/>
    <w:rsid w:val="00AE057B"/>
    <w:rsid w:val="00AE0B2E"/>
    <w:rsid w:val="00AE1728"/>
    <w:rsid w:val="00AE1AC3"/>
    <w:rsid w:val="00AE2531"/>
    <w:rsid w:val="00AE2E73"/>
    <w:rsid w:val="00AE366B"/>
    <w:rsid w:val="00AE5A98"/>
    <w:rsid w:val="00AE7143"/>
    <w:rsid w:val="00AE7602"/>
    <w:rsid w:val="00AF0FE5"/>
    <w:rsid w:val="00AF4E7B"/>
    <w:rsid w:val="00AF52A3"/>
    <w:rsid w:val="00AF726F"/>
    <w:rsid w:val="00B00912"/>
    <w:rsid w:val="00B02666"/>
    <w:rsid w:val="00B107F6"/>
    <w:rsid w:val="00B13C22"/>
    <w:rsid w:val="00B14B6E"/>
    <w:rsid w:val="00B16E35"/>
    <w:rsid w:val="00B20CE4"/>
    <w:rsid w:val="00B23B98"/>
    <w:rsid w:val="00B25450"/>
    <w:rsid w:val="00B25565"/>
    <w:rsid w:val="00B31462"/>
    <w:rsid w:val="00B32AB4"/>
    <w:rsid w:val="00B37D3E"/>
    <w:rsid w:val="00B37EE5"/>
    <w:rsid w:val="00B41BB9"/>
    <w:rsid w:val="00B41C30"/>
    <w:rsid w:val="00B42135"/>
    <w:rsid w:val="00B530B5"/>
    <w:rsid w:val="00B55C0C"/>
    <w:rsid w:val="00B60B50"/>
    <w:rsid w:val="00B626FD"/>
    <w:rsid w:val="00B6411A"/>
    <w:rsid w:val="00B64ADD"/>
    <w:rsid w:val="00B667FD"/>
    <w:rsid w:val="00B67078"/>
    <w:rsid w:val="00B67730"/>
    <w:rsid w:val="00B7017B"/>
    <w:rsid w:val="00B730C9"/>
    <w:rsid w:val="00B748EA"/>
    <w:rsid w:val="00B807F4"/>
    <w:rsid w:val="00B81ED3"/>
    <w:rsid w:val="00B81F77"/>
    <w:rsid w:val="00B85462"/>
    <w:rsid w:val="00B8590B"/>
    <w:rsid w:val="00B85B09"/>
    <w:rsid w:val="00B860C5"/>
    <w:rsid w:val="00B92CE3"/>
    <w:rsid w:val="00B933EF"/>
    <w:rsid w:val="00B95E2D"/>
    <w:rsid w:val="00B97ED9"/>
    <w:rsid w:val="00BA0048"/>
    <w:rsid w:val="00BA1943"/>
    <w:rsid w:val="00BA3710"/>
    <w:rsid w:val="00BA3BEF"/>
    <w:rsid w:val="00BA4FDC"/>
    <w:rsid w:val="00BB0654"/>
    <w:rsid w:val="00BB2085"/>
    <w:rsid w:val="00BB312F"/>
    <w:rsid w:val="00BB36C9"/>
    <w:rsid w:val="00BB40FC"/>
    <w:rsid w:val="00BC03D8"/>
    <w:rsid w:val="00BC231D"/>
    <w:rsid w:val="00BD0174"/>
    <w:rsid w:val="00BD342C"/>
    <w:rsid w:val="00BD4C00"/>
    <w:rsid w:val="00BD79A6"/>
    <w:rsid w:val="00BE1DBC"/>
    <w:rsid w:val="00BE1FAC"/>
    <w:rsid w:val="00BE4529"/>
    <w:rsid w:val="00BE4E72"/>
    <w:rsid w:val="00BE687D"/>
    <w:rsid w:val="00BE6AEE"/>
    <w:rsid w:val="00BE700A"/>
    <w:rsid w:val="00BE7EB3"/>
    <w:rsid w:val="00BF3824"/>
    <w:rsid w:val="00BF6AB8"/>
    <w:rsid w:val="00BF7956"/>
    <w:rsid w:val="00BF7E61"/>
    <w:rsid w:val="00C014D5"/>
    <w:rsid w:val="00C066B6"/>
    <w:rsid w:val="00C13599"/>
    <w:rsid w:val="00C15889"/>
    <w:rsid w:val="00C16FE6"/>
    <w:rsid w:val="00C17599"/>
    <w:rsid w:val="00C22B91"/>
    <w:rsid w:val="00C23708"/>
    <w:rsid w:val="00C23C79"/>
    <w:rsid w:val="00C24F51"/>
    <w:rsid w:val="00C33383"/>
    <w:rsid w:val="00C33F88"/>
    <w:rsid w:val="00C4153C"/>
    <w:rsid w:val="00C420BA"/>
    <w:rsid w:val="00C44207"/>
    <w:rsid w:val="00C44EAD"/>
    <w:rsid w:val="00C4670D"/>
    <w:rsid w:val="00C51413"/>
    <w:rsid w:val="00C515E2"/>
    <w:rsid w:val="00C5340B"/>
    <w:rsid w:val="00C53CBB"/>
    <w:rsid w:val="00C552DA"/>
    <w:rsid w:val="00C56218"/>
    <w:rsid w:val="00C6034D"/>
    <w:rsid w:val="00C61813"/>
    <w:rsid w:val="00C63EC7"/>
    <w:rsid w:val="00C64B3D"/>
    <w:rsid w:val="00C67D73"/>
    <w:rsid w:val="00C71EF7"/>
    <w:rsid w:val="00C739DB"/>
    <w:rsid w:val="00C74761"/>
    <w:rsid w:val="00C77570"/>
    <w:rsid w:val="00C804FE"/>
    <w:rsid w:val="00C81CF5"/>
    <w:rsid w:val="00C86315"/>
    <w:rsid w:val="00C924E5"/>
    <w:rsid w:val="00C938E9"/>
    <w:rsid w:val="00C95996"/>
    <w:rsid w:val="00C95D7C"/>
    <w:rsid w:val="00CA3BF8"/>
    <w:rsid w:val="00CA4F6F"/>
    <w:rsid w:val="00CA4FF9"/>
    <w:rsid w:val="00CA5A83"/>
    <w:rsid w:val="00CA6ACC"/>
    <w:rsid w:val="00CB09D6"/>
    <w:rsid w:val="00CB0CB2"/>
    <w:rsid w:val="00CB1422"/>
    <w:rsid w:val="00CB1951"/>
    <w:rsid w:val="00CB5378"/>
    <w:rsid w:val="00CB63EA"/>
    <w:rsid w:val="00CB7A34"/>
    <w:rsid w:val="00CC158D"/>
    <w:rsid w:val="00CC1872"/>
    <w:rsid w:val="00CC19B5"/>
    <w:rsid w:val="00CC299C"/>
    <w:rsid w:val="00CC301A"/>
    <w:rsid w:val="00CC38E6"/>
    <w:rsid w:val="00CC3C30"/>
    <w:rsid w:val="00CC3EDF"/>
    <w:rsid w:val="00CC4CE2"/>
    <w:rsid w:val="00CC6FCA"/>
    <w:rsid w:val="00CC7C7C"/>
    <w:rsid w:val="00CD0A66"/>
    <w:rsid w:val="00CD2FDA"/>
    <w:rsid w:val="00CD31D0"/>
    <w:rsid w:val="00CD41A1"/>
    <w:rsid w:val="00CE1D55"/>
    <w:rsid w:val="00CE238A"/>
    <w:rsid w:val="00CE2AE0"/>
    <w:rsid w:val="00CE5F9F"/>
    <w:rsid w:val="00CE66ED"/>
    <w:rsid w:val="00CE670A"/>
    <w:rsid w:val="00CE6BAC"/>
    <w:rsid w:val="00CE7E65"/>
    <w:rsid w:val="00CF0044"/>
    <w:rsid w:val="00CF0A72"/>
    <w:rsid w:val="00CF1176"/>
    <w:rsid w:val="00D033C4"/>
    <w:rsid w:val="00D039B9"/>
    <w:rsid w:val="00D04699"/>
    <w:rsid w:val="00D059C9"/>
    <w:rsid w:val="00D12421"/>
    <w:rsid w:val="00D13503"/>
    <w:rsid w:val="00D14BEF"/>
    <w:rsid w:val="00D15591"/>
    <w:rsid w:val="00D316E6"/>
    <w:rsid w:val="00D32428"/>
    <w:rsid w:val="00D34D19"/>
    <w:rsid w:val="00D35F3A"/>
    <w:rsid w:val="00D42159"/>
    <w:rsid w:val="00D43DE8"/>
    <w:rsid w:val="00D507BC"/>
    <w:rsid w:val="00D512C8"/>
    <w:rsid w:val="00D52E9C"/>
    <w:rsid w:val="00D54C40"/>
    <w:rsid w:val="00D55D54"/>
    <w:rsid w:val="00D5680B"/>
    <w:rsid w:val="00D57434"/>
    <w:rsid w:val="00D57ED7"/>
    <w:rsid w:val="00D60E0D"/>
    <w:rsid w:val="00D619D9"/>
    <w:rsid w:val="00D638D5"/>
    <w:rsid w:val="00D7119F"/>
    <w:rsid w:val="00D718E4"/>
    <w:rsid w:val="00D71C5E"/>
    <w:rsid w:val="00D73E6A"/>
    <w:rsid w:val="00D75145"/>
    <w:rsid w:val="00D757E0"/>
    <w:rsid w:val="00D76A1F"/>
    <w:rsid w:val="00D803CE"/>
    <w:rsid w:val="00D8072F"/>
    <w:rsid w:val="00D83F84"/>
    <w:rsid w:val="00D854D4"/>
    <w:rsid w:val="00D86BCF"/>
    <w:rsid w:val="00D87AF1"/>
    <w:rsid w:val="00D918F0"/>
    <w:rsid w:val="00D91F2A"/>
    <w:rsid w:val="00D94758"/>
    <w:rsid w:val="00D97F5E"/>
    <w:rsid w:val="00DA3891"/>
    <w:rsid w:val="00DA7CDD"/>
    <w:rsid w:val="00DB283B"/>
    <w:rsid w:val="00DB3839"/>
    <w:rsid w:val="00DB3FC8"/>
    <w:rsid w:val="00DB4070"/>
    <w:rsid w:val="00DB416F"/>
    <w:rsid w:val="00DB611B"/>
    <w:rsid w:val="00DB6254"/>
    <w:rsid w:val="00DB7748"/>
    <w:rsid w:val="00DC04B0"/>
    <w:rsid w:val="00DC10AA"/>
    <w:rsid w:val="00DC1148"/>
    <w:rsid w:val="00DC47EA"/>
    <w:rsid w:val="00DC511B"/>
    <w:rsid w:val="00DC69BF"/>
    <w:rsid w:val="00DC6DF7"/>
    <w:rsid w:val="00DC7AB6"/>
    <w:rsid w:val="00DC7BC8"/>
    <w:rsid w:val="00DD1B6A"/>
    <w:rsid w:val="00DD6644"/>
    <w:rsid w:val="00DE289B"/>
    <w:rsid w:val="00DE5CCB"/>
    <w:rsid w:val="00DE5EB6"/>
    <w:rsid w:val="00DE6C75"/>
    <w:rsid w:val="00DE7926"/>
    <w:rsid w:val="00DE7E61"/>
    <w:rsid w:val="00DF35DC"/>
    <w:rsid w:val="00DF3779"/>
    <w:rsid w:val="00DF46A3"/>
    <w:rsid w:val="00DF4DC6"/>
    <w:rsid w:val="00DF790E"/>
    <w:rsid w:val="00E018A8"/>
    <w:rsid w:val="00E02875"/>
    <w:rsid w:val="00E039EF"/>
    <w:rsid w:val="00E04AA1"/>
    <w:rsid w:val="00E052E8"/>
    <w:rsid w:val="00E10175"/>
    <w:rsid w:val="00E1020E"/>
    <w:rsid w:val="00E1115E"/>
    <w:rsid w:val="00E12092"/>
    <w:rsid w:val="00E12D4B"/>
    <w:rsid w:val="00E13285"/>
    <w:rsid w:val="00E14EA3"/>
    <w:rsid w:val="00E210D3"/>
    <w:rsid w:val="00E21EAC"/>
    <w:rsid w:val="00E230D7"/>
    <w:rsid w:val="00E262A9"/>
    <w:rsid w:val="00E27DF8"/>
    <w:rsid w:val="00E34A5D"/>
    <w:rsid w:val="00E356F4"/>
    <w:rsid w:val="00E45515"/>
    <w:rsid w:val="00E4607C"/>
    <w:rsid w:val="00E4636A"/>
    <w:rsid w:val="00E5065A"/>
    <w:rsid w:val="00E51128"/>
    <w:rsid w:val="00E601C7"/>
    <w:rsid w:val="00E60E98"/>
    <w:rsid w:val="00E6171C"/>
    <w:rsid w:val="00E639B5"/>
    <w:rsid w:val="00E63C52"/>
    <w:rsid w:val="00E63C65"/>
    <w:rsid w:val="00E64E40"/>
    <w:rsid w:val="00E67795"/>
    <w:rsid w:val="00E70761"/>
    <w:rsid w:val="00E73647"/>
    <w:rsid w:val="00E73BB6"/>
    <w:rsid w:val="00E74811"/>
    <w:rsid w:val="00E75774"/>
    <w:rsid w:val="00E77A61"/>
    <w:rsid w:val="00E80FAA"/>
    <w:rsid w:val="00E8573A"/>
    <w:rsid w:val="00E86230"/>
    <w:rsid w:val="00E87EF7"/>
    <w:rsid w:val="00E933E1"/>
    <w:rsid w:val="00E93A1B"/>
    <w:rsid w:val="00E9622B"/>
    <w:rsid w:val="00E965C5"/>
    <w:rsid w:val="00E97521"/>
    <w:rsid w:val="00EA2A9A"/>
    <w:rsid w:val="00EA438B"/>
    <w:rsid w:val="00EB1D28"/>
    <w:rsid w:val="00EB3D12"/>
    <w:rsid w:val="00EB406C"/>
    <w:rsid w:val="00EC6209"/>
    <w:rsid w:val="00ED03C0"/>
    <w:rsid w:val="00ED0FE3"/>
    <w:rsid w:val="00ED1ADF"/>
    <w:rsid w:val="00ED2A00"/>
    <w:rsid w:val="00ED75E2"/>
    <w:rsid w:val="00EE61AD"/>
    <w:rsid w:val="00EF7FDB"/>
    <w:rsid w:val="00F0035D"/>
    <w:rsid w:val="00F008DA"/>
    <w:rsid w:val="00F05581"/>
    <w:rsid w:val="00F06E96"/>
    <w:rsid w:val="00F1000C"/>
    <w:rsid w:val="00F10E18"/>
    <w:rsid w:val="00F11C8F"/>
    <w:rsid w:val="00F12F57"/>
    <w:rsid w:val="00F16FFE"/>
    <w:rsid w:val="00F20430"/>
    <w:rsid w:val="00F21BE2"/>
    <w:rsid w:val="00F22FC2"/>
    <w:rsid w:val="00F23357"/>
    <w:rsid w:val="00F245CE"/>
    <w:rsid w:val="00F252CD"/>
    <w:rsid w:val="00F25D3E"/>
    <w:rsid w:val="00F26741"/>
    <w:rsid w:val="00F3170C"/>
    <w:rsid w:val="00F337AF"/>
    <w:rsid w:val="00F33BCF"/>
    <w:rsid w:val="00F3525C"/>
    <w:rsid w:val="00F41278"/>
    <w:rsid w:val="00F41BCE"/>
    <w:rsid w:val="00F43F63"/>
    <w:rsid w:val="00F44521"/>
    <w:rsid w:val="00F45BC7"/>
    <w:rsid w:val="00F45DC4"/>
    <w:rsid w:val="00F504B0"/>
    <w:rsid w:val="00F53E26"/>
    <w:rsid w:val="00F549F8"/>
    <w:rsid w:val="00F62291"/>
    <w:rsid w:val="00F659E3"/>
    <w:rsid w:val="00F66ABC"/>
    <w:rsid w:val="00F66F83"/>
    <w:rsid w:val="00F757C4"/>
    <w:rsid w:val="00F76D30"/>
    <w:rsid w:val="00F7725B"/>
    <w:rsid w:val="00F8303E"/>
    <w:rsid w:val="00F958C4"/>
    <w:rsid w:val="00F95A67"/>
    <w:rsid w:val="00F97834"/>
    <w:rsid w:val="00F97CB5"/>
    <w:rsid w:val="00FA6723"/>
    <w:rsid w:val="00FA7A03"/>
    <w:rsid w:val="00FB4F4D"/>
    <w:rsid w:val="00FB5576"/>
    <w:rsid w:val="00FC30B8"/>
    <w:rsid w:val="00FC5698"/>
    <w:rsid w:val="00FC7B44"/>
    <w:rsid w:val="00FD2519"/>
    <w:rsid w:val="00FD445C"/>
    <w:rsid w:val="00FD692D"/>
    <w:rsid w:val="00FE0D2B"/>
    <w:rsid w:val="00FE5BBE"/>
    <w:rsid w:val="00FE6B1B"/>
    <w:rsid w:val="00FE714E"/>
    <w:rsid w:val="00FF03A6"/>
    <w:rsid w:val="00FF06C7"/>
    <w:rsid w:val="00FF1537"/>
    <w:rsid w:val="00FF3428"/>
    <w:rsid w:val="00FF3599"/>
    <w:rsid w:val="00FF4CA2"/>
    <w:rsid w:val="00FF535A"/>
    <w:rsid w:val="00FF538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qFormat/>
    <w:rsid w:val="002F01B1"/>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75F16"/>
    <w:pPr>
      <w:numPr>
        <w:numId w:val="1"/>
      </w:numPr>
      <w:spacing w:line="360" w:lineRule="auto"/>
      <w:ind w:left="0" w:firstLine="0"/>
    </w:pPr>
    <w:rPr>
      <w:color w:val="000000"/>
    </w:r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967360"/>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iPriority w:val="99"/>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075F16"/>
    <w:rPr>
      <w:rFonts w:ascii="Times New Roman" w:hAnsi="Times New Roman"/>
      <w:color w:val="000000"/>
      <w:sz w:val="26"/>
      <w:szCs w:val="22"/>
      <w:lang w:val="en-ZA"/>
    </w:rPr>
  </w:style>
  <w:style w:type="character" w:customStyle="1" w:styleId="LISTChar">
    <w:name w:val="LIST Char"/>
    <w:basedOn w:val="JUDGMENTNUMBEREDChar"/>
    <w:link w:val="List1"/>
    <w:rsid w:val="00C63EC7"/>
    <w:rPr>
      <w:rFonts w:ascii="Times New Roman" w:hAnsi="Times New Roman"/>
      <w:color w:val="000000"/>
      <w:sz w:val="26"/>
      <w:szCs w:val="22"/>
      <w:lang w:val="en-ZA"/>
    </w:rPr>
  </w:style>
  <w:style w:type="character" w:customStyle="1" w:styleId="HEADINGChar">
    <w:name w:val="HEADING Char"/>
    <w:basedOn w:val="JUDGMENTNUMBEREDChar"/>
    <w:link w:val="HEADING"/>
    <w:rsid w:val="00C63EC7"/>
    <w:rPr>
      <w:rFonts w:ascii="Times New Roman" w:hAnsi="Times New Roman"/>
      <w:i/>
      <w:color w:val="000000"/>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color w:val="000000"/>
      <w:sz w:val="26"/>
      <w:szCs w:val="22"/>
      <w:lang w:val="en-ZA"/>
    </w:rPr>
  </w:style>
  <w:style w:type="character" w:styleId="CommentReference">
    <w:name w:val="annotation reference"/>
    <w:basedOn w:val="DefaultParagraphFont"/>
    <w:uiPriority w:val="99"/>
    <w:semiHidden/>
    <w:unhideWhenUsed/>
    <w:rsid w:val="003B5B29"/>
    <w:rPr>
      <w:sz w:val="16"/>
      <w:szCs w:val="16"/>
    </w:rPr>
  </w:style>
  <w:style w:type="paragraph" w:styleId="CommentText">
    <w:name w:val="annotation text"/>
    <w:basedOn w:val="Normal"/>
    <w:link w:val="CommentTextChar"/>
    <w:uiPriority w:val="99"/>
    <w:unhideWhenUsed/>
    <w:rsid w:val="003B5B29"/>
    <w:pPr>
      <w:spacing w:line="240" w:lineRule="auto"/>
    </w:pPr>
    <w:rPr>
      <w:sz w:val="20"/>
      <w:szCs w:val="20"/>
    </w:rPr>
  </w:style>
  <w:style w:type="character" w:customStyle="1" w:styleId="CommentTextChar">
    <w:name w:val="Comment Text Char"/>
    <w:basedOn w:val="DefaultParagraphFont"/>
    <w:link w:val="CommentText"/>
    <w:uiPriority w:val="99"/>
    <w:rsid w:val="003B5B29"/>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B5B29"/>
    <w:rPr>
      <w:b/>
      <w:bCs/>
    </w:rPr>
  </w:style>
  <w:style w:type="character" w:customStyle="1" w:styleId="CommentSubjectChar">
    <w:name w:val="Comment Subject Char"/>
    <w:basedOn w:val="CommentTextChar"/>
    <w:link w:val="CommentSubject"/>
    <w:uiPriority w:val="99"/>
    <w:semiHidden/>
    <w:rsid w:val="003B5B29"/>
    <w:rPr>
      <w:rFonts w:ascii="Times New Roman" w:hAnsi="Times New Roman"/>
      <w:b/>
      <w:bCs/>
      <w:lang w:val="en-ZA"/>
    </w:rPr>
  </w:style>
  <w:style w:type="character" w:customStyle="1" w:styleId="Heading2Char">
    <w:name w:val="Heading 2 Char"/>
    <w:basedOn w:val="DefaultParagraphFont"/>
    <w:link w:val="Heading2"/>
    <w:uiPriority w:val="9"/>
    <w:rsid w:val="002F01B1"/>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DF46A3"/>
    <w:rPr>
      <w:rFonts w:ascii="Times New Roman" w:hAnsi="Times New Roman"/>
      <w:sz w:val="26"/>
      <w:szCs w:val="22"/>
      <w:lang w:val="en-ZA"/>
    </w:rPr>
  </w:style>
  <w:style w:type="character" w:styleId="Hyperlink">
    <w:name w:val="Hyperlink"/>
    <w:basedOn w:val="DefaultParagraphFont"/>
    <w:uiPriority w:val="99"/>
    <w:semiHidden/>
    <w:unhideWhenUsed/>
    <w:rsid w:val="00216BC6"/>
    <w:rPr>
      <w:color w:val="0000FF"/>
      <w:u w:val="single"/>
    </w:rPr>
  </w:style>
  <w:style w:type="character" w:customStyle="1" w:styleId="apple-converted-space">
    <w:name w:val="apple-converted-space"/>
    <w:basedOn w:val="DefaultParagraphFont"/>
    <w:rsid w:val="00216BC6"/>
  </w:style>
  <w:style w:type="character" w:styleId="FollowedHyperlink">
    <w:name w:val="FollowedHyperlink"/>
    <w:basedOn w:val="DefaultParagraphFont"/>
    <w:uiPriority w:val="99"/>
    <w:semiHidden/>
    <w:unhideWhenUsed/>
    <w:rsid w:val="003505A7"/>
    <w:rPr>
      <w:color w:val="800080" w:themeColor="followedHyperlink"/>
      <w:u w:val="single"/>
    </w:rPr>
  </w:style>
  <w:style w:type="paragraph" w:customStyle="1" w:styleId="Quote1">
    <w:name w:val="Quote1"/>
    <w:basedOn w:val="Normal"/>
    <w:rsid w:val="00C64B3D"/>
    <w:pPr>
      <w:spacing w:before="100" w:beforeAutospacing="1" w:after="100" w:afterAutospacing="1" w:line="240" w:lineRule="auto"/>
      <w:jc w:val="left"/>
    </w:pPr>
    <w:rPr>
      <w:rFonts w:eastAsia="Times New Roman"/>
      <w:sz w:val="24"/>
      <w:szCs w:val="24"/>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092389">
      <w:bodyDiv w:val="1"/>
      <w:marLeft w:val="0"/>
      <w:marRight w:val="0"/>
      <w:marTop w:val="0"/>
      <w:marBottom w:val="0"/>
      <w:divBdr>
        <w:top w:val="none" w:sz="0" w:space="0" w:color="auto"/>
        <w:left w:val="none" w:sz="0" w:space="0" w:color="auto"/>
        <w:bottom w:val="none" w:sz="0" w:space="0" w:color="auto"/>
        <w:right w:val="none" w:sz="0" w:space="0" w:color="auto"/>
      </w:divBdr>
    </w:div>
    <w:div w:id="175193315">
      <w:bodyDiv w:val="1"/>
      <w:marLeft w:val="0"/>
      <w:marRight w:val="0"/>
      <w:marTop w:val="0"/>
      <w:marBottom w:val="0"/>
      <w:divBdr>
        <w:top w:val="none" w:sz="0" w:space="0" w:color="auto"/>
        <w:left w:val="none" w:sz="0" w:space="0" w:color="auto"/>
        <w:bottom w:val="none" w:sz="0" w:space="0" w:color="auto"/>
        <w:right w:val="none" w:sz="0" w:space="0" w:color="auto"/>
      </w:divBdr>
    </w:div>
    <w:div w:id="276566192">
      <w:bodyDiv w:val="1"/>
      <w:marLeft w:val="0"/>
      <w:marRight w:val="0"/>
      <w:marTop w:val="0"/>
      <w:marBottom w:val="0"/>
      <w:divBdr>
        <w:top w:val="none" w:sz="0" w:space="0" w:color="auto"/>
        <w:left w:val="none" w:sz="0" w:space="0" w:color="auto"/>
        <w:bottom w:val="none" w:sz="0" w:space="0" w:color="auto"/>
        <w:right w:val="none" w:sz="0" w:space="0" w:color="auto"/>
      </w:divBdr>
    </w:div>
    <w:div w:id="366879225">
      <w:bodyDiv w:val="1"/>
      <w:marLeft w:val="0"/>
      <w:marRight w:val="0"/>
      <w:marTop w:val="0"/>
      <w:marBottom w:val="0"/>
      <w:divBdr>
        <w:top w:val="none" w:sz="0" w:space="0" w:color="auto"/>
        <w:left w:val="none" w:sz="0" w:space="0" w:color="auto"/>
        <w:bottom w:val="none" w:sz="0" w:space="0" w:color="auto"/>
        <w:right w:val="none" w:sz="0" w:space="0" w:color="auto"/>
      </w:divBdr>
    </w:div>
    <w:div w:id="428618653">
      <w:bodyDiv w:val="1"/>
      <w:marLeft w:val="0"/>
      <w:marRight w:val="0"/>
      <w:marTop w:val="0"/>
      <w:marBottom w:val="0"/>
      <w:divBdr>
        <w:top w:val="none" w:sz="0" w:space="0" w:color="auto"/>
        <w:left w:val="none" w:sz="0" w:space="0" w:color="auto"/>
        <w:bottom w:val="none" w:sz="0" w:space="0" w:color="auto"/>
        <w:right w:val="none" w:sz="0" w:space="0" w:color="auto"/>
      </w:divBdr>
    </w:div>
    <w:div w:id="495465431">
      <w:bodyDiv w:val="1"/>
      <w:marLeft w:val="0"/>
      <w:marRight w:val="0"/>
      <w:marTop w:val="0"/>
      <w:marBottom w:val="0"/>
      <w:divBdr>
        <w:top w:val="none" w:sz="0" w:space="0" w:color="auto"/>
        <w:left w:val="none" w:sz="0" w:space="0" w:color="auto"/>
        <w:bottom w:val="none" w:sz="0" w:space="0" w:color="auto"/>
        <w:right w:val="none" w:sz="0" w:space="0" w:color="auto"/>
      </w:divBdr>
    </w:div>
    <w:div w:id="534460801">
      <w:bodyDiv w:val="1"/>
      <w:marLeft w:val="0"/>
      <w:marRight w:val="0"/>
      <w:marTop w:val="0"/>
      <w:marBottom w:val="0"/>
      <w:divBdr>
        <w:top w:val="none" w:sz="0" w:space="0" w:color="auto"/>
        <w:left w:val="none" w:sz="0" w:space="0" w:color="auto"/>
        <w:bottom w:val="none" w:sz="0" w:space="0" w:color="auto"/>
        <w:right w:val="none" w:sz="0" w:space="0" w:color="auto"/>
      </w:divBdr>
    </w:div>
    <w:div w:id="562375169">
      <w:bodyDiv w:val="1"/>
      <w:marLeft w:val="0"/>
      <w:marRight w:val="0"/>
      <w:marTop w:val="0"/>
      <w:marBottom w:val="0"/>
      <w:divBdr>
        <w:top w:val="none" w:sz="0" w:space="0" w:color="auto"/>
        <w:left w:val="none" w:sz="0" w:space="0" w:color="auto"/>
        <w:bottom w:val="none" w:sz="0" w:space="0" w:color="auto"/>
        <w:right w:val="none" w:sz="0" w:space="0" w:color="auto"/>
      </w:divBdr>
    </w:div>
    <w:div w:id="627511836">
      <w:bodyDiv w:val="1"/>
      <w:marLeft w:val="0"/>
      <w:marRight w:val="0"/>
      <w:marTop w:val="0"/>
      <w:marBottom w:val="0"/>
      <w:divBdr>
        <w:top w:val="none" w:sz="0" w:space="0" w:color="auto"/>
        <w:left w:val="none" w:sz="0" w:space="0" w:color="auto"/>
        <w:bottom w:val="none" w:sz="0" w:space="0" w:color="auto"/>
        <w:right w:val="none" w:sz="0" w:space="0" w:color="auto"/>
      </w:divBdr>
    </w:div>
    <w:div w:id="673145752">
      <w:bodyDiv w:val="1"/>
      <w:marLeft w:val="0"/>
      <w:marRight w:val="0"/>
      <w:marTop w:val="0"/>
      <w:marBottom w:val="0"/>
      <w:divBdr>
        <w:top w:val="none" w:sz="0" w:space="0" w:color="auto"/>
        <w:left w:val="none" w:sz="0" w:space="0" w:color="auto"/>
        <w:bottom w:val="none" w:sz="0" w:space="0" w:color="auto"/>
        <w:right w:val="none" w:sz="0" w:space="0" w:color="auto"/>
      </w:divBdr>
    </w:div>
    <w:div w:id="695010484">
      <w:bodyDiv w:val="1"/>
      <w:marLeft w:val="0"/>
      <w:marRight w:val="0"/>
      <w:marTop w:val="0"/>
      <w:marBottom w:val="0"/>
      <w:divBdr>
        <w:top w:val="none" w:sz="0" w:space="0" w:color="auto"/>
        <w:left w:val="none" w:sz="0" w:space="0" w:color="auto"/>
        <w:bottom w:val="none" w:sz="0" w:space="0" w:color="auto"/>
        <w:right w:val="none" w:sz="0" w:space="0" w:color="auto"/>
      </w:divBdr>
    </w:div>
    <w:div w:id="895626737">
      <w:bodyDiv w:val="1"/>
      <w:marLeft w:val="0"/>
      <w:marRight w:val="0"/>
      <w:marTop w:val="0"/>
      <w:marBottom w:val="0"/>
      <w:divBdr>
        <w:top w:val="none" w:sz="0" w:space="0" w:color="auto"/>
        <w:left w:val="none" w:sz="0" w:space="0" w:color="auto"/>
        <w:bottom w:val="none" w:sz="0" w:space="0" w:color="auto"/>
        <w:right w:val="none" w:sz="0" w:space="0" w:color="auto"/>
      </w:divBdr>
    </w:div>
    <w:div w:id="905645882">
      <w:bodyDiv w:val="1"/>
      <w:marLeft w:val="0"/>
      <w:marRight w:val="0"/>
      <w:marTop w:val="0"/>
      <w:marBottom w:val="0"/>
      <w:divBdr>
        <w:top w:val="none" w:sz="0" w:space="0" w:color="auto"/>
        <w:left w:val="none" w:sz="0" w:space="0" w:color="auto"/>
        <w:bottom w:val="none" w:sz="0" w:space="0" w:color="auto"/>
        <w:right w:val="none" w:sz="0" w:space="0" w:color="auto"/>
      </w:divBdr>
    </w:div>
    <w:div w:id="946155263">
      <w:bodyDiv w:val="1"/>
      <w:marLeft w:val="0"/>
      <w:marRight w:val="0"/>
      <w:marTop w:val="0"/>
      <w:marBottom w:val="0"/>
      <w:divBdr>
        <w:top w:val="none" w:sz="0" w:space="0" w:color="auto"/>
        <w:left w:val="none" w:sz="0" w:space="0" w:color="auto"/>
        <w:bottom w:val="none" w:sz="0" w:space="0" w:color="auto"/>
        <w:right w:val="none" w:sz="0" w:space="0" w:color="auto"/>
      </w:divBdr>
    </w:div>
    <w:div w:id="955675140">
      <w:bodyDiv w:val="1"/>
      <w:marLeft w:val="0"/>
      <w:marRight w:val="0"/>
      <w:marTop w:val="0"/>
      <w:marBottom w:val="0"/>
      <w:divBdr>
        <w:top w:val="none" w:sz="0" w:space="0" w:color="auto"/>
        <w:left w:val="none" w:sz="0" w:space="0" w:color="auto"/>
        <w:bottom w:val="none" w:sz="0" w:space="0" w:color="auto"/>
        <w:right w:val="none" w:sz="0" w:space="0" w:color="auto"/>
      </w:divBdr>
    </w:div>
    <w:div w:id="975598244">
      <w:bodyDiv w:val="1"/>
      <w:marLeft w:val="0"/>
      <w:marRight w:val="0"/>
      <w:marTop w:val="0"/>
      <w:marBottom w:val="0"/>
      <w:divBdr>
        <w:top w:val="none" w:sz="0" w:space="0" w:color="auto"/>
        <w:left w:val="none" w:sz="0" w:space="0" w:color="auto"/>
        <w:bottom w:val="none" w:sz="0" w:space="0" w:color="auto"/>
        <w:right w:val="none" w:sz="0" w:space="0" w:color="auto"/>
      </w:divBdr>
    </w:div>
    <w:div w:id="981271471">
      <w:bodyDiv w:val="1"/>
      <w:marLeft w:val="0"/>
      <w:marRight w:val="0"/>
      <w:marTop w:val="0"/>
      <w:marBottom w:val="0"/>
      <w:divBdr>
        <w:top w:val="none" w:sz="0" w:space="0" w:color="auto"/>
        <w:left w:val="none" w:sz="0" w:space="0" w:color="auto"/>
        <w:bottom w:val="none" w:sz="0" w:space="0" w:color="auto"/>
        <w:right w:val="none" w:sz="0" w:space="0" w:color="auto"/>
      </w:divBdr>
    </w:div>
    <w:div w:id="1014569959">
      <w:bodyDiv w:val="1"/>
      <w:marLeft w:val="0"/>
      <w:marRight w:val="0"/>
      <w:marTop w:val="0"/>
      <w:marBottom w:val="0"/>
      <w:divBdr>
        <w:top w:val="none" w:sz="0" w:space="0" w:color="auto"/>
        <w:left w:val="none" w:sz="0" w:space="0" w:color="auto"/>
        <w:bottom w:val="none" w:sz="0" w:space="0" w:color="auto"/>
        <w:right w:val="none" w:sz="0" w:space="0" w:color="auto"/>
      </w:divBdr>
    </w:div>
    <w:div w:id="1015810289">
      <w:bodyDiv w:val="1"/>
      <w:marLeft w:val="0"/>
      <w:marRight w:val="0"/>
      <w:marTop w:val="0"/>
      <w:marBottom w:val="0"/>
      <w:divBdr>
        <w:top w:val="none" w:sz="0" w:space="0" w:color="auto"/>
        <w:left w:val="none" w:sz="0" w:space="0" w:color="auto"/>
        <w:bottom w:val="none" w:sz="0" w:space="0" w:color="auto"/>
        <w:right w:val="none" w:sz="0" w:space="0" w:color="auto"/>
      </w:divBdr>
    </w:div>
    <w:div w:id="1022586008">
      <w:bodyDiv w:val="1"/>
      <w:marLeft w:val="0"/>
      <w:marRight w:val="0"/>
      <w:marTop w:val="0"/>
      <w:marBottom w:val="0"/>
      <w:divBdr>
        <w:top w:val="none" w:sz="0" w:space="0" w:color="auto"/>
        <w:left w:val="none" w:sz="0" w:space="0" w:color="auto"/>
        <w:bottom w:val="none" w:sz="0" w:space="0" w:color="auto"/>
        <w:right w:val="none" w:sz="0" w:space="0" w:color="auto"/>
      </w:divBdr>
    </w:div>
    <w:div w:id="1032192034">
      <w:bodyDiv w:val="1"/>
      <w:marLeft w:val="0"/>
      <w:marRight w:val="0"/>
      <w:marTop w:val="0"/>
      <w:marBottom w:val="0"/>
      <w:divBdr>
        <w:top w:val="none" w:sz="0" w:space="0" w:color="auto"/>
        <w:left w:val="none" w:sz="0" w:space="0" w:color="auto"/>
        <w:bottom w:val="none" w:sz="0" w:space="0" w:color="auto"/>
        <w:right w:val="none" w:sz="0" w:space="0" w:color="auto"/>
      </w:divBdr>
    </w:div>
    <w:div w:id="1062365204">
      <w:bodyDiv w:val="1"/>
      <w:marLeft w:val="0"/>
      <w:marRight w:val="0"/>
      <w:marTop w:val="0"/>
      <w:marBottom w:val="0"/>
      <w:divBdr>
        <w:top w:val="none" w:sz="0" w:space="0" w:color="auto"/>
        <w:left w:val="none" w:sz="0" w:space="0" w:color="auto"/>
        <w:bottom w:val="none" w:sz="0" w:space="0" w:color="auto"/>
        <w:right w:val="none" w:sz="0" w:space="0" w:color="auto"/>
      </w:divBdr>
    </w:div>
    <w:div w:id="1074551124">
      <w:bodyDiv w:val="1"/>
      <w:marLeft w:val="0"/>
      <w:marRight w:val="0"/>
      <w:marTop w:val="0"/>
      <w:marBottom w:val="0"/>
      <w:divBdr>
        <w:top w:val="none" w:sz="0" w:space="0" w:color="auto"/>
        <w:left w:val="none" w:sz="0" w:space="0" w:color="auto"/>
        <w:bottom w:val="none" w:sz="0" w:space="0" w:color="auto"/>
        <w:right w:val="none" w:sz="0" w:space="0" w:color="auto"/>
      </w:divBdr>
    </w:div>
    <w:div w:id="1077677669">
      <w:bodyDiv w:val="1"/>
      <w:marLeft w:val="0"/>
      <w:marRight w:val="0"/>
      <w:marTop w:val="0"/>
      <w:marBottom w:val="0"/>
      <w:divBdr>
        <w:top w:val="none" w:sz="0" w:space="0" w:color="auto"/>
        <w:left w:val="none" w:sz="0" w:space="0" w:color="auto"/>
        <w:bottom w:val="none" w:sz="0" w:space="0" w:color="auto"/>
        <w:right w:val="none" w:sz="0" w:space="0" w:color="auto"/>
      </w:divBdr>
    </w:div>
    <w:div w:id="1205827348">
      <w:bodyDiv w:val="1"/>
      <w:marLeft w:val="0"/>
      <w:marRight w:val="0"/>
      <w:marTop w:val="0"/>
      <w:marBottom w:val="0"/>
      <w:divBdr>
        <w:top w:val="none" w:sz="0" w:space="0" w:color="auto"/>
        <w:left w:val="none" w:sz="0" w:space="0" w:color="auto"/>
        <w:bottom w:val="none" w:sz="0" w:space="0" w:color="auto"/>
        <w:right w:val="none" w:sz="0" w:space="0" w:color="auto"/>
      </w:divBdr>
    </w:div>
    <w:div w:id="1236891918">
      <w:bodyDiv w:val="1"/>
      <w:marLeft w:val="0"/>
      <w:marRight w:val="0"/>
      <w:marTop w:val="0"/>
      <w:marBottom w:val="0"/>
      <w:divBdr>
        <w:top w:val="none" w:sz="0" w:space="0" w:color="auto"/>
        <w:left w:val="none" w:sz="0" w:space="0" w:color="auto"/>
        <w:bottom w:val="none" w:sz="0" w:space="0" w:color="auto"/>
        <w:right w:val="none" w:sz="0" w:space="0" w:color="auto"/>
      </w:divBdr>
    </w:div>
    <w:div w:id="1252200582">
      <w:bodyDiv w:val="1"/>
      <w:marLeft w:val="0"/>
      <w:marRight w:val="0"/>
      <w:marTop w:val="0"/>
      <w:marBottom w:val="0"/>
      <w:divBdr>
        <w:top w:val="none" w:sz="0" w:space="0" w:color="auto"/>
        <w:left w:val="none" w:sz="0" w:space="0" w:color="auto"/>
        <w:bottom w:val="none" w:sz="0" w:space="0" w:color="auto"/>
        <w:right w:val="none" w:sz="0" w:space="0" w:color="auto"/>
      </w:divBdr>
    </w:div>
    <w:div w:id="1360085278">
      <w:bodyDiv w:val="1"/>
      <w:marLeft w:val="0"/>
      <w:marRight w:val="0"/>
      <w:marTop w:val="0"/>
      <w:marBottom w:val="0"/>
      <w:divBdr>
        <w:top w:val="none" w:sz="0" w:space="0" w:color="auto"/>
        <w:left w:val="none" w:sz="0" w:space="0" w:color="auto"/>
        <w:bottom w:val="none" w:sz="0" w:space="0" w:color="auto"/>
        <w:right w:val="none" w:sz="0" w:space="0" w:color="auto"/>
      </w:divBdr>
    </w:div>
    <w:div w:id="1425147701">
      <w:bodyDiv w:val="1"/>
      <w:marLeft w:val="0"/>
      <w:marRight w:val="0"/>
      <w:marTop w:val="0"/>
      <w:marBottom w:val="0"/>
      <w:divBdr>
        <w:top w:val="none" w:sz="0" w:space="0" w:color="auto"/>
        <w:left w:val="none" w:sz="0" w:space="0" w:color="auto"/>
        <w:bottom w:val="none" w:sz="0" w:space="0" w:color="auto"/>
        <w:right w:val="none" w:sz="0" w:space="0" w:color="auto"/>
      </w:divBdr>
    </w:div>
    <w:div w:id="1469323972">
      <w:bodyDiv w:val="1"/>
      <w:marLeft w:val="0"/>
      <w:marRight w:val="0"/>
      <w:marTop w:val="0"/>
      <w:marBottom w:val="0"/>
      <w:divBdr>
        <w:top w:val="none" w:sz="0" w:space="0" w:color="auto"/>
        <w:left w:val="none" w:sz="0" w:space="0" w:color="auto"/>
        <w:bottom w:val="none" w:sz="0" w:space="0" w:color="auto"/>
        <w:right w:val="none" w:sz="0" w:space="0" w:color="auto"/>
      </w:divBdr>
    </w:div>
    <w:div w:id="1557274277">
      <w:bodyDiv w:val="1"/>
      <w:marLeft w:val="0"/>
      <w:marRight w:val="0"/>
      <w:marTop w:val="0"/>
      <w:marBottom w:val="0"/>
      <w:divBdr>
        <w:top w:val="none" w:sz="0" w:space="0" w:color="auto"/>
        <w:left w:val="none" w:sz="0" w:space="0" w:color="auto"/>
        <w:bottom w:val="none" w:sz="0" w:space="0" w:color="auto"/>
        <w:right w:val="none" w:sz="0" w:space="0" w:color="auto"/>
      </w:divBdr>
    </w:div>
    <w:div w:id="1636256334">
      <w:bodyDiv w:val="1"/>
      <w:marLeft w:val="0"/>
      <w:marRight w:val="0"/>
      <w:marTop w:val="0"/>
      <w:marBottom w:val="0"/>
      <w:divBdr>
        <w:top w:val="none" w:sz="0" w:space="0" w:color="auto"/>
        <w:left w:val="none" w:sz="0" w:space="0" w:color="auto"/>
        <w:bottom w:val="none" w:sz="0" w:space="0" w:color="auto"/>
        <w:right w:val="none" w:sz="0" w:space="0" w:color="auto"/>
      </w:divBdr>
    </w:div>
    <w:div w:id="1637179156">
      <w:bodyDiv w:val="1"/>
      <w:marLeft w:val="0"/>
      <w:marRight w:val="0"/>
      <w:marTop w:val="0"/>
      <w:marBottom w:val="0"/>
      <w:divBdr>
        <w:top w:val="none" w:sz="0" w:space="0" w:color="auto"/>
        <w:left w:val="none" w:sz="0" w:space="0" w:color="auto"/>
        <w:bottom w:val="none" w:sz="0" w:space="0" w:color="auto"/>
        <w:right w:val="none" w:sz="0" w:space="0" w:color="auto"/>
      </w:divBdr>
    </w:div>
    <w:div w:id="1751541867">
      <w:bodyDiv w:val="1"/>
      <w:marLeft w:val="0"/>
      <w:marRight w:val="0"/>
      <w:marTop w:val="0"/>
      <w:marBottom w:val="0"/>
      <w:divBdr>
        <w:top w:val="none" w:sz="0" w:space="0" w:color="auto"/>
        <w:left w:val="none" w:sz="0" w:space="0" w:color="auto"/>
        <w:bottom w:val="none" w:sz="0" w:space="0" w:color="auto"/>
        <w:right w:val="none" w:sz="0" w:space="0" w:color="auto"/>
      </w:divBdr>
    </w:div>
    <w:div w:id="1792164444">
      <w:bodyDiv w:val="1"/>
      <w:marLeft w:val="0"/>
      <w:marRight w:val="0"/>
      <w:marTop w:val="0"/>
      <w:marBottom w:val="0"/>
      <w:divBdr>
        <w:top w:val="none" w:sz="0" w:space="0" w:color="auto"/>
        <w:left w:val="none" w:sz="0" w:space="0" w:color="auto"/>
        <w:bottom w:val="none" w:sz="0" w:space="0" w:color="auto"/>
        <w:right w:val="none" w:sz="0" w:space="0" w:color="auto"/>
      </w:divBdr>
    </w:div>
    <w:div w:id="1826050920">
      <w:bodyDiv w:val="1"/>
      <w:marLeft w:val="0"/>
      <w:marRight w:val="0"/>
      <w:marTop w:val="0"/>
      <w:marBottom w:val="0"/>
      <w:divBdr>
        <w:top w:val="none" w:sz="0" w:space="0" w:color="auto"/>
        <w:left w:val="none" w:sz="0" w:space="0" w:color="auto"/>
        <w:bottom w:val="none" w:sz="0" w:space="0" w:color="auto"/>
        <w:right w:val="none" w:sz="0" w:space="0" w:color="auto"/>
      </w:divBdr>
    </w:div>
    <w:div w:id="1940331188">
      <w:bodyDiv w:val="1"/>
      <w:marLeft w:val="0"/>
      <w:marRight w:val="0"/>
      <w:marTop w:val="0"/>
      <w:marBottom w:val="0"/>
      <w:divBdr>
        <w:top w:val="none" w:sz="0" w:space="0" w:color="auto"/>
        <w:left w:val="none" w:sz="0" w:space="0" w:color="auto"/>
        <w:bottom w:val="none" w:sz="0" w:space="0" w:color="auto"/>
        <w:right w:val="none" w:sz="0" w:space="0" w:color="auto"/>
      </w:divBdr>
    </w:div>
    <w:div w:id="2037656402">
      <w:bodyDiv w:val="1"/>
      <w:marLeft w:val="0"/>
      <w:marRight w:val="0"/>
      <w:marTop w:val="0"/>
      <w:marBottom w:val="0"/>
      <w:divBdr>
        <w:top w:val="none" w:sz="0" w:space="0" w:color="auto"/>
        <w:left w:val="none" w:sz="0" w:space="0" w:color="auto"/>
        <w:bottom w:val="none" w:sz="0" w:space="0" w:color="auto"/>
        <w:right w:val="none" w:sz="0" w:space="0" w:color="auto"/>
      </w:divBdr>
    </w:div>
    <w:div w:id="2054233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2346</Words>
  <Characters>13373</Characters>
  <Application>Microsoft Office Word</Application>
  <DocSecurity>0</DocSecurity>
  <Lines>111</Lines>
  <Paragraphs>31</Paragraphs>
  <ScaleCrop>false</ScaleCrop>
  <Company/>
  <LinksUpToDate>false</LinksUpToDate>
  <CharactersWithSpaces>15688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2017-06-14T14:39:00Z</dcterms:created>
  <dcterms:modified xsi:type="dcterms:W3CDTF">2017-06-14T14:39:00Z</dcterms:modified>
</cp:coreProperties>
</file>